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52"/>
          <w:szCs w:val="52"/>
          <w:lang w:val="en-US" w:eastAsia="zh-CN"/>
        </w:rPr>
      </w:pPr>
      <w:r>
        <w:rPr>
          <w:rFonts w:hint="eastAsia" w:ascii="宋体" w:hAnsi="宋体"/>
          <w:b/>
          <w:bCs w:val="0"/>
          <w:sz w:val="52"/>
          <w:szCs w:val="52"/>
          <w:lang w:val="en-US" w:eastAsia="zh-CN"/>
        </w:rPr>
        <w:t>景泰县2020年城市街道亮化工程项目</w:t>
      </w:r>
    </w:p>
    <w:p>
      <w:pPr>
        <w:ind w:firstLine="1446"/>
        <w:rPr>
          <w:rFonts w:ascii="宋体" w:hAnsi="宋体"/>
          <w:b/>
          <w:sz w:val="72"/>
        </w:rPr>
      </w:pPr>
    </w:p>
    <w:p>
      <w:pPr>
        <w:pStyle w:val="2"/>
      </w:pPr>
    </w:p>
    <w:p>
      <w:pPr>
        <w:ind w:firstLine="1446"/>
        <w:rPr>
          <w:rFonts w:ascii="宋体" w:hAnsi="宋体"/>
          <w:b/>
          <w:sz w:val="72"/>
        </w:rPr>
      </w:pPr>
    </w:p>
    <w:p>
      <w:pPr>
        <w:pStyle w:val="2"/>
      </w:pPr>
    </w:p>
    <w:p>
      <w:pPr>
        <w:ind w:firstLine="151" w:firstLineChars="27"/>
        <w:jc w:val="center"/>
        <w:rPr>
          <w:rFonts w:ascii="宋体" w:hAnsi="宋体"/>
          <w:b/>
          <w:sz w:val="72"/>
        </w:rPr>
      </w:pPr>
      <w:r>
        <w:rPr>
          <w:rFonts w:hint="eastAsia" w:ascii="宋体" w:hAnsi="宋体"/>
          <w:b/>
          <w:sz w:val="56"/>
          <w:szCs w:val="22"/>
        </w:rPr>
        <w:t>政府采购招标文件</w:t>
      </w:r>
    </w:p>
    <w:p>
      <w:pPr>
        <w:ind w:firstLine="198" w:firstLineChars="62"/>
        <w:jc w:val="center"/>
        <w:rPr>
          <w:rFonts w:ascii="宋体" w:hAnsi="宋体"/>
          <w:b/>
          <w:sz w:val="32"/>
        </w:rPr>
      </w:pPr>
    </w:p>
    <w:p>
      <w:pPr>
        <w:ind w:firstLine="198" w:firstLineChars="62"/>
        <w:jc w:val="center"/>
        <w:rPr>
          <w:rFonts w:hint="default" w:ascii="宋体" w:hAnsi="宋体" w:eastAsia="宋体"/>
          <w:b/>
          <w:sz w:val="32"/>
          <w:lang w:val="en-US" w:eastAsia="zh-CN"/>
        </w:rPr>
      </w:pPr>
      <w:r>
        <w:rPr>
          <w:rFonts w:hint="eastAsia" w:ascii="宋体" w:hAnsi="宋体"/>
          <w:b/>
          <w:sz w:val="32"/>
        </w:rPr>
        <w:t>招标编号:</w:t>
      </w:r>
      <w:r>
        <w:rPr>
          <w:rFonts w:hint="eastAsia" w:ascii="宋体" w:hAnsi="宋体"/>
          <w:b/>
          <w:sz w:val="32"/>
          <w:lang w:val="en-US" w:eastAsia="zh-CN"/>
        </w:rPr>
        <w:t xml:space="preserve">JTZC-19143 </w:t>
      </w:r>
    </w:p>
    <w:p>
      <w:pPr>
        <w:ind w:firstLine="643"/>
        <w:rPr>
          <w:rFonts w:ascii="宋体" w:hAnsi="宋体"/>
          <w:b/>
          <w:sz w:val="32"/>
        </w:rPr>
      </w:pPr>
    </w:p>
    <w:p>
      <w:pPr>
        <w:ind w:firstLine="643"/>
        <w:rPr>
          <w:rFonts w:ascii="宋体" w:hAnsi="宋体"/>
          <w:b/>
          <w:sz w:val="32"/>
        </w:rPr>
      </w:pPr>
    </w:p>
    <w:p>
      <w:pPr>
        <w:rPr>
          <w:rFonts w:ascii="宋体" w:hAnsi="宋体"/>
          <w:b/>
          <w:sz w:val="32"/>
        </w:rPr>
      </w:pPr>
    </w:p>
    <w:p>
      <w:pPr>
        <w:ind w:firstLine="1600" w:firstLineChars="500"/>
        <w:rPr>
          <w:rFonts w:ascii="宋体" w:hAnsi="宋体"/>
          <w:b/>
          <w:sz w:val="32"/>
        </w:rPr>
      </w:pPr>
    </w:p>
    <w:p>
      <w:pPr>
        <w:ind w:firstLine="1600" w:firstLineChars="500"/>
        <w:rPr>
          <w:rFonts w:ascii="宋体" w:hAnsi="宋体"/>
          <w:b/>
          <w:sz w:val="32"/>
        </w:rPr>
      </w:pPr>
    </w:p>
    <w:p>
      <w:pPr>
        <w:ind w:right="-422" w:rightChars="-201" w:firstLine="1468" w:firstLineChars="459"/>
        <w:jc w:val="left"/>
        <w:rPr>
          <w:rFonts w:ascii="宋体" w:hAnsi="宋体"/>
          <w:b/>
          <w:color w:val="000000"/>
          <w:sz w:val="32"/>
          <w:szCs w:val="32"/>
          <w:u w:val="single"/>
        </w:rPr>
      </w:pPr>
      <w:r>
        <w:rPr>
          <w:rFonts w:hint="eastAsia" w:ascii="宋体" w:hAnsi="宋体"/>
          <w:b/>
          <w:color w:val="000000"/>
          <w:sz w:val="32"/>
          <w:szCs w:val="32"/>
        </w:rPr>
        <w:t>采购单位：</w:t>
      </w:r>
      <w:r>
        <w:rPr>
          <w:rFonts w:hint="eastAsia" w:ascii="宋体" w:hAnsi="宋体"/>
          <w:b/>
          <w:color w:val="000000"/>
          <w:sz w:val="32"/>
          <w:szCs w:val="32"/>
          <w:u w:val="single"/>
        </w:rPr>
        <w:t xml:space="preserve"> </w:t>
      </w:r>
      <w:r>
        <w:rPr>
          <w:rFonts w:hint="eastAsia" w:ascii="宋体" w:hAnsi="宋体"/>
          <w:b/>
          <w:color w:val="000000"/>
          <w:sz w:val="32"/>
          <w:szCs w:val="32"/>
          <w:u w:val="single"/>
          <w:lang w:eastAsia="zh-CN"/>
        </w:rPr>
        <w:t>景泰县住房和城乡建设局</w:t>
      </w:r>
      <w:r>
        <w:rPr>
          <w:rFonts w:hint="eastAsia" w:ascii="宋体" w:hAnsi="宋体"/>
          <w:b/>
          <w:color w:val="000000"/>
          <w:sz w:val="32"/>
          <w:szCs w:val="32"/>
          <w:u w:val="single"/>
        </w:rPr>
        <w:t xml:space="preserve">   </w:t>
      </w:r>
    </w:p>
    <w:p>
      <w:pPr>
        <w:ind w:right="-422" w:rightChars="-201" w:firstLine="1468" w:firstLineChars="459"/>
        <w:jc w:val="left"/>
        <w:rPr>
          <w:rFonts w:ascii="宋体" w:hAnsi="宋体"/>
          <w:b/>
          <w:color w:val="000000"/>
          <w:sz w:val="32"/>
          <w:szCs w:val="32"/>
          <w:u w:val="single"/>
        </w:rPr>
      </w:pPr>
    </w:p>
    <w:p>
      <w:pPr>
        <w:ind w:firstLine="1468" w:firstLineChars="459"/>
        <w:rPr>
          <w:b/>
          <w:color w:val="000000"/>
          <w:u w:val="single"/>
        </w:rPr>
      </w:pPr>
      <w:r>
        <w:rPr>
          <w:rFonts w:hint="eastAsia" w:ascii="宋体" w:hAnsi="宋体"/>
          <w:b/>
          <w:color w:val="000000"/>
          <w:sz w:val="32"/>
          <w:szCs w:val="32"/>
        </w:rPr>
        <w:t>代理机构：</w:t>
      </w:r>
      <w:r>
        <w:rPr>
          <w:rFonts w:hint="eastAsia" w:ascii="宋体" w:hAnsi="宋体"/>
          <w:b/>
          <w:color w:val="000000"/>
          <w:sz w:val="32"/>
          <w:szCs w:val="32"/>
          <w:u w:val="single"/>
          <w:lang w:eastAsia="zh-CN"/>
        </w:rPr>
        <w:t>甘肃金瑞工程项目咨询管理有限公司</w:t>
      </w:r>
      <w:r>
        <w:rPr>
          <w:rFonts w:hint="eastAsia" w:ascii="宋体" w:hAnsi="宋体"/>
          <w:b/>
          <w:color w:val="000000"/>
          <w:sz w:val="32"/>
          <w:szCs w:val="32"/>
          <w:u w:val="single"/>
        </w:rPr>
        <w:t xml:space="preserve"> </w:t>
      </w:r>
    </w:p>
    <w:p>
      <w:pPr>
        <w:ind w:firstLine="678" w:firstLineChars="212"/>
        <w:jc w:val="center"/>
        <w:rPr>
          <w:b/>
          <w:color w:val="000000"/>
          <w:sz w:val="32"/>
          <w:szCs w:val="32"/>
        </w:rPr>
      </w:pPr>
    </w:p>
    <w:p>
      <w:pPr>
        <w:ind w:firstLine="678" w:firstLineChars="212"/>
        <w:jc w:val="center"/>
        <w:rPr>
          <w:b/>
          <w:u w:val="single"/>
        </w:rPr>
        <w:sectPr>
          <w:footerReference r:id="rId4" w:type="first"/>
          <w:headerReference r:id="rId3" w:type="default"/>
          <w:pgSz w:w="11906" w:h="16838"/>
          <w:pgMar w:top="1701" w:right="1701" w:bottom="1418" w:left="1418" w:header="851" w:footer="992" w:gutter="0"/>
          <w:pgNumType w:start="1"/>
          <w:cols w:space="720" w:num="1"/>
          <w:docGrid w:type="linesAndChars" w:linePitch="312" w:charSpace="0"/>
        </w:sectPr>
      </w:pPr>
      <w:r>
        <w:rPr>
          <w:rFonts w:hint="eastAsia"/>
          <w:b/>
          <w:color w:val="000000"/>
          <w:sz w:val="32"/>
          <w:szCs w:val="32"/>
        </w:rPr>
        <w:t>20</w:t>
      </w:r>
      <w:r>
        <w:rPr>
          <w:rFonts w:hint="eastAsia"/>
          <w:b/>
          <w:color w:val="000000"/>
          <w:sz w:val="32"/>
          <w:szCs w:val="32"/>
          <w:lang w:val="en-US" w:eastAsia="zh-CN"/>
        </w:rPr>
        <w:t>19</w:t>
      </w:r>
      <w:r>
        <w:rPr>
          <w:rFonts w:hint="eastAsia"/>
          <w:b/>
          <w:color w:val="000000"/>
          <w:sz w:val="32"/>
          <w:szCs w:val="32"/>
        </w:rPr>
        <w:t>年</w:t>
      </w:r>
      <w:r>
        <w:rPr>
          <w:rFonts w:hint="eastAsia"/>
          <w:b/>
          <w:color w:val="000000"/>
          <w:sz w:val="32"/>
          <w:szCs w:val="32"/>
          <w:lang w:val="en-US" w:eastAsia="zh-CN"/>
        </w:rPr>
        <w:t>12</w:t>
      </w:r>
      <w:r>
        <w:rPr>
          <w:rFonts w:hint="eastAsia"/>
          <w:b/>
          <w:color w:val="000000"/>
          <w:sz w:val="32"/>
          <w:szCs w:val="32"/>
        </w:rPr>
        <w:t>月</w:t>
      </w:r>
    </w:p>
    <w:p>
      <w:pPr>
        <w:pStyle w:val="27"/>
        <w:jc w:val="center"/>
        <w:rPr>
          <w:b/>
          <w:sz w:val="28"/>
          <w:szCs w:val="28"/>
        </w:rPr>
      </w:pPr>
      <w:r>
        <w:rPr>
          <w:rFonts w:hint="eastAsia"/>
          <w:b/>
          <w:sz w:val="28"/>
          <w:szCs w:val="28"/>
        </w:rPr>
        <w:t>目    录</w:t>
      </w:r>
    </w:p>
    <w:p>
      <w:pPr>
        <w:pStyle w:val="27"/>
        <w:tabs>
          <w:tab w:val="right" w:leader="dot" w:pos="8787"/>
        </w:tabs>
        <w:spacing w:line="360" w:lineRule="auto"/>
        <w:rPr>
          <w:rFonts w:asciiTheme="minorEastAsia" w:hAnsiTheme="minorEastAsia" w:eastAsiaTheme="minorEastAsia" w:cstheme="minorEastAsia"/>
        </w:rPr>
      </w:pPr>
      <w:r>
        <w:fldChar w:fldCharType="begin"/>
      </w:r>
      <w:r>
        <w:rPr>
          <w:rFonts w:hint="eastAsia"/>
        </w:rPr>
        <w:instrText xml:space="preserve">TOC \o "1-3" \h \z \u</w:instrText>
      </w:r>
      <w:r>
        <w:fldChar w:fldCharType="separate"/>
      </w:r>
      <w:r>
        <w:fldChar w:fldCharType="begin"/>
      </w:r>
      <w:r>
        <w:instrText xml:space="preserve"> HYPERLINK \l "_Toc3645" </w:instrText>
      </w:r>
      <w:r>
        <w:fldChar w:fldCharType="separate"/>
      </w:r>
      <w:r>
        <w:rPr>
          <w:rFonts w:asciiTheme="minorEastAsia" w:hAnsiTheme="minorEastAsia" w:cstheme="minorEastAsia"/>
          <w:caps w:val="0"/>
          <w:vanish/>
        </w:rPr>
        <w:object>
          <v:shape id="_x0000_i1025" o:spt="201" type="#_x0000_t201" style="height:29.25pt;width:18.75pt;" o:ole="t" filled="f" o:preferrelative="t" stroked="f" coordsize="21600,21600">
            <v:path/>
            <v:fill on="f" focussize="0,0"/>
            <v:stroke on="f"/>
            <v:imagedata r:id="rId20" o:title=""/>
            <o:lock v:ext="edit" aspectratio="t"/>
            <w10:wrap type="none"/>
            <w10:anchorlock/>
          </v:shape>
          <w:control r:id="rId19" w:name="CheckBox1" w:shapeid="_x0000_i1025"/>
        </w:object>
      </w:r>
      <w:r>
        <w:rPr>
          <w:rFonts w:hint="eastAsia" w:asciiTheme="minorEastAsia" w:hAnsiTheme="minorEastAsia" w:eastAsiaTheme="minorEastAsia" w:cstheme="minorEastAsia"/>
        </w:rPr>
        <w:t>第一章 招标公告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_Toc3645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"_Toc18537" </w:instrText>
      </w:r>
      <w:r>
        <w:fldChar w:fldCharType="separate"/>
      </w:r>
      <w:r>
        <w:rPr>
          <w:rFonts w:hint="eastAsia" w:asciiTheme="minorEastAsia" w:hAnsiTheme="minorEastAsia" w:eastAsiaTheme="minorEastAsia" w:cstheme="minorEastAsia"/>
        </w:rPr>
        <w:t>第二章　投标人须知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"_Toc14956" </w:instrText>
      </w:r>
      <w:r>
        <w:fldChar w:fldCharType="separate"/>
      </w:r>
      <w:r>
        <w:rPr>
          <w:rFonts w:hint="eastAsia" w:asciiTheme="minorEastAsia" w:hAnsiTheme="minorEastAsia" w:eastAsiaTheme="minorEastAsia" w:cstheme="minorEastAsia"/>
          <w:szCs w:val="21"/>
        </w:rPr>
        <w:t>投标人须知前附表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_Toc14956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"_Toc13567" </w:instrText>
      </w:r>
      <w:r>
        <w:fldChar w:fldCharType="separate"/>
      </w:r>
      <w:r>
        <w:rPr>
          <w:rFonts w:hint="eastAsia" w:asciiTheme="minorEastAsia" w:hAnsiTheme="minorEastAsia" w:eastAsiaTheme="minorEastAsia" w:cstheme="minorEastAsia"/>
          <w:szCs w:val="24"/>
        </w:rPr>
        <w:t>1． 总则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_Toc13567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"_Toc31971" </w:instrText>
      </w:r>
      <w:r>
        <w:fldChar w:fldCharType="separate"/>
      </w:r>
      <w:r>
        <w:rPr>
          <w:rFonts w:hint="eastAsia" w:asciiTheme="minorEastAsia" w:hAnsiTheme="minorEastAsia" w:eastAsiaTheme="minorEastAsia" w:cstheme="minorEastAsia"/>
          <w:szCs w:val="21"/>
        </w:rPr>
        <w:t>1.1　招标文件涉及术语的内涵及解释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_Toc31971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"_Toc16911" </w:instrText>
      </w:r>
      <w:r>
        <w:fldChar w:fldCharType="separate"/>
      </w:r>
      <w:r>
        <w:rPr>
          <w:rFonts w:hint="eastAsia" w:asciiTheme="minorEastAsia" w:hAnsiTheme="minorEastAsia" w:eastAsiaTheme="minorEastAsia" w:cstheme="minorEastAsia"/>
          <w:szCs w:val="21"/>
        </w:rPr>
        <w:t>1.2　资金来源和落实情况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_Toc16911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"_Toc4337" </w:instrText>
      </w:r>
      <w:r>
        <w:fldChar w:fldCharType="separate"/>
      </w:r>
      <w:r>
        <w:rPr>
          <w:rFonts w:hint="eastAsia" w:asciiTheme="minorEastAsia" w:hAnsiTheme="minorEastAsia" w:eastAsiaTheme="minorEastAsia" w:cstheme="minorEastAsia"/>
          <w:szCs w:val="21"/>
        </w:rPr>
        <w:t>1.3　招标范围、计划工期和质量要求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_Toc4337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"_Toc10825" </w:instrText>
      </w:r>
      <w:r>
        <w:fldChar w:fldCharType="separate"/>
      </w:r>
      <w:r>
        <w:rPr>
          <w:rFonts w:hint="eastAsia" w:asciiTheme="minorEastAsia" w:hAnsiTheme="minorEastAsia" w:eastAsiaTheme="minorEastAsia" w:cstheme="minorEastAsia"/>
          <w:szCs w:val="21"/>
        </w:rPr>
        <w:t>1.4　投标人资格要求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_Toc10825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"_Toc26810" </w:instrText>
      </w:r>
      <w:r>
        <w:fldChar w:fldCharType="separate"/>
      </w:r>
      <w:r>
        <w:rPr>
          <w:rFonts w:hint="eastAsia" w:asciiTheme="minorEastAsia" w:hAnsiTheme="minorEastAsia" w:eastAsiaTheme="minorEastAsia" w:cstheme="minorEastAsia"/>
          <w:szCs w:val="21"/>
        </w:rPr>
        <w:t>1.5　费用承担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_Toc26810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"_Toc30887" </w:instrText>
      </w:r>
      <w:r>
        <w:fldChar w:fldCharType="separate"/>
      </w:r>
      <w:r>
        <w:rPr>
          <w:rFonts w:hint="eastAsia" w:asciiTheme="minorEastAsia" w:hAnsiTheme="minorEastAsia" w:eastAsiaTheme="minorEastAsia" w:cstheme="minorEastAsia"/>
          <w:szCs w:val="21"/>
        </w:rPr>
        <w:t>1.6　保密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_Toc30887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"_Toc26388" </w:instrText>
      </w:r>
      <w:r>
        <w:fldChar w:fldCharType="separate"/>
      </w:r>
      <w:r>
        <w:rPr>
          <w:rFonts w:hint="eastAsia" w:asciiTheme="minorEastAsia" w:hAnsiTheme="minorEastAsia" w:eastAsiaTheme="minorEastAsia" w:cstheme="minorEastAsia"/>
          <w:szCs w:val="21"/>
        </w:rPr>
        <w:t>1.7　语言文字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"_Toc358" </w:instrText>
      </w:r>
      <w:r>
        <w:fldChar w:fldCharType="separate"/>
      </w:r>
      <w:r>
        <w:rPr>
          <w:rFonts w:hint="eastAsia" w:asciiTheme="minorEastAsia" w:hAnsiTheme="minorEastAsia" w:eastAsiaTheme="minorEastAsia" w:cstheme="minorEastAsia"/>
          <w:szCs w:val="21"/>
        </w:rPr>
        <w:t>1.8　计量单位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"_Toc276" </w:instrText>
      </w:r>
      <w:r>
        <w:fldChar w:fldCharType="separate"/>
      </w:r>
      <w:r>
        <w:rPr>
          <w:rFonts w:hint="eastAsia" w:asciiTheme="minorEastAsia" w:hAnsiTheme="minorEastAsia" w:eastAsiaTheme="minorEastAsia" w:cstheme="minorEastAsia"/>
          <w:szCs w:val="21"/>
        </w:rPr>
        <w:t>1.9　踏勘现场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"_Toc22475" </w:instrText>
      </w:r>
      <w:r>
        <w:fldChar w:fldCharType="separate"/>
      </w:r>
      <w:r>
        <w:rPr>
          <w:rFonts w:hint="eastAsia" w:asciiTheme="minorEastAsia" w:hAnsiTheme="minorEastAsia" w:eastAsiaTheme="minorEastAsia" w:cstheme="minorEastAsia"/>
          <w:szCs w:val="21"/>
        </w:rPr>
        <w:t>1.10  投标预备会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_Toc22475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"_Toc19791" </w:instrText>
      </w:r>
      <w:r>
        <w:fldChar w:fldCharType="separate"/>
      </w:r>
      <w:r>
        <w:rPr>
          <w:rFonts w:hint="eastAsia" w:asciiTheme="minorEastAsia" w:hAnsiTheme="minorEastAsia" w:eastAsiaTheme="minorEastAsia" w:cstheme="minorEastAsia"/>
          <w:szCs w:val="21"/>
        </w:rPr>
        <w:t>1.11　分包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_Toc19791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"_Toc20214" </w:instrText>
      </w:r>
      <w:r>
        <w:fldChar w:fldCharType="separate"/>
      </w:r>
      <w:r>
        <w:rPr>
          <w:rFonts w:hint="eastAsia" w:asciiTheme="minorEastAsia" w:hAnsiTheme="minorEastAsia" w:eastAsiaTheme="minorEastAsia" w:cstheme="minorEastAsia"/>
          <w:szCs w:val="21"/>
        </w:rPr>
        <w:t>1.12  偏离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_Toc20214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"_Toc30173" </w:instrText>
      </w:r>
      <w:r>
        <w:fldChar w:fldCharType="separate"/>
      </w:r>
      <w:r>
        <w:rPr>
          <w:rFonts w:hint="eastAsia" w:asciiTheme="minorEastAsia" w:hAnsiTheme="minorEastAsia" w:eastAsiaTheme="minorEastAsia" w:cstheme="minorEastAsia"/>
          <w:szCs w:val="24"/>
        </w:rPr>
        <w:t>2．招标文件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_Toc30173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"_Toc17992" </w:instrText>
      </w:r>
      <w:r>
        <w:fldChar w:fldCharType="separate"/>
      </w:r>
      <w:r>
        <w:rPr>
          <w:rFonts w:hint="eastAsia" w:asciiTheme="minorEastAsia" w:hAnsiTheme="minorEastAsia" w:eastAsiaTheme="minorEastAsia" w:cstheme="minorEastAsia"/>
          <w:szCs w:val="21"/>
        </w:rPr>
        <w:t>2.1　招标文件的组成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"_Toc27539" </w:instrText>
      </w:r>
      <w:r>
        <w:fldChar w:fldCharType="separate"/>
      </w:r>
      <w:r>
        <w:rPr>
          <w:rFonts w:hint="eastAsia" w:asciiTheme="minorEastAsia" w:hAnsiTheme="minorEastAsia" w:eastAsiaTheme="minorEastAsia" w:cstheme="minorEastAsia"/>
          <w:szCs w:val="21"/>
        </w:rPr>
        <w:t>2.2　招标文件的修改与补充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_Toc27539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"_Toc17978" </w:instrText>
      </w:r>
      <w:r>
        <w:fldChar w:fldCharType="separate"/>
      </w:r>
      <w:r>
        <w:rPr>
          <w:rFonts w:hint="eastAsia" w:asciiTheme="minorEastAsia" w:hAnsiTheme="minorEastAsia" w:eastAsiaTheme="minorEastAsia" w:cstheme="minorEastAsia"/>
          <w:szCs w:val="24"/>
        </w:rPr>
        <w:t>3．投标文件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"_Toc27680" </w:instrText>
      </w:r>
      <w:r>
        <w:fldChar w:fldCharType="separate"/>
      </w:r>
      <w:r>
        <w:rPr>
          <w:rFonts w:hint="eastAsia" w:asciiTheme="minorEastAsia" w:hAnsiTheme="minorEastAsia" w:eastAsiaTheme="minorEastAsia" w:cstheme="minorEastAsia"/>
          <w:szCs w:val="21"/>
        </w:rPr>
        <w:t>3.1　投标文件的组成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_Toc27680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"_Toc22667" </w:instrText>
      </w:r>
      <w:r>
        <w:fldChar w:fldCharType="separate"/>
      </w:r>
      <w:r>
        <w:rPr>
          <w:rFonts w:hint="eastAsia" w:asciiTheme="minorEastAsia" w:hAnsiTheme="minorEastAsia" w:eastAsiaTheme="minorEastAsia" w:cstheme="minorEastAsia"/>
          <w:bCs/>
          <w:szCs w:val="21"/>
          <w:lang w:val="zh-CN"/>
        </w:rPr>
        <w:t>3.2　投标报价</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_Toc22667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"_Toc14823" </w:instrText>
      </w:r>
      <w:r>
        <w:fldChar w:fldCharType="separate"/>
      </w:r>
      <w:r>
        <w:rPr>
          <w:rFonts w:hint="eastAsia" w:asciiTheme="minorEastAsia" w:hAnsiTheme="minorEastAsia" w:eastAsiaTheme="minorEastAsia" w:cstheme="minorEastAsia"/>
          <w:szCs w:val="21"/>
        </w:rPr>
        <w:t>3.3　投标有效期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_Toc14823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"_Toc7978" </w:instrText>
      </w:r>
      <w:r>
        <w:fldChar w:fldCharType="separate"/>
      </w:r>
      <w:r>
        <w:rPr>
          <w:rFonts w:hint="eastAsia" w:asciiTheme="minorEastAsia" w:hAnsiTheme="minorEastAsia" w:eastAsiaTheme="minorEastAsia" w:cstheme="minorEastAsia"/>
          <w:szCs w:val="21"/>
        </w:rPr>
        <w:t>3.4　投标保证金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_Toc7978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"_Toc7116" </w:instrText>
      </w:r>
      <w:r>
        <w:fldChar w:fldCharType="separate"/>
      </w:r>
      <w:r>
        <w:rPr>
          <w:rFonts w:hint="eastAsia" w:asciiTheme="minorEastAsia" w:hAnsiTheme="minorEastAsia" w:eastAsiaTheme="minorEastAsia" w:cstheme="minorEastAsia"/>
          <w:szCs w:val="21"/>
        </w:rPr>
        <w:t>3.5　资格审查资料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"_Toc1878" </w:instrText>
      </w:r>
      <w:r>
        <w:fldChar w:fldCharType="separate"/>
      </w:r>
      <w:r>
        <w:rPr>
          <w:rFonts w:hint="eastAsia" w:asciiTheme="minorEastAsia" w:hAnsiTheme="minorEastAsia" w:eastAsiaTheme="minorEastAsia" w:cstheme="minorEastAsia"/>
          <w:szCs w:val="21"/>
        </w:rPr>
        <w:t>3.6　备选投标方案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"_Toc11347" </w:instrText>
      </w:r>
      <w:r>
        <w:fldChar w:fldCharType="separate"/>
      </w:r>
      <w:r>
        <w:rPr>
          <w:rFonts w:hint="eastAsia" w:asciiTheme="minorEastAsia" w:hAnsiTheme="minorEastAsia" w:eastAsiaTheme="minorEastAsia" w:cstheme="minorEastAsia"/>
          <w:szCs w:val="21"/>
        </w:rPr>
        <w:t>3.7　投标文件的编制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_Toc11347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sectPr>
          <w:footerReference r:id="rId5" w:type="default"/>
          <w:pgSz w:w="11906" w:h="16838"/>
          <w:pgMar w:top="1701" w:right="1701" w:bottom="1418" w:left="1418" w:header="851" w:footer="992" w:gutter="0"/>
          <w:pgNumType w:start="1"/>
          <w:cols w:space="720" w:num="1"/>
          <w:docGrid w:type="linesAndChars" w:linePitch="312" w:charSpace="0"/>
        </w:sectPr>
      </w:pP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"_Toc8897" </w:instrText>
      </w:r>
      <w:r>
        <w:fldChar w:fldCharType="separate"/>
      </w:r>
      <w:r>
        <w:rPr>
          <w:rFonts w:hint="eastAsia" w:asciiTheme="minorEastAsia" w:hAnsiTheme="minorEastAsia" w:eastAsiaTheme="minorEastAsia" w:cstheme="minorEastAsia"/>
          <w:szCs w:val="24"/>
        </w:rPr>
        <w:t>4．投标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_Toc8897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"_Toc31417" </w:instrText>
      </w:r>
      <w:r>
        <w:fldChar w:fldCharType="separate"/>
      </w:r>
      <w:r>
        <w:rPr>
          <w:rFonts w:hint="eastAsia" w:asciiTheme="minorEastAsia" w:hAnsiTheme="minorEastAsia" w:eastAsiaTheme="minorEastAsia" w:cstheme="minorEastAsia"/>
          <w:szCs w:val="21"/>
        </w:rPr>
        <w:t>4.1　投标文件的份数、签署、密封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_Toc31417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"_Toc16056" </w:instrText>
      </w:r>
      <w:r>
        <w:fldChar w:fldCharType="separate"/>
      </w:r>
      <w:r>
        <w:rPr>
          <w:rFonts w:hint="eastAsia" w:asciiTheme="minorEastAsia" w:hAnsiTheme="minorEastAsia" w:eastAsiaTheme="minorEastAsia" w:cstheme="minorEastAsia"/>
          <w:szCs w:val="21"/>
        </w:rPr>
        <w:t>4.2　投标文件的递交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_Toc16056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"_Toc22012" </w:instrText>
      </w:r>
      <w:r>
        <w:fldChar w:fldCharType="separate"/>
      </w:r>
      <w:r>
        <w:rPr>
          <w:rFonts w:hint="eastAsia" w:asciiTheme="minorEastAsia" w:hAnsiTheme="minorEastAsia" w:eastAsiaTheme="minorEastAsia" w:cstheme="minorEastAsia"/>
          <w:szCs w:val="21"/>
        </w:rPr>
        <w:t>4.3　投标文件的修改与撤回</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_Toc22012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"_Toc20892" </w:instrText>
      </w:r>
      <w:r>
        <w:fldChar w:fldCharType="separate"/>
      </w:r>
      <w:r>
        <w:rPr>
          <w:rFonts w:hint="eastAsia" w:asciiTheme="minorEastAsia" w:hAnsiTheme="minorEastAsia" w:eastAsiaTheme="minorEastAsia" w:cstheme="minorEastAsia"/>
          <w:szCs w:val="21"/>
        </w:rPr>
        <w:t>4.4投标人出现以下情况，采购人（代理机构）将拒收其递交的投标文件。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"_Toc6374" </w:instrText>
      </w:r>
      <w:r>
        <w:fldChar w:fldCharType="separate"/>
      </w:r>
      <w:r>
        <w:rPr>
          <w:rFonts w:hint="eastAsia" w:asciiTheme="minorEastAsia" w:hAnsiTheme="minorEastAsia" w:eastAsiaTheme="minorEastAsia" w:cstheme="minorEastAsia"/>
          <w:szCs w:val="21"/>
        </w:rPr>
        <w:t>4.5特殊情形的规定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"_Toc22843" </w:instrText>
      </w:r>
      <w:r>
        <w:fldChar w:fldCharType="separate"/>
      </w:r>
      <w:r>
        <w:rPr>
          <w:rFonts w:hint="eastAsia" w:asciiTheme="minorEastAsia" w:hAnsiTheme="minorEastAsia" w:eastAsiaTheme="minorEastAsia" w:cstheme="minorEastAsia"/>
          <w:szCs w:val="24"/>
        </w:rPr>
        <w:t>5．开标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_Toc22843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"_Toc18320" </w:instrText>
      </w:r>
      <w:r>
        <w:fldChar w:fldCharType="separate"/>
      </w:r>
      <w:r>
        <w:rPr>
          <w:rFonts w:hint="eastAsia" w:asciiTheme="minorEastAsia" w:hAnsiTheme="minorEastAsia" w:eastAsiaTheme="minorEastAsia" w:cstheme="minorEastAsia"/>
          <w:szCs w:val="21"/>
        </w:rPr>
        <w:t>5.1　开标时间和地点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_Toc18320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"_Toc22723" </w:instrText>
      </w:r>
      <w:r>
        <w:fldChar w:fldCharType="separate"/>
      </w:r>
      <w:r>
        <w:rPr>
          <w:rFonts w:hint="eastAsia" w:asciiTheme="minorEastAsia" w:hAnsiTheme="minorEastAsia" w:eastAsiaTheme="minorEastAsia" w:cstheme="minorEastAsia"/>
          <w:szCs w:val="21"/>
        </w:rPr>
        <w:t>5.2　</w:t>
      </w:r>
      <w:r>
        <w:rPr>
          <w:rFonts w:hint="eastAsia" w:asciiTheme="minorEastAsia" w:hAnsiTheme="minorEastAsia" w:eastAsiaTheme="minorEastAsia" w:cstheme="minorEastAsia"/>
          <w:szCs w:val="24"/>
        </w:rPr>
        <w:t>开标内容及注意事项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_Toc22723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"_Toc4613" </w:instrText>
      </w:r>
      <w:r>
        <w:fldChar w:fldCharType="separate"/>
      </w:r>
      <w:r>
        <w:rPr>
          <w:rFonts w:hint="eastAsia" w:asciiTheme="minorEastAsia" w:hAnsiTheme="minorEastAsia" w:eastAsiaTheme="minorEastAsia" w:cstheme="minorEastAsia"/>
          <w:szCs w:val="24"/>
        </w:rPr>
        <w:t>6．评标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_Toc4613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"_Toc23391" </w:instrText>
      </w:r>
      <w:r>
        <w:fldChar w:fldCharType="separate"/>
      </w:r>
      <w:r>
        <w:rPr>
          <w:rFonts w:hint="eastAsia" w:asciiTheme="minorEastAsia" w:hAnsiTheme="minorEastAsia" w:eastAsiaTheme="minorEastAsia" w:cstheme="minorEastAsia"/>
          <w:szCs w:val="24"/>
        </w:rPr>
        <w:t>6.1评标流程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_Toc23391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"_Toc11492" </w:instrText>
      </w:r>
      <w:r>
        <w:fldChar w:fldCharType="separate"/>
      </w:r>
      <w:r>
        <w:rPr>
          <w:rFonts w:hint="eastAsia" w:asciiTheme="minorEastAsia" w:hAnsiTheme="minorEastAsia" w:eastAsiaTheme="minorEastAsia" w:cstheme="minorEastAsia"/>
          <w:szCs w:val="24"/>
        </w:rPr>
        <w:t>6.2注意事项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_Toc11492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"_Toc18631" </w:instrText>
      </w:r>
      <w:r>
        <w:fldChar w:fldCharType="separate"/>
      </w:r>
      <w:r>
        <w:rPr>
          <w:rFonts w:hint="eastAsia" w:asciiTheme="minorEastAsia" w:hAnsiTheme="minorEastAsia" w:eastAsiaTheme="minorEastAsia" w:cstheme="minorEastAsia"/>
          <w:szCs w:val="24"/>
        </w:rPr>
        <w:t>6.3 投标人家数计算</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_Toc18631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"_Toc14393" </w:instrText>
      </w:r>
      <w:r>
        <w:fldChar w:fldCharType="separate"/>
      </w:r>
      <w:r>
        <w:rPr>
          <w:rFonts w:hint="eastAsia" w:asciiTheme="minorEastAsia" w:hAnsiTheme="minorEastAsia" w:eastAsiaTheme="minorEastAsia" w:cstheme="minorEastAsia"/>
          <w:szCs w:val="24"/>
        </w:rPr>
        <w:t>6.4定标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_Toc14393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"_Toc839" </w:instrText>
      </w:r>
      <w:r>
        <w:fldChar w:fldCharType="separate"/>
      </w:r>
      <w:r>
        <w:rPr>
          <w:rFonts w:hint="eastAsia" w:asciiTheme="minorEastAsia" w:hAnsiTheme="minorEastAsia" w:eastAsiaTheme="minorEastAsia" w:cstheme="minorEastAsia"/>
          <w:szCs w:val="24"/>
        </w:rPr>
        <w:t>7．合同授予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"_Toc28124" </w:instrText>
      </w:r>
      <w:r>
        <w:fldChar w:fldCharType="separate"/>
      </w:r>
      <w:r>
        <w:rPr>
          <w:rFonts w:hint="eastAsia" w:asciiTheme="minorEastAsia" w:hAnsiTheme="minorEastAsia" w:eastAsiaTheme="minorEastAsia" w:cstheme="minorEastAsia"/>
          <w:szCs w:val="21"/>
        </w:rPr>
        <w:t>7.1　</w:t>
      </w:r>
      <w:r>
        <w:rPr>
          <w:rFonts w:hint="eastAsia" w:asciiTheme="minorEastAsia" w:hAnsiTheme="minorEastAsia" w:eastAsiaTheme="minorEastAsia" w:cstheme="minorEastAsia"/>
          <w:szCs w:val="24"/>
        </w:rPr>
        <w:t>合同授予原则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_Toc28124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"_Toc17165" </w:instrText>
      </w:r>
      <w:r>
        <w:fldChar w:fldCharType="separate"/>
      </w:r>
      <w:r>
        <w:rPr>
          <w:rFonts w:hint="eastAsia" w:asciiTheme="minorEastAsia" w:hAnsiTheme="minorEastAsia" w:eastAsiaTheme="minorEastAsia" w:cstheme="minorEastAsia"/>
          <w:szCs w:val="24"/>
        </w:rPr>
        <w:t>7.2合同的签署、履行及验收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_Toc17165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"_Toc23582" </w:instrText>
      </w:r>
      <w:r>
        <w:fldChar w:fldCharType="separate"/>
      </w:r>
      <w:r>
        <w:rPr>
          <w:rFonts w:hint="eastAsia" w:asciiTheme="minorEastAsia" w:hAnsiTheme="minorEastAsia" w:eastAsiaTheme="minorEastAsia" w:cstheme="minorEastAsia"/>
          <w:szCs w:val="21"/>
        </w:rPr>
        <w:t>7.3　履约担保</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_Toc23582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"_Toc179" </w:instrText>
      </w:r>
      <w:r>
        <w:fldChar w:fldCharType="separate"/>
      </w:r>
      <w:r>
        <w:rPr>
          <w:rFonts w:hint="eastAsia" w:asciiTheme="minorEastAsia" w:hAnsiTheme="minorEastAsia" w:eastAsiaTheme="minorEastAsia" w:cstheme="minorEastAsia"/>
          <w:szCs w:val="21"/>
        </w:rPr>
        <w:t>7.4　签订合同</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"_Toc22156" </w:instrText>
      </w:r>
      <w:r>
        <w:fldChar w:fldCharType="separate"/>
      </w:r>
      <w:r>
        <w:rPr>
          <w:rFonts w:hint="eastAsia" w:asciiTheme="minorEastAsia" w:hAnsiTheme="minorEastAsia" w:eastAsiaTheme="minorEastAsia" w:cstheme="minorEastAsia"/>
          <w:szCs w:val="24"/>
        </w:rPr>
        <w:t>8．重新招标和不再招标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_Toc22156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"_Toc4457" </w:instrText>
      </w:r>
      <w:r>
        <w:fldChar w:fldCharType="separate"/>
      </w:r>
      <w:r>
        <w:rPr>
          <w:rFonts w:hint="eastAsia" w:asciiTheme="minorEastAsia" w:hAnsiTheme="minorEastAsia" w:eastAsiaTheme="minorEastAsia" w:cstheme="minorEastAsia"/>
          <w:szCs w:val="21"/>
        </w:rPr>
        <w:t>8.1　重新招标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_Toc4457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"_Toc22026" </w:instrText>
      </w:r>
      <w:r>
        <w:fldChar w:fldCharType="separate"/>
      </w:r>
      <w:r>
        <w:rPr>
          <w:rFonts w:hint="eastAsia" w:asciiTheme="minorEastAsia" w:hAnsiTheme="minorEastAsia" w:eastAsiaTheme="minorEastAsia" w:cstheme="minorEastAsia"/>
          <w:szCs w:val="24"/>
        </w:rPr>
        <w:t>9．纪律和监督</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_Toc22026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"_Toc26926" </w:instrText>
      </w:r>
      <w:r>
        <w:fldChar w:fldCharType="separate"/>
      </w:r>
      <w:r>
        <w:rPr>
          <w:rFonts w:hint="eastAsia" w:asciiTheme="minorEastAsia" w:hAnsiTheme="minorEastAsia" w:eastAsiaTheme="minorEastAsia" w:cstheme="minorEastAsia"/>
          <w:szCs w:val="21"/>
        </w:rPr>
        <w:t>9.1　对招标人的纪律要求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_Toc26926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"_Toc2716" </w:instrText>
      </w:r>
      <w:r>
        <w:fldChar w:fldCharType="separate"/>
      </w:r>
      <w:r>
        <w:rPr>
          <w:rFonts w:hint="eastAsia" w:asciiTheme="minorEastAsia" w:hAnsiTheme="minorEastAsia" w:eastAsiaTheme="minorEastAsia" w:cstheme="minorEastAsia"/>
          <w:szCs w:val="21"/>
        </w:rPr>
        <w:t>9.2　对投标人的纪律要求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"_Toc23534" </w:instrText>
      </w:r>
      <w:r>
        <w:fldChar w:fldCharType="separate"/>
      </w:r>
      <w:r>
        <w:rPr>
          <w:rFonts w:hint="eastAsia" w:asciiTheme="minorEastAsia" w:hAnsiTheme="minorEastAsia" w:eastAsiaTheme="minorEastAsia" w:cstheme="minorEastAsia"/>
          <w:szCs w:val="21"/>
        </w:rPr>
        <w:t>9.3　对评标委员会成员的纪律要求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_Toc23534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"_Toc13458" </w:instrText>
      </w:r>
      <w:r>
        <w:fldChar w:fldCharType="separate"/>
      </w:r>
      <w:r>
        <w:rPr>
          <w:rFonts w:hint="eastAsia" w:asciiTheme="minorEastAsia" w:hAnsiTheme="minorEastAsia" w:eastAsiaTheme="minorEastAsia" w:cstheme="minorEastAsia"/>
          <w:szCs w:val="21"/>
        </w:rPr>
        <w:t>9.4　对与评标活动有关的工作人员的纪律要求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_Toc13458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"_Toc15497" </w:instrText>
      </w:r>
      <w:r>
        <w:fldChar w:fldCharType="separate"/>
      </w:r>
      <w:r>
        <w:rPr>
          <w:rFonts w:hint="eastAsia" w:asciiTheme="minorEastAsia" w:hAnsiTheme="minorEastAsia" w:eastAsiaTheme="minorEastAsia" w:cstheme="minorEastAsia"/>
          <w:szCs w:val="21"/>
        </w:rPr>
        <w:t>9.5质疑与答复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_Toc15497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"_Toc18417" </w:instrText>
      </w:r>
      <w:r>
        <w:fldChar w:fldCharType="separate"/>
      </w:r>
      <w:r>
        <w:rPr>
          <w:rFonts w:hint="eastAsia" w:asciiTheme="minorEastAsia" w:hAnsiTheme="minorEastAsia" w:eastAsiaTheme="minorEastAsia" w:cstheme="minorEastAsia"/>
          <w:szCs w:val="21"/>
        </w:rPr>
        <w:t>9.5.1 综合说明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_Toc18417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"_Toc28933" </w:instrText>
      </w:r>
      <w:r>
        <w:fldChar w:fldCharType="separate"/>
      </w:r>
      <w:r>
        <w:rPr>
          <w:rFonts w:hint="eastAsia" w:asciiTheme="minorEastAsia" w:hAnsiTheme="minorEastAsia" w:eastAsiaTheme="minorEastAsia" w:cstheme="minorEastAsia"/>
          <w:szCs w:val="21"/>
        </w:rPr>
        <w:t>9.5.2质疑和答复的时限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_Toc28933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sectPr>
          <w:footerReference r:id="rId6" w:type="default"/>
          <w:pgSz w:w="11906" w:h="16838"/>
          <w:pgMar w:top="1701" w:right="1701" w:bottom="1418" w:left="1418" w:header="851" w:footer="992" w:gutter="0"/>
          <w:cols w:space="720" w:num="1"/>
          <w:docGrid w:type="linesAndChars" w:linePitch="312" w:charSpace="0"/>
        </w:sectPr>
      </w:pP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"_Toc13392" </w:instrText>
      </w:r>
      <w:r>
        <w:fldChar w:fldCharType="separate"/>
      </w:r>
      <w:r>
        <w:rPr>
          <w:rFonts w:hint="eastAsia" w:asciiTheme="minorEastAsia" w:hAnsiTheme="minorEastAsia" w:eastAsiaTheme="minorEastAsia" w:cstheme="minorEastAsia"/>
          <w:szCs w:val="24"/>
        </w:rPr>
        <w:t>10．需要补充的其他内容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_Toc13392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"_Toc3463" </w:instrText>
      </w:r>
      <w:r>
        <w:fldChar w:fldCharType="separate"/>
      </w:r>
      <w:r>
        <w:rPr>
          <w:rFonts w:hint="eastAsia" w:asciiTheme="minorEastAsia" w:hAnsiTheme="minorEastAsia" w:eastAsiaTheme="minorEastAsia" w:cstheme="minorEastAsia"/>
        </w:rPr>
        <w:t>第三章　政府采购工程合同模板</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_Toc3463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"_Toc21437" </w:instrText>
      </w:r>
      <w:r>
        <w:fldChar w:fldCharType="separate"/>
      </w:r>
      <w:r>
        <w:rPr>
          <w:rFonts w:hint="eastAsia" w:asciiTheme="minorEastAsia" w:hAnsiTheme="minorEastAsia" w:eastAsiaTheme="minorEastAsia" w:cstheme="minorEastAsia"/>
        </w:rPr>
        <w:t>第四章  评标办法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_Toc21437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"_Toc25828" </w:instrText>
      </w:r>
      <w:r>
        <w:fldChar w:fldCharType="separate"/>
      </w:r>
      <w:r>
        <w:rPr>
          <w:rFonts w:hint="eastAsia" w:asciiTheme="minorEastAsia" w:hAnsiTheme="minorEastAsia" w:eastAsiaTheme="minorEastAsia" w:cstheme="minorEastAsia"/>
        </w:rPr>
        <w:t>第五章 工程量清单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_Toc25828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"_Toc8922" </w:instrText>
      </w:r>
      <w:r>
        <w:fldChar w:fldCharType="separate"/>
      </w:r>
      <w:r>
        <w:rPr>
          <w:rFonts w:hint="eastAsia" w:asciiTheme="minorEastAsia" w:hAnsiTheme="minorEastAsia" w:eastAsiaTheme="minorEastAsia" w:cstheme="minorEastAsia"/>
        </w:rPr>
        <w:t>第六章   图纸</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_Toc8922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"_Toc29607" </w:instrText>
      </w:r>
      <w:r>
        <w:fldChar w:fldCharType="separate"/>
      </w:r>
      <w:r>
        <w:rPr>
          <w:rFonts w:hint="eastAsia" w:asciiTheme="minorEastAsia" w:hAnsiTheme="minorEastAsia" w:eastAsiaTheme="minorEastAsia" w:cstheme="minorEastAsia"/>
        </w:rPr>
        <w:t>第七章　技术标准和要求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"_Toc1122" </w:instrText>
      </w:r>
      <w:r>
        <w:fldChar w:fldCharType="separate"/>
      </w:r>
      <w:r>
        <w:rPr>
          <w:rFonts w:hint="eastAsia" w:asciiTheme="minorEastAsia" w:hAnsiTheme="minorEastAsia" w:eastAsiaTheme="minorEastAsia" w:cstheme="minorEastAsia"/>
        </w:rPr>
        <w:t>第八章　投标文件格式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"_Toc9294" </w:instrText>
      </w:r>
      <w:r>
        <w:fldChar w:fldCharType="separate"/>
      </w:r>
      <w:r>
        <w:rPr>
          <w:rFonts w:hint="eastAsia" w:asciiTheme="minorEastAsia" w:hAnsiTheme="minorEastAsia" w:eastAsiaTheme="minorEastAsia" w:cstheme="minorEastAsia"/>
        </w:rPr>
        <w:t>一、投标函及投标函附录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_Toc9294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"_Toc7729" </w:instrText>
      </w:r>
      <w:r>
        <w:fldChar w:fldCharType="separate"/>
      </w:r>
      <w:r>
        <w:rPr>
          <w:rFonts w:hint="eastAsia" w:asciiTheme="minorEastAsia" w:hAnsiTheme="minorEastAsia" w:eastAsiaTheme="minorEastAsia" w:cstheme="minorEastAsia"/>
        </w:rPr>
        <w:t>二、法定代表人身份证明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_Toc7729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"_Toc14161" </w:instrText>
      </w:r>
      <w:r>
        <w:fldChar w:fldCharType="separate"/>
      </w:r>
      <w:r>
        <w:rPr>
          <w:rFonts w:hint="eastAsia" w:asciiTheme="minorEastAsia" w:hAnsiTheme="minorEastAsia" w:eastAsiaTheme="minorEastAsia" w:cstheme="minorEastAsia"/>
        </w:rPr>
        <w:t>三、法定代表人授权委托书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_Toc14161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"_Toc12554" </w:instrText>
      </w:r>
      <w:r>
        <w:fldChar w:fldCharType="separate"/>
      </w:r>
      <w:r>
        <w:rPr>
          <w:rFonts w:asciiTheme="minorEastAsia" w:hAnsiTheme="minorEastAsia" w:cstheme="minorEastAsia"/>
          <w:smallCaps w:val="0"/>
          <w:vanish/>
        </w:rPr>
        <w:object>
          <v:shape id="_x0000_i1026" o:spt="201" type="#_x0000_t201" style="height:18.75pt;width:18pt;" o:ole="t" filled="f" o:preferrelative="t" stroked="f" coordsize="21600,21600">
            <v:path/>
            <v:fill on="f" focussize="0,0"/>
            <v:stroke on="f"/>
            <v:imagedata r:id="rId22" o:title=""/>
            <o:lock v:ext="edit" aspectratio="t"/>
            <w10:wrap type="none"/>
            <w10:anchorlock/>
          </v:shape>
          <w:control r:id="rId21" w:name="CheckBox20" w:shapeid="_x0000_i1026"/>
        </w:object>
      </w:r>
      <w:r>
        <w:rPr>
          <w:rFonts w:hint="eastAsia" w:asciiTheme="minorEastAsia" w:hAnsiTheme="minorEastAsia" w:eastAsiaTheme="minorEastAsia" w:cstheme="minorEastAsia"/>
        </w:rPr>
        <w:t>四、联合体协议书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_Toc12554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"_Toc10309" </w:instrText>
      </w:r>
      <w:r>
        <w:fldChar w:fldCharType="separate"/>
      </w:r>
      <w:r>
        <w:rPr>
          <w:rFonts w:hint="eastAsia" w:asciiTheme="minorEastAsia" w:hAnsiTheme="minorEastAsia" w:eastAsiaTheme="minorEastAsia" w:cstheme="minorEastAsia"/>
        </w:rPr>
        <w:t>五、投标保证金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_Toc10309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"_Toc14934" </w:instrText>
      </w:r>
      <w:r>
        <w:fldChar w:fldCharType="separate"/>
      </w:r>
      <w:r>
        <w:rPr>
          <w:rFonts w:hint="eastAsia" w:asciiTheme="minorEastAsia" w:hAnsiTheme="minorEastAsia" w:eastAsiaTheme="minorEastAsia" w:cstheme="minorEastAsia"/>
        </w:rPr>
        <w:t>六、已标价工程量清单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_Toc14934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"_Toc28170" </w:instrText>
      </w:r>
      <w:r>
        <w:fldChar w:fldCharType="separate"/>
      </w:r>
      <w:r>
        <w:rPr>
          <w:rFonts w:hint="eastAsia" w:asciiTheme="minorEastAsia" w:hAnsiTheme="minorEastAsia" w:eastAsiaTheme="minorEastAsia" w:cstheme="minorEastAsia"/>
          <w:bCs/>
          <w:szCs w:val="32"/>
        </w:rPr>
        <w:t>七、施工组织设计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_Toc28170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"_Toc24996" </w:instrText>
      </w:r>
      <w:r>
        <w:fldChar w:fldCharType="separate"/>
      </w:r>
      <w:r>
        <w:rPr>
          <w:rFonts w:hint="eastAsia" w:asciiTheme="minorEastAsia" w:hAnsiTheme="minorEastAsia" w:eastAsiaTheme="minorEastAsia" w:cstheme="minorEastAsia"/>
          <w:bCs/>
          <w:szCs w:val="32"/>
        </w:rPr>
        <w:t>八、投标人施工现场管理机构</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_Toc24996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"_Toc13667" </w:instrText>
      </w:r>
      <w:r>
        <w:fldChar w:fldCharType="separate"/>
      </w:r>
      <w:r>
        <w:rPr>
          <w:rFonts w:hint="eastAsia" w:asciiTheme="minorEastAsia" w:hAnsiTheme="minorEastAsia" w:eastAsiaTheme="minorEastAsia" w:cstheme="minorEastAsia"/>
          <w:bCs/>
          <w:szCs w:val="28"/>
          <w:lang w:val="zh-CN"/>
        </w:rPr>
        <w:t>（一）投标人施工现场管理机构人员配备表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_Toc13667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"_Toc24179" </w:instrText>
      </w:r>
      <w:r>
        <w:fldChar w:fldCharType="separate"/>
      </w:r>
      <w:r>
        <w:rPr>
          <w:rFonts w:hint="eastAsia" w:asciiTheme="minorEastAsia" w:hAnsiTheme="minorEastAsia" w:eastAsiaTheme="minorEastAsia" w:cstheme="minorEastAsia"/>
          <w:bCs/>
          <w:szCs w:val="28"/>
          <w:lang w:val="zh-CN"/>
        </w:rPr>
        <w:t>（二）主要人员简历表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_Toc24179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"_Toc9863" </w:instrText>
      </w:r>
      <w:r>
        <w:fldChar w:fldCharType="separate"/>
      </w:r>
      <w:r>
        <w:rPr>
          <w:rFonts w:hint="eastAsia" w:asciiTheme="minorEastAsia" w:hAnsiTheme="minorEastAsia" w:eastAsiaTheme="minorEastAsia" w:cstheme="minorEastAsia"/>
          <w:bCs/>
          <w:szCs w:val="32"/>
        </w:rPr>
        <w:t>九、拟分包项目情况表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_Toc9863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"_Toc13293" </w:instrText>
      </w:r>
      <w:r>
        <w:fldChar w:fldCharType="separate"/>
      </w:r>
      <w:r>
        <w:rPr>
          <w:rFonts w:hint="eastAsia" w:asciiTheme="minorEastAsia" w:hAnsiTheme="minorEastAsia" w:eastAsiaTheme="minorEastAsia" w:cstheme="minorEastAsia"/>
          <w:bCs/>
          <w:szCs w:val="32"/>
        </w:rPr>
        <w:t>十、资格审查资料（资格后审）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_Toc13293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"_Toc3210" </w:instrText>
      </w:r>
      <w:r>
        <w:fldChar w:fldCharType="separate"/>
      </w:r>
      <w:r>
        <w:rPr>
          <w:rFonts w:hint="eastAsia" w:asciiTheme="minorEastAsia" w:hAnsiTheme="minorEastAsia" w:eastAsiaTheme="minorEastAsia" w:cstheme="minorEastAsia"/>
          <w:bCs/>
          <w:szCs w:val="28"/>
          <w:lang w:val="zh-CN"/>
        </w:rPr>
        <w:t>（一）投标人基本情况表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"_Toc11064" </w:instrText>
      </w:r>
      <w:r>
        <w:fldChar w:fldCharType="separate"/>
      </w:r>
      <w:r>
        <w:rPr>
          <w:rFonts w:hint="eastAsia" w:asciiTheme="minorEastAsia" w:hAnsiTheme="minorEastAsia" w:eastAsiaTheme="minorEastAsia" w:cstheme="minorEastAsia"/>
          <w:bCs/>
          <w:szCs w:val="28"/>
          <w:lang w:val="zh-CN"/>
        </w:rPr>
        <w:t>（二）近年财务状况表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_Toc11064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"_Toc5325" </w:instrText>
      </w:r>
      <w:r>
        <w:fldChar w:fldCharType="separate"/>
      </w:r>
      <w:r>
        <w:rPr>
          <w:rFonts w:hint="eastAsia" w:asciiTheme="minorEastAsia" w:hAnsiTheme="minorEastAsia" w:eastAsiaTheme="minorEastAsia" w:cstheme="minorEastAsia"/>
          <w:bCs/>
          <w:szCs w:val="28"/>
          <w:lang w:val="zh-CN"/>
        </w:rPr>
        <w:t>（三）近年完成的类似项目情况表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"_Toc2469" </w:instrText>
      </w:r>
      <w:r>
        <w:fldChar w:fldCharType="separate"/>
      </w:r>
      <w:r>
        <w:rPr>
          <w:rFonts w:hint="eastAsia" w:asciiTheme="minorEastAsia" w:hAnsiTheme="minorEastAsia" w:eastAsiaTheme="minorEastAsia" w:cstheme="minorEastAsia"/>
          <w:bCs/>
          <w:szCs w:val="28"/>
          <w:lang w:val="zh-CN"/>
        </w:rPr>
        <w:t>（四）正在施工的和新承接的项目情况表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"_Toc20233" </w:instrText>
      </w:r>
      <w:r>
        <w:fldChar w:fldCharType="separate"/>
      </w:r>
      <w:r>
        <w:rPr>
          <w:rFonts w:hint="eastAsia" w:asciiTheme="minorEastAsia" w:hAnsiTheme="minorEastAsia" w:eastAsiaTheme="minorEastAsia" w:cstheme="minorEastAsia"/>
          <w:lang w:val="zh-CN"/>
        </w:rPr>
        <w:t>（五）近年发生的诉讼及仲裁情况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0"/>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"_Toc10503" </w:instrText>
      </w:r>
      <w:r>
        <w:fldChar w:fldCharType="separate"/>
      </w:r>
      <w:r>
        <w:rPr>
          <w:rFonts w:hint="eastAsia" w:asciiTheme="minorEastAsia" w:hAnsiTheme="minorEastAsia" w:eastAsiaTheme="minorEastAsia" w:cstheme="minorEastAsia"/>
        </w:rPr>
        <w:t>（六）白银市劳动保障监察无拖欠工资诚信证明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_Toc10503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31"/>
        <w:tabs>
          <w:tab w:val="right" w:leader="dot" w:pos="8787"/>
        </w:tabs>
        <w:spacing w:line="360" w:lineRule="auto"/>
        <w:rPr>
          <w:rFonts w:asciiTheme="minorEastAsia" w:hAnsiTheme="minorEastAsia" w:eastAsiaTheme="minorEastAsia" w:cstheme="minorEastAsia"/>
        </w:rPr>
      </w:pPr>
      <w:r>
        <w:fldChar w:fldCharType="begin"/>
      </w:r>
      <w:r>
        <w:instrText xml:space="preserve"> HYPERLINK \l "_Toc6848" </w:instrText>
      </w:r>
      <w:r>
        <w:fldChar w:fldCharType="separate"/>
      </w:r>
      <w:r>
        <w:rPr>
          <w:rFonts w:hint="eastAsia" w:asciiTheme="minorEastAsia" w:hAnsiTheme="minorEastAsia" w:eastAsiaTheme="minorEastAsia" w:cstheme="minorEastAsia"/>
          <w:bCs/>
          <w:szCs w:val="32"/>
        </w:rPr>
        <w:t>十一、其他材料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_Toc6848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27"/>
        <w:tabs>
          <w:tab w:val="right" w:leader="dot" w:pos="8787"/>
        </w:tabs>
        <w:spacing w:line="360" w:lineRule="auto"/>
      </w:pPr>
      <w:r>
        <w:fldChar w:fldCharType="begin"/>
      </w:r>
      <w:r>
        <w:instrText xml:space="preserve"> HYPERLINK \l "_Toc3052" </w:instrText>
      </w:r>
      <w:r>
        <w:fldChar w:fldCharType="separate"/>
      </w:r>
      <w:r>
        <w:rPr>
          <w:rFonts w:hint="eastAsia" w:asciiTheme="minorEastAsia" w:hAnsiTheme="minorEastAsia" w:eastAsiaTheme="minorEastAsia" w:cstheme="minorEastAsia"/>
          <w:kern w:val="44"/>
          <w:szCs w:val="44"/>
          <w:lang w:val="zh-CN"/>
        </w:rPr>
        <w:t>第九章  其他材料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r>
        <w:fldChar w:fldCharType="end"/>
      </w:r>
    </w:p>
    <w:p>
      <w:pPr>
        <w:pStyle w:val="3"/>
        <w:jc w:val="center"/>
        <w:rPr>
          <w:rFonts w:ascii="宋体" w:hAnsi="宋体"/>
          <w:b w:val="0"/>
          <w:bCs w:val="0"/>
          <w:vanish/>
          <w:sz w:val="44"/>
        </w:rPr>
        <w:sectPr>
          <w:footerReference r:id="rId7" w:type="default"/>
          <w:pgSz w:w="11906" w:h="16838"/>
          <w:pgMar w:top="1701" w:right="1701" w:bottom="1418" w:left="1418" w:header="851" w:footer="992" w:gutter="0"/>
          <w:cols w:space="720" w:num="1"/>
          <w:docGrid w:type="linesAndChars" w:linePitch="312" w:charSpace="0"/>
        </w:sectPr>
      </w:pPr>
      <w:bookmarkStart w:id="0" w:name="_Toc239129392"/>
      <w:bookmarkStart w:id="1" w:name="_Toc244003571"/>
      <w:bookmarkStart w:id="2" w:name="gs1"/>
    </w:p>
    <w:p>
      <w:pPr>
        <w:pStyle w:val="3"/>
        <w:jc w:val="center"/>
        <w:rPr>
          <w:rFonts w:ascii="方正小标宋简体" w:hAnsi="宋体" w:eastAsia="方正小标宋简体"/>
          <w:sz w:val="40"/>
          <w:szCs w:val="40"/>
        </w:rPr>
      </w:pPr>
      <w:bookmarkStart w:id="3" w:name="_Toc509493330"/>
      <w:bookmarkStart w:id="4" w:name="_Toc3645"/>
      <w:bookmarkStart w:id="5" w:name="_Toc286853465"/>
      <w:r>
        <w:rPr>
          <w:rFonts w:hint="eastAsia" w:ascii="方正小标宋简体" w:hAnsi="宋体" w:eastAsia="方正小标宋简体"/>
          <w:sz w:val="40"/>
          <w:szCs w:val="40"/>
          <w:lang w:eastAsia="zh-CN"/>
        </w:rPr>
        <w:t>第</w:t>
      </w:r>
      <w:r>
        <w:rPr>
          <w:rFonts w:hint="eastAsia" w:ascii="方正小标宋简体" w:hAnsi="宋体" w:eastAsia="方正小标宋简体"/>
          <w:sz w:val="40"/>
          <w:szCs w:val="40"/>
        </w:rPr>
        <w:t>一章 招标公告</w:t>
      </w:r>
      <w:bookmarkEnd w:id="0"/>
      <w:bookmarkEnd w:id="1"/>
      <w:bookmarkEnd w:id="3"/>
      <w:bookmarkEnd w:id="4"/>
      <w:bookmarkEnd w:id="5"/>
    </w:p>
    <w:bookmarkEnd w:id="2"/>
    <w:p>
      <w:pPr>
        <w:spacing w:line="600" w:lineRule="exact"/>
        <w:ind w:firstLine="560" w:firstLineChars="200"/>
        <w:jc w:val="left"/>
        <w:rPr>
          <w:rFonts w:ascii="仿宋_GB2312" w:hAnsi="仿宋" w:eastAsia="仿宋_GB2312" w:cs="仿宋"/>
          <w:sz w:val="28"/>
          <w:szCs w:val="28"/>
        </w:rPr>
      </w:pPr>
      <w:bookmarkStart w:id="6" w:name="gs5"/>
      <w:bookmarkStart w:id="7" w:name="_Toc239129394"/>
      <w:r>
        <w:rPr>
          <w:rFonts w:hint="eastAsia" w:ascii="仿宋_GB2312" w:eastAsia="仿宋_GB2312"/>
          <w:sz w:val="28"/>
          <w:szCs w:val="28"/>
          <w:lang w:eastAsia="zh-CN"/>
        </w:rPr>
        <w:t>甘肃金瑞工程项目咨询管理有限公司</w:t>
      </w:r>
      <w:r>
        <w:rPr>
          <w:rFonts w:hint="eastAsia" w:ascii="仿宋_GB2312" w:eastAsia="仿宋_GB2312"/>
          <w:sz w:val="28"/>
          <w:szCs w:val="28"/>
        </w:rPr>
        <w:t>受</w:t>
      </w:r>
      <w:r>
        <w:rPr>
          <w:rFonts w:hint="eastAsia" w:ascii="仿宋_GB2312" w:eastAsia="仿宋_GB2312"/>
          <w:sz w:val="28"/>
          <w:szCs w:val="28"/>
          <w:lang w:eastAsia="zh-CN"/>
        </w:rPr>
        <w:t>景泰县住房和城乡建设局</w:t>
      </w:r>
      <w:r>
        <w:rPr>
          <w:rFonts w:hint="eastAsia" w:ascii="仿宋_GB2312" w:eastAsia="仿宋_GB2312"/>
          <w:sz w:val="28"/>
          <w:szCs w:val="28"/>
        </w:rPr>
        <w:t>的委托，对其</w:t>
      </w:r>
      <w:r>
        <w:rPr>
          <w:rFonts w:hint="eastAsia" w:ascii="仿宋_GB2312" w:eastAsia="仿宋_GB2312"/>
          <w:sz w:val="28"/>
          <w:szCs w:val="28"/>
          <w:lang w:eastAsia="zh-CN"/>
        </w:rPr>
        <w:t>景泰县2020年城市街道亮化工程项目</w:t>
      </w:r>
      <w:r>
        <w:rPr>
          <w:rFonts w:hint="eastAsia" w:ascii="仿宋_GB2312" w:eastAsia="仿宋_GB2312"/>
          <w:sz w:val="28"/>
          <w:szCs w:val="28"/>
        </w:rPr>
        <w:t>进行</w:t>
      </w:r>
      <w:r>
        <w:rPr>
          <w:rFonts w:hint="eastAsia" w:ascii="仿宋_GB2312" w:hAnsi="仿宋" w:eastAsia="仿宋_GB2312" w:cs="仿宋"/>
          <w:sz w:val="28"/>
          <w:szCs w:val="28"/>
        </w:rPr>
        <w:t>采购，</w:t>
      </w:r>
      <w:r>
        <w:rPr>
          <w:rFonts w:hint="eastAsia" w:ascii="仿宋_GB2312" w:hAnsi="微软雅黑" w:eastAsia="仿宋_GB2312"/>
          <w:color w:val="000000"/>
          <w:sz w:val="28"/>
          <w:szCs w:val="28"/>
        </w:rPr>
        <w:t>欢迎符合条件的供应商前来投标</w:t>
      </w:r>
      <w:r>
        <w:rPr>
          <w:rFonts w:hint="eastAsia" w:ascii="仿宋_GB2312" w:hAnsi="仿宋" w:eastAsia="仿宋_GB2312" w:cs="仿宋"/>
          <w:sz w:val="28"/>
          <w:szCs w:val="28"/>
        </w:rPr>
        <w:t>。</w:t>
      </w:r>
    </w:p>
    <w:p>
      <w:pPr>
        <w:spacing w:line="600" w:lineRule="exact"/>
        <w:ind w:firstLine="560" w:firstLineChars="200"/>
        <w:jc w:val="left"/>
        <w:rPr>
          <w:rFonts w:hint="eastAsia" w:ascii="仿宋_GB2312" w:hAnsi="仿宋" w:eastAsia="黑体" w:cs="仿宋"/>
          <w:sz w:val="28"/>
          <w:szCs w:val="28"/>
          <w:lang w:eastAsia="zh-CN"/>
        </w:rPr>
      </w:pPr>
      <w:r>
        <w:rPr>
          <w:rFonts w:hint="eastAsia" w:ascii="黑体" w:hAnsi="黑体" w:eastAsia="黑体" w:cs="黑体"/>
          <w:sz w:val="28"/>
          <w:szCs w:val="28"/>
        </w:rPr>
        <w:t>一、项目名称：</w:t>
      </w:r>
      <w:r>
        <w:rPr>
          <w:rFonts w:hint="eastAsia" w:ascii="仿宋_GB2312" w:eastAsia="仿宋_GB2312"/>
          <w:sz w:val="28"/>
          <w:szCs w:val="28"/>
          <w:lang w:eastAsia="zh-CN"/>
        </w:rPr>
        <w:t>景泰县2020年城市街道亮化工程项目</w:t>
      </w:r>
    </w:p>
    <w:p>
      <w:pPr>
        <w:spacing w:line="600" w:lineRule="exact"/>
        <w:ind w:firstLine="560" w:firstLineChars="200"/>
        <w:jc w:val="left"/>
        <w:rPr>
          <w:rFonts w:hint="default" w:ascii="仿宋_GB2312" w:hAnsi="仿宋" w:eastAsia="仿宋_GB2312" w:cs="仿宋"/>
          <w:sz w:val="28"/>
          <w:szCs w:val="28"/>
          <w:lang w:val="en-US" w:eastAsia="zh-CN"/>
        </w:rPr>
      </w:pPr>
      <w:r>
        <w:rPr>
          <w:rFonts w:hint="eastAsia" w:ascii="黑体" w:hAnsi="黑体" w:eastAsia="黑体" w:cs="黑体"/>
          <w:sz w:val="28"/>
          <w:szCs w:val="28"/>
        </w:rPr>
        <w:t>二、项目编号：</w:t>
      </w:r>
      <w:r>
        <w:rPr>
          <w:rFonts w:hint="eastAsia" w:ascii="仿宋_GB2312" w:hAnsi="仿宋" w:eastAsia="仿宋_GB2312" w:cs="仿宋"/>
          <w:sz w:val="28"/>
          <w:szCs w:val="28"/>
          <w:lang w:val="en-US" w:eastAsia="zh-CN"/>
        </w:rPr>
        <w:t xml:space="preserve">JTZC-19143 </w:t>
      </w:r>
    </w:p>
    <w:p>
      <w:pPr>
        <w:spacing w:line="600" w:lineRule="exact"/>
        <w:ind w:firstLine="560" w:firstLineChars="200"/>
        <w:jc w:val="left"/>
        <w:rPr>
          <w:rFonts w:ascii="仿宋_GB2312" w:hAnsi="仿宋" w:eastAsia="仿宋_GB2312" w:cs="仿宋"/>
          <w:sz w:val="28"/>
          <w:szCs w:val="28"/>
        </w:rPr>
      </w:pPr>
      <w:r>
        <w:rPr>
          <w:rFonts w:hint="eastAsia" w:ascii="黑体" w:hAnsi="黑体" w:eastAsia="黑体" w:cs="黑体"/>
          <w:sz w:val="28"/>
          <w:szCs w:val="28"/>
        </w:rPr>
        <w:t>三、采购方式：</w:t>
      </w:r>
      <w:r>
        <w:rPr>
          <w:rFonts w:hint="eastAsia" w:ascii="仿宋_GB2312" w:hAnsi="仿宋" w:eastAsia="仿宋_GB2312" w:cs="仿宋"/>
          <w:sz w:val="28"/>
          <w:szCs w:val="28"/>
        </w:rPr>
        <w:t>公开招标</w:t>
      </w:r>
    </w:p>
    <w:p>
      <w:pPr>
        <w:spacing w:line="6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四、项目简介：</w:t>
      </w:r>
    </w:p>
    <w:p>
      <w:pPr>
        <w:spacing w:line="600" w:lineRule="exact"/>
        <w:ind w:left="105" w:leftChars="50" w:firstLine="420" w:firstLineChars="150"/>
        <w:jc w:val="left"/>
        <w:rPr>
          <w:rFonts w:ascii="仿宋_GB2312" w:hAnsi="仿宋" w:eastAsia="仿宋_GB2312" w:cs="仿宋"/>
          <w:sz w:val="28"/>
          <w:szCs w:val="28"/>
        </w:rPr>
      </w:pPr>
      <w:r>
        <w:rPr>
          <w:rFonts w:hint="eastAsia" w:ascii="仿宋_GB2312" w:hAnsi="仿宋" w:eastAsia="仿宋_GB2312" w:cs="仿宋"/>
          <w:sz w:val="28"/>
          <w:szCs w:val="28"/>
        </w:rPr>
        <w:t>（一）采购内容：</w:t>
      </w:r>
      <w:r>
        <w:rPr>
          <w:rFonts w:hint="eastAsia" w:ascii="仿宋_GB2312" w:eastAsia="仿宋_GB2312"/>
          <w:sz w:val="28"/>
          <w:szCs w:val="28"/>
          <w:lang w:eastAsia="zh-CN"/>
        </w:rPr>
        <w:t>景泰县2020年城市街道亮化</w:t>
      </w:r>
      <w:r>
        <w:rPr>
          <w:rFonts w:hint="eastAsia" w:ascii="仿宋_GB2312" w:hAnsi="仿宋" w:eastAsia="仿宋_GB2312" w:cs="仿宋"/>
          <w:sz w:val="28"/>
          <w:szCs w:val="28"/>
        </w:rPr>
        <w:t>（具体详见工程量清单）</w:t>
      </w:r>
    </w:p>
    <w:p>
      <w:pPr>
        <w:pStyle w:val="109"/>
        <w:numPr>
          <w:ilvl w:val="0"/>
          <w:numId w:val="1"/>
        </w:numPr>
        <w:spacing w:line="600" w:lineRule="exact"/>
        <w:ind w:firstLine="640"/>
        <w:jc w:val="left"/>
        <w:rPr>
          <w:rFonts w:ascii="仿宋_GB2312" w:hAnsi="仿宋" w:eastAsia="仿宋_GB2312" w:cs="仿宋"/>
          <w:sz w:val="28"/>
          <w:szCs w:val="28"/>
        </w:rPr>
      </w:pPr>
      <w:r>
        <w:rPr>
          <w:rFonts w:hint="eastAsia" w:ascii="仿宋_GB2312" w:hAnsi="仿宋" w:eastAsia="仿宋_GB2312" w:cs="仿宋"/>
          <w:sz w:val="28"/>
          <w:szCs w:val="28"/>
        </w:rPr>
        <w:t>采购预算：</w:t>
      </w:r>
      <w:r>
        <w:rPr>
          <w:rFonts w:hint="eastAsia" w:ascii="仿宋_GB2312" w:hAnsi="仿宋" w:eastAsia="仿宋_GB2312" w:cs="仿宋"/>
          <w:sz w:val="28"/>
          <w:szCs w:val="28"/>
          <w:lang w:val="en-US" w:eastAsia="zh-CN"/>
        </w:rPr>
        <w:t>49.9318</w:t>
      </w:r>
      <w:r>
        <w:rPr>
          <w:rFonts w:hint="eastAsia" w:ascii="仿宋_GB2312" w:hAnsi="仿宋" w:eastAsia="仿宋_GB2312" w:cs="仿宋"/>
          <w:sz w:val="28"/>
          <w:szCs w:val="28"/>
        </w:rPr>
        <w:t>万元</w:t>
      </w:r>
    </w:p>
    <w:p>
      <w:pPr>
        <w:pStyle w:val="109"/>
        <w:spacing w:line="600" w:lineRule="exact"/>
        <w:ind w:firstLine="640"/>
        <w:jc w:val="left"/>
        <w:rPr>
          <w:rFonts w:ascii="仿宋_GB2312" w:eastAsia="仿宋_GB2312"/>
          <w:sz w:val="28"/>
          <w:szCs w:val="28"/>
        </w:rPr>
      </w:pPr>
      <w:r>
        <w:rPr>
          <w:rFonts w:hint="eastAsia" w:ascii="仿宋_GB2312" w:hAnsi="仿宋" w:eastAsia="仿宋_GB2312" w:cs="仿宋"/>
          <w:sz w:val="28"/>
          <w:szCs w:val="28"/>
        </w:rPr>
        <w:t>（三）</w:t>
      </w:r>
      <w:r>
        <w:rPr>
          <w:rFonts w:hint="eastAsia" w:ascii="仿宋_GB2312" w:eastAsia="仿宋_GB2312"/>
          <w:sz w:val="28"/>
          <w:szCs w:val="28"/>
        </w:rPr>
        <w:t>评审办法：综合评分法</w:t>
      </w:r>
    </w:p>
    <w:p>
      <w:pPr>
        <w:adjustRightInd w:val="0"/>
        <w:snapToGrid w:val="0"/>
        <w:spacing w:line="600" w:lineRule="exact"/>
        <w:ind w:firstLine="560" w:firstLineChars="200"/>
        <w:jc w:val="left"/>
        <w:rPr>
          <w:rFonts w:ascii="仿宋_GB2312" w:eastAsia="仿宋_GB2312"/>
          <w:sz w:val="28"/>
          <w:szCs w:val="28"/>
        </w:rPr>
      </w:pPr>
      <w:r>
        <w:rPr>
          <w:rFonts w:hint="eastAsia" w:ascii="黑体" w:hAnsi="黑体" w:eastAsia="黑体" w:cs="黑体"/>
          <w:sz w:val="28"/>
          <w:szCs w:val="28"/>
        </w:rPr>
        <w:t>五、供应商资格要求：</w:t>
      </w:r>
    </w:p>
    <w:p>
      <w:pPr>
        <w:spacing w:line="6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一）符合《政府采购法》第二十二条规定，并提供《中华人民共和国政府采购法实施条例》第十七条所要求的材料；</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_GB2312" w:eastAsia="仿宋_GB2312" w:cs="仿宋_GB2312"/>
          <w:color w:val="000000"/>
          <w:sz w:val="28"/>
          <w:szCs w:val="28"/>
        </w:rPr>
        <w:t>（二）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仿宋_GB2312" w:hAnsi="仿宋" w:eastAsia="仿宋_GB2312" w:cs="仿宋"/>
          <w:kern w:val="2"/>
          <w:sz w:val="28"/>
          <w:szCs w:val="28"/>
          <w:lang w:val="en-US" w:eastAsia="zh-CN" w:bidi="ar-SA"/>
        </w:rPr>
        <w:t>（以上资料查询时间以本项目招标公告发布至截止时间前为准，如相关失信记录已失效，投标人需提供相关证明资料）；</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（三）本次招标不接受联合体投标。</w:t>
      </w:r>
    </w:p>
    <w:p>
      <w:pPr>
        <w:adjustRightInd w:val="0"/>
        <w:snapToGrid w:val="0"/>
        <w:spacing w:line="600" w:lineRule="exact"/>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六、招标文件的获取：</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（一）获取时间：自项目公告发布之日起至投标文件递交截止日期均可获取。</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（二）获取方式：登录“甘肃政府采购网”免费获取。</w:t>
      </w:r>
    </w:p>
    <w:p>
      <w:pPr>
        <w:adjustRightInd w:val="0"/>
        <w:snapToGrid w:val="0"/>
        <w:spacing w:line="600" w:lineRule="exact"/>
        <w:ind w:firstLine="560" w:firstLineChars="200"/>
        <w:jc w:val="left"/>
        <w:rPr>
          <w:rFonts w:hint="eastAsia" w:ascii="黑体" w:hAnsi="黑体" w:eastAsia="黑体"/>
          <w:color w:val="000000"/>
          <w:sz w:val="28"/>
          <w:szCs w:val="28"/>
          <w:lang w:val="en-US" w:eastAsia="zh-CN"/>
        </w:rPr>
      </w:pPr>
      <w:r>
        <w:rPr>
          <w:rFonts w:hint="eastAsia" w:ascii="黑体" w:hAnsi="黑体" w:eastAsia="黑体"/>
          <w:color w:val="000000"/>
          <w:sz w:val="28"/>
          <w:szCs w:val="28"/>
          <w:lang w:val="en-US" w:eastAsia="zh-CN"/>
        </w:rPr>
        <w:t>七、投标截止时间、开标时间及地点：</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（一）投标截止时间：2020年1月22日15时整（北京时间，逾期不予受理）</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（二）开标时间：2020年1月22日15时整（北京时间，逾期不予受理）</w:t>
      </w:r>
    </w:p>
    <w:p>
      <w:pPr>
        <w:spacing w:line="600" w:lineRule="exact"/>
        <w:ind w:firstLine="640"/>
        <w:rPr>
          <w:rFonts w:hint="default"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（三）开标地点：景泰县财政局院内西一楼开标室</w:t>
      </w:r>
    </w:p>
    <w:p>
      <w:pPr>
        <w:spacing w:line="600" w:lineRule="exact"/>
        <w:ind w:firstLine="560" w:firstLineChars="200"/>
        <w:jc w:val="left"/>
        <w:rPr>
          <w:rFonts w:hint="eastAsia" w:ascii="黑体" w:hAnsi="黑体" w:eastAsia="黑体"/>
          <w:sz w:val="28"/>
          <w:szCs w:val="28"/>
        </w:rPr>
      </w:pPr>
      <w:r>
        <w:rPr>
          <w:rFonts w:hint="eastAsia" w:ascii="黑体" w:hAnsi="黑体" w:eastAsia="黑体"/>
          <w:sz w:val="28"/>
          <w:szCs w:val="28"/>
          <w:lang w:eastAsia="zh-CN"/>
        </w:rPr>
        <w:t>八</w:t>
      </w:r>
      <w:r>
        <w:rPr>
          <w:rFonts w:hint="eastAsia" w:ascii="黑体" w:hAnsi="黑体" w:eastAsia="黑体"/>
          <w:sz w:val="28"/>
          <w:szCs w:val="28"/>
        </w:rPr>
        <w:t>、采购项目联系人及电话：</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采购单位：景泰县住房和城乡建设局</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联 系 人：陈玞蓉</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联系电话：15336082111</w:t>
      </w:r>
    </w:p>
    <w:p>
      <w:pPr>
        <w:spacing w:line="600" w:lineRule="exact"/>
        <w:ind w:firstLine="640"/>
        <w:rPr>
          <w:rFonts w:hint="default"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联系地址：景泰县一条山镇永泰路</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代理公司：甘肃金瑞工程项目咨询管理有限公司</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 xml:space="preserve">联 系 人：李守龙 </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联系电话：18198056356</w:t>
      </w:r>
      <w:bookmarkStart w:id="641" w:name="_GoBack"/>
      <w:bookmarkEnd w:id="641"/>
      <w:r>
        <w:rPr>
          <w:rFonts w:hint="eastAsia" w:ascii="仿宋_GB2312" w:hAnsi="仿宋" w:eastAsia="仿宋_GB2312" w:cs="仿宋"/>
          <w:kern w:val="2"/>
          <w:sz w:val="28"/>
          <w:szCs w:val="28"/>
          <w:lang w:val="en-US" w:eastAsia="zh-CN" w:bidi="ar-SA"/>
        </w:rPr>
        <w:t>、18139989960</w:t>
      </w:r>
    </w:p>
    <w:p>
      <w:pPr>
        <w:spacing w:line="600" w:lineRule="exact"/>
        <w:ind w:firstLine="640"/>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联系地址：白银市景泰县黄河路</w:t>
      </w:r>
    </w:p>
    <w:p>
      <w:pPr>
        <w:rPr>
          <w:rFonts w:hint="eastAsia"/>
          <w:lang w:val="en-US"/>
        </w:rPr>
      </w:pPr>
    </w:p>
    <w:p>
      <w:pPr>
        <w:spacing w:line="600" w:lineRule="exact"/>
        <w:ind w:firstLine="640"/>
        <w:jc w:val="right"/>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甘肃金瑞工程项目咨询管理有限公司</w:t>
      </w:r>
    </w:p>
    <w:p>
      <w:pPr>
        <w:spacing w:line="600" w:lineRule="exact"/>
        <w:ind w:firstLine="640"/>
        <w:rPr>
          <w:rFonts w:hint="eastAsia" w:ascii="仿宋_GB2312" w:hAnsi="仿宋" w:eastAsia="仿宋_GB2312" w:cs="仿宋"/>
          <w:kern w:val="2"/>
          <w:sz w:val="28"/>
          <w:szCs w:val="28"/>
          <w:lang w:val="en-US" w:eastAsia="zh-CN" w:bidi="ar-SA"/>
        </w:rPr>
        <w:sectPr>
          <w:footerReference r:id="rId8" w:type="default"/>
          <w:pgSz w:w="11906" w:h="16838"/>
          <w:pgMar w:top="1701" w:right="1701" w:bottom="1418" w:left="1418" w:header="851" w:footer="992" w:gutter="0"/>
          <w:pgNumType w:start="1"/>
          <w:cols w:space="720" w:num="1"/>
          <w:docGrid w:type="linesAndChars" w:linePitch="312" w:charSpace="0"/>
        </w:sectPr>
      </w:pPr>
      <w:r>
        <w:rPr>
          <w:rFonts w:hint="eastAsia" w:ascii="仿宋_GB2312" w:hAnsi="仿宋" w:eastAsia="仿宋_GB2312" w:cs="仿宋"/>
          <w:kern w:val="2"/>
          <w:sz w:val="28"/>
          <w:szCs w:val="28"/>
          <w:lang w:val="en-US" w:eastAsia="zh-CN" w:bidi="ar-SA"/>
        </w:rPr>
        <w:t xml:space="preserve">                                  2019年12月31日</w:t>
      </w:r>
    </w:p>
    <w:bookmarkEnd w:id="6"/>
    <w:bookmarkEnd w:id="7"/>
    <w:p>
      <w:pPr>
        <w:pStyle w:val="3"/>
        <w:jc w:val="center"/>
        <w:rPr>
          <w:rFonts w:ascii="宋体" w:hAnsi="宋体"/>
          <w:sz w:val="44"/>
        </w:rPr>
      </w:pPr>
      <w:bookmarkStart w:id="8" w:name="_Toc240450056"/>
      <w:bookmarkStart w:id="9" w:name="_Toc509493331"/>
      <w:bookmarkStart w:id="10" w:name="_Toc244076310"/>
      <w:bookmarkStart w:id="11" w:name="_Toc286853469"/>
      <w:bookmarkStart w:id="12" w:name="_Toc243992952"/>
      <w:bookmarkStart w:id="13" w:name="_Toc240449362"/>
      <w:bookmarkStart w:id="14" w:name="_Toc18537"/>
      <w:r>
        <w:rPr>
          <w:rFonts w:hint="eastAsia" w:ascii="宋体" w:hAnsi="宋体"/>
          <w:sz w:val="44"/>
        </w:rPr>
        <w:t>第二章</w:t>
      </w:r>
      <w:bookmarkStart w:id="15" w:name="_Toc184635069"/>
      <w:r>
        <w:rPr>
          <w:rFonts w:hint="eastAsia" w:ascii="宋体" w:hAnsi="宋体"/>
          <w:sz w:val="44"/>
          <w:lang w:val="en-US" w:eastAsia="zh-CN"/>
        </w:rPr>
        <w:t xml:space="preserve">  </w:t>
      </w:r>
      <w:r>
        <w:rPr>
          <w:rFonts w:hint="eastAsia" w:ascii="宋体" w:hAnsi="宋体"/>
          <w:sz w:val="44"/>
        </w:rPr>
        <w:t>投标人须知</w:t>
      </w:r>
      <w:bookmarkEnd w:id="8"/>
      <w:bookmarkEnd w:id="9"/>
      <w:bookmarkEnd w:id="10"/>
      <w:bookmarkEnd w:id="11"/>
      <w:bookmarkEnd w:id="12"/>
      <w:bookmarkEnd w:id="13"/>
      <w:bookmarkEnd w:id="14"/>
      <w:bookmarkEnd w:id="15"/>
    </w:p>
    <w:p>
      <w:pPr>
        <w:pStyle w:val="4"/>
        <w:jc w:val="center"/>
        <w:rPr>
          <w:rFonts w:ascii="宋体" w:hAnsi="宋体" w:eastAsia="宋体"/>
          <w:sz w:val="21"/>
          <w:szCs w:val="21"/>
        </w:rPr>
      </w:pPr>
      <w:bookmarkStart w:id="16" w:name="_Toc240449363"/>
      <w:bookmarkStart w:id="17" w:name="_Toc243992953"/>
      <w:bookmarkStart w:id="18" w:name="_Toc509493332"/>
      <w:bookmarkStart w:id="19" w:name="_Toc244076311"/>
      <w:bookmarkStart w:id="20" w:name="_Toc240450057"/>
      <w:bookmarkStart w:id="21" w:name="_Toc184635070"/>
      <w:bookmarkStart w:id="22" w:name="_Toc286853470"/>
      <w:bookmarkStart w:id="23" w:name="_Toc14956"/>
      <w:r>
        <w:rPr>
          <w:rFonts w:hint="eastAsia" w:ascii="宋体" w:hAnsi="宋体" w:eastAsia="宋体"/>
          <w:sz w:val="21"/>
          <w:szCs w:val="21"/>
        </w:rPr>
        <w:t>投标人须知前附表</w:t>
      </w:r>
      <w:bookmarkEnd w:id="16"/>
      <w:bookmarkEnd w:id="17"/>
      <w:bookmarkEnd w:id="18"/>
      <w:bookmarkEnd w:id="19"/>
      <w:bookmarkEnd w:id="20"/>
      <w:bookmarkEnd w:id="21"/>
      <w:bookmarkEnd w:id="22"/>
      <w:bookmarkEnd w:id="23"/>
    </w:p>
    <w:tbl>
      <w:tblPr>
        <w:tblStyle w:val="3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79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
                <w:szCs w:val="21"/>
              </w:rPr>
            </w:pPr>
            <w:r>
              <w:rPr>
                <w:rFonts w:hint="eastAsia" w:ascii="宋体" w:hAnsi="宋体"/>
                <w:b/>
                <w:szCs w:val="21"/>
              </w:rPr>
              <w:t>条款号</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
                <w:szCs w:val="21"/>
              </w:rPr>
            </w:pPr>
            <w:r>
              <w:rPr>
                <w:rFonts w:hint="eastAsia" w:ascii="宋体" w:hAnsi="宋体"/>
                <w:b/>
                <w:szCs w:val="21"/>
              </w:rPr>
              <w:t>条　款　名　称</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
                <w:szCs w:val="21"/>
              </w:rPr>
            </w:pPr>
            <w:r>
              <w:rPr>
                <w:rFonts w:hint="eastAsia"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招标人</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szCs w:val="21"/>
                <w:lang w:eastAsia="zh-CN"/>
              </w:rPr>
            </w:pPr>
            <w:r>
              <w:rPr>
                <w:rFonts w:hint="eastAsia" w:ascii="宋体" w:hAnsi="宋体"/>
                <w:szCs w:val="21"/>
              </w:rPr>
              <w:t>采购单位：</w:t>
            </w:r>
            <w:r>
              <w:rPr>
                <w:rFonts w:hint="eastAsia" w:ascii="宋体" w:hAnsi="宋体"/>
                <w:szCs w:val="21"/>
                <w:lang w:eastAsia="zh-CN"/>
              </w:rPr>
              <w:t>景泰县住房和城乡建设局</w:t>
            </w:r>
          </w:p>
          <w:p>
            <w:pPr>
              <w:keepNext w:val="0"/>
              <w:keepLines w:val="0"/>
              <w:suppressLineNumbers w:val="0"/>
              <w:spacing w:before="0" w:beforeAutospacing="0" w:after="0" w:afterAutospacing="0" w:line="276" w:lineRule="auto"/>
              <w:ind w:left="0" w:right="0"/>
              <w:rPr>
                <w:rFonts w:hint="default" w:ascii="宋体" w:hAnsi="宋体" w:eastAsia="宋体"/>
                <w:szCs w:val="21"/>
                <w:lang w:val="en-US" w:eastAsia="zh-CN"/>
              </w:rPr>
            </w:pPr>
            <w:r>
              <w:rPr>
                <w:rFonts w:hint="eastAsia" w:ascii="宋体" w:hAnsi="宋体"/>
                <w:szCs w:val="21"/>
              </w:rPr>
              <w:t>地    址：景泰县</w:t>
            </w:r>
            <w:r>
              <w:rPr>
                <w:rFonts w:hint="eastAsia" w:ascii="宋体" w:hAnsi="宋体"/>
                <w:szCs w:val="21"/>
                <w:lang w:val="en-US" w:eastAsia="zh-CN"/>
              </w:rPr>
              <w:t>一条山镇</w:t>
            </w:r>
          </w:p>
          <w:p>
            <w:pPr>
              <w:keepNext w:val="0"/>
              <w:keepLines w:val="0"/>
              <w:suppressLineNumbers w:val="0"/>
              <w:spacing w:before="0" w:beforeAutospacing="0" w:after="0" w:afterAutospacing="0" w:line="276" w:lineRule="auto"/>
              <w:ind w:left="0" w:right="0"/>
              <w:rPr>
                <w:rFonts w:hint="default" w:ascii="宋体" w:hAnsi="宋体" w:eastAsia="宋体"/>
                <w:szCs w:val="21"/>
                <w:lang w:val="en-US" w:eastAsia="zh-CN"/>
              </w:rPr>
            </w:pPr>
            <w:r>
              <w:rPr>
                <w:rFonts w:hint="eastAsia" w:ascii="宋体" w:hAnsi="宋体"/>
                <w:szCs w:val="21"/>
              </w:rPr>
              <w:t>联 系 人：</w:t>
            </w:r>
            <w:r>
              <w:rPr>
                <w:rFonts w:hint="eastAsia" w:ascii="宋体" w:hAnsi="宋体"/>
                <w:szCs w:val="21"/>
                <w:lang w:val="en-US" w:eastAsia="zh-CN"/>
              </w:rPr>
              <w:t>陈玞蓉</w:t>
            </w:r>
          </w:p>
          <w:p>
            <w:pPr>
              <w:keepNext w:val="0"/>
              <w:keepLines w:val="0"/>
              <w:suppressLineNumbers w:val="0"/>
              <w:spacing w:before="0" w:beforeAutospacing="0" w:after="0" w:afterAutospacing="0" w:line="276" w:lineRule="auto"/>
              <w:ind w:left="0" w:right="0"/>
              <w:rPr>
                <w:rFonts w:hint="default" w:ascii="宋体" w:hAnsi="宋体" w:eastAsia="宋体"/>
                <w:szCs w:val="21"/>
                <w:lang w:val="en-US" w:eastAsia="zh-CN"/>
              </w:rPr>
            </w:pPr>
            <w:r>
              <w:rPr>
                <w:rFonts w:hint="eastAsia" w:ascii="宋体" w:hAnsi="宋体"/>
                <w:szCs w:val="21"/>
              </w:rPr>
              <w:t>电    话：</w:t>
            </w:r>
            <w:r>
              <w:rPr>
                <w:rFonts w:hint="eastAsia" w:ascii="宋体" w:hAnsi="宋体"/>
                <w:szCs w:val="21"/>
                <w:lang w:val="en-US" w:eastAsia="zh-CN"/>
              </w:rPr>
              <w:t>15336082111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招标代理机构</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rPr>
                <w:rFonts w:hint="eastAsia" w:ascii="宋体" w:hAnsi="宋体" w:eastAsia="宋体"/>
                <w:szCs w:val="21"/>
                <w:lang w:eastAsia="zh-CN"/>
              </w:rPr>
            </w:pPr>
            <w:r>
              <w:rPr>
                <w:rFonts w:hint="eastAsia" w:ascii="宋体" w:hAnsi="宋体"/>
                <w:szCs w:val="21"/>
              </w:rPr>
              <w:t>名  称：</w:t>
            </w:r>
            <w:r>
              <w:rPr>
                <w:rFonts w:hint="eastAsia" w:ascii="宋体" w:hAnsi="宋体"/>
                <w:szCs w:val="21"/>
                <w:lang w:eastAsia="zh-CN"/>
              </w:rPr>
              <w:t>甘肃金瑞工程项目咨询管理有限公司</w:t>
            </w:r>
          </w:p>
          <w:p>
            <w:pPr>
              <w:keepNext w:val="0"/>
              <w:keepLines w:val="0"/>
              <w:suppressLineNumbers w:val="0"/>
              <w:spacing w:before="0" w:beforeAutospacing="0" w:after="0" w:afterAutospacing="0" w:line="276" w:lineRule="auto"/>
              <w:ind w:left="0" w:right="0"/>
              <w:rPr>
                <w:rFonts w:hint="default" w:ascii="宋体" w:hAnsi="宋体" w:eastAsia="宋体"/>
                <w:szCs w:val="21"/>
                <w:lang w:val="en-US" w:eastAsia="zh-CN"/>
              </w:rPr>
            </w:pPr>
            <w:r>
              <w:rPr>
                <w:rFonts w:hint="eastAsia" w:ascii="宋体" w:hAnsi="宋体"/>
                <w:szCs w:val="21"/>
              </w:rPr>
              <w:t>地  址：</w:t>
            </w:r>
            <w:r>
              <w:rPr>
                <w:rFonts w:hint="eastAsia" w:ascii="宋体" w:hAnsi="宋体"/>
                <w:szCs w:val="21"/>
                <w:lang w:val="en-US" w:eastAsia="zh-CN"/>
              </w:rPr>
              <w:t>景泰县黄河路（原防疫站门口）</w:t>
            </w:r>
          </w:p>
          <w:p>
            <w:pPr>
              <w:keepNext w:val="0"/>
              <w:keepLines w:val="0"/>
              <w:suppressLineNumbers w:val="0"/>
              <w:spacing w:before="0" w:beforeAutospacing="0" w:after="0" w:afterAutospacing="0" w:line="276" w:lineRule="auto"/>
              <w:ind w:left="0" w:right="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val="en-US" w:eastAsia="zh-CN"/>
              </w:rPr>
              <w:t>李守龙</w:t>
            </w:r>
          </w:p>
          <w:p>
            <w:pPr>
              <w:keepNext w:val="0"/>
              <w:keepLines w:val="0"/>
              <w:suppressLineNumbers w:val="0"/>
              <w:spacing w:before="0" w:beforeAutospacing="0" w:after="0" w:afterAutospacing="0" w:line="276" w:lineRule="auto"/>
              <w:ind w:left="0" w:right="0"/>
              <w:rPr>
                <w:rFonts w:hint="default" w:ascii="宋体" w:hAnsi="宋体" w:eastAsia="宋体"/>
                <w:szCs w:val="21"/>
                <w:lang w:val="en-US" w:eastAsia="zh-CN"/>
              </w:rPr>
            </w:pPr>
            <w:r>
              <w:rPr>
                <w:rFonts w:hint="eastAsia" w:ascii="宋体" w:hAnsi="宋体"/>
                <w:szCs w:val="21"/>
              </w:rPr>
              <w:t>电  话：</w:t>
            </w:r>
            <w:r>
              <w:rPr>
                <w:rFonts w:hint="eastAsia" w:ascii="宋体" w:hAnsi="宋体" w:eastAsia="宋体" w:cs="宋体"/>
                <w:kern w:val="2"/>
                <w:sz w:val="21"/>
                <w:szCs w:val="21"/>
                <w:lang w:val="en-US" w:eastAsia="zh-CN" w:bidi="ar"/>
              </w:rPr>
              <w:t>18198056356、18139989960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项目名称</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szCs w:val="21"/>
                <w:lang w:eastAsia="zh-CN"/>
              </w:rPr>
            </w:pPr>
            <w:r>
              <w:rPr>
                <w:rFonts w:hint="eastAsia" w:ascii="宋体" w:hAnsi="宋体"/>
                <w:szCs w:val="21"/>
                <w:lang w:eastAsia="zh-CN"/>
              </w:rPr>
              <w:t>景泰县2020年城市街道亮化工程项目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1.2.1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资金来源</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1.2.2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资金落实情况</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bookmarkStart w:id="24" w:name="gs11"/>
            <w:bookmarkEnd w:id="24"/>
            <w:r>
              <w:rPr>
                <w:rFonts w:hint="eastAsia" w:ascii="宋体" w:hAnsi="宋体"/>
                <w:szCs w:val="21"/>
                <w:u w:val="single"/>
              </w:rPr>
              <w:t>已落实</w:t>
            </w:r>
            <w:r>
              <w:rPr>
                <w:rFonts w:ascii="宋体" w:hAnsi="宋体"/>
                <w:vanish/>
                <w:szCs w:val="21"/>
                <w:u w:val="single"/>
              </w:rPr>
              <w:object>
                <v:shape id="_x0000_i1027" o:spt="201" type="#_x0000_t201" style="height:15pt;width:16.5pt;" o:ole="t" filled="f" o:preferrelative="t" stroked="f" coordsize="21600,21600">
                  <v:path/>
                  <v:fill on="f" focussize="0,0"/>
                  <v:stroke on="f"/>
                  <v:imagedata r:id="rId24" o:title=""/>
                  <o:lock v:ext="edit" aspectratio="t"/>
                  <w10:wrap type="none"/>
                  <w10:anchorlock/>
                </v:shape>
                <w:control r:id="rId23" w:name="CommandButton1" w:shapeid="_x0000_i1027"/>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1.3.1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招标范围</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lang w:eastAsia="zh-CN"/>
              </w:rPr>
              <w:t>景泰县2020年城市街道亮化</w:t>
            </w:r>
            <w:r>
              <w:rPr>
                <w:rFonts w:hint="eastAsia" w:ascii="宋体" w:hAnsi="宋体"/>
                <w:szCs w:val="21"/>
              </w:rPr>
              <w:t>（具体内容详见工程量清单）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1.3.2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计划工期</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计划工期：</w:t>
            </w:r>
            <w:r>
              <w:rPr>
                <w:rFonts w:hint="eastAsia" w:ascii="宋体" w:hAnsi="宋体"/>
                <w:szCs w:val="21"/>
                <w:u w:val="single"/>
                <w:lang w:val="en-US" w:eastAsia="zh-CN"/>
              </w:rPr>
              <w:t>15</w:t>
            </w:r>
            <w:r>
              <w:rPr>
                <w:rFonts w:hint="eastAsia" w:ascii="宋体" w:hAnsi="宋体"/>
                <w:szCs w:val="21"/>
              </w:rPr>
              <w:t>日历天</w:t>
            </w:r>
          </w:p>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注：如因天气原因影响施工进度，工期顺延；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1.3.3</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质量要求</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ascii="宋体" w:hAnsi="宋体"/>
                <w:szCs w:val="21"/>
              </w:rPr>
              <w:object>
                <v:shape id="_x0000_i1028" o:spt="201" type="#_x0000_t201" style="height:18pt;width:108pt;" o:ole="t" filled="f" o:preferrelative="t" stroked="f" coordsize="21600,21600">
                  <v:path/>
                  <v:fill on="f" focussize="0,0"/>
                  <v:stroke on="f"/>
                  <v:imagedata r:id="rId26" o:title=""/>
                  <o:lock v:ext="edit" aspectratio="t"/>
                  <w10:wrap type="none"/>
                  <w10:anchorlock/>
                </v:shape>
                <w:control r:id="rId25" w:name="CheckBox3" w:shapeid="_x0000_i1028"/>
              </w:object>
            </w:r>
          </w:p>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ascii="宋体" w:hAnsi="宋体"/>
                <w:szCs w:val="21"/>
              </w:rPr>
              <w:object>
                <v:shape id="_x0000_i1029" o:spt="201" type="#_x0000_t201" style="height:18pt;width:69pt;" o:ole="t" filled="f" o:preferrelative="t" stroked="f" coordsize="21600,21600">
                  <v:path/>
                  <v:fill on="f" focussize="0,0"/>
                  <v:stroke on="f"/>
                  <v:imagedata r:id="rId28" o:title=""/>
                  <o:lock v:ext="edit" aspectratio="t"/>
                  <w10:wrap type="none"/>
                  <w10:anchorlock/>
                </v:shape>
                <w:control r:id="rId27" w:name="CheckBox4" w:shapeid="_x0000_i1029"/>
              </w:object>
            </w:r>
            <w:r>
              <w:rPr>
                <w:rFonts w:ascii="宋体" w:hAnsi="宋体"/>
                <w:szCs w:val="21"/>
              </w:rPr>
              <w:object>
                <v:shape id="_x0000_i1030" o:spt="201" type="#_x0000_t201" style="height:18pt;width:108pt;" o:ole="t" filled="f" o:preferrelative="t" stroked="f" coordsize="21600,21600">
                  <v:path/>
                  <v:fill on="f" focussize="0,0"/>
                  <v:stroke on="f"/>
                  <v:imagedata r:id="rId30" o:title=""/>
                  <o:lock v:ext="edit" aspectratio="t"/>
                  <w10:wrap type="none"/>
                  <w10:anchorlock/>
                </v:shape>
                <w:control r:id="rId29" w:name="CheckBox5" w:shapeid="_x0000_i1030"/>
              </w:object>
            </w:r>
          </w:p>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1" o:spt="201" type="#_x0000_t201" style="height:18pt;width:44.25pt;" o:ole="t" filled="f" o:preferrelative="t" stroked="f" coordsize="21600,21600">
                  <v:path/>
                  <v:fill on="f" focussize="0,0"/>
                  <v:stroke on="f"/>
                  <v:imagedata r:id="rId32" o:title=""/>
                  <o:lock v:ext="edit" aspectratio="t"/>
                  <w10:wrap type="none"/>
                  <w10:anchorlock/>
                </v:shape>
                <w:control r:id="rId31" w:name="CheckBox6" w:shapeid="_x0000_i1031"/>
              </w:object>
            </w:r>
            <w:bookmarkStart w:id="25" w:name="gs13"/>
            <w:bookmarkEnd w:id="25"/>
            <w:r>
              <w:rPr>
                <w:rFonts w:ascii="宋体" w:hAnsi="宋体"/>
                <w:vanish/>
                <w:szCs w:val="21"/>
              </w:rPr>
              <w:object>
                <v:shape id="_x0000_i1032" o:spt="201" type="#_x0000_t201" style="height:14.25pt;width:15.75pt;" o:ole="t" filled="f" o:preferrelative="t" stroked="f" coordsize="21600,21600">
                  <v:path/>
                  <v:fill on="f" focussize="0,0"/>
                  <v:stroke on="f"/>
                  <v:imagedata r:id="rId34" o:title=""/>
                  <o:lock v:ext="edit" aspectratio="t"/>
                  <w10:wrap type="none"/>
                  <w10:anchorlock/>
                </v:shape>
                <w:control r:id="rId33" w:name="CommandButton2" w:shapeid="_x0000_i1032"/>
              </w:object>
            </w:r>
          </w:p>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详细质量要求见第六章“技术标准和要求”。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1.4.1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投标人资质条件、能力和信誉</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left"/>
              <w:rPr>
                <w:rFonts w:ascii="宋体" w:hAnsi="宋体"/>
                <w:b/>
                <w:szCs w:val="21"/>
              </w:rPr>
            </w:pPr>
            <w:r>
              <w:rPr>
                <w:rFonts w:hint="eastAsia" w:ascii="宋体" w:hAnsi="宋体"/>
                <w:b/>
                <w:szCs w:val="21"/>
              </w:rPr>
              <w:t>资质条件：</w:t>
            </w:r>
          </w:p>
          <w:p>
            <w:pPr>
              <w:keepNext w:val="0"/>
              <w:keepLines w:val="0"/>
              <w:numPr>
                <w:ilvl w:val="0"/>
                <w:numId w:val="2"/>
              </w:numPr>
              <w:suppressLineNumbers w:val="0"/>
              <w:spacing w:before="0" w:beforeAutospacing="0" w:after="0" w:afterAutospacing="0" w:line="360" w:lineRule="auto"/>
              <w:ind w:left="0" w:right="0"/>
              <w:jc w:val="left"/>
              <w:rPr>
                <w:rFonts w:ascii="宋体" w:hAnsi="宋体"/>
                <w:szCs w:val="21"/>
              </w:rPr>
            </w:pPr>
            <w:r>
              <w:rPr>
                <w:rFonts w:hint="eastAsia" w:ascii="宋体" w:hAnsi="宋体"/>
                <w:szCs w:val="21"/>
              </w:rPr>
              <w:t>符合《政府采购法》第二十二条规定，并提供《中华人民共和国政府采购法实施条例》第十七条所要求的材料；</w:t>
            </w:r>
          </w:p>
          <w:p>
            <w:pPr>
              <w:keepNext w:val="0"/>
              <w:keepLines w:val="0"/>
              <w:suppressLineNumbers w:val="0"/>
              <w:spacing w:before="0" w:beforeAutospacing="0" w:after="0" w:afterAutospacing="0" w:line="360" w:lineRule="auto"/>
              <w:ind w:left="0" w:right="0"/>
              <w:jc w:val="left"/>
            </w:pPr>
            <w:r>
              <w:rPr>
                <w:rFonts w:hint="eastAsia" w:ascii="宋体" w:hAnsi="宋体"/>
                <w:szCs w:val="21"/>
              </w:rPr>
              <w:t>（二）提供营业执照、税务登记证、组织机构代码证副本或具有统一社会信用代码的营业执照副本</w:t>
            </w:r>
            <w:r>
              <w:rPr>
                <w:rFonts w:hint="eastAsia" w:ascii="宋体" w:hAnsi="宋体"/>
                <w:szCs w:val="21"/>
                <w:lang w:eastAsia="zh-CN"/>
              </w:rPr>
              <w:t>（经营范围需包含城市亮化工程）</w:t>
            </w:r>
            <w:r>
              <w:rPr>
                <w:rFonts w:hint="eastAsia"/>
              </w:rPr>
              <w:t>（复印件）；</w:t>
            </w:r>
          </w:p>
          <w:p>
            <w:pPr>
              <w:keepNext w:val="0"/>
              <w:keepLines w:val="0"/>
              <w:suppressLineNumbers w:val="0"/>
              <w:spacing w:before="0" w:beforeAutospacing="0" w:after="0" w:afterAutospacing="0" w:line="360" w:lineRule="auto"/>
              <w:ind w:left="0" w:right="0"/>
              <w:jc w:val="left"/>
              <w:rPr>
                <w:rFonts w:ascii="宋体" w:hAnsi="宋体"/>
                <w:szCs w:val="21"/>
              </w:rPr>
            </w:pPr>
            <w:r>
              <w:rPr>
                <w:rFonts w:hint="eastAsia" w:ascii="宋体" w:hAnsi="宋体"/>
                <w:szCs w:val="21"/>
              </w:rPr>
              <w:t>（三）</w:t>
            </w:r>
            <w:r>
              <w:rPr>
                <w:rFonts w:hint="eastAsia"/>
              </w:rPr>
              <w:t>法定代表人资格证明（原件）、身份证（正、反面复印件）（法定代表人参与投标时提供）（1式2份 1份装入投标文件正本，1份带至开标现场）</w:t>
            </w:r>
            <w:r>
              <w:rPr>
                <w:rFonts w:hint="eastAsia" w:ascii="宋体" w:hAnsi="宋体"/>
                <w:szCs w:val="21"/>
              </w:rPr>
              <w:t>；</w:t>
            </w:r>
          </w:p>
          <w:p>
            <w:pPr>
              <w:keepNext w:val="0"/>
              <w:keepLines w:val="0"/>
              <w:suppressLineNumbers w:val="0"/>
              <w:spacing w:before="0" w:beforeAutospacing="0" w:after="0" w:afterAutospacing="0" w:line="360" w:lineRule="auto"/>
              <w:ind w:left="0" w:right="0"/>
              <w:jc w:val="left"/>
              <w:rPr>
                <w:rFonts w:ascii="宋体" w:hAnsi="宋体"/>
                <w:szCs w:val="21"/>
              </w:rPr>
            </w:pPr>
            <w:r>
              <w:rPr>
                <w:rFonts w:hint="eastAsia" w:ascii="宋体" w:hAnsi="宋体"/>
                <w:szCs w:val="21"/>
              </w:rPr>
              <w:t>（四）</w:t>
            </w:r>
            <w:r>
              <w:rPr>
                <w:rFonts w:hint="eastAsia"/>
              </w:rPr>
              <w:t>法人授权函（原件）及被授权人身份证（正、反面复印件）（非法定代表人参与投标时提供）（1式2份；1份装入投标文件正本，1份带至开标现场）</w:t>
            </w:r>
            <w:r>
              <w:rPr>
                <w:rFonts w:hint="eastAsia" w:ascii="宋体" w:hAnsi="宋体"/>
                <w:szCs w:val="21"/>
              </w:rPr>
              <w:t>；</w:t>
            </w:r>
          </w:p>
          <w:p>
            <w:pPr>
              <w:keepNext w:val="0"/>
              <w:keepLines w:val="0"/>
              <w:suppressLineNumbers w:val="0"/>
              <w:spacing w:before="0" w:beforeAutospacing="0" w:after="0" w:afterAutospacing="0" w:line="360" w:lineRule="auto"/>
              <w:ind w:left="0" w:right="0"/>
            </w:pPr>
            <w:r>
              <w:rPr>
                <w:rFonts w:hint="eastAsia"/>
              </w:rPr>
              <w:t>（五）提供2018年度财务状况报告（新成立企业或审计报告未完成的企业提供基本开户银行出具的资信证明），提供</w:t>
            </w:r>
            <w:r>
              <w:rPr>
                <w:rFonts w:hint="eastAsia"/>
                <w:lang w:val="en-US" w:eastAsia="zh-CN"/>
              </w:rPr>
              <w:t>2019年度</w:t>
            </w:r>
            <w:r>
              <w:rPr>
                <w:rFonts w:hint="eastAsia"/>
              </w:rPr>
              <w:t>任意一个月依法缴纳税收和社会保障资金的相关材料（复印件加盖鲜章）；</w:t>
            </w:r>
          </w:p>
          <w:p>
            <w:pPr>
              <w:keepNext w:val="0"/>
              <w:keepLines w:val="0"/>
              <w:suppressLineNumbers w:val="0"/>
              <w:spacing w:before="0" w:beforeAutospacing="0" w:after="0" w:afterAutospacing="0" w:line="360" w:lineRule="auto"/>
              <w:ind w:left="0" w:right="0"/>
              <w:jc w:val="left"/>
              <w:rPr>
                <w:rFonts w:ascii="宋体" w:hAnsi="宋体"/>
                <w:szCs w:val="21"/>
              </w:rPr>
            </w:pPr>
            <w:r>
              <w:rPr>
                <w:rFonts w:hint="eastAsia" w:ascii="宋体" w:hAnsi="宋体"/>
                <w:szCs w:val="21"/>
              </w:rPr>
              <w:t>（</w:t>
            </w:r>
            <w:r>
              <w:rPr>
                <w:rFonts w:hint="eastAsia" w:ascii="宋体" w:hAnsi="宋体"/>
                <w:szCs w:val="21"/>
                <w:lang w:eastAsia="zh-CN"/>
              </w:rPr>
              <w:t>六</w:t>
            </w:r>
            <w:r>
              <w:rPr>
                <w:rFonts w:hint="eastAsia" w:ascii="宋体" w:hAnsi="宋体"/>
                <w:szCs w:val="21"/>
              </w:rPr>
              <w:t>）提供参加政府采购活动前3年内在经营活动中没有重大违法记录的书面声明；</w:t>
            </w:r>
            <w:r>
              <w:rPr>
                <w:rFonts w:hint="eastAsia"/>
              </w:rPr>
              <w:t>（原件装入投标文件正本，并作为资格审查的必要条件）；</w:t>
            </w:r>
          </w:p>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w:t>
            </w:r>
            <w:r>
              <w:rPr>
                <w:rFonts w:hint="eastAsia" w:ascii="宋体" w:hAnsi="宋体"/>
                <w:szCs w:val="21"/>
                <w:lang w:eastAsia="zh-CN"/>
              </w:rPr>
              <w:t>七</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上资料查询时间以本项目招标公告发布至截止时间前为准，如相关失信记录已失效，投标人需提供相关证明资料）；</w:t>
            </w:r>
          </w:p>
          <w:p>
            <w:pPr>
              <w:keepNext w:val="0"/>
              <w:keepLines w:val="0"/>
              <w:suppressLineNumbers w:val="0"/>
              <w:spacing w:before="0" w:beforeAutospacing="0" w:after="0" w:afterAutospacing="0" w:line="360" w:lineRule="auto"/>
              <w:ind w:left="0" w:right="0" w:firstLine="210" w:firstLineChars="100"/>
              <w:rPr>
                <w:rFonts w:ascii="宋体" w:hAnsi="宋体"/>
                <w:szCs w:val="21"/>
              </w:rPr>
            </w:pPr>
            <w:r>
              <w:rPr>
                <w:rFonts w:hint="eastAsia" w:ascii="宋体" w:hAnsi="宋体"/>
                <w:szCs w:val="21"/>
              </w:rPr>
              <w:t>（</w:t>
            </w:r>
            <w:r>
              <w:rPr>
                <w:rFonts w:hint="eastAsia" w:ascii="宋体" w:hAnsi="宋体"/>
                <w:szCs w:val="21"/>
                <w:lang w:eastAsia="zh-CN"/>
              </w:rPr>
              <w:t>八</w:t>
            </w:r>
            <w:r>
              <w:rPr>
                <w:rFonts w:hint="eastAsia" w:ascii="宋体" w:hAnsi="宋体"/>
                <w:szCs w:val="21"/>
              </w:rPr>
              <w:t>）本次招标不接受联合体投标。</w:t>
            </w:r>
          </w:p>
          <w:p>
            <w:pPr>
              <w:keepNext w:val="0"/>
              <w:keepLines w:val="0"/>
              <w:suppressLineNumbers w:val="0"/>
              <w:spacing w:before="0" w:beforeAutospacing="0" w:after="0" w:afterAutospacing="0" w:line="360" w:lineRule="auto"/>
              <w:ind w:left="0" w:right="0" w:firstLine="210" w:firstLineChars="100"/>
              <w:rPr>
                <w:rFonts w:ascii="宋体" w:hAnsi="宋体"/>
                <w:szCs w:val="21"/>
              </w:rPr>
            </w:pPr>
            <w:r>
              <w:rPr>
                <w:rFonts w:hint="eastAsia" w:ascii="宋体" w:hAnsi="宋体"/>
                <w:b/>
                <w:szCs w:val="21"/>
              </w:rPr>
              <w:t>以上条款为所有投标项目必须提供的文件，其中（二、八）必须提供原件且在有效期内，所有证书复印件必须加盖投标人公章。证书未按规定年检、复审或未按上述要求制作标书的，视为无效投标。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1.4.2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是否接受联合体投标</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ascii="宋体" w:hAnsi="宋体"/>
                <w:szCs w:val="21"/>
              </w:rPr>
              <w:object>
                <v:shape id="_x0000_i1033" o:spt="201" type="#_x0000_t201" style="height:18pt;width:50.25pt;" o:ole="t" filled="f" o:preferrelative="t" stroked="f" coordsize="21600,21600">
                  <v:path/>
                  <v:fill on="f" focussize="0,0"/>
                  <v:stroke on="f"/>
                  <v:imagedata r:id="rId36" o:title=""/>
                  <o:lock v:ext="edit" aspectratio="t"/>
                  <w10:wrap type="none"/>
                  <w10:anchorlock/>
                </v:shape>
                <w:control r:id="rId35" w:name="CheckBox7" w:shapeid="_x0000_i1033"/>
              </w:object>
            </w:r>
          </w:p>
          <w:tbl>
            <w:tblPr>
              <w:tblStyle w:val="36"/>
              <w:tblW w:w="3886" w:type="dxa"/>
              <w:tblInd w:w="0" w:type="dxa"/>
              <w:tblLayout w:type="fixed"/>
              <w:tblCellMar>
                <w:top w:w="0" w:type="dxa"/>
                <w:left w:w="108" w:type="dxa"/>
                <w:bottom w:w="0" w:type="dxa"/>
                <w:right w:w="108" w:type="dxa"/>
              </w:tblCellMar>
            </w:tblPr>
            <w:tblGrid>
              <w:gridCol w:w="1266"/>
              <w:gridCol w:w="2620"/>
            </w:tblGrid>
            <w:tr>
              <w:tblPrEx>
                <w:tblCellMar>
                  <w:top w:w="0" w:type="dxa"/>
                  <w:left w:w="108" w:type="dxa"/>
                  <w:bottom w:w="0" w:type="dxa"/>
                  <w:right w:w="108" w:type="dxa"/>
                </w:tblCellMar>
              </w:tblPrEx>
              <w:trPr>
                <w:trHeight w:val="438" w:hRule="atLeast"/>
              </w:trPr>
              <w:tc>
                <w:tcPr>
                  <w:tcW w:w="1266" w:type="dxa"/>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4" o:spt="201" type="#_x0000_t201" style="height:18pt;width:52.5pt;" o:ole="t" filled="f" o:preferrelative="t" stroked="f" coordsize="21600,21600">
                        <v:path/>
                        <v:fill on="f" focussize="0,0"/>
                        <v:stroke on="f"/>
                        <v:imagedata r:id="rId38" o:title=""/>
                        <o:lock v:ext="edit" aspectratio="t"/>
                        <w10:wrap type="none"/>
                        <w10:anchorlock/>
                      </v:shape>
                      <w:control r:id="rId37" w:name="CheckBox8" w:shapeid="_x0000_i1034"/>
                    </w:object>
                  </w:r>
                </w:p>
              </w:tc>
              <w:tc>
                <w:tcPr>
                  <w:tcW w:w="2620" w:type="dxa"/>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应满足下列要求：</w:t>
                  </w:r>
                </w:p>
              </w:tc>
            </w:tr>
          </w:tbl>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bookmarkStart w:id="26" w:name="Text105" w:colFirst="2" w:colLast="2"/>
            <w:r>
              <w:rPr>
                <w:rFonts w:hint="eastAsia" w:ascii="宋体" w:hAnsi="宋体"/>
                <w:szCs w:val="21"/>
              </w:rPr>
              <w:t>1.9</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踏勘现场</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5" o:spt="201" type="#_x0000_t201" style="height:18pt;width:53.25pt;" o:ole="t" filled="f" o:preferrelative="t" stroked="f" coordsize="21600,21600">
                  <v:path/>
                  <v:fill on="f" focussize="0,0"/>
                  <v:stroke on="f"/>
                  <v:imagedata r:id="rId40" o:title=""/>
                  <o:lock v:ext="edit" aspectratio="t"/>
                  <w10:wrap type="none"/>
                  <w10:anchorlock/>
                </v:shape>
                <w:control r:id="rId39" w:name="CheckBox9" w:shapeid="_x0000_i1035"/>
              </w:object>
            </w:r>
          </w:p>
          <w:tbl>
            <w:tblPr>
              <w:tblStyle w:val="36"/>
              <w:tblW w:w="3888" w:type="dxa"/>
              <w:tblInd w:w="0" w:type="dxa"/>
              <w:tblLayout w:type="fixed"/>
              <w:tblCellMar>
                <w:top w:w="0" w:type="dxa"/>
                <w:left w:w="108" w:type="dxa"/>
                <w:bottom w:w="0" w:type="dxa"/>
                <w:right w:w="108" w:type="dxa"/>
              </w:tblCellMar>
            </w:tblPr>
            <w:tblGrid>
              <w:gridCol w:w="812"/>
              <w:gridCol w:w="3076"/>
            </w:tblGrid>
            <w:tr>
              <w:tblPrEx>
                <w:tblCellMar>
                  <w:top w:w="0" w:type="dxa"/>
                  <w:left w:w="108" w:type="dxa"/>
                  <w:bottom w:w="0" w:type="dxa"/>
                  <w:right w:w="108" w:type="dxa"/>
                </w:tblCellMar>
              </w:tblPrEx>
              <w:tc>
                <w:tcPr>
                  <w:tcW w:w="812" w:type="dxa"/>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6" o:spt="201" type="#_x0000_t201" style="height:18pt;width:39.75pt;" o:ole="t" filled="f" o:preferrelative="t" stroked="f" coordsize="21600,21600">
                        <v:path/>
                        <v:fill on="f" focussize="0,0"/>
                        <v:stroke on="f"/>
                        <v:imagedata r:id="rId42" o:title=""/>
                        <o:lock v:ext="edit" aspectratio="t"/>
                        <w10:wrap type="none"/>
                        <w10:anchorlock/>
                      </v:shape>
                      <w:control r:id="rId41" w:name="CheckBox10" w:shapeid="_x0000_i1036"/>
                    </w:object>
                  </w:r>
                </w:p>
              </w:tc>
              <w:tc>
                <w:tcPr>
                  <w:tcW w:w="3076" w:type="dxa"/>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踏勘时间：</w:t>
                  </w:r>
                </w:p>
              </w:tc>
            </w:tr>
          </w:tbl>
          <w:p>
            <w:pPr>
              <w:keepNext w:val="0"/>
              <w:keepLines w:val="0"/>
              <w:suppressLineNumbers w:val="0"/>
              <w:spacing w:before="0" w:beforeAutospacing="0" w:after="0" w:afterAutospacing="0" w:line="360" w:lineRule="auto"/>
              <w:ind w:left="0" w:right="0"/>
              <w:jc w:val="left"/>
              <w:rPr>
                <w:rFonts w:ascii="宋体" w:hAnsi="宋体"/>
                <w:szCs w:val="21"/>
                <w:u w:val="single"/>
              </w:rPr>
            </w:pPr>
            <w:r>
              <w:rPr>
                <w:rFonts w:hint="eastAsia" w:ascii="宋体" w:hAnsi="宋体"/>
                <w:szCs w:val="21"/>
              </w:rPr>
              <w:t xml:space="preserve">           踏勘集中地点：</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1.10</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投标预备会</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ascii="宋体" w:hAnsi="宋体"/>
                <w:szCs w:val="21"/>
              </w:rPr>
              <w:object>
                <v:shape id="_x0000_i1037" o:spt="201" type="#_x0000_t201" style="height:18pt;width:50.25pt;" o:ole="t" filled="f" o:preferrelative="t" stroked="f" coordsize="21600,21600">
                  <v:path/>
                  <v:fill on="f" focussize="0,0"/>
                  <v:stroke on="f"/>
                  <v:imagedata r:id="rId44" o:title=""/>
                  <o:lock v:ext="edit" aspectratio="t"/>
                  <w10:wrap type="none"/>
                  <w10:anchorlock/>
                </v:shape>
                <w:control r:id="rId43" w:name="CheckBox11" w:shapeid="_x0000_i1037"/>
              </w:object>
            </w:r>
          </w:p>
          <w:tbl>
            <w:tblPr>
              <w:tblStyle w:val="36"/>
              <w:tblW w:w="3888" w:type="dxa"/>
              <w:tblInd w:w="0" w:type="dxa"/>
              <w:tblLayout w:type="fixed"/>
              <w:tblCellMar>
                <w:top w:w="0" w:type="dxa"/>
                <w:left w:w="108" w:type="dxa"/>
                <w:bottom w:w="0" w:type="dxa"/>
                <w:right w:w="108" w:type="dxa"/>
              </w:tblCellMar>
            </w:tblPr>
            <w:tblGrid>
              <w:gridCol w:w="812"/>
              <w:gridCol w:w="3076"/>
            </w:tblGrid>
            <w:tr>
              <w:tblPrEx>
                <w:tblCellMar>
                  <w:top w:w="0" w:type="dxa"/>
                  <w:left w:w="108" w:type="dxa"/>
                  <w:bottom w:w="0" w:type="dxa"/>
                  <w:right w:w="108" w:type="dxa"/>
                </w:tblCellMar>
              </w:tblPrEx>
              <w:tc>
                <w:tcPr>
                  <w:tcW w:w="812" w:type="dxa"/>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8" o:spt="201" type="#_x0000_t201" style="height:18pt;width:43.5pt;" o:ole="t" filled="f" o:preferrelative="t" stroked="f" coordsize="21600,21600">
                        <v:path/>
                        <v:fill on="f" focussize="0,0"/>
                        <v:stroke on="f"/>
                        <v:imagedata r:id="rId46" o:title=""/>
                        <o:lock v:ext="edit" aspectratio="t"/>
                        <w10:wrap type="none"/>
                        <w10:anchorlock/>
                      </v:shape>
                      <w:control r:id="rId45" w:name="CheckBox12" w:shapeid="_x0000_i1038"/>
                    </w:object>
                  </w:r>
                </w:p>
              </w:tc>
              <w:tc>
                <w:tcPr>
                  <w:tcW w:w="3076" w:type="dxa"/>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召开时间:</w:t>
                  </w:r>
                </w:p>
              </w:tc>
            </w:tr>
          </w:tbl>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分包</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1.12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偏离</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39" o:spt="201" type="#_x0000_t201" style="height:18pt;width:108pt;" o:ole="t" filled="f" o:preferrelative="t" stroked="f" coordsize="21600,21600">
                  <v:path/>
                  <v:fill on="f" focussize="0,0"/>
                  <v:stroke on="f"/>
                  <v:imagedata r:id="rId48" o:title=""/>
                  <o:lock v:ext="edit" aspectratio="t"/>
                  <w10:wrap type="none"/>
                  <w10:anchorlock/>
                </v:shape>
                <w:control r:id="rId47" w:name="CheckBox13" w:shapeid="_x0000_i1039"/>
              </w:object>
            </w:r>
          </w:p>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40" o:spt="201" type="#_x0000_t201" style="height:18pt;width:185.25pt;" o:ole="t" filled="f" o:preferrelative="t" stroked="f" coordsize="21600,21600">
                  <v:path/>
                  <v:fill on="f" focussize="0,0"/>
                  <v:stroke on="f"/>
                  <v:imagedata r:id="rId50" o:title=""/>
                  <o:lock v:ext="edit" aspectratio="t"/>
                  <w10:wrap type="none"/>
                  <w10:anchorlock/>
                </v:shape>
                <w:control r:id="rId49" w:name="CheckBox14" w:shapeid="_x0000_i1040"/>
              </w:object>
            </w:r>
          </w:p>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 xml:space="preserve">        “技术标准和要求”。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2.2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投标截止时间</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r>
              <w:rPr>
                <w:rFonts w:hint="eastAsia" w:ascii="宋体" w:hAnsi="宋体"/>
                <w:szCs w:val="21"/>
                <w:lang w:val="en-US" w:eastAsia="zh-CN"/>
              </w:rPr>
              <w:t>15</w:t>
            </w:r>
            <w:r>
              <w:rPr>
                <w:rFonts w:hint="eastAsia" w:ascii="宋体" w:hAnsi="宋体"/>
                <w:szCs w:val="21"/>
              </w:rPr>
              <w:t>时 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3.2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投标造价文件编制方式</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工程量清单计价方式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3.3</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投标有效期</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投标截止日起</w:t>
            </w:r>
            <w:r>
              <w:rPr>
                <w:rFonts w:hint="eastAsia" w:ascii="宋体" w:hAnsi="宋体"/>
                <w:szCs w:val="21"/>
                <w:u w:val="single"/>
              </w:rPr>
              <w:t>60</w:t>
            </w:r>
            <w:r>
              <w:rPr>
                <w:rFonts w:hint="eastAsia" w:ascii="宋体" w:hAnsi="宋体"/>
                <w:szCs w:val="21"/>
              </w:rPr>
              <w:t>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3.4</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投标保证金</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rPr>
                <w:rFonts w:hint="eastAsia" w:ascii="宋体" w:hAnsi="宋体"/>
                <w:szCs w:val="21"/>
              </w:rPr>
            </w:pPr>
            <w:r>
              <w:rPr>
                <w:rFonts w:hint="eastAsia" w:ascii="宋体" w:hAnsi="宋体"/>
                <w:szCs w:val="21"/>
              </w:rPr>
              <w:t>投标保证金数额及交纳方式：</w:t>
            </w:r>
          </w:p>
          <w:p>
            <w:pPr>
              <w:keepNext w:val="0"/>
              <w:keepLines w:val="0"/>
              <w:suppressLineNumbers w:val="0"/>
              <w:spacing w:before="0" w:beforeAutospacing="0" w:after="0" w:afterAutospacing="0" w:line="360" w:lineRule="auto"/>
              <w:ind w:left="0" w:right="0" w:firstLine="420"/>
              <w:rPr>
                <w:rFonts w:hint="eastAsia" w:ascii="宋体" w:hAnsi="宋体"/>
                <w:szCs w:val="21"/>
              </w:rPr>
            </w:pPr>
            <w:r>
              <w:rPr>
                <w:rFonts w:hint="eastAsia" w:ascii="宋体" w:hAnsi="宋体"/>
                <w:szCs w:val="21"/>
              </w:rPr>
              <w:t>投标人应于开标前1天将</w:t>
            </w:r>
            <w:r>
              <w:rPr>
                <w:rFonts w:hint="eastAsia" w:ascii="宋体" w:hAnsi="宋体"/>
                <w:szCs w:val="21"/>
                <w:lang w:val="en-US" w:eastAsia="zh-CN"/>
              </w:rPr>
              <w:t>5000.00</w:t>
            </w:r>
            <w:r>
              <w:rPr>
                <w:rFonts w:hint="eastAsia" w:ascii="宋体" w:hAnsi="宋体"/>
                <w:szCs w:val="21"/>
              </w:rPr>
              <w:t>元（大写：</w:t>
            </w:r>
            <w:r>
              <w:rPr>
                <w:rFonts w:hint="eastAsia" w:ascii="宋体" w:hAnsi="宋体"/>
                <w:szCs w:val="21"/>
                <w:lang w:val="en-US" w:eastAsia="zh-CN"/>
              </w:rPr>
              <w:t>伍</w:t>
            </w:r>
            <w:r>
              <w:rPr>
                <w:rFonts w:hint="eastAsia" w:ascii="宋体" w:hAnsi="宋体"/>
                <w:szCs w:val="21"/>
              </w:rPr>
              <w:t>仟元整）投标保证金进账到景泰县政府采购中心指定账户。（投标人须要求银行在转账时注明投标人名称、投标项目名称，以便查询）。不得由投标人以外的其他投标商或个人代替投标人交纳投标保证金，不接受现金缴纳,否则视为无效投标保证金，其投标文件将被拒绝。</w:t>
            </w:r>
          </w:p>
          <w:p>
            <w:pPr>
              <w:keepNext w:val="0"/>
              <w:keepLines w:val="0"/>
              <w:suppressLineNumbers w:val="0"/>
              <w:spacing w:before="0" w:beforeAutospacing="0" w:after="0" w:afterAutospacing="0" w:line="360" w:lineRule="auto"/>
              <w:ind w:left="0" w:right="0" w:firstLine="420"/>
              <w:rPr>
                <w:rFonts w:hint="eastAsia" w:ascii="宋体" w:hAnsi="宋体"/>
                <w:szCs w:val="21"/>
              </w:rPr>
            </w:pPr>
            <w:r>
              <w:rPr>
                <w:rFonts w:hint="eastAsia" w:ascii="宋体" w:hAnsi="宋体"/>
                <w:szCs w:val="21"/>
              </w:rPr>
              <w:t>同时投标人须提交本项目投标保证金进帐单或电汇凭证等银行证明文件复印件3份，1份装入投标文件正本，1份装入报价表、法人授权函单独密封的信封内，1份带至开标现场,否则视为无效投标。</w:t>
            </w:r>
          </w:p>
          <w:p>
            <w:pPr>
              <w:keepNext w:val="0"/>
              <w:keepLines w:val="0"/>
              <w:suppressLineNumbers w:val="0"/>
              <w:spacing w:before="0" w:beforeAutospacing="0" w:after="0" w:afterAutospacing="0" w:line="360" w:lineRule="auto"/>
              <w:ind w:left="0" w:right="0" w:firstLine="420"/>
              <w:rPr>
                <w:rFonts w:hint="eastAsia" w:ascii="宋体" w:hAnsi="宋体"/>
                <w:szCs w:val="21"/>
              </w:rPr>
            </w:pPr>
            <w:r>
              <w:rPr>
                <w:rFonts w:hint="eastAsia" w:ascii="宋体" w:hAnsi="宋体"/>
                <w:szCs w:val="21"/>
              </w:rPr>
              <w:t xml:space="preserve"> 投标人还需提交开户许可证复印件，用来退保证金时用，如果不提交，保证金是否到账情况，投标人自行承担后果.</w:t>
            </w:r>
          </w:p>
          <w:p>
            <w:pPr>
              <w:keepNext w:val="0"/>
              <w:keepLines w:val="0"/>
              <w:suppressLineNumbers w:val="0"/>
              <w:spacing w:before="0" w:beforeAutospacing="0" w:after="0" w:afterAutospacing="0" w:line="360" w:lineRule="auto"/>
              <w:ind w:left="0" w:right="0" w:firstLine="420"/>
              <w:rPr>
                <w:rFonts w:ascii="宋体" w:hAnsi="宋体"/>
                <w:szCs w:val="21"/>
              </w:rPr>
            </w:pPr>
            <w:r>
              <w:rPr>
                <w:rFonts w:hint="eastAsia" w:ascii="宋体" w:hAnsi="宋体"/>
                <w:szCs w:val="21"/>
              </w:rPr>
              <w:t>（开户名称：景泰县政府采购中心，开户行：甘肃银行股份有限公司景泰县支行，账号: 662214056218400039）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3.6</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是否允许递交备选投标方案</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u w:val="single"/>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4.1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签字和盖章要求</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必须有效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4.1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投标文件份数</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70"/>
                <w:tab w:val="left" w:pos="1200"/>
              </w:tabs>
              <w:spacing w:before="0" w:beforeAutospacing="0" w:after="0" w:afterAutospacing="0" w:line="400" w:lineRule="exact"/>
              <w:ind w:left="0" w:right="0" w:firstLine="420"/>
              <w:rPr>
                <w:rFonts w:ascii="宋体" w:hAnsi="宋体"/>
                <w:szCs w:val="21"/>
              </w:rPr>
            </w:pPr>
            <w:r>
              <w:rPr>
                <w:rFonts w:hint="eastAsia" w:ascii="宋体" w:hAnsi="宋体"/>
                <w:szCs w:val="21"/>
              </w:rPr>
              <w:t>1、投标文件份数：制作投标文件正本</w:t>
            </w:r>
            <w:r>
              <w:rPr>
                <w:rFonts w:hint="eastAsia" w:ascii="宋体" w:hAnsi="宋体"/>
                <w:szCs w:val="21"/>
                <w:u w:val="single"/>
                <w:lang w:val="en-US" w:eastAsia="zh-CN"/>
              </w:rPr>
              <w:t>1</w:t>
            </w:r>
            <w:r>
              <w:rPr>
                <w:rFonts w:hint="eastAsia" w:ascii="宋体" w:hAnsi="宋体"/>
                <w:szCs w:val="21"/>
              </w:rPr>
              <w:t>份，副本</w:t>
            </w:r>
            <w:r>
              <w:rPr>
                <w:rFonts w:hint="eastAsia" w:ascii="宋体" w:hAnsi="宋体"/>
                <w:szCs w:val="21"/>
                <w:u w:val="single"/>
              </w:rPr>
              <w:t>2</w:t>
            </w:r>
            <w:r>
              <w:rPr>
                <w:rFonts w:hint="eastAsia" w:ascii="宋体" w:hAnsi="宋体"/>
                <w:szCs w:val="21"/>
              </w:rPr>
              <w:t>份,电子版</w:t>
            </w:r>
            <w:r>
              <w:rPr>
                <w:rFonts w:hint="eastAsia" w:ascii="宋体" w:hAnsi="宋体"/>
                <w:szCs w:val="21"/>
                <w:u w:val="single"/>
              </w:rPr>
              <w:t>1</w:t>
            </w:r>
            <w:r>
              <w:rPr>
                <w:rFonts w:hint="eastAsia" w:ascii="宋体" w:hAnsi="宋体"/>
                <w:szCs w:val="21"/>
              </w:rPr>
              <w:t>份(word版)。(有分包按分包制作、无分包按整包制作)。</w:t>
            </w:r>
          </w:p>
          <w:p>
            <w:pPr>
              <w:keepNext w:val="0"/>
              <w:keepLines w:val="0"/>
              <w:suppressLineNumbers w:val="0"/>
              <w:tabs>
                <w:tab w:val="left" w:pos="170"/>
                <w:tab w:val="left" w:pos="1200"/>
              </w:tabs>
              <w:spacing w:before="0" w:beforeAutospacing="0" w:after="0" w:afterAutospacing="0" w:line="400" w:lineRule="exact"/>
              <w:ind w:left="0" w:right="0" w:firstLine="420"/>
              <w:rPr>
                <w:rFonts w:ascii="宋体" w:hAnsi="宋体"/>
                <w:szCs w:val="21"/>
              </w:rPr>
            </w:pPr>
            <w:r>
              <w:rPr>
                <w:rFonts w:hint="eastAsia" w:ascii="宋体" w:hAnsi="宋体"/>
                <w:szCs w:val="21"/>
              </w:rPr>
              <w:t>2、投标文件须建立清晰目录并胶装成册。未按该要求制作标书的，投标文件将被拒绝，对投标人产生的不利因素由其自行承担。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4.1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封套上写明</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详见招标文件密封要求。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4.2</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递交投标文件的时间地点</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时间：同投标截止时间</w:t>
            </w:r>
          </w:p>
          <w:p>
            <w:pPr>
              <w:keepNext w:val="0"/>
              <w:keepLines w:val="0"/>
              <w:suppressLineNumbers w:val="0"/>
              <w:spacing w:before="0" w:beforeAutospacing="0" w:after="0" w:afterAutospacing="0" w:line="360" w:lineRule="auto"/>
              <w:ind w:left="0" w:right="0"/>
              <w:rPr>
                <w:rFonts w:hint="eastAsia" w:ascii="宋体" w:hAnsi="宋体" w:eastAsia="宋体"/>
                <w:szCs w:val="21"/>
                <w:lang w:eastAsia="zh-CN"/>
              </w:rPr>
            </w:pPr>
            <w:r>
              <w:rPr>
                <w:rFonts w:hint="eastAsia" w:ascii="宋体" w:hAnsi="宋体"/>
                <w:szCs w:val="21"/>
              </w:rPr>
              <w:t>地点：</w:t>
            </w:r>
            <w:r>
              <w:rPr>
                <w:rFonts w:hint="eastAsia" w:ascii="宋体" w:hAnsi="宋体"/>
                <w:szCs w:val="21"/>
                <w:lang w:eastAsia="zh-CN"/>
              </w:rPr>
              <w:t>景泰县财政局院内西一楼开标室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4.3</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是否退还投标文件</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drawing>
                <wp:inline distT="0" distB="0" distL="0" distR="0">
                  <wp:extent cx="396875" cy="233045"/>
                  <wp:effectExtent l="0" t="0" r="317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396875" cy="233045"/>
                          </a:xfrm>
                          <a:prstGeom prst="rect">
                            <a:avLst/>
                          </a:prstGeom>
                          <a:noFill/>
                          <a:ln>
                            <a:noFill/>
                          </a:ln>
                        </pic:spPr>
                      </pic:pic>
                    </a:graphicData>
                  </a:graphic>
                </wp:inline>
              </w:drawing>
            </w:r>
          </w:p>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drawing>
                <wp:inline distT="0" distB="0" distL="0" distR="0">
                  <wp:extent cx="396875" cy="233045"/>
                  <wp:effectExtent l="0" t="0" r="317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396875" cy="2330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5.1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开标时间和地点</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开标时间：同投标截止时间</w:t>
            </w:r>
          </w:p>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开标地点：</w:t>
            </w:r>
            <w:r>
              <w:rPr>
                <w:rFonts w:hint="eastAsia" w:ascii="宋体" w:hAnsi="宋体"/>
                <w:szCs w:val="21"/>
                <w:u w:val="single"/>
              </w:rPr>
              <w:t>景泰县财政局院内西一楼开标室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6.1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评标委员会的组建</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t>评标委员会成员人数不少于5人以上单数，其中技术、经济等方面的专家不少于成员总数的三分之二。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6.1</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评标办法</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6.4</w:t>
            </w:r>
          </w:p>
        </w:tc>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是否授权评标委员会确定中标人</w:t>
            </w:r>
          </w:p>
        </w:tc>
        <w:tc>
          <w:tcPr>
            <w:tcW w:w="59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ascii="宋体" w:hAnsi="宋体"/>
                <w:szCs w:val="21"/>
              </w:rPr>
              <w:object>
                <v:shape id="_x0000_i1041" o:spt="201" type="#_x0000_t201" style="height:18pt;width:32.25pt;" o:ole="t" filled="f" o:preferrelative="t" stroked="f" coordsize="21600,21600">
                  <v:path/>
                  <v:fill on="f" focussize="0,0"/>
                  <v:stroke on="f"/>
                  <v:imagedata r:id="rId54" o:title=""/>
                  <o:lock v:ext="edit" aspectratio="t"/>
                  <w10:wrap type="none"/>
                  <w10:anchorlock/>
                </v:shape>
                <w:control r:id="rId53" w:name="CheckBox16" w:shapeid="_x0000_i1041"/>
              </w:object>
            </w:r>
          </w:p>
          <w:tbl>
            <w:tblPr>
              <w:tblStyle w:val="36"/>
              <w:tblW w:w="3892" w:type="dxa"/>
              <w:tblInd w:w="0" w:type="dxa"/>
              <w:tblLayout w:type="fixed"/>
              <w:tblCellMar>
                <w:top w:w="0" w:type="dxa"/>
                <w:left w:w="108" w:type="dxa"/>
                <w:bottom w:w="0" w:type="dxa"/>
                <w:right w:w="108" w:type="dxa"/>
              </w:tblCellMar>
            </w:tblPr>
            <w:tblGrid>
              <w:gridCol w:w="636"/>
              <w:gridCol w:w="3256"/>
            </w:tblGrid>
            <w:tr>
              <w:tblPrEx>
                <w:tblCellMar>
                  <w:top w:w="0" w:type="dxa"/>
                  <w:left w:w="108" w:type="dxa"/>
                  <w:bottom w:w="0" w:type="dxa"/>
                  <w:right w:w="108" w:type="dxa"/>
                </w:tblCellMar>
              </w:tblPrEx>
              <w:trPr>
                <w:trHeight w:val="783" w:hRule="atLeast"/>
              </w:trPr>
              <w:tc>
                <w:tcPr>
                  <w:tcW w:w="636" w:type="dxa"/>
                </w:tcPr>
                <w:p>
                  <w:pPr>
                    <w:keepNext w:val="0"/>
                    <w:keepLines w:val="0"/>
                    <w:suppressLineNumbers w:val="0"/>
                    <w:spacing w:before="0" w:beforeAutospacing="0" w:after="0" w:afterAutospacing="0" w:line="360" w:lineRule="auto"/>
                    <w:ind w:left="0" w:right="0"/>
                    <w:rPr>
                      <w:rFonts w:ascii="宋体" w:hAnsi="宋体"/>
                      <w:szCs w:val="21"/>
                    </w:rPr>
                  </w:pPr>
                  <w:r>
                    <w:rPr>
                      <w:rFonts w:ascii="宋体" w:hAnsi="宋体"/>
                      <w:szCs w:val="21"/>
                    </w:rPr>
                    <w:object>
                      <v:shape id="_x0000_i1042" o:spt="201" type="#_x0000_t201" style="height:18pt;width:32.25pt;" o:ole="t" filled="f" o:preferrelative="t" stroked="f" coordsize="21600,21600">
                        <v:path/>
                        <v:fill on="f" focussize="0,0"/>
                        <v:stroke on="f"/>
                        <v:imagedata r:id="rId56" o:title=""/>
                        <o:lock v:ext="edit" aspectratio="t"/>
                        <w10:wrap type="none"/>
                        <w10:anchorlock/>
                      </v:shape>
                      <w:control r:id="rId55" w:name="CheckBox17" w:shapeid="_x0000_i1042"/>
                    </w:object>
                  </w:r>
                </w:p>
              </w:tc>
              <w:tc>
                <w:tcPr>
                  <w:tcW w:w="3256" w:type="dxa"/>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推荐的中标候选人数：</w:t>
                  </w:r>
                  <w:r>
                    <w:rPr>
                      <w:rFonts w:hint="eastAsia" w:ascii="宋体" w:hAnsi="宋体"/>
                      <w:szCs w:val="21"/>
                      <w:u w:val="single"/>
                    </w:rPr>
                    <w:t>3</w:t>
                  </w:r>
                </w:p>
              </w:tc>
            </w:tr>
          </w:tbl>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7.4</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r>
              <w:rPr>
                <w:rFonts w:hint="eastAsia" w:ascii="宋体" w:hAnsi="宋体"/>
                <w:szCs w:val="21"/>
              </w:rPr>
              <w:t>付款方式：</w:t>
            </w:r>
          </w:p>
          <w:p>
            <w:pPr>
              <w:keepNext w:val="0"/>
              <w:keepLines w:val="0"/>
              <w:suppressLineNumbers w:val="0"/>
              <w:spacing w:before="0" w:beforeAutospacing="0" w:after="0" w:afterAutospacing="0" w:line="360" w:lineRule="auto"/>
              <w:ind w:left="0" w:right="0" w:firstLine="105" w:firstLineChars="50"/>
              <w:rPr>
                <w:rFonts w:ascii="宋体" w:hAnsi="宋体"/>
                <w:szCs w:val="21"/>
              </w:rPr>
            </w:pPr>
            <w:r>
              <w:rPr>
                <w:rFonts w:hint="eastAsia" w:ascii="宋体" w:hAnsi="宋体"/>
                <w:szCs w:val="21"/>
              </w:rPr>
              <w:t>以签订的施工合同为准。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b/>
                <w:szCs w:val="21"/>
                <w:lang w:eastAsia="zh-CN"/>
              </w:rPr>
            </w:pPr>
            <w:r>
              <w:rPr>
                <w:rFonts w:hint="eastAsia" w:ascii="宋体" w:hAnsi="宋体"/>
                <w:b/>
                <w:szCs w:val="21"/>
                <w:lang w:val="en-US" w:eastAsia="zh-CN"/>
              </w:rPr>
              <w:t>8</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
                <w:szCs w:val="21"/>
              </w:rPr>
            </w:pPr>
            <w:r>
              <w:rPr>
                <w:rFonts w:hint="eastAsia" w:ascii="宋体" w:hAnsi="宋体"/>
                <w:b/>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Cs w:val="21"/>
                <w:lang w:val="en-US" w:eastAsia="zh-CN"/>
              </w:rPr>
            </w:pPr>
            <w:r>
              <w:rPr>
                <w:rFonts w:hint="eastAsia" w:ascii="宋体" w:hAnsi="宋体"/>
                <w:szCs w:val="21"/>
                <w:lang w:val="en-US" w:eastAsia="zh-CN"/>
              </w:rPr>
              <w:t>8.1</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105" w:firstLineChars="50"/>
              <w:rPr>
                <w:rFonts w:hint="eastAsia" w:ascii="宋体" w:hAnsi="宋体" w:eastAsia="宋体" w:cs="宋体"/>
                <w:szCs w:val="21"/>
                <w:lang w:val="en-US"/>
              </w:rPr>
            </w:pPr>
            <w:r>
              <w:rPr>
                <w:rFonts w:ascii="宋体" w:hAnsi="宋体"/>
                <w:szCs w:val="21"/>
              </w:rPr>
              <w:object>
                <v:shape id="_x0000_i1050" o:spt="201" type="#_x0000_t201" style="height:18pt;width:32.25pt;" o:ole="t" filled="f" o:preferrelative="t" stroked="f" coordsize="21600,21600">
                  <v:path/>
                  <v:fill on="f" focussize="0,0"/>
                  <v:stroke on="f"/>
                  <v:imagedata r:id="rId54" o:title=""/>
                  <o:lock v:ext="edit" aspectratio="t"/>
                  <w10:wrap type="none"/>
                  <w10:anchorlock/>
                </v:shape>
                <w:control r:id="rId57" w:name="CheckBox16" w:shapeid="_x0000_i1050"/>
              </w:object>
            </w:r>
            <w:r>
              <w:rPr>
                <w:rFonts w:hint="eastAsia" w:ascii="宋体" w:hAnsi="宋体" w:eastAsia="宋体" w:cs="宋体"/>
                <w:kern w:val="2"/>
                <w:sz w:val="21"/>
                <w:szCs w:val="21"/>
                <w:lang w:val="en-US" w:eastAsia="zh-CN" w:bidi="ar"/>
              </w:rPr>
              <w:t>本项目的招标代理费由</w:t>
            </w:r>
            <w:r>
              <w:rPr>
                <w:rFonts w:hint="eastAsia" w:ascii="宋体" w:hAnsi="宋体" w:eastAsia="宋体" w:cs="宋体"/>
                <w:kern w:val="2"/>
                <w:sz w:val="21"/>
                <w:szCs w:val="21"/>
                <w:u w:val="single"/>
                <w:lang w:val="en-US" w:eastAsia="zh-CN" w:bidi="ar"/>
              </w:rPr>
              <w:t>中标人</w:t>
            </w:r>
            <w:r>
              <w:rPr>
                <w:rFonts w:hint="eastAsia" w:ascii="宋体" w:hAnsi="宋体" w:eastAsia="宋体" w:cs="宋体"/>
                <w:kern w:val="2"/>
                <w:sz w:val="21"/>
                <w:szCs w:val="21"/>
                <w:lang w:val="en-US" w:eastAsia="zh-CN" w:bidi="ar"/>
              </w:rPr>
              <w:t>支付</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object>
                <v:shape id="_x0000_i1044" o:spt="201" type="#_x0000_t201" style="height:18pt;width:11.25pt;" o:ole="t" filled="f" o:preferrelative="t" stroked="f" coordsize="21600,21600">
                  <v:path/>
                  <v:fill on="f" focussize="0,0"/>
                  <v:stroke on="f"/>
                  <v:imagedata r:id="rId59" o:title=""/>
                  <o:lock v:ext="edit" aspectratio="t"/>
                  <w10:wrap type="none"/>
                  <w10:anchorlock/>
                </v:shape>
                <w:control r:id="rId58" w:name="CheckBox21" w:shapeid="_x0000_i1044"/>
              </w:object>
            </w:r>
            <w:r>
              <w:rPr>
                <w:rFonts w:hint="eastAsia" w:ascii="宋体" w:hAnsi="宋体" w:eastAsia="宋体" w:cs="宋体"/>
                <w:kern w:val="2"/>
                <w:sz w:val="21"/>
                <w:szCs w:val="21"/>
                <w:lang w:val="en-US" w:eastAsia="zh-CN" w:bidi="ar"/>
              </w:rPr>
              <w:t>本项目的招标代理费由</w:t>
            </w:r>
            <w:r>
              <w:rPr>
                <w:rFonts w:hint="eastAsia" w:ascii="宋体" w:hAnsi="宋体" w:eastAsia="宋体" w:cs="宋体"/>
                <w:kern w:val="2"/>
                <w:sz w:val="21"/>
                <w:szCs w:val="21"/>
                <w:u w:val="single"/>
                <w:lang w:val="en-US" w:eastAsia="zh-CN" w:bidi="ar"/>
              </w:rPr>
              <w:t>采购人</w:t>
            </w:r>
            <w:r>
              <w:rPr>
                <w:rFonts w:hint="eastAsia" w:ascii="宋体" w:hAnsi="宋体" w:eastAsia="宋体" w:cs="宋体"/>
                <w:kern w:val="2"/>
                <w:sz w:val="21"/>
                <w:szCs w:val="21"/>
                <w:lang w:val="en-US" w:eastAsia="zh-CN" w:bidi="ar"/>
              </w:rPr>
              <w:t>支付</w:t>
            </w:r>
          </w:p>
          <w:p>
            <w:pPr>
              <w:keepNext w:val="0"/>
              <w:keepLines w:val="0"/>
              <w:suppressLineNumbers w:val="0"/>
              <w:spacing w:before="0" w:beforeAutospacing="0" w:after="0" w:afterAutospacing="0" w:line="360" w:lineRule="auto"/>
              <w:ind w:left="0" w:right="0" w:firstLine="420"/>
              <w:rPr>
                <w:rFonts w:hint="default" w:ascii="宋体" w:hAnsi="宋体" w:eastAsia="宋体" w:cs="宋体"/>
                <w:kern w:val="0"/>
                <w:szCs w:val="21"/>
                <w:lang w:val="en-US" w:eastAsia="zh-CN"/>
              </w:rPr>
            </w:pPr>
            <w:r>
              <w:rPr>
                <w:rFonts w:hint="eastAsia" w:ascii="宋体" w:hAnsi="宋体" w:eastAsia="宋体" w:cs="宋体"/>
                <w:kern w:val="2"/>
                <w:sz w:val="21"/>
                <w:szCs w:val="21"/>
                <w:lang w:val="en-US" w:eastAsia="zh-CN" w:bidi="ar"/>
              </w:rPr>
              <w:t>招标结束五个工作日内，中标供应商应按照国家计委关于《招标代理服务收费管理暂行办法》的通知计价格[2002]1980号和国家发展计划委员会文件发改办价格[2003]857号规定的货物类收费标准向招标代理机构缴纳招标代理服务费。如果未按规定时间缴纳，每延误一日按服务费的千分之一（1‰）计收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Cs w:val="21"/>
                <w:lang w:val="en-US" w:eastAsia="zh-CN"/>
              </w:rPr>
            </w:pPr>
            <w:r>
              <w:rPr>
                <w:rFonts w:hint="eastAsia" w:ascii="宋体" w:hAnsi="宋体"/>
                <w:szCs w:val="21"/>
                <w:lang w:val="en-US" w:eastAsia="zh-CN"/>
              </w:rPr>
              <w:t>8.2</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s="宋体"/>
                <w:kern w:val="0"/>
                <w:szCs w:val="21"/>
              </w:rPr>
            </w:pPr>
            <w:r>
              <w:rPr>
                <w:rFonts w:ascii="宋体" w:hAnsi="宋体"/>
                <w:szCs w:val="21"/>
              </w:rPr>
              <w:t>需要落实的政府采购政策</w:t>
            </w:r>
            <w:r>
              <w:rPr>
                <w:rFonts w:hint="eastAsia" w:ascii="宋体" w:hAnsi="宋体"/>
                <w:szCs w:val="21"/>
              </w:rPr>
              <w:t>：本项目对小型和微型企业产品价格的扣除比例：6%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Cs w:val="21"/>
                <w:lang w:val="en-US" w:eastAsia="zh-CN"/>
              </w:rPr>
            </w:pPr>
            <w:r>
              <w:rPr>
                <w:rFonts w:hint="eastAsia" w:ascii="宋体" w:hAnsi="宋体"/>
                <w:szCs w:val="21"/>
                <w:lang w:val="en-US" w:eastAsia="zh-CN"/>
              </w:rPr>
              <w:t>8.3</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80"/>
              <w:rPr>
                <w:rFonts w:ascii="宋体" w:hAnsi="宋体"/>
                <w:szCs w:val="21"/>
              </w:rPr>
            </w:pPr>
            <w:r>
              <w:rPr>
                <w:rFonts w:hint="eastAsia" w:ascii="宋体" w:hAnsi="宋体"/>
                <w:szCs w:val="21"/>
              </w:rPr>
              <w:t>开标时需携带企业和人员相关证件原件及招标文件要求需提供资料的原件等、</w:t>
            </w:r>
            <w:r>
              <w:rPr>
                <w:rFonts w:hint="eastAsia"/>
              </w:rPr>
              <w:t>法定代表人资格证明或</w:t>
            </w:r>
            <w:r>
              <w:rPr>
                <w:rFonts w:hint="eastAsia" w:ascii="宋体" w:hAnsi="宋体"/>
                <w:szCs w:val="21"/>
              </w:rPr>
              <w:t>授权委托书原件和身份证原件及身份证复印件加盖公章（格式同标书一致）、保证金收据复印件带至开标现场备查；法人或授权委托人必须到场。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Cs w:val="21"/>
                <w:lang w:val="en-US" w:eastAsia="zh-CN"/>
              </w:rPr>
            </w:pPr>
            <w:r>
              <w:rPr>
                <w:rFonts w:hint="eastAsia" w:ascii="宋体" w:hAnsi="宋体"/>
                <w:szCs w:val="21"/>
                <w:lang w:val="en-US" w:eastAsia="zh-CN"/>
              </w:rPr>
              <w:t>8.4</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80"/>
              <w:rPr>
                <w:rFonts w:ascii="宋体" w:hAnsi="宋体"/>
                <w:szCs w:val="21"/>
              </w:rPr>
            </w:pPr>
            <w:r>
              <w:rPr>
                <w:rFonts w:hint="eastAsia" w:ascii="宋体" w:hAnsi="宋体"/>
                <w:szCs w:val="21"/>
              </w:rPr>
              <w:t>请投标人务必详细阅读本招标文件的全部内容，减少不必要的失误，否则，由此引起的损失或风险由投标人自行承担。</w:t>
            </w:r>
          </w:p>
        </w:tc>
      </w:tr>
    </w:tbl>
    <w:p>
      <w:pPr>
        <w:pStyle w:val="21"/>
        <w:sectPr>
          <w:pgSz w:w="11906" w:h="16838"/>
          <w:pgMar w:top="1701" w:right="1701" w:bottom="1418" w:left="1418" w:header="851" w:footer="992" w:gutter="0"/>
          <w:cols w:space="720" w:num="1"/>
          <w:docGrid w:type="linesAndChars" w:linePitch="312" w:charSpace="0"/>
        </w:sectPr>
      </w:pPr>
      <w:bookmarkStart w:id="27" w:name="_Toc244076312"/>
      <w:bookmarkStart w:id="28" w:name="_Toc286853471"/>
      <w:bookmarkStart w:id="29" w:name="_Toc239129397"/>
      <w:bookmarkStart w:id="30" w:name="_Toc243992954"/>
      <w:bookmarkStart w:id="31" w:name="_Toc509493333"/>
    </w:p>
    <w:p>
      <w:pPr>
        <w:pStyle w:val="4"/>
        <w:numPr>
          <w:ilvl w:val="0"/>
          <w:numId w:val="3"/>
        </w:numPr>
        <w:rPr>
          <w:rFonts w:ascii="宋体" w:hAnsi="宋体" w:eastAsia="宋体"/>
          <w:sz w:val="24"/>
          <w:szCs w:val="24"/>
        </w:rPr>
      </w:pPr>
      <w:bookmarkStart w:id="32" w:name="_Toc13567"/>
      <w:r>
        <w:rPr>
          <w:rFonts w:hint="eastAsia" w:ascii="宋体" w:hAnsi="宋体" w:eastAsia="宋体"/>
          <w:sz w:val="24"/>
          <w:szCs w:val="24"/>
        </w:rPr>
        <w:t>总则</w:t>
      </w:r>
      <w:bookmarkEnd w:id="27"/>
      <w:bookmarkEnd w:id="28"/>
      <w:bookmarkEnd w:id="29"/>
      <w:bookmarkEnd w:id="30"/>
      <w:bookmarkEnd w:id="31"/>
      <w:bookmarkEnd w:id="32"/>
    </w:p>
    <w:p>
      <w:pPr>
        <w:pStyle w:val="4"/>
        <w:spacing w:line="360" w:lineRule="auto"/>
        <w:jc w:val="left"/>
        <w:rPr>
          <w:rFonts w:ascii="宋体" w:hAnsi="宋体" w:eastAsia="宋体"/>
          <w:sz w:val="21"/>
          <w:szCs w:val="21"/>
        </w:rPr>
      </w:pPr>
      <w:bookmarkStart w:id="33" w:name="_Toc238445322"/>
      <w:bookmarkStart w:id="34" w:name="_Toc239129398"/>
      <w:bookmarkStart w:id="35" w:name="_Toc475172016"/>
      <w:bookmarkStart w:id="36" w:name="_Toc286853472"/>
      <w:bookmarkStart w:id="37" w:name="_Toc238444655"/>
      <w:bookmarkStart w:id="38" w:name="_Toc243992955"/>
      <w:bookmarkStart w:id="39" w:name="_Toc244076313"/>
      <w:bookmarkStart w:id="40" w:name="_Toc509493334"/>
      <w:bookmarkStart w:id="41" w:name="_Toc31971"/>
      <w:r>
        <w:rPr>
          <w:rFonts w:hint="eastAsia" w:ascii="宋体" w:hAnsi="宋体"/>
          <w:sz w:val="21"/>
          <w:szCs w:val="21"/>
        </w:rPr>
        <w:t>1.1　</w:t>
      </w:r>
      <w:bookmarkEnd w:id="33"/>
      <w:bookmarkEnd w:id="34"/>
      <w:bookmarkEnd w:id="35"/>
      <w:bookmarkEnd w:id="36"/>
      <w:bookmarkEnd w:id="37"/>
      <w:bookmarkEnd w:id="38"/>
      <w:bookmarkEnd w:id="39"/>
      <w:r>
        <w:rPr>
          <w:rFonts w:hint="eastAsia" w:ascii="宋体" w:hAnsi="宋体" w:eastAsia="宋体"/>
          <w:sz w:val="21"/>
          <w:szCs w:val="21"/>
        </w:rPr>
        <w:t>招标文件涉及术语的内涵及解释</w:t>
      </w:r>
      <w:bookmarkEnd w:id="40"/>
      <w:bookmarkEnd w:id="41"/>
    </w:p>
    <w:p>
      <w:pPr>
        <w:spacing w:line="360" w:lineRule="auto"/>
        <w:ind w:firstLine="480"/>
        <w:rPr>
          <w:rFonts w:ascii="宋体" w:hAnsi="宋体"/>
          <w:szCs w:val="21"/>
        </w:rPr>
      </w:pPr>
      <w:r>
        <w:rPr>
          <w:rFonts w:hint="eastAsia" w:ascii="宋体" w:hAnsi="宋体"/>
          <w:szCs w:val="21"/>
        </w:rPr>
        <w:t>（1） “政府采购当事人”是指在政府采购活动中享有权利和承担义务的各类主体，包括采购人、供应商和采购代理机构等。</w:t>
      </w:r>
    </w:p>
    <w:p>
      <w:pPr>
        <w:spacing w:line="360" w:lineRule="auto"/>
        <w:ind w:firstLine="480"/>
        <w:rPr>
          <w:rFonts w:hint="eastAsia" w:ascii="宋体" w:hAnsi="宋体" w:eastAsia="宋体"/>
          <w:szCs w:val="21"/>
          <w:lang w:eastAsia="zh-CN"/>
        </w:rPr>
      </w:pPr>
      <w:r>
        <w:rPr>
          <w:rFonts w:hint="eastAsia" w:ascii="宋体" w:hAnsi="宋体"/>
          <w:szCs w:val="21"/>
        </w:rPr>
        <w:t>（2） “采购人”和“需方”是指依法进行政府采购的国家机关、事业单位、团体组织。本项目是指</w:t>
      </w:r>
      <w:r>
        <w:rPr>
          <w:rFonts w:hint="eastAsia" w:ascii="宋体" w:hAnsi="宋体"/>
          <w:szCs w:val="21"/>
          <w:lang w:eastAsia="zh-CN"/>
        </w:rPr>
        <w:t>景泰县住房和城乡建设局</w:t>
      </w:r>
    </w:p>
    <w:p>
      <w:pPr>
        <w:spacing w:line="360" w:lineRule="auto"/>
        <w:ind w:firstLine="315" w:firstLineChars="150"/>
        <w:rPr>
          <w:rFonts w:ascii="宋体" w:hAnsi="宋体"/>
          <w:szCs w:val="21"/>
        </w:rPr>
      </w:pPr>
      <w:r>
        <w:rPr>
          <w:rFonts w:hint="eastAsia" w:ascii="宋体" w:hAnsi="宋体"/>
          <w:szCs w:val="21"/>
        </w:rPr>
        <w:t xml:space="preserve"> （3）“招标人”是指采购人和招标代理机构</w:t>
      </w:r>
    </w:p>
    <w:p>
      <w:pPr>
        <w:spacing w:line="360" w:lineRule="auto"/>
        <w:ind w:firstLine="480"/>
        <w:rPr>
          <w:rFonts w:ascii="宋体" w:hAnsi="宋体"/>
          <w:szCs w:val="21"/>
        </w:rPr>
      </w:pPr>
      <w:r>
        <w:rPr>
          <w:rFonts w:hint="eastAsia" w:ascii="宋体" w:hAnsi="宋体"/>
          <w:szCs w:val="21"/>
        </w:rPr>
        <w:t>（4）“投标人”是指向本次招标人提交投标文件的供应商。</w:t>
      </w:r>
    </w:p>
    <w:p>
      <w:pPr>
        <w:spacing w:line="360" w:lineRule="auto"/>
        <w:ind w:firstLine="480"/>
        <w:rPr>
          <w:rFonts w:ascii="宋体" w:hAnsi="宋体"/>
          <w:szCs w:val="21"/>
        </w:rPr>
      </w:pPr>
      <w:r>
        <w:rPr>
          <w:rFonts w:hint="eastAsia" w:ascii="宋体" w:hAnsi="宋体"/>
          <w:szCs w:val="21"/>
        </w:rPr>
        <w:t>（5）“供应商”是指向采购人提供货物、工程或者服务的法人、其他组织或者自然人。</w:t>
      </w:r>
    </w:p>
    <w:p>
      <w:pPr>
        <w:spacing w:line="360" w:lineRule="auto"/>
        <w:ind w:firstLine="480"/>
        <w:rPr>
          <w:rFonts w:ascii="宋体" w:hAnsi="宋体"/>
          <w:szCs w:val="21"/>
        </w:rPr>
      </w:pPr>
      <w:r>
        <w:rPr>
          <w:rFonts w:hint="eastAsia" w:ascii="宋体" w:hAnsi="宋体"/>
          <w:szCs w:val="21"/>
        </w:rPr>
        <w:t>（6）“招标文件”是指由招标人发出的文本、文件，包括全部章节和附件及答疑会议纪要及其他相关补充材料和相关变更内容。</w:t>
      </w:r>
    </w:p>
    <w:p>
      <w:pPr>
        <w:spacing w:line="360" w:lineRule="auto"/>
        <w:ind w:firstLine="480"/>
        <w:rPr>
          <w:rFonts w:ascii="宋体" w:hAnsi="宋体"/>
          <w:szCs w:val="21"/>
        </w:rPr>
      </w:pPr>
      <w:r>
        <w:rPr>
          <w:rFonts w:hint="eastAsia" w:ascii="宋体" w:hAnsi="宋体"/>
          <w:szCs w:val="21"/>
        </w:rPr>
        <w:t>（7）“投标文件”是指投标人根据本招标文件向招标人提交的全部文件。</w:t>
      </w:r>
    </w:p>
    <w:p>
      <w:pPr>
        <w:spacing w:line="360" w:lineRule="auto"/>
        <w:ind w:firstLine="480"/>
        <w:rPr>
          <w:rFonts w:ascii="宋体" w:hAnsi="宋体"/>
          <w:szCs w:val="21"/>
        </w:rPr>
      </w:pPr>
      <w:r>
        <w:rPr>
          <w:rFonts w:hint="eastAsia" w:ascii="宋体" w:hAnsi="宋体"/>
          <w:szCs w:val="21"/>
        </w:rPr>
        <w:t>（8）“采购文件”是指包括采购活动记录、采购预算、招标文件、投标文件、评标标准、评标报告、定标文件、合同文本、验收证明、质疑答复、投诉处理决定及其他有关文件、资料。</w:t>
      </w:r>
    </w:p>
    <w:p>
      <w:pPr>
        <w:spacing w:line="360" w:lineRule="auto"/>
        <w:ind w:firstLine="480"/>
        <w:rPr>
          <w:rFonts w:ascii="宋体" w:hAnsi="宋体"/>
          <w:szCs w:val="21"/>
        </w:rPr>
      </w:pPr>
      <w:r>
        <w:rPr>
          <w:rFonts w:hint="eastAsia" w:ascii="宋体" w:hAnsi="宋体"/>
          <w:szCs w:val="21"/>
        </w:rPr>
        <w:t>（9）“货物”是指投标人中标后根据招标文件和合同的规定须向采购人提供的各种形态和种类的物品，包括原材料、燃料、设备等。</w:t>
      </w:r>
    </w:p>
    <w:p>
      <w:pPr>
        <w:spacing w:line="360" w:lineRule="auto"/>
        <w:ind w:firstLine="480"/>
        <w:rPr>
          <w:rFonts w:ascii="宋体" w:hAnsi="宋体"/>
          <w:szCs w:val="21"/>
        </w:rPr>
      </w:pPr>
      <w:r>
        <w:rPr>
          <w:rFonts w:hint="eastAsia" w:ascii="宋体" w:hAnsi="宋体"/>
          <w:szCs w:val="21"/>
        </w:rPr>
        <w:t>（10）“工程”是指建设工程，包括建筑物和构筑物的新建、改建、扩建、装修、拆除、修缮等。</w:t>
      </w:r>
    </w:p>
    <w:p>
      <w:pPr>
        <w:spacing w:line="360" w:lineRule="auto"/>
        <w:ind w:firstLine="480"/>
        <w:rPr>
          <w:rFonts w:ascii="宋体" w:hAnsi="宋体"/>
          <w:szCs w:val="21"/>
        </w:rPr>
      </w:pPr>
      <w:r>
        <w:rPr>
          <w:rFonts w:hint="eastAsia" w:ascii="宋体" w:hAnsi="宋体"/>
          <w:szCs w:val="21"/>
        </w:rPr>
        <w:t>（11）“服务”是指投标人中标后根据招标文件和合同的规定承担与供货、安装有关的服务，包括运输、仓储、保险以及其它的伴随服务，如售后、维修、更换和应承担的其它义务。</w:t>
      </w:r>
    </w:p>
    <w:p>
      <w:pPr>
        <w:spacing w:line="360" w:lineRule="auto"/>
        <w:ind w:firstLine="480"/>
        <w:rPr>
          <w:rFonts w:ascii="宋体" w:hAnsi="宋体"/>
          <w:szCs w:val="21"/>
        </w:rPr>
      </w:pPr>
      <w:r>
        <w:rPr>
          <w:rFonts w:hint="eastAsia" w:ascii="宋体" w:hAnsi="宋体"/>
          <w:szCs w:val="21"/>
        </w:rPr>
        <w:t>（12）“自主创新产品”是指纳入财政部公布的《政府采购自主创新产品目录》(以下简称目录)的货物和服务。目录由财政部会同科技部等有关部门在国家认定的自主创新产品范围内研究制订。</w:t>
      </w:r>
    </w:p>
    <w:p>
      <w:pPr>
        <w:spacing w:line="360" w:lineRule="auto"/>
        <w:ind w:firstLine="420" w:firstLineChars="200"/>
        <w:rPr>
          <w:rFonts w:ascii="宋体" w:hAnsi="宋体"/>
          <w:szCs w:val="21"/>
        </w:rPr>
      </w:pPr>
      <w:r>
        <w:rPr>
          <w:rFonts w:hint="eastAsia" w:ascii="宋体" w:hAnsi="宋体"/>
          <w:szCs w:val="21"/>
        </w:rPr>
        <w:t>（13）“书面形式”是指任何手写、打印或印刷的各种函件，不包括电传、电报、传真、电子邮件。</w:t>
      </w:r>
    </w:p>
    <w:p>
      <w:pPr>
        <w:pStyle w:val="5"/>
        <w:rPr>
          <w:rFonts w:ascii="宋体" w:hAnsi="宋体"/>
          <w:sz w:val="21"/>
          <w:szCs w:val="21"/>
        </w:rPr>
      </w:pPr>
      <w:bookmarkStart w:id="42" w:name="_Toc244076314"/>
      <w:bookmarkStart w:id="43" w:name="_Toc238444656"/>
      <w:bookmarkStart w:id="44" w:name="_Toc238445323"/>
      <w:bookmarkStart w:id="45" w:name="_Toc243992956"/>
      <w:bookmarkStart w:id="46" w:name="_Toc16911"/>
      <w:bookmarkStart w:id="47" w:name="_Toc475172017"/>
      <w:bookmarkStart w:id="48" w:name="_Toc509493335"/>
      <w:bookmarkStart w:id="49" w:name="_Toc286853473"/>
      <w:bookmarkStart w:id="50" w:name="_Toc239129399"/>
      <w:r>
        <w:rPr>
          <w:rFonts w:hint="eastAsia" w:ascii="宋体" w:hAnsi="宋体"/>
          <w:sz w:val="21"/>
          <w:szCs w:val="21"/>
        </w:rPr>
        <w:t>1.2　资金来源和落实情况</w:t>
      </w:r>
      <w:bookmarkEnd w:id="42"/>
      <w:bookmarkEnd w:id="43"/>
      <w:bookmarkEnd w:id="44"/>
      <w:bookmarkEnd w:id="45"/>
      <w:bookmarkEnd w:id="46"/>
      <w:bookmarkEnd w:id="47"/>
      <w:bookmarkEnd w:id="48"/>
      <w:bookmarkEnd w:id="49"/>
      <w:bookmarkEnd w:id="50"/>
    </w:p>
    <w:p>
      <w:pPr>
        <w:spacing w:line="360" w:lineRule="auto"/>
        <w:ind w:firstLine="420" w:firstLineChars="200"/>
        <w:rPr>
          <w:rFonts w:ascii="宋体" w:hAnsi="宋体"/>
          <w:szCs w:val="21"/>
        </w:rPr>
      </w:pPr>
      <w:r>
        <w:rPr>
          <w:rFonts w:hint="eastAsia" w:ascii="宋体" w:hAnsi="宋体"/>
          <w:szCs w:val="21"/>
        </w:rPr>
        <w:t>1.2.1　本招标项目的资金来源及出资比例：见投标人须知前附表。</w:t>
      </w:r>
    </w:p>
    <w:p>
      <w:pPr>
        <w:spacing w:line="360" w:lineRule="auto"/>
        <w:ind w:firstLine="420" w:firstLineChars="200"/>
        <w:rPr>
          <w:rFonts w:ascii="宋体" w:hAnsi="宋体"/>
          <w:szCs w:val="21"/>
        </w:rPr>
      </w:pPr>
      <w:r>
        <w:rPr>
          <w:rFonts w:hint="eastAsia" w:ascii="宋体" w:hAnsi="宋体"/>
          <w:szCs w:val="21"/>
        </w:rPr>
        <w:t>1.2.2　本招标项目的资金落实情况：见投标人须知前附表。</w:t>
      </w:r>
    </w:p>
    <w:p>
      <w:pPr>
        <w:pStyle w:val="5"/>
        <w:rPr>
          <w:rFonts w:ascii="宋体" w:hAnsi="宋体"/>
          <w:sz w:val="21"/>
          <w:szCs w:val="21"/>
        </w:rPr>
      </w:pPr>
      <w:bookmarkStart w:id="51" w:name="_Toc238445324"/>
      <w:bookmarkStart w:id="52" w:name="_Toc238444657"/>
      <w:bookmarkStart w:id="53" w:name="_Toc243992957"/>
      <w:bookmarkStart w:id="54" w:name="_Toc4337"/>
      <w:bookmarkStart w:id="55" w:name="_Toc475172018"/>
      <w:bookmarkStart w:id="56" w:name="_Toc286853474"/>
      <w:bookmarkStart w:id="57" w:name="_Toc509493336"/>
      <w:bookmarkStart w:id="58" w:name="_Toc244076315"/>
      <w:bookmarkStart w:id="59" w:name="_Toc239129400"/>
      <w:r>
        <w:rPr>
          <w:rFonts w:hint="eastAsia" w:ascii="宋体" w:hAnsi="宋体"/>
          <w:sz w:val="21"/>
          <w:szCs w:val="21"/>
        </w:rPr>
        <w:t>1.3　招标范围、计划工期和质量要求</w:t>
      </w:r>
      <w:bookmarkEnd w:id="51"/>
      <w:bookmarkEnd w:id="52"/>
      <w:bookmarkEnd w:id="53"/>
      <w:bookmarkEnd w:id="54"/>
      <w:bookmarkEnd w:id="55"/>
      <w:bookmarkEnd w:id="56"/>
      <w:bookmarkEnd w:id="57"/>
      <w:bookmarkEnd w:id="58"/>
      <w:bookmarkEnd w:id="59"/>
    </w:p>
    <w:p>
      <w:pPr>
        <w:spacing w:line="360" w:lineRule="auto"/>
        <w:ind w:firstLine="420" w:firstLineChars="200"/>
        <w:rPr>
          <w:rFonts w:ascii="宋体" w:hAnsi="宋体"/>
          <w:szCs w:val="21"/>
        </w:rPr>
      </w:pPr>
      <w:r>
        <w:rPr>
          <w:rFonts w:hint="eastAsia" w:ascii="宋体" w:hAnsi="宋体"/>
          <w:szCs w:val="21"/>
        </w:rPr>
        <w:t>1.3.1　本次招标范围：见投标人须知前附表。</w:t>
      </w:r>
    </w:p>
    <w:p>
      <w:pPr>
        <w:spacing w:line="360" w:lineRule="auto"/>
        <w:ind w:firstLine="420" w:firstLineChars="200"/>
        <w:rPr>
          <w:rFonts w:ascii="宋体" w:hAnsi="宋体"/>
          <w:szCs w:val="21"/>
        </w:rPr>
      </w:pPr>
      <w:r>
        <w:rPr>
          <w:rFonts w:hint="eastAsia" w:ascii="宋体" w:hAnsi="宋体"/>
          <w:szCs w:val="21"/>
        </w:rPr>
        <w:t>1.3.2　本招标项目的计划工期：见投标人须知前附表。</w:t>
      </w:r>
    </w:p>
    <w:p>
      <w:pPr>
        <w:spacing w:line="360" w:lineRule="auto"/>
        <w:ind w:firstLine="420" w:firstLineChars="200"/>
        <w:rPr>
          <w:rFonts w:ascii="宋体" w:hAnsi="宋体"/>
          <w:szCs w:val="21"/>
        </w:rPr>
      </w:pPr>
      <w:r>
        <w:rPr>
          <w:rFonts w:hint="eastAsia" w:ascii="宋体" w:hAnsi="宋体"/>
          <w:szCs w:val="21"/>
        </w:rPr>
        <w:t>1.3.3　本招标项目的质量要求：见投标人须知前附表。</w:t>
      </w:r>
    </w:p>
    <w:p>
      <w:pPr>
        <w:pStyle w:val="5"/>
        <w:rPr>
          <w:rFonts w:ascii="宋体" w:hAnsi="宋体"/>
          <w:szCs w:val="21"/>
        </w:rPr>
      </w:pPr>
      <w:bookmarkStart w:id="60" w:name="_Toc10825"/>
      <w:bookmarkStart w:id="61" w:name="_Toc238444658"/>
      <w:bookmarkStart w:id="62" w:name="_Toc239129401"/>
      <w:bookmarkStart w:id="63" w:name="_Toc244076316"/>
      <w:bookmarkStart w:id="64" w:name="_Toc286853475"/>
      <w:bookmarkStart w:id="65" w:name="_Toc509493337"/>
      <w:bookmarkStart w:id="66" w:name="_Toc238445325"/>
      <w:bookmarkStart w:id="67" w:name="_Toc243992958"/>
      <w:bookmarkStart w:id="68" w:name="_Toc475172019"/>
      <w:r>
        <w:rPr>
          <w:rFonts w:hint="eastAsia" w:ascii="宋体" w:hAnsi="宋体"/>
          <w:sz w:val="21"/>
          <w:szCs w:val="21"/>
        </w:rPr>
        <w:t>1.4　投标人资格要求</w:t>
      </w:r>
      <w:bookmarkEnd w:id="60"/>
      <w:bookmarkEnd w:id="61"/>
      <w:bookmarkEnd w:id="62"/>
      <w:bookmarkEnd w:id="63"/>
      <w:bookmarkEnd w:id="64"/>
      <w:bookmarkEnd w:id="65"/>
      <w:bookmarkEnd w:id="66"/>
      <w:bookmarkEnd w:id="67"/>
      <w:bookmarkEnd w:id="68"/>
    </w:p>
    <w:p>
      <w:pPr>
        <w:spacing w:line="360" w:lineRule="auto"/>
        <w:ind w:firstLine="420" w:firstLineChars="200"/>
        <w:rPr>
          <w:rFonts w:ascii="宋体" w:hAnsi="宋体"/>
          <w:szCs w:val="21"/>
        </w:rPr>
      </w:pPr>
      <w:r>
        <w:rPr>
          <w:rFonts w:hint="eastAsia" w:ascii="宋体" w:hAnsi="宋体"/>
          <w:szCs w:val="21"/>
        </w:rPr>
        <w:t>1.4.1　投标人资格审查方式：资格后审</w:t>
      </w:r>
    </w:p>
    <w:p>
      <w:pPr>
        <w:spacing w:line="360" w:lineRule="auto"/>
        <w:ind w:left="359" w:leftChars="171" w:firstLine="478" w:firstLineChars="228"/>
        <w:rPr>
          <w:rFonts w:ascii="宋体" w:hAnsi="宋体"/>
          <w:szCs w:val="21"/>
        </w:rPr>
      </w:pPr>
      <w:r>
        <w:rPr>
          <w:rFonts w:hint="eastAsia" w:ascii="宋体" w:hAnsi="宋体"/>
          <w:szCs w:val="21"/>
        </w:rPr>
        <w:t>对投标人资格进行后审的，投标人应具备承担本招标项目施工的资质条件、能力和信誉，具体要求（与招标公告或投标邀请书的要求相同）见投标人须知前附表。</w:t>
      </w:r>
    </w:p>
    <w:p>
      <w:pPr>
        <w:spacing w:line="360" w:lineRule="auto"/>
        <w:ind w:firstLine="420" w:firstLineChars="200"/>
        <w:rPr>
          <w:rFonts w:ascii="宋体" w:hAnsi="宋体"/>
          <w:szCs w:val="21"/>
        </w:rPr>
      </w:pPr>
      <w:r>
        <w:rPr>
          <w:rFonts w:hint="eastAsia" w:ascii="宋体" w:hAnsi="宋体"/>
          <w:szCs w:val="21"/>
        </w:rPr>
        <w:t>1.4.2　投标人须知前附表规定接受联合体投标的，除应符合投标人须知前附表关于投标人资质条件、能力和信誉的要求外，还应遵守以下规定：</w:t>
      </w:r>
    </w:p>
    <w:p>
      <w:pPr>
        <w:spacing w:line="360" w:lineRule="auto"/>
        <w:ind w:firstLine="420" w:firstLineChars="200"/>
        <w:rPr>
          <w:rFonts w:ascii="宋体" w:hAnsi="宋体"/>
          <w:szCs w:val="21"/>
        </w:rPr>
      </w:pPr>
      <w:r>
        <w:rPr>
          <w:rFonts w:hint="eastAsia" w:ascii="宋体" w:hAnsi="宋体"/>
          <w:szCs w:val="21"/>
        </w:rPr>
        <w:t>(1) 联合体各方应按招标文件提供的格式签订联合体协议书，明确联合体牵头人和各方权利义务；</w:t>
      </w:r>
    </w:p>
    <w:p>
      <w:pPr>
        <w:spacing w:line="360" w:lineRule="auto"/>
        <w:ind w:firstLine="420" w:firstLineChars="200"/>
        <w:rPr>
          <w:rFonts w:ascii="宋体" w:hAnsi="宋体"/>
          <w:szCs w:val="21"/>
        </w:rPr>
      </w:pPr>
      <w:r>
        <w:rPr>
          <w:rFonts w:hint="eastAsia" w:ascii="宋体" w:hAnsi="宋体"/>
          <w:szCs w:val="21"/>
        </w:rPr>
        <w:t>(2) 由同一专业的单位组成的联合体，按照资质等级较低的单位确定资质等级；</w:t>
      </w:r>
    </w:p>
    <w:p>
      <w:pPr>
        <w:spacing w:line="360" w:lineRule="auto"/>
        <w:ind w:firstLine="420" w:firstLineChars="200"/>
        <w:rPr>
          <w:rFonts w:ascii="宋体" w:hAnsi="宋体"/>
          <w:szCs w:val="21"/>
        </w:rPr>
      </w:pPr>
      <w:r>
        <w:rPr>
          <w:rFonts w:hint="eastAsia" w:ascii="宋体" w:hAnsi="宋体"/>
          <w:szCs w:val="21"/>
        </w:rPr>
        <w:t>(3) 联合体各方不得再以自己名义单独或参加其他联合体在同一招标标段中投标。</w:t>
      </w:r>
    </w:p>
    <w:p>
      <w:pPr>
        <w:spacing w:line="360" w:lineRule="auto"/>
        <w:ind w:firstLine="420" w:firstLineChars="200"/>
        <w:rPr>
          <w:rFonts w:ascii="宋体" w:hAnsi="宋体"/>
          <w:szCs w:val="21"/>
        </w:rPr>
      </w:pPr>
      <w:r>
        <w:rPr>
          <w:rFonts w:hint="eastAsia" w:ascii="宋体" w:hAnsi="宋体"/>
          <w:szCs w:val="21"/>
        </w:rPr>
        <w:t>1.4.3　投标人不得存在下列情形之一：</w:t>
      </w:r>
    </w:p>
    <w:p>
      <w:pPr>
        <w:spacing w:line="360" w:lineRule="auto"/>
        <w:ind w:firstLine="420" w:firstLineChars="200"/>
        <w:rPr>
          <w:rFonts w:ascii="宋体" w:hAnsi="宋体"/>
          <w:szCs w:val="21"/>
        </w:rPr>
      </w:pPr>
      <w:r>
        <w:rPr>
          <w:rFonts w:hint="eastAsia" w:ascii="宋体" w:hAnsi="宋体"/>
          <w:szCs w:val="21"/>
        </w:rPr>
        <w:t>(1) 为招标人不具有独立法人资格的附属机构（单位）；</w:t>
      </w:r>
    </w:p>
    <w:p>
      <w:pPr>
        <w:spacing w:line="360" w:lineRule="auto"/>
        <w:ind w:firstLine="420" w:firstLineChars="200"/>
        <w:rPr>
          <w:rFonts w:ascii="宋体" w:hAnsi="宋体"/>
          <w:szCs w:val="21"/>
        </w:rPr>
      </w:pPr>
      <w:r>
        <w:rPr>
          <w:rFonts w:hint="eastAsia" w:ascii="宋体" w:hAnsi="宋体"/>
          <w:szCs w:val="21"/>
        </w:rPr>
        <w:t>(2) 为本招标项目前期准备提供设计或咨询服务的，但设计施工总承包的除外；</w:t>
      </w:r>
    </w:p>
    <w:p>
      <w:pPr>
        <w:spacing w:line="360" w:lineRule="auto"/>
        <w:ind w:firstLine="420" w:firstLineChars="200"/>
        <w:rPr>
          <w:rFonts w:ascii="宋体" w:hAnsi="宋体"/>
          <w:szCs w:val="21"/>
        </w:rPr>
      </w:pPr>
      <w:r>
        <w:rPr>
          <w:rFonts w:hint="eastAsia" w:ascii="宋体" w:hAnsi="宋体"/>
          <w:szCs w:val="21"/>
        </w:rPr>
        <w:t>(3) 为本招标项目的监理人；</w:t>
      </w:r>
    </w:p>
    <w:p>
      <w:pPr>
        <w:spacing w:line="360" w:lineRule="auto"/>
        <w:ind w:firstLine="420" w:firstLineChars="200"/>
        <w:rPr>
          <w:rFonts w:ascii="宋体" w:hAnsi="宋体"/>
          <w:szCs w:val="21"/>
        </w:rPr>
      </w:pPr>
      <w:r>
        <w:rPr>
          <w:rFonts w:hint="eastAsia" w:ascii="宋体" w:hAnsi="宋体"/>
          <w:szCs w:val="21"/>
        </w:rPr>
        <w:t>(4) 为本招标项目的代建人；</w:t>
      </w:r>
    </w:p>
    <w:p>
      <w:pPr>
        <w:spacing w:line="360" w:lineRule="auto"/>
        <w:ind w:firstLine="420" w:firstLineChars="200"/>
        <w:rPr>
          <w:rFonts w:ascii="宋体" w:hAnsi="宋体"/>
          <w:szCs w:val="21"/>
        </w:rPr>
      </w:pPr>
      <w:r>
        <w:rPr>
          <w:rFonts w:hint="eastAsia" w:ascii="宋体" w:hAnsi="宋体"/>
          <w:szCs w:val="21"/>
        </w:rPr>
        <w:t>(5) 为本招标项目提供招标代理服务的；</w:t>
      </w:r>
    </w:p>
    <w:p>
      <w:pPr>
        <w:spacing w:line="360" w:lineRule="auto"/>
        <w:ind w:firstLine="420" w:firstLineChars="200"/>
        <w:rPr>
          <w:rFonts w:ascii="宋体" w:hAnsi="宋体"/>
          <w:szCs w:val="21"/>
        </w:rPr>
      </w:pPr>
      <w:r>
        <w:rPr>
          <w:rFonts w:hint="eastAsia" w:ascii="宋体" w:hAnsi="宋体"/>
          <w:szCs w:val="21"/>
        </w:rPr>
        <w:t>(6) 与本招标项目的监理人或代建人或招标代理机构同为一个法定代表人的；</w:t>
      </w:r>
    </w:p>
    <w:p>
      <w:pPr>
        <w:spacing w:line="360" w:lineRule="auto"/>
        <w:ind w:firstLine="420" w:firstLineChars="200"/>
        <w:rPr>
          <w:rFonts w:ascii="宋体" w:hAnsi="宋体"/>
          <w:szCs w:val="21"/>
        </w:rPr>
      </w:pPr>
      <w:r>
        <w:rPr>
          <w:rFonts w:hint="eastAsia" w:ascii="宋体" w:hAnsi="宋体"/>
          <w:szCs w:val="21"/>
        </w:rPr>
        <w:t>(7) 与本招标项目的监理人或代建人或招标代理机构相互控股或参股的；</w:t>
      </w:r>
    </w:p>
    <w:p>
      <w:pPr>
        <w:spacing w:line="360" w:lineRule="auto"/>
        <w:ind w:firstLine="420" w:firstLineChars="200"/>
        <w:rPr>
          <w:rFonts w:ascii="宋体" w:hAnsi="宋体"/>
          <w:szCs w:val="21"/>
        </w:rPr>
      </w:pPr>
      <w:r>
        <w:rPr>
          <w:rFonts w:hint="eastAsia" w:ascii="宋体" w:hAnsi="宋体"/>
          <w:szCs w:val="21"/>
        </w:rPr>
        <w:t>(8) 与本招标项目的监理人或代建人或招标代理机构相互任职或工作的；</w:t>
      </w:r>
    </w:p>
    <w:p>
      <w:pPr>
        <w:spacing w:line="360" w:lineRule="auto"/>
        <w:ind w:firstLine="420" w:firstLineChars="200"/>
        <w:rPr>
          <w:rFonts w:ascii="宋体" w:hAnsi="宋体"/>
          <w:szCs w:val="21"/>
        </w:rPr>
      </w:pPr>
      <w:r>
        <w:rPr>
          <w:rFonts w:hint="eastAsia" w:ascii="宋体" w:hAnsi="宋体"/>
          <w:szCs w:val="21"/>
        </w:rPr>
        <w:t>(9) 被责令停业的；</w:t>
      </w:r>
    </w:p>
    <w:p>
      <w:pPr>
        <w:spacing w:line="360" w:lineRule="auto"/>
        <w:ind w:firstLine="420" w:firstLineChars="200"/>
        <w:rPr>
          <w:rFonts w:ascii="宋体" w:hAnsi="宋体"/>
          <w:szCs w:val="21"/>
        </w:rPr>
      </w:pPr>
      <w:r>
        <w:rPr>
          <w:rFonts w:hint="eastAsia" w:ascii="宋体" w:hAnsi="宋体"/>
          <w:szCs w:val="21"/>
        </w:rPr>
        <w:t>(10) 被暂停或取消投标资格的；</w:t>
      </w:r>
    </w:p>
    <w:p>
      <w:pPr>
        <w:spacing w:line="360" w:lineRule="auto"/>
        <w:ind w:firstLine="420" w:firstLineChars="200"/>
        <w:rPr>
          <w:rFonts w:ascii="宋体" w:hAnsi="宋体"/>
          <w:szCs w:val="21"/>
        </w:rPr>
      </w:pPr>
      <w:r>
        <w:rPr>
          <w:rFonts w:hint="eastAsia" w:ascii="宋体" w:hAnsi="宋体"/>
          <w:szCs w:val="21"/>
        </w:rPr>
        <w:t>(11) 其它法律法规规定投标人不得存在的情形。</w:t>
      </w:r>
    </w:p>
    <w:p>
      <w:pPr>
        <w:spacing w:line="360" w:lineRule="auto"/>
        <w:ind w:firstLine="420" w:firstLineChars="200"/>
        <w:rPr>
          <w:rFonts w:ascii="宋体" w:hAnsi="宋体"/>
          <w:szCs w:val="21"/>
        </w:rPr>
      </w:pPr>
      <w:r>
        <w:rPr>
          <w:rFonts w:hint="eastAsia" w:ascii="宋体" w:hAnsi="宋体"/>
          <w:szCs w:val="21"/>
        </w:rPr>
        <w:t>1.4.4  省外投标人应当按照《甘肃省建筑市场管理条例》等相关规定办理相关手续。</w:t>
      </w:r>
    </w:p>
    <w:p>
      <w:pPr>
        <w:pStyle w:val="5"/>
        <w:rPr>
          <w:rFonts w:ascii="宋体" w:hAnsi="宋体"/>
          <w:sz w:val="21"/>
          <w:szCs w:val="21"/>
        </w:rPr>
      </w:pPr>
      <w:bookmarkStart w:id="69" w:name="_Toc238444659"/>
      <w:bookmarkStart w:id="70" w:name="_Toc244076317"/>
      <w:bookmarkStart w:id="71" w:name="_Toc509493338"/>
      <w:bookmarkStart w:id="72" w:name="_Toc238445326"/>
      <w:bookmarkStart w:id="73" w:name="_Toc239129402"/>
      <w:bookmarkStart w:id="74" w:name="_Toc475172020"/>
      <w:bookmarkStart w:id="75" w:name="_Toc26810"/>
      <w:bookmarkStart w:id="76" w:name="_Toc243992959"/>
      <w:bookmarkStart w:id="77" w:name="_Toc286853476"/>
      <w:r>
        <w:rPr>
          <w:rFonts w:hint="eastAsia" w:ascii="宋体" w:hAnsi="宋体"/>
          <w:sz w:val="21"/>
          <w:szCs w:val="21"/>
        </w:rPr>
        <w:t>1.5　费用承担</w:t>
      </w:r>
      <w:bookmarkEnd w:id="69"/>
      <w:bookmarkEnd w:id="70"/>
      <w:bookmarkEnd w:id="71"/>
      <w:bookmarkEnd w:id="72"/>
      <w:bookmarkEnd w:id="73"/>
      <w:bookmarkEnd w:id="74"/>
      <w:bookmarkEnd w:id="75"/>
      <w:bookmarkEnd w:id="76"/>
      <w:bookmarkEnd w:id="77"/>
    </w:p>
    <w:p>
      <w:pPr>
        <w:spacing w:line="360" w:lineRule="auto"/>
        <w:ind w:firstLine="420" w:firstLineChars="200"/>
        <w:rPr>
          <w:rFonts w:ascii="宋体" w:hAnsi="宋体"/>
          <w:szCs w:val="21"/>
        </w:rPr>
      </w:pPr>
      <w:r>
        <w:rPr>
          <w:rFonts w:hint="eastAsia" w:ascii="宋体" w:hAnsi="宋体"/>
          <w:szCs w:val="21"/>
        </w:rPr>
        <w:t>1.5.1投标人准备和参加投标活动发生的费用自理。</w:t>
      </w:r>
    </w:p>
    <w:p>
      <w:pPr>
        <w:spacing w:line="360" w:lineRule="auto"/>
        <w:ind w:firstLine="420" w:firstLineChars="200"/>
        <w:rPr>
          <w:rFonts w:ascii="宋体" w:hAnsi="宋体"/>
          <w:szCs w:val="21"/>
        </w:rPr>
      </w:pPr>
      <w:r>
        <w:rPr>
          <w:rFonts w:hint="eastAsia" w:ascii="宋体" w:hAnsi="宋体"/>
          <w:szCs w:val="21"/>
        </w:rPr>
        <w:t>1.5.2本项目招标代理服务费由中标方支付。</w:t>
      </w:r>
    </w:p>
    <w:p>
      <w:pPr>
        <w:pStyle w:val="5"/>
        <w:rPr>
          <w:rFonts w:ascii="宋体" w:hAnsi="宋体"/>
          <w:sz w:val="21"/>
          <w:szCs w:val="21"/>
        </w:rPr>
      </w:pPr>
      <w:bookmarkStart w:id="78" w:name="_Toc509493339"/>
      <w:bookmarkStart w:id="79" w:name="_Toc243992960"/>
      <w:bookmarkStart w:id="80" w:name="_Toc238445327"/>
      <w:bookmarkStart w:id="81" w:name="_Toc475172021"/>
      <w:bookmarkStart w:id="82" w:name="_Toc30887"/>
      <w:bookmarkStart w:id="83" w:name="_Toc286853477"/>
      <w:bookmarkStart w:id="84" w:name="_Toc239129403"/>
      <w:bookmarkStart w:id="85" w:name="_Toc238444660"/>
      <w:bookmarkStart w:id="86" w:name="_Toc244076318"/>
      <w:r>
        <w:rPr>
          <w:rFonts w:hint="eastAsia" w:ascii="宋体" w:hAnsi="宋体"/>
          <w:sz w:val="21"/>
          <w:szCs w:val="21"/>
        </w:rPr>
        <w:t>1.6　保密</w:t>
      </w:r>
      <w:bookmarkEnd w:id="78"/>
      <w:bookmarkEnd w:id="79"/>
      <w:bookmarkEnd w:id="80"/>
      <w:bookmarkEnd w:id="81"/>
      <w:bookmarkEnd w:id="82"/>
      <w:bookmarkEnd w:id="83"/>
      <w:bookmarkEnd w:id="84"/>
      <w:bookmarkEnd w:id="85"/>
      <w:bookmarkEnd w:id="86"/>
    </w:p>
    <w:p>
      <w:pPr>
        <w:spacing w:line="360" w:lineRule="auto"/>
        <w:ind w:firstLine="420" w:firstLineChars="200"/>
        <w:rPr>
          <w:rFonts w:ascii="宋体" w:hAnsi="宋体"/>
          <w:szCs w:val="21"/>
        </w:rPr>
      </w:pPr>
      <w:r>
        <w:rPr>
          <w:rFonts w:hint="eastAsia" w:ascii="宋体" w:hAnsi="宋体"/>
          <w:szCs w:val="21"/>
        </w:rPr>
        <w:t>参与招标投标活动的各方应对招标文件和投标文件中的商业和技术等秘密保密，违者应对由此造成的后果承担法律责任。</w:t>
      </w:r>
    </w:p>
    <w:p>
      <w:pPr>
        <w:pStyle w:val="5"/>
        <w:rPr>
          <w:rFonts w:ascii="宋体" w:hAnsi="宋体"/>
          <w:sz w:val="21"/>
          <w:szCs w:val="21"/>
        </w:rPr>
      </w:pPr>
      <w:bookmarkStart w:id="87" w:name="_Toc26388"/>
      <w:bookmarkStart w:id="88" w:name="_Toc243992961"/>
      <w:bookmarkStart w:id="89" w:name="_Toc286853478"/>
      <w:bookmarkStart w:id="90" w:name="_Toc244076319"/>
      <w:bookmarkStart w:id="91" w:name="_Toc238445328"/>
      <w:bookmarkStart w:id="92" w:name="_Toc509493340"/>
      <w:bookmarkStart w:id="93" w:name="_Toc238444661"/>
      <w:bookmarkStart w:id="94" w:name="_Toc475172022"/>
      <w:bookmarkStart w:id="95" w:name="_Toc239129404"/>
      <w:r>
        <w:rPr>
          <w:rFonts w:hint="eastAsia" w:ascii="宋体" w:hAnsi="宋体"/>
          <w:sz w:val="21"/>
          <w:szCs w:val="21"/>
        </w:rPr>
        <w:t>1.7　语言文字</w:t>
      </w:r>
      <w:bookmarkEnd w:id="87"/>
      <w:bookmarkEnd w:id="88"/>
      <w:bookmarkEnd w:id="89"/>
      <w:bookmarkEnd w:id="90"/>
      <w:bookmarkEnd w:id="91"/>
      <w:bookmarkEnd w:id="92"/>
      <w:bookmarkEnd w:id="93"/>
      <w:bookmarkEnd w:id="94"/>
      <w:bookmarkEnd w:id="95"/>
    </w:p>
    <w:p>
      <w:pPr>
        <w:spacing w:line="360" w:lineRule="auto"/>
        <w:ind w:firstLine="420" w:firstLineChars="200"/>
        <w:rPr>
          <w:rFonts w:ascii="宋体" w:hAnsi="宋体"/>
          <w:szCs w:val="21"/>
        </w:rPr>
      </w:pPr>
      <w:r>
        <w:rPr>
          <w:rFonts w:hint="eastAsia" w:ascii="宋体" w:hAnsi="宋体"/>
          <w:szCs w:val="21"/>
        </w:rPr>
        <w:t>除专用术语外，与招标投标有关的语言均使用中文。必要时专用术语应附有中文注释。</w:t>
      </w:r>
    </w:p>
    <w:p>
      <w:pPr>
        <w:pStyle w:val="5"/>
        <w:rPr>
          <w:rFonts w:ascii="宋体" w:hAnsi="宋体"/>
          <w:sz w:val="21"/>
          <w:szCs w:val="21"/>
        </w:rPr>
      </w:pPr>
      <w:bookmarkStart w:id="96" w:name="_Toc238445329"/>
      <w:bookmarkStart w:id="97" w:name="_Toc244076320"/>
      <w:bookmarkStart w:id="98" w:name="_Toc286853479"/>
      <w:bookmarkStart w:id="99" w:name="_Toc238444662"/>
      <w:bookmarkStart w:id="100" w:name="_Toc239129405"/>
      <w:bookmarkStart w:id="101" w:name="_Toc509493341"/>
      <w:bookmarkStart w:id="102" w:name="_Toc475172023"/>
      <w:bookmarkStart w:id="103" w:name="_Toc358"/>
      <w:bookmarkStart w:id="104" w:name="_Toc243992962"/>
      <w:r>
        <w:rPr>
          <w:rFonts w:hint="eastAsia" w:ascii="宋体" w:hAnsi="宋体"/>
          <w:sz w:val="21"/>
          <w:szCs w:val="21"/>
        </w:rPr>
        <w:t>1.8　计量单位</w:t>
      </w:r>
      <w:bookmarkEnd w:id="96"/>
      <w:bookmarkEnd w:id="97"/>
      <w:bookmarkEnd w:id="98"/>
      <w:bookmarkEnd w:id="99"/>
      <w:bookmarkEnd w:id="100"/>
      <w:bookmarkEnd w:id="101"/>
      <w:bookmarkEnd w:id="102"/>
      <w:bookmarkEnd w:id="103"/>
      <w:bookmarkEnd w:id="104"/>
    </w:p>
    <w:p>
      <w:pPr>
        <w:spacing w:line="360" w:lineRule="auto"/>
        <w:ind w:firstLine="420" w:firstLineChars="200"/>
        <w:rPr>
          <w:rFonts w:ascii="宋体" w:hAnsi="宋体"/>
          <w:szCs w:val="21"/>
        </w:rPr>
      </w:pPr>
      <w:r>
        <w:rPr>
          <w:rFonts w:hint="eastAsia" w:ascii="宋体" w:hAnsi="宋体"/>
          <w:szCs w:val="21"/>
        </w:rPr>
        <w:t>所有计量均采用中华人民共和国法定计量单位。</w:t>
      </w:r>
    </w:p>
    <w:p>
      <w:pPr>
        <w:pStyle w:val="5"/>
        <w:rPr>
          <w:rFonts w:ascii="宋体" w:hAnsi="宋体"/>
          <w:sz w:val="21"/>
          <w:szCs w:val="21"/>
        </w:rPr>
      </w:pPr>
      <w:bookmarkStart w:id="105" w:name="_Toc276"/>
      <w:bookmarkStart w:id="106" w:name="_Toc238445330"/>
      <w:bookmarkStart w:id="107" w:name="_Toc238444663"/>
      <w:bookmarkStart w:id="108" w:name="_Toc286853480"/>
      <w:bookmarkStart w:id="109" w:name="_Toc509493342"/>
      <w:bookmarkStart w:id="110" w:name="_Toc244076321"/>
      <w:bookmarkStart w:id="111" w:name="_Toc475172024"/>
      <w:bookmarkStart w:id="112" w:name="_Toc239129406"/>
      <w:bookmarkStart w:id="113" w:name="_Toc243992963"/>
      <w:r>
        <w:rPr>
          <w:rFonts w:hint="eastAsia" w:ascii="宋体" w:hAnsi="宋体"/>
          <w:sz w:val="21"/>
          <w:szCs w:val="21"/>
        </w:rPr>
        <w:t>1.9　踏勘现场</w:t>
      </w:r>
      <w:bookmarkEnd w:id="105"/>
      <w:bookmarkEnd w:id="106"/>
      <w:bookmarkEnd w:id="107"/>
      <w:bookmarkEnd w:id="108"/>
      <w:bookmarkEnd w:id="109"/>
      <w:bookmarkEnd w:id="110"/>
      <w:bookmarkEnd w:id="111"/>
      <w:bookmarkEnd w:id="112"/>
      <w:bookmarkEnd w:id="113"/>
    </w:p>
    <w:p>
      <w:pPr>
        <w:spacing w:line="360" w:lineRule="auto"/>
        <w:ind w:firstLine="420" w:firstLineChars="200"/>
        <w:rPr>
          <w:rFonts w:ascii="宋体" w:hAnsi="宋体"/>
          <w:szCs w:val="21"/>
        </w:rPr>
      </w:pPr>
      <w:r>
        <w:rPr>
          <w:rFonts w:hint="eastAsia" w:ascii="宋体" w:hAnsi="宋体"/>
          <w:szCs w:val="21"/>
        </w:rPr>
        <w:t>1.9.1　投标人须知前附表规定组织踏勘现场的，招标人按投标人须知前附表规定的时间和地点组织投标人踏勘项目现场。</w:t>
      </w:r>
    </w:p>
    <w:p>
      <w:pPr>
        <w:spacing w:line="360" w:lineRule="auto"/>
        <w:ind w:firstLine="420" w:firstLineChars="200"/>
        <w:rPr>
          <w:rFonts w:ascii="宋体" w:hAnsi="宋体"/>
          <w:szCs w:val="21"/>
        </w:rPr>
      </w:pPr>
      <w:r>
        <w:rPr>
          <w:rFonts w:hint="eastAsia" w:ascii="宋体" w:hAnsi="宋体"/>
          <w:szCs w:val="21"/>
        </w:rPr>
        <w:t>1.9.2　投标人踏勘现场发生的费用自理。</w:t>
      </w:r>
    </w:p>
    <w:p>
      <w:pPr>
        <w:spacing w:line="360" w:lineRule="auto"/>
        <w:ind w:firstLine="420" w:firstLineChars="200"/>
        <w:rPr>
          <w:rFonts w:ascii="宋体" w:hAnsi="宋体"/>
          <w:szCs w:val="21"/>
        </w:rPr>
      </w:pPr>
      <w:r>
        <w:rPr>
          <w:rFonts w:hint="eastAsia" w:ascii="宋体" w:hAnsi="宋体"/>
          <w:szCs w:val="21"/>
        </w:rPr>
        <w:t>1.9.3　除招标人的原因外，投标人自行负责在踏勘现场中所发生的人员伤亡和财产损失。</w:t>
      </w:r>
    </w:p>
    <w:p>
      <w:pPr>
        <w:spacing w:line="360" w:lineRule="auto"/>
        <w:ind w:firstLine="420" w:firstLineChars="200"/>
        <w:rPr>
          <w:rFonts w:ascii="宋体" w:hAnsi="宋体"/>
          <w:szCs w:val="21"/>
        </w:rPr>
      </w:pPr>
      <w:r>
        <w:rPr>
          <w:rFonts w:hint="eastAsia" w:ascii="宋体" w:hAnsi="宋体"/>
          <w:szCs w:val="21"/>
        </w:rPr>
        <w:t>1.9.4　招标人在踏勘现场中介绍的工程场地和相关的周边环境情况，供投标人在编制投标文件时参考，招标人不对投标人据此作出的判断和决策负责。</w:t>
      </w:r>
    </w:p>
    <w:p>
      <w:pPr>
        <w:pStyle w:val="5"/>
        <w:rPr>
          <w:rFonts w:ascii="宋体" w:hAnsi="宋体"/>
          <w:sz w:val="21"/>
          <w:szCs w:val="21"/>
        </w:rPr>
      </w:pPr>
      <w:bookmarkStart w:id="114" w:name="_Toc239129407"/>
      <w:bookmarkStart w:id="115" w:name="_Toc244076322"/>
      <w:bookmarkStart w:id="116" w:name="_Toc22475"/>
      <w:bookmarkStart w:id="117" w:name="_Toc238445331"/>
      <w:bookmarkStart w:id="118" w:name="_Toc243992964"/>
      <w:bookmarkStart w:id="119" w:name="_Toc286853481"/>
      <w:bookmarkStart w:id="120" w:name="_Toc475172025"/>
      <w:bookmarkStart w:id="121" w:name="_Toc509493343"/>
      <w:bookmarkStart w:id="122" w:name="_Toc238444664"/>
      <w:r>
        <w:rPr>
          <w:rFonts w:hint="eastAsia" w:ascii="宋体" w:hAnsi="宋体"/>
          <w:sz w:val="21"/>
          <w:szCs w:val="21"/>
        </w:rPr>
        <w:t>1.10  投标预备会</w:t>
      </w:r>
      <w:bookmarkEnd w:id="114"/>
      <w:bookmarkEnd w:id="115"/>
      <w:bookmarkEnd w:id="116"/>
      <w:bookmarkEnd w:id="117"/>
      <w:bookmarkEnd w:id="118"/>
      <w:bookmarkEnd w:id="119"/>
      <w:bookmarkEnd w:id="120"/>
      <w:bookmarkEnd w:id="121"/>
      <w:bookmarkEnd w:id="122"/>
    </w:p>
    <w:p>
      <w:pPr>
        <w:spacing w:line="360" w:lineRule="auto"/>
        <w:ind w:firstLine="420" w:firstLineChars="200"/>
        <w:rPr>
          <w:rFonts w:ascii="宋体" w:hAnsi="宋体"/>
          <w:szCs w:val="21"/>
        </w:rPr>
      </w:pPr>
      <w:r>
        <w:rPr>
          <w:rFonts w:hint="eastAsia" w:ascii="宋体" w:hAnsi="宋体"/>
          <w:szCs w:val="21"/>
        </w:rPr>
        <w:t>投标人须知前附表规定召开投标预备会的，招标人按投标人须知前附表规定的时间和地点召开投标预备会，澄清投标人提出的问题。</w:t>
      </w:r>
    </w:p>
    <w:p>
      <w:pPr>
        <w:pStyle w:val="5"/>
        <w:rPr>
          <w:rFonts w:ascii="宋体" w:hAnsi="宋体"/>
          <w:sz w:val="21"/>
          <w:szCs w:val="21"/>
        </w:rPr>
      </w:pPr>
      <w:bookmarkStart w:id="123" w:name="_Toc243992965"/>
      <w:bookmarkStart w:id="124" w:name="_Toc239129408"/>
      <w:bookmarkStart w:id="125" w:name="_Toc475172026"/>
      <w:bookmarkStart w:id="126" w:name="_Toc286853482"/>
      <w:bookmarkStart w:id="127" w:name="_Toc238444665"/>
      <w:bookmarkStart w:id="128" w:name="_Toc19791"/>
      <w:bookmarkStart w:id="129" w:name="_Toc509493344"/>
      <w:bookmarkStart w:id="130" w:name="_Toc238445332"/>
      <w:bookmarkStart w:id="131" w:name="_Toc244076323"/>
      <w:r>
        <w:rPr>
          <w:rFonts w:hint="eastAsia" w:ascii="宋体" w:hAnsi="宋体"/>
          <w:sz w:val="21"/>
          <w:szCs w:val="21"/>
        </w:rPr>
        <w:t>1.11　分包</w:t>
      </w:r>
      <w:bookmarkEnd w:id="123"/>
      <w:bookmarkEnd w:id="124"/>
      <w:bookmarkEnd w:id="125"/>
      <w:bookmarkEnd w:id="126"/>
      <w:bookmarkEnd w:id="127"/>
      <w:bookmarkEnd w:id="128"/>
      <w:bookmarkEnd w:id="129"/>
      <w:bookmarkEnd w:id="130"/>
      <w:bookmarkEnd w:id="131"/>
    </w:p>
    <w:p>
      <w:pPr>
        <w:spacing w:line="360" w:lineRule="auto"/>
        <w:ind w:firstLine="420" w:firstLineChars="200"/>
        <w:rPr>
          <w:rFonts w:ascii="宋体" w:hAnsi="宋体"/>
          <w:szCs w:val="21"/>
        </w:rPr>
      </w:pPr>
      <w:r>
        <w:rPr>
          <w:rFonts w:hint="eastAsia" w:ascii="宋体" w:hAnsi="宋体"/>
          <w:szCs w:val="21"/>
        </w:rPr>
        <w:t>投标人拟在中标后将中标项目的部分非主体、非关键性工作进行分包的，应符合投标人须知前附表规定的分包内容、分包金额和接受分包的第三人资质要求等限制性条件。</w:t>
      </w:r>
    </w:p>
    <w:p>
      <w:pPr>
        <w:pStyle w:val="5"/>
        <w:rPr>
          <w:rFonts w:ascii="宋体" w:hAnsi="宋体"/>
          <w:sz w:val="21"/>
          <w:szCs w:val="21"/>
        </w:rPr>
      </w:pPr>
      <w:bookmarkStart w:id="132" w:name="_Toc238444666"/>
      <w:bookmarkStart w:id="133" w:name="_Toc286853483"/>
      <w:bookmarkStart w:id="134" w:name="_Toc509493345"/>
      <w:bookmarkStart w:id="135" w:name="_Toc239129409"/>
      <w:bookmarkStart w:id="136" w:name="_Toc244076324"/>
      <w:bookmarkStart w:id="137" w:name="_Toc238445333"/>
      <w:bookmarkStart w:id="138" w:name="_Toc243992966"/>
      <w:bookmarkStart w:id="139" w:name="_Toc475172027"/>
      <w:bookmarkStart w:id="140" w:name="_Toc20214"/>
      <w:r>
        <w:rPr>
          <w:rFonts w:hint="eastAsia" w:ascii="宋体" w:hAnsi="宋体"/>
          <w:sz w:val="21"/>
          <w:szCs w:val="21"/>
        </w:rPr>
        <w:t>1.12  偏离</w:t>
      </w:r>
      <w:bookmarkEnd w:id="132"/>
      <w:bookmarkEnd w:id="133"/>
      <w:bookmarkEnd w:id="134"/>
      <w:bookmarkEnd w:id="135"/>
      <w:bookmarkEnd w:id="136"/>
      <w:bookmarkEnd w:id="137"/>
      <w:bookmarkEnd w:id="138"/>
      <w:bookmarkEnd w:id="139"/>
      <w:bookmarkEnd w:id="140"/>
    </w:p>
    <w:p>
      <w:pPr>
        <w:spacing w:line="360" w:lineRule="auto"/>
        <w:ind w:firstLine="420" w:firstLineChars="200"/>
        <w:rPr>
          <w:rFonts w:ascii="宋体" w:hAnsi="宋体"/>
          <w:szCs w:val="21"/>
        </w:rPr>
      </w:pPr>
      <w:r>
        <w:rPr>
          <w:rFonts w:hint="eastAsia" w:ascii="宋体" w:hAnsi="宋体"/>
          <w:szCs w:val="21"/>
        </w:rPr>
        <w:t>投标人须知前附表允许投标文件偏离招标文件某些要求的，偏离应当符合招标文件规定的偏离范围和幅度。</w:t>
      </w:r>
    </w:p>
    <w:p>
      <w:pPr>
        <w:pStyle w:val="4"/>
        <w:rPr>
          <w:rFonts w:ascii="宋体" w:hAnsi="宋体" w:eastAsia="宋体"/>
          <w:sz w:val="24"/>
          <w:szCs w:val="24"/>
        </w:rPr>
      </w:pPr>
      <w:bookmarkStart w:id="141" w:name="_Toc239129410"/>
      <w:bookmarkStart w:id="142" w:name="_Toc30173"/>
      <w:bookmarkStart w:id="143" w:name="_Toc184635072"/>
      <w:bookmarkStart w:id="144" w:name="_Toc243992967"/>
      <w:bookmarkStart w:id="145" w:name="_Toc509493346"/>
      <w:bookmarkStart w:id="146" w:name="_Toc244076325"/>
      <w:bookmarkStart w:id="147" w:name="_Toc286853484"/>
      <w:r>
        <w:rPr>
          <w:rFonts w:hint="eastAsia" w:ascii="宋体" w:hAnsi="宋体" w:eastAsia="宋体"/>
          <w:sz w:val="24"/>
          <w:szCs w:val="24"/>
        </w:rPr>
        <w:t>2．招标文件</w:t>
      </w:r>
      <w:bookmarkEnd w:id="141"/>
      <w:bookmarkEnd w:id="142"/>
      <w:bookmarkEnd w:id="143"/>
      <w:bookmarkEnd w:id="144"/>
      <w:bookmarkEnd w:id="145"/>
      <w:bookmarkEnd w:id="146"/>
      <w:bookmarkEnd w:id="147"/>
    </w:p>
    <w:p>
      <w:pPr>
        <w:pStyle w:val="5"/>
        <w:rPr>
          <w:rFonts w:ascii="宋体" w:hAnsi="宋体"/>
          <w:sz w:val="21"/>
          <w:szCs w:val="21"/>
        </w:rPr>
      </w:pPr>
      <w:bookmarkStart w:id="148" w:name="_Toc17992"/>
      <w:bookmarkStart w:id="149" w:name="_Toc286853485"/>
      <w:bookmarkStart w:id="150" w:name="_Toc238445335"/>
      <w:bookmarkStart w:id="151" w:name="_Toc509493347"/>
      <w:bookmarkStart w:id="152" w:name="_Toc239129411"/>
      <w:bookmarkStart w:id="153" w:name="_Toc238444668"/>
      <w:bookmarkStart w:id="154" w:name="_Toc244076326"/>
      <w:bookmarkStart w:id="155" w:name="_Toc243992968"/>
      <w:r>
        <w:rPr>
          <w:rFonts w:hint="eastAsia" w:ascii="宋体" w:hAnsi="宋体"/>
          <w:sz w:val="21"/>
          <w:szCs w:val="21"/>
        </w:rPr>
        <w:t>2.1　招标文件的组成</w:t>
      </w:r>
      <w:bookmarkEnd w:id="148"/>
      <w:bookmarkEnd w:id="149"/>
      <w:bookmarkEnd w:id="150"/>
      <w:bookmarkEnd w:id="151"/>
      <w:bookmarkEnd w:id="152"/>
      <w:bookmarkEnd w:id="153"/>
      <w:bookmarkEnd w:id="154"/>
      <w:bookmarkEnd w:id="155"/>
    </w:p>
    <w:p>
      <w:pPr>
        <w:spacing w:line="360" w:lineRule="auto"/>
        <w:ind w:firstLine="420" w:firstLineChars="200"/>
        <w:rPr>
          <w:rFonts w:ascii="宋体" w:hAnsi="宋体"/>
          <w:szCs w:val="21"/>
        </w:rPr>
      </w:pPr>
      <w:r>
        <w:rPr>
          <w:rFonts w:hint="eastAsia" w:ascii="宋体" w:hAnsi="宋体"/>
          <w:szCs w:val="21"/>
        </w:rPr>
        <w:t>本招标文件包括：</w:t>
      </w:r>
    </w:p>
    <w:p>
      <w:pPr>
        <w:spacing w:line="360" w:lineRule="auto"/>
        <w:ind w:firstLine="420" w:firstLineChars="200"/>
        <w:jc w:val="left"/>
        <w:rPr>
          <w:rFonts w:ascii="宋体" w:hAnsi="宋体"/>
          <w:szCs w:val="21"/>
        </w:rPr>
      </w:pPr>
      <w:r>
        <w:rPr>
          <w:rFonts w:hint="eastAsia" w:ascii="宋体" w:hAnsi="宋体"/>
          <w:szCs w:val="21"/>
        </w:rPr>
        <w:t>(1)招标公告</w:t>
      </w:r>
    </w:p>
    <w:p>
      <w:pPr>
        <w:spacing w:line="360" w:lineRule="auto"/>
        <w:ind w:firstLine="420" w:firstLineChars="200"/>
        <w:jc w:val="left"/>
        <w:rPr>
          <w:rFonts w:ascii="宋体" w:hAnsi="宋体"/>
          <w:szCs w:val="21"/>
        </w:rPr>
      </w:pPr>
      <w:r>
        <w:rPr>
          <w:rFonts w:hint="eastAsia" w:ascii="宋体" w:hAnsi="宋体"/>
          <w:szCs w:val="21"/>
        </w:rPr>
        <w:t>(2)投标人须知</w:t>
      </w:r>
    </w:p>
    <w:p>
      <w:pPr>
        <w:spacing w:line="360" w:lineRule="auto"/>
        <w:ind w:firstLine="420" w:firstLineChars="200"/>
        <w:jc w:val="left"/>
        <w:rPr>
          <w:rFonts w:ascii="宋体" w:hAnsi="宋体"/>
          <w:szCs w:val="21"/>
        </w:rPr>
      </w:pPr>
      <w:r>
        <w:rPr>
          <w:rFonts w:hint="eastAsia" w:ascii="宋体" w:hAnsi="宋体"/>
          <w:szCs w:val="21"/>
        </w:rPr>
        <w:t>(3)合同条款及格式</w:t>
      </w:r>
    </w:p>
    <w:p>
      <w:pPr>
        <w:spacing w:line="360" w:lineRule="auto"/>
        <w:ind w:firstLine="420" w:firstLineChars="200"/>
        <w:jc w:val="left"/>
        <w:rPr>
          <w:rFonts w:ascii="宋体" w:hAnsi="宋体"/>
          <w:szCs w:val="21"/>
        </w:rPr>
      </w:pPr>
      <w:r>
        <w:rPr>
          <w:rFonts w:hint="eastAsia" w:ascii="宋体" w:hAnsi="宋体"/>
          <w:szCs w:val="21"/>
        </w:rPr>
        <w:t>(4)评标办法</w:t>
      </w:r>
    </w:p>
    <w:p>
      <w:pPr>
        <w:spacing w:line="360" w:lineRule="auto"/>
        <w:ind w:firstLine="420" w:firstLineChars="200"/>
        <w:jc w:val="left"/>
        <w:rPr>
          <w:rFonts w:ascii="宋体" w:hAnsi="宋体"/>
          <w:szCs w:val="21"/>
        </w:rPr>
      </w:pPr>
      <w:r>
        <w:rPr>
          <w:rFonts w:hint="eastAsia" w:ascii="宋体" w:hAnsi="宋体"/>
          <w:szCs w:val="21"/>
        </w:rPr>
        <w:t>(5)工程量清单</w:t>
      </w:r>
    </w:p>
    <w:p>
      <w:pPr>
        <w:spacing w:line="360" w:lineRule="auto"/>
        <w:ind w:firstLine="420" w:firstLineChars="200"/>
        <w:jc w:val="left"/>
        <w:rPr>
          <w:rFonts w:ascii="宋体" w:hAnsi="宋体"/>
          <w:szCs w:val="21"/>
        </w:rPr>
      </w:pPr>
      <w:r>
        <w:rPr>
          <w:rFonts w:hint="eastAsia" w:ascii="宋体" w:hAnsi="宋体"/>
          <w:szCs w:val="21"/>
        </w:rPr>
        <w:t>(6)技术标准和要求</w:t>
      </w:r>
    </w:p>
    <w:p>
      <w:pPr>
        <w:spacing w:line="360" w:lineRule="auto"/>
        <w:ind w:firstLine="420" w:firstLineChars="200"/>
        <w:jc w:val="left"/>
        <w:rPr>
          <w:rFonts w:ascii="宋体" w:hAnsi="宋体"/>
          <w:szCs w:val="21"/>
        </w:rPr>
      </w:pPr>
      <w:r>
        <w:rPr>
          <w:rFonts w:hint="eastAsia" w:ascii="宋体" w:hAnsi="宋体"/>
          <w:szCs w:val="21"/>
        </w:rPr>
        <w:t>(7)投标文件格式</w:t>
      </w:r>
    </w:p>
    <w:p>
      <w:pPr>
        <w:spacing w:line="360" w:lineRule="auto"/>
        <w:ind w:firstLine="420" w:firstLineChars="200"/>
        <w:jc w:val="left"/>
        <w:rPr>
          <w:rFonts w:ascii="宋体" w:hAnsi="宋体"/>
          <w:szCs w:val="21"/>
        </w:rPr>
      </w:pPr>
      <w:r>
        <w:rPr>
          <w:rFonts w:hint="eastAsia" w:ascii="宋体" w:hAnsi="宋体"/>
          <w:szCs w:val="21"/>
        </w:rPr>
        <w:t>(8)投标人须知前附表规定的其他材料。</w:t>
      </w:r>
    </w:p>
    <w:p>
      <w:pPr>
        <w:spacing w:line="360" w:lineRule="auto"/>
        <w:ind w:firstLine="420" w:firstLineChars="200"/>
        <w:rPr>
          <w:rFonts w:ascii="宋体" w:hAnsi="宋体"/>
          <w:szCs w:val="21"/>
        </w:rPr>
      </w:pPr>
      <w:r>
        <w:rPr>
          <w:rFonts w:hint="eastAsia" w:ascii="宋体" w:hAnsi="宋体"/>
          <w:szCs w:val="21"/>
        </w:rPr>
        <w:t>根据本章第2.2款和第2.3款对招标文件所作的澄清、修改，构成招标文件的组成部分。</w:t>
      </w:r>
    </w:p>
    <w:p>
      <w:pPr>
        <w:pStyle w:val="5"/>
        <w:spacing w:line="360" w:lineRule="auto"/>
        <w:rPr>
          <w:rFonts w:ascii="宋体" w:hAnsi="宋体"/>
          <w:sz w:val="21"/>
          <w:szCs w:val="21"/>
        </w:rPr>
      </w:pPr>
      <w:bookmarkStart w:id="156" w:name="_Toc238444669"/>
      <w:bookmarkStart w:id="157" w:name="_Toc286853486"/>
      <w:bookmarkStart w:id="158" w:name="_Toc243992969"/>
      <w:bookmarkStart w:id="159" w:name="_Toc238445336"/>
      <w:bookmarkStart w:id="160" w:name="_Toc244076327"/>
      <w:bookmarkStart w:id="161" w:name="_Toc239129412"/>
      <w:bookmarkStart w:id="162" w:name="_Toc509493348"/>
      <w:bookmarkStart w:id="163" w:name="_Toc27539"/>
      <w:r>
        <w:rPr>
          <w:rFonts w:hint="eastAsia" w:ascii="宋体" w:hAnsi="宋体"/>
          <w:sz w:val="21"/>
          <w:szCs w:val="21"/>
        </w:rPr>
        <w:t>2.2　</w:t>
      </w:r>
      <w:bookmarkEnd w:id="156"/>
      <w:bookmarkEnd w:id="157"/>
      <w:bookmarkEnd w:id="158"/>
      <w:bookmarkEnd w:id="159"/>
      <w:bookmarkEnd w:id="160"/>
      <w:bookmarkEnd w:id="161"/>
      <w:r>
        <w:rPr>
          <w:rFonts w:hint="eastAsia" w:ascii="宋体" w:hAnsi="宋体"/>
          <w:sz w:val="21"/>
          <w:szCs w:val="21"/>
        </w:rPr>
        <w:t>招标文件的修改与补充</w:t>
      </w:r>
      <w:bookmarkEnd w:id="162"/>
      <w:bookmarkEnd w:id="163"/>
    </w:p>
    <w:p>
      <w:pPr>
        <w:spacing w:line="360" w:lineRule="auto"/>
        <w:ind w:firstLine="420" w:firstLineChars="200"/>
        <w:jc w:val="left"/>
        <w:rPr>
          <w:rFonts w:ascii="宋体" w:hAnsi="宋体"/>
          <w:szCs w:val="21"/>
        </w:rPr>
      </w:pPr>
      <w:r>
        <w:rPr>
          <w:rFonts w:hint="eastAsia" w:ascii="宋体" w:hAnsi="宋体"/>
          <w:szCs w:val="21"/>
        </w:rPr>
        <w:t>投标截止日期3天前，无论出于何种原因，采购人（招标代理机构）可主动或在解答投标人提出的问题时对招标文件进行修改。</w:t>
      </w:r>
    </w:p>
    <w:p>
      <w:pPr>
        <w:spacing w:line="360" w:lineRule="auto"/>
        <w:ind w:firstLine="420" w:firstLineChars="200"/>
        <w:jc w:val="left"/>
        <w:rPr>
          <w:rFonts w:ascii="宋体" w:hAnsi="宋体"/>
          <w:szCs w:val="21"/>
        </w:rPr>
      </w:pPr>
      <w:r>
        <w:rPr>
          <w:rFonts w:hint="eastAsia" w:ascii="宋体" w:hAnsi="宋体"/>
          <w:szCs w:val="21"/>
        </w:rPr>
        <w:t>采购人（招标代理机构）对已发出的招标文件进行澄清或者修改，将在招标文件要求的提交投标文件截止时间15日前进行，并以书面形式将澄清或者修改的内容通知所有购买了招标文件的供应商；不足15日的，采购人（招标代理机构）应当顺延提交投标文件的截止时间，投标截止日发生变化的应在指定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spacing w:line="360" w:lineRule="auto"/>
        <w:ind w:firstLine="420" w:firstLineChars="200"/>
        <w:jc w:val="left"/>
        <w:rPr>
          <w:rFonts w:ascii="宋体" w:hAnsi="宋体"/>
          <w:szCs w:val="21"/>
        </w:rPr>
      </w:pPr>
      <w:r>
        <w:rPr>
          <w:rFonts w:hint="eastAsia" w:ascii="宋体" w:hAnsi="宋体"/>
          <w:szCs w:val="21"/>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4"/>
        <w:rPr>
          <w:rFonts w:ascii="宋体" w:hAnsi="宋体" w:eastAsia="宋体"/>
          <w:sz w:val="24"/>
          <w:szCs w:val="24"/>
        </w:rPr>
      </w:pPr>
      <w:bookmarkStart w:id="164" w:name="_Toc244076329"/>
      <w:bookmarkStart w:id="165" w:name="_Toc17978"/>
      <w:bookmarkStart w:id="166" w:name="_Toc184635073"/>
      <w:bookmarkStart w:id="167" w:name="_Toc509493349"/>
      <w:bookmarkStart w:id="168" w:name="_Toc239129414"/>
      <w:bookmarkStart w:id="169" w:name="_Toc243992971"/>
      <w:bookmarkStart w:id="170" w:name="_Toc286853488"/>
      <w:r>
        <w:rPr>
          <w:rFonts w:hint="eastAsia" w:ascii="宋体" w:hAnsi="宋体" w:eastAsia="宋体"/>
          <w:sz w:val="24"/>
          <w:szCs w:val="24"/>
        </w:rPr>
        <w:t>3．投标文件</w:t>
      </w:r>
      <w:bookmarkEnd w:id="164"/>
      <w:bookmarkEnd w:id="165"/>
      <w:bookmarkEnd w:id="166"/>
      <w:bookmarkEnd w:id="167"/>
      <w:bookmarkEnd w:id="168"/>
      <w:bookmarkEnd w:id="169"/>
      <w:bookmarkEnd w:id="170"/>
    </w:p>
    <w:p>
      <w:pPr>
        <w:pStyle w:val="5"/>
        <w:rPr>
          <w:rFonts w:ascii="宋体" w:hAnsi="宋体"/>
          <w:sz w:val="21"/>
          <w:szCs w:val="21"/>
        </w:rPr>
      </w:pPr>
      <w:bookmarkStart w:id="171" w:name="_Toc509493350"/>
      <w:bookmarkStart w:id="172" w:name="_Toc238445339"/>
      <w:bookmarkStart w:id="173" w:name="_Toc286853489"/>
      <w:bookmarkStart w:id="174" w:name="_Toc244076330"/>
      <w:bookmarkStart w:id="175" w:name="_Toc243992972"/>
      <w:bookmarkStart w:id="176" w:name="_Toc238444672"/>
      <w:bookmarkStart w:id="177" w:name="_Toc27680"/>
      <w:bookmarkStart w:id="178" w:name="_Toc239129415"/>
      <w:r>
        <w:rPr>
          <w:rFonts w:hint="eastAsia" w:ascii="宋体" w:hAnsi="宋体"/>
          <w:sz w:val="21"/>
          <w:szCs w:val="21"/>
        </w:rPr>
        <w:t>3.1　投标文件的组成</w:t>
      </w:r>
      <w:bookmarkEnd w:id="171"/>
      <w:bookmarkEnd w:id="172"/>
      <w:bookmarkEnd w:id="173"/>
      <w:bookmarkEnd w:id="174"/>
      <w:bookmarkEnd w:id="175"/>
      <w:bookmarkEnd w:id="176"/>
      <w:bookmarkEnd w:id="177"/>
      <w:bookmarkEnd w:id="178"/>
    </w:p>
    <w:p>
      <w:pPr>
        <w:spacing w:line="360" w:lineRule="auto"/>
        <w:ind w:firstLine="420" w:firstLineChars="200"/>
        <w:rPr>
          <w:rFonts w:ascii="宋体" w:hAnsi="宋体"/>
          <w:szCs w:val="21"/>
        </w:rPr>
      </w:pPr>
      <w:r>
        <w:rPr>
          <w:rFonts w:hint="eastAsia" w:ascii="宋体" w:hAnsi="宋体"/>
          <w:szCs w:val="21"/>
        </w:rPr>
        <w:t>3.1.1　投标文件应包括下列内容：</w:t>
      </w:r>
    </w:p>
    <w:p>
      <w:pPr>
        <w:spacing w:line="360" w:lineRule="auto"/>
        <w:ind w:firstLine="315" w:firstLineChars="150"/>
        <w:rPr>
          <w:rFonts w:ascii="宋体" w:hAnsi="宋体"/>
          <w:szCs w:val="21"/>
        </w:rPr>
      </w:pPr>
      <w:r>
        <w:rPr>
          <w:rFonts w:hint="eastAsia" w:ascii="宋体" w:hAnsi="宋体"/>
          <w:szCs w:val="21"/>
        </w:rPr>
        <w:t xml:space="preserve"> (1) 投标函及投标函附录；</w:t>
      </w:r>
    </w:p>
    <w:p>
      <w:pPr>
        <w:spacing w:line="360" w:lineRule="auto"/>
        <w:ind w:firstLine="420" w:firstLineChars="200"/>
        <w:rPr>
          <w:rFonts w:ascii="宋体" w:hAnsi="宋体"/>
          <w:szCs w:val="21"/>
        </w:rPr>
      </w:pPr>
      <w:r>
        <w:rPr>
          <w:rFonts w:hint="eastAsia" w:ascii="宋体" w:hAnsi="宋体"/>
          <w:szCs w:val="21"/>
        </w:rPr>
        <w:t>(2) 法定代表人身份证明；</w:t>
      </w:r>
    </w:p>
    <w:p>
      <w:pPr>
        <w:spacing w:line="360" w:lineRule="auto"/>
        <w:ind w:firstLine="420" w:firstLineChars="200"/>
        <w:rPr>
          <w:rFonts w:ascii="宋体" w:hAnsi="宋体"/>
          <w:szCs w:val="21"/>
        </w:rPr>
      </w:pPr>
      <w:r>
        <w:rPr>
          <w:rFonts w:hint="eastAsia" w:ascii="宋体" w:hAnsi="宋体"/>
          <w:szCs w:val="21"/>
        </w:rPr>
        <w:t>(3) 法定代表人授权委托书；</w:t>
      </w:r>
    </w:p>
    <w:p>
      <w:pPr>
        <w:spacing w:line="360" w:lineRule="auto"/>
        <w:ind w:firstLine="420" w:firstLineChars="200"/>
        <w:rPr>
          <w:rFonts w:ascii="宋体" w:hAnsi="宋体"/>
          <w:szCs w:val="21"/>
        </w:rPr>
      </w:pPr>
      <w:r>
        <w:rPr>
          <w:rFonts w:hint="eastAsia" w:ascii="宋体" w:hAnsi="宋体"/>
          <w:szCs w:val="21"/>
        </w:rPr>
        <w:t>(4) 联合体协议书；</w:t>
      </w:r>
    </w:p>
    <w:p>
      <w:pPr>
        <w:spacing w:line="360" w:lineRule="auto"/>
        <w:ind w:firstLine="420" w:firstLineChars="200"/>
        <w:rPr>
          <w:rFonts w:ascii="宋体" w:hAnsi="宋体"/>
          <w:color w:val="FF0000"/>
          <w:szCs w:val="21"/>
        </w:rPr>
      </w:pPr>
      <w:r>
        <w:rPr>
          <w:rFonts w:hint="eastAsia" w:ascii="宋体" w:hAnsi="宋体"/>
          <w:szCs w:val="21"/>
        </w:rPr>
        <w:t>(5) 投标保证</w:t>
      </w:r>
      <w:r>
        <w:rPr>
          <w:rFonts w:hint="eastAsia" w:ascii="宋体" w:hAnsi="宋体"/>
          <w:color w:val="000000"/>
          <w:szCs w:val="21"/>
        </w:rPr>
        <w:t>金</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(6) 已标价工程量清单；</w:t>
      </w:r>
    </w:p>
    <w:p>
      <w:pPr>
        <w:spacing w:line="360" w:lineRule="auto"/>
        <w:ind w:firstLine="420" w:firstLineChars="200"/>
        <w:rPr>
          <w:rFonts w:ascii="宋体" w:hAnsi="宋体"/>
          <w:szCs w:val="21"/>
        </w:rPr>
      </w:pPr>
      <w:r>
        <w:rPr>
          <w:rFonts w:hint="eastAsia" w:ascii="宋体" w:hAnsi="宋体"/>
          <w:szCs w:val="21"/>
        </w:rPr>
        <w:t>(7) 施工组织设计或施工方案；</w:t>
      </w:r>
    </w:p>
    <w:p>
      <w:pPr>
        <w:spacing w:line="360" w:lineRule="auto"/>
        <w:ind w:firstLine="420" w:firstLineChars="200"/>
        <w:rPr>
          <w:rFonts w:ascii="宋体" w:hAnsi="宋体"/>
          <w:szCs w:val="21"/>
        </w:rPr>
      </w:pPr>
      <w:r>
        <w:rPr>
          <w:rFonts w:hint="eastAsia" w:ascii="宋体" w:hAnsi="宋体"/>
          <w:szCs w:val="21"/>
        </w:rPr>
        <w:t>(8) 投标人施工现场管理机构；</w:t>
      </w:r>
    </w:p>
    <w:p>
      <w:pPr>
        <w:spacing w:line="360" w:lineRule="auto"/>
        <w:ind w:firstLine="420" w:firstLineChars="200"/>
        <w:rPr>
          <w:rFonts w:ascii="宋体" w:hAnsi="宋体"/>
          <w:color w:val="000000"/>
          <w:szCs w:val="21"/>
        </w:rPr>
      </w:pPr>
      <w:r>
        <w:rPr>
          <w:rFonts w:hint="eastAsia" w:ascii="宋体" w:hAnsi="宋体"/>
          <w:szCs w:val="21"/>
        </w:rPr>
        <w:t xml:space="preserve">(9) </w:t>
      </w:r>
      <w:r>
        <w:rPr>
          <w:rFonts w:hint="eastAsia" w:ascii="宋体" w:hAnsi="宋体"/>
          <w:color w:val="000000"/>
          <w:szCs w:val="21"/>
        </w:rPr>
        <w:t xml:space="preserve">拟分包项目情况表； </w:t>
      </w:r>
    </w:p>
    <w:p>
      <w:pPr>
        <w:spacing w:line="360" w:lineRule="auto"/>
        <w:ind w:firstLine="420" w:firstLineChars="200"/>
        <w:rPr>
          <w:rFonts w:ascii="宋体" w:hAnsi="宋体"/>
          <w:color w:val="000000"/>
          <w:szCs w:val="21"/>
        </w:rPr>
      </w:pPr>
      <w:r>
        <w:rPr>
          <w:rFonts w:hint="eastAsia" w:ascii="宋体" w:hAnsi="宋体"/>
          <w:szCs w:val="21"/>
        </w:rPr>
        <w:t>(10) 资格审查资料；</w:t>
      </w:r>
    </w:p>
    <w:p>
      <w:pPr>
        <w:spacing w:line="360" w:lineRule="auto"/>
        <w:ind w:firstLine="420" w:firstLineChars="200"/>
        <w:rPr>
          <w:rFonts w:ascii="宋体" w:hAnsi="宋体"/>
          <w:color w:val="FF0000"/>
          <w:szCs w:val="21"/>
        </w:rPr>
      </w:pPr>
      <w:r>
        <w:rPr>
          <w:rFonts w:hint="eastAsia" w:ascii="宋体" w:hAnsi="宋体"/>
          <w:szCs w:val="21"/>
        </w:rPr>
        <w:t>(11) 其他材料；</w:t>
      </w:r>
    </w:p>
    <w:p>
      <w:pPr>
        <w:spacing w:line="360" w:lineRule="auto"/>
        <w:ind w:firstLine="420" w:firstLineChars="200"/>
        <w:rPr>
          <w:rFonts w:ascii="宋体" w:hAnsi="宋体"/>
          <w:szCs w:val="21"/>
        </w:rPr>
      </w:pPr>
      <w:r>
        <w:rPr>
          <w:rFonts w:hint="eastAsia" w:ascii="宋体" w:hAnsi="宋体"/>
          <w:szCs w:val="21"/>
        </w:rPr>
        <w:t>招标文件要求投标人提交的其他投标资料：</w:t>
      </w:r>
    </w:p>
    <w:p>
      <w:pPr>
        <w:ind w:firstLine="420" w:firstLineChars="200"/>
        <w:rPr>
          <w:rFonts w:ascii="宋体" w:hAnsi="宋体"/>
        </w:rPr>
      </w:pPr>
      <w:bookmarkStart w:id="179" w:name="gs15"/>
      <w:r>
        <w:rPr>
          <w:rFonts w:ascii="宋体" w:hAnsi="宋体"/>
          <w:u w:val="single"/>
        </w:rPr>
        <w:t xml:space="preserve"> 企业营业执照;资质证书;安全生产许可证;项目管理机构人员资格、职称及岗位证书等资料复印件 </w:t>
      </w:r>
      <w:bookmarkEnd w:id="179"/>
      <w:r>
        <w:rPr>
          <w:rFonts w:ascii="宋体" w:hAnsi="宋体"/>
          <w:vanish/>
          <w:szCs w:val="21"/>
        </w:rPr>
        <w:object>
          <v:shape id="_x0000_i1045" o:spt="201" type="#_x0000_t201" style="height:14.25pt;width:15pt;" o:ole="t" filled="f" o:preferrelative="t" stroked="f" coordsize="21600,21600">
            <v:path/>
            <v:fill on="f" focussize="0,0"/>
            <v:stroke on="f"/>
            <v:imagedata r:id="rId61" o:title=""/>
            <o:lock v:ext="edit" aspectratio="t"/>
            <w10:wrap type="none"/>
            <w10:anchorlock/>
          </v:shape>
          <w:control r:id="rId60" w:name="CommandButton3" w:shapeid="_x0000_i1045"/>
        </w:object>
      </w:r>
    </w:p>
    <w:p>
      <w:pPr>
        <w:spacing w:line="360" w:lineRule="auto"/>
        <w:ind w:firstLine="420" w:firstLineChars="200"/>
        <w:rPr>
          <w:rFonts w:ascii="宋体" w:hAnsi="宋体"/>
          <w:szCs w:val="21"/>
        </w:rPr>
      </w:pPr>
      <w:r>
        <w:rPr>
          <w:rFonts w:hint="eastAsia" w:ascii="宋体" w:hAnsi="宋体"/>
          <w:szCs w:val="21"/>
        </w:rPr>
        <w:t>3.1.2　投标人法定代表人亲自签署投标文件并参加投标活动的，投标文件不包括本章第3.1.1(3)目所指的法定代表人授权委托书。投标人的授权委托代理人亲自签署投标文件并参加投标活动的，投标人的授权委托代理人应当持本人身份证和授权委托书参加开标会议，否则视为自动放弃投标。</w:t>
      </w:r>
    </w:p>
    <w:p>
      <w:pPr>
        <w:spacing w:line="360" w:lineRule="auto"/>
        <w:ind w:firstLine="420" w:firstLineChars="200"/>
        <w:rPr>
          <w:rFonts w:ascii="宋体" w:hAnsi="宋体"/>
          <w:szCs w:val="21"/>
        </w:rPr>
      </w:pPr>
      <w:r>
        <w:rPr>
          <w:rFonts w:hint="eastAsia" w:ascii="宋体" w:hAnsi="宋体"/>
          <w:szCs w:val="21"/>
        </w:rPr>
        <w:t>3.1.3　投标人须知前附表规定不接受联合体投标的，或虽然规定接受联合体投标，但投标人没有组成联合体的，投标文件不包括本章第3.1.1(4)目所指的联合体协议书。</w:t>
      </w:r>
    </w:p>
    <w:p>
      <w:pPr>
        <w:spacing w:line="360" w:lineRule="auto"/>
        <w:ind w:firstLine="420" w:firstLineChars="200"/>
        <w:rPr>
          <w:rFonts w:ascii="宋体" w:hAnsi="宋体"/>
          <w:szCs w:val="21"/>
        </w:rPr>
      </w:pPr>
      <w:r>
        <w:rPr>
          <w:rFonts w:hint="eastAsia" w:ascii="宋体" w:hAnsi="宋体"/>
          <w:szCs w:val="21"/>
        </w:rPr>
        <w:t>3.1.4　投标人须知前附表规定不允许分包的，或虽然规定允许分包，但投标人不准备进行分包的，投标文件不包括本章第3.1.1(9)目所指的拟分包项目情况表。</w:t>
      </w:r>
    </w:p>
    <w:p>
      <w:pPr>
        <w:spacing w:line="360" w:lineRule="auto"/>
        <w:ind w:firstLine="420" w:firstLineChars="200"/>
        <w:rPr>
          <w:rFonts w:ascii="宋体" w:hAnsi="宋体"/>
          <w:szCs w:val="21"/>
        </w:rPr>
      </w:pPr>
      <w:r>
        <w:rPr>
          <w:rFonts w:hint="eastAsia" w:ascii="宋体" w:hAnsi="宋体"/>
          <w:szCs w:val="21"/>
        </w:rPr>
        <w:t>3.1.5　本章第3.1.1(11)目所指的其它材料，应是招标人根据本项目评标办法的具体要求编制提供的能够证明投标人资质能力、业绩、信誉的文本、表格资料和证书、文件等的复印件，此原件须带至开标现场备查。</w:t>
      </w:r>
    </w:p>
    <w:p>
      <w:pPr>
        <w:spacing w:line="360" w:lineRule="auto"/>
        <w:ind w:firstLine="420" w:firstLineChars="200"/>
        <w:rPr>
          <w:rFonts w:ascii="宋体" w:hAnsi="宋体"/>
          <w:szCs w:val="21"/>
        </w:rPr>
      </w:pPr>
      <w:r>
        <w:rPr>
          <w:rFonts w:hint="eastAsia" w:ascii="宋体" w:hAnsi="宋体"/>
          <w:szCs w:val="21"/>
        </w:rPr>
        <w:t>3.1.6　投标文件不需提供本章第3.1.1(3)、(4)、(9)目等资料时，其他内容应按顺序重新编号。</w:t>
      </w:r>
    </w:p>
    <w:p>
      <w:pPr>
        <w:keepNext/>
        <w:keepLines/>
        <w:spacing w:before="260" w:after="260" w:line="416" w:lineRule="auto"/>
        <w:outlineLvl w:val="2"/>
        <w:rPr>
          <w:rFonts w:ascii="宋体" w:hAnsi="宋体"/>
          <w:b/>
          <w:bCs/>
          <w:szCs w:val="21"/>
          <w:lang w:val="zh-CN"/>
        </w:rPr>
      </w:pPr>
      <w:bookmarkStart w:id="180" w:name="_Toc22667"/>
      <w:r>
        <w:rPr>
          <w:rFonts w:hint="eastAsia" w:ascii="宋体" w:hAnsi="宋体"/>
          <w:b/>
          <w:bCs/>
          <w:szCs w:val="21"/>
          <w:lang w:val="zh-CN"/>
        </w:rPr>
        <w:t>3.2　投标报价</w:t>
      </w:r>
      <w:bookmarkEnd w:id="180"/>
    </w:p>
    <w:p>
      <w:pPr>
        <w:spacing w:line="360" w:lineRule="auto"/>
        <w:ind w:firstLine="420" w:firstLineChars="200"/>
        <w:rPr>
          <w:rFonts w:ascii="宋体" w:hAnsi="宋体"/>
          <w:szCs w:val="21"/>
        </w:rPr>
      </w:pPr>
      <w:r>
        <w:rPr>
          <w:rFonts w:hint="eastAsia" w:ascii="宋体" w:hAnsi="宋体"/>
          <w:szCs w:val="21"/>
        </w:rPr>
        <w:t>3.2.1　本工程的投标报价采用投标人须知前附表所规定方式，按照投标报价的要求编制完整、真实的工程造价文件。</w:t>
      </w:r>
    </w:p>
    <w:p>
      <w:pPr>
        <w:spacing w:line="360" w:lineRule="auto"/>
        <w:ind w:firstLine="420" w:firstLineChars="200"/>
        <w:rPr>
          <w:rFonts w:ascii="宋体" w:hAnsi="宋体"/>
          <w:szCs w:val="21"/>
        </w:rPr>
      </w:pPr>
      <w:r>
        <w:rPr>
          <w:rFonts w:hint="eastAsia" w:ascii="宋体" w:hAnsi="宋体"/>
          <w:szCs w:val="21"/>
        </w:rPr>
        <w:t>3.2.2　投标报价为投标人在投标文件中提出的各项支付金额的总和。</w:t>
      </w:r>
    </w:p>
    <w:p>
      <w:pPr>
        <w:spacing w:line="360" w:lineRule="auto"/>
        <w:ind w:firstLine="420" w:firstLineChars="200"/>
        <w:rPr>
          <w:rFonts w:ascii="宋体" w:hAnsi="宋体"/>
          <w:szCs w:val="21"/>
        </w:rPr>
      </w:pPr>
      <w:r>
        <w:rPr>
          <w:rFonts w:hint="eastAsia" w:ascii="宋体" w:hAnsi="宋体"/>
          <w:szCs w:val="21"/>
        </w:rPr>
        <w:t xml:space="preserve">3.2.3  投标人的投标报价，应是完成投标人须知前附表所载明的招标范围和合同条款上所列招标范围及工期的全部。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 xml:space="preserve">3.2.4  </w:t>
      </w:r>
      <w:r>
        <w:rPr>
          <w:rFonts w:ascii="宋体" w:hAnsi="宋体"/>
          <w:szCs w:val="21"/>
        </w:rPr>
        <w:t>投标人的投标报价，</w:t>
      </w:r>
      <w:r>
        <w:rPr>
          <w:rFonts w:hint="eastAsia" w:ascii="宋体" w:hAnsi="宋体"/>
          <w:szCs w:val="21"/>
        </w:rPr>
        <w:t>应以招标文件和工程量清单为依据。</w:t>
      </w:r>
    </w:p>
    <w:p>
      <w:pPr>
        <w:pStyle w:val="5"/>
        <w:rPr>
          <w:rFonts w:ascii="宋体" w:hAnsi="宋体"/>
          <w:sz w:val="21"/>
          <w:szCs w:val="21"/>
        </w:rPr>
      </w:pPr>
      <w:bookmarkStart w:id="181" w:name="_Toc239129417"/>
      <w:bookmarkStart w:id="182" w:name="_Toc243992974"/>
      <w:bookmarkStart w:id="183" w:name="_Toc244076332"/>
      <w:bookmarkStart w:id="184" w:name="_Toc14823"/>
      <w:bookmarkStart w:id="185" w:name="_Toc509493352"/>
      <w:bookmarkStart w:id="186" w:name="_Toc286853491"/>
      <w:bookmarkStart w:id="187" w:name="_Toc238445341"/>
      <w:bookmarkStart w:id="188" w:name="_Toc238444674"/>
      <w:r>
        <w:rPr>
          <w:rFonts w:hint="eastAsia" w:ascii="宋体" w:hAnsi="宋体"/>
          <w:sz w:val="21"/>
          <w:szCs w:val="21"/>
        </w:rPr>
        <w:t>3.3　投标有效期</w:t>
      </w:r>
      <w:bookmarkEnd w:id="181"/>
      <w:bookmarkEnd w:id="182"/>
      <w:bookmarkEnd w:id="183"/>
      <w:bookmarkEnd w:id="184"/>
      <w:bookmarkEnd w:id="185"/>
      <w:bookmarkEnd w:id="186"/>
      <w:bookmarkEnd w:id="187"/>
      <w:bookmarkEnd w:id="188"/>
    </w:p>
    <w:p>
      <w:pPr>
        <w:spacing w:line="360" w:lineRule="auto"/>
        <w:ind w:firstLine="420" w:firstLineChars="200"/>
        <w:rPr>
          <w:rFonts w:ascii="宋体" w:hAnsi="宋体"/>
          <w:szCs w:val="21"/>
        </w:rPr>
      </w:pPr>
      <w:r>
        <w:rPr>
          <w:rFonts w:hint="eastAsia" w:ascii="宋体" w:hAnsi="宋体"/>
          <w:szCs w:val="21"/>
        </w:rPr>
        <w:t>3.3.1　在投标人须知前附表规定的投标有效期内，投标人不得要求撤销或修改其投标文件。</w:t>
      </w:r>
    </w:p>
    <w:p>
      <w:pPr>
        <w:spacing w:line="360" w:lineRule="auto"/>
        <w:ind w:firstLine="420" w:firstLineChars="200"/>
        <w:rPr>
          <w:rFonts w:ascii="宋体" w:hAnsi="宋体"/>
          <w:szCs w:val="21"/>
        </w:rPr>
      </w:pPr>
      <w:r>
        <w:rPr>
          <w:rFonts w:hint="eastAsia" w:ascii="宋体" w:hAnsi="宋体"/>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rPr>
          <w:rFonts w:ascii="宋体" w:hAnsi="宋体"/>
          <w:sz w:val="21"/>
          <w:szCs w:val="21"/>
        </w:rPr>
      </w:pPr>
      <w:bookmarkStart w:id="189" w:name="_Toc243992975"/>
      <w:bookmarkStart w:id="190" w:name="_Toc239129418"/>
      <w:bookmarkStart w:id="191" w:name="_Toc509493353"/>
      <w:bookmarkStart w:id="192" w:name="_Toc7978"/>
      <w:bookmarkStart w:id="193" w:name="_Toc286853492"/>
      <w:bookmarkStart w:id="194" w:name="_Toc238445342"/>
      <w:bookmarkStart w:id="195" w:name="_Toc238444675"/>
      <w:bookmarkStart w:id="196" w:name="_Toc244076333"/>
      <w:r>
        <w:rPr>
          <w:rFonts w:hint="eastAsia" w:ascii="宋体" w:hAnsi="宋体"/>
          <w:sz w:val="21"/>
          <w:szCs w:val="21"/>
        </w:rPr>
        <w:t>3.4　投标保证金</w:t>
      </w:r>
      <w:bookmarkEnd w:id="189"/>
      <w:bookmarkEnd w:id="190"/>
      <w:bookmarkEnd w:id="191"/>
      <w:bookmarkEnd w:id="192"/>
      <w:bookmarkEnd w:id="193"/>
      <w:bookmarkEnd w:id="194"/>
      <w:bookmarkEnd w:id="195"/>
      <w:bookmarkEnd w:id="196"/>
    </w:p>
    <w:p>
      <w:pPr>
        <w:spacing w:line="360" w:lineRule="auto"/>
        <w:ind w:firstLine="420" w:firstLineChars="200"/>
        <w:rPr>
          <w:rFonts w:ascii="宋体" w:hAnsi="宋体"/>
          <w:szCs w:val="21"/>
        </w:rPr>
      </w:pPr>
      <w:r>
        <w:rPr>
          <w:rFonts w:hint="eastAsia" w:ascii="宋体" w:hAnsi="宋体"/>
          <w:szCs w:val="21"/>
        </w:rPr>
        <w:t>投标保证金数额及交纳方式详见投标人须知前附表。</w:t>
      </w:r>
    </w:p>
    <w:p>
      <w:pPr>
        <w:spacing w:line="360" w:lineRule="auto"/>
        <w:ind w:firstLine="420" w:firstLineChars="200"/>
        <w:rPr>
          <w:rFonts w:ascii="宋体" w:hAnsi="宋体"/>
          <w:szCs w:val="21"/>
        </w:rPr>
      </w:pPr>
      <w:r>
        <w:rPr>
          <w:rFonts w:hint="eastAsia" w:ascii="宋体" w:hAnsi="宋体"/>
          <w:szCs w:val="21"/>
        </w:rPr>
        <w:t>对于未能按招标文件要求交纳投标保证金的，投标无效。</w:t>
      </w:r>
    </w:p>
    <w:p>
      <w:pPr>
        <w:spacing w:line="360" w:lineRule="auto"/>
        <w:ind w:firstLine="420" w:firstLineChars="200"/>
        <w:rPr>
          <w:rFonts w:ascii="宋体" w:hAnsi="宋体"/>
          <w:szCs w:val="21"/>
        </w:rPr>
      </w:pPr>
      <w:r>
        <w:rPr>
          <w:rFonts w:hint="eastAsia" w:ascii="宋体" w:hAnsi="宋体"/>
          <w:szCs w:val="21"/>
        </w:rPr>
        <w:t>未中标投标人的投标保证金，在中标通知书发出之日起5个工作日内，投标单位联系采购代理机构办理退还事宜。中标商的投标保证金待与采购人签订合同后即予无息退还，履约保证金为中标金额的3</w:t>
      </w:r>
      <w:r>
        <w:rPr>
          <w:rFonts w:ascii="宋体" w:hAnsi="宋体"/>
          <w:szCs w:val="21"/>
        </w:rPr>
        <w:t>%</w:t>
      </w:r>
      <w:r>
        <w:rPr>
          <w:rFonts w:hint="eastAsia" w:ascii="宋体" w:hAnsi="宋体"/>
          <w:szCs w:val="21"/>
        </w:rPr>
        <w:t>，一年期满无质量问题将无息退还）。</w:t>
      </w:r>
    </w:p>
    <w:p>
      <w:pPr>
        <w:spacing w:line="360" w:lineRule="auto"/>
        <w:ind w:firstLine="422" w:firstLineChars="200"/>
        <w:rPr>
          <w:rFonts w:ascii="宋体" w:hAnsi="宋体"/>
          <w:b/>
          <w:szCs w:val="21"/>
        </w:rPr>
      </w:pPr>
      <w:r>
        <w:rPr>
          <w:rFonts w:hint="eastAsia" w:ascii="宋体" w:hAnsi="宋体"/>
          <w:b/>
          <w:szCs w:val="21"/>
        </w:rPr>
        <w:t>如投标人有下列情况，投标保证金不予退还：</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）如果投标人在招标文件规定的投标有效期内撤回投标。</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）由于中标人的原因未能按照招标文件的规定与采购人签订合同。</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）由于中标人的原因未能按照招标文件的规定交纳履约保证金。</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）投标有效期内，投标人在政府采购活动中有违规、违纪和违法的行为；投标提供虚假材料谋取中标的。</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）中标后，无正当理由不签订合同或转让、分包项目以及拒绝履行合同义务的。</w:t>
      </w:r>
    </w:p>
    <w:p>
      <w:pPr>
        <w:spacing w:line="360" w:lineRule="auto"/>
        <w:ind w:firstLine="420" w:firstLineChars="200"/>
        <w:rPr>
          <w:rFonts w:ascii="宋体" w:hAnsi="宋体"/>
          <w:szCs w:val="21"/>
        </w:rPr>
      </w:pPr>
      <w:r>
        <w:rPr>
          <w:rFonts w:hint="eastAsia" w:ascii="宋体" w:hAnsi="宋体"/>
          <w:szCs w:val="21"/>
        </w:rPr>
        <w:t>（6) 中标公示前和中标公示期间，中标候选人无正当理由放弃中标资格的。</w:t>
      </w:r>
    </w:p>
    <w:p>
      <w:pPr>
        <w:spacing w:line="360" w:lineRule="auto"/>
        <w:ind w:firstLine="420" w:firstLineChars="200"/>
        <w:rPr>
          <w:rFonts w:ascii="宋体" w:hAnsi="宋体"/>
          <w:szCs w:val="21"/>
        </w:rPr>
      </w:pPr>
      <w:r>
        <w:rPr>
          <w:rFonts w:hint="eastAsia" w:ascii="宋体" w:hAnsi="宋体"/>
          <w:szCs w:val="21"/>
        </w:rPr>
        <w:t>（7) 中标弃标的法律责任及处理方式：</w:t>
      </w:r>
      <w:r>
        <w:rPr>
          <w:rFonts w:ascii="宋体" w:hAnsi="宋体"/>
          <w:szCs w:val="21"/>
        </w:rPr>
        <w:t>中标人的任何弃标行为都是违约行为（不可抗力导致的除外）。中标人放弃中标后，重新招标导致的时间延误和社会成本增加，顺延中标</w:t>
      </w:r>
      <w:r>
        <w:rPr>
          <w:rFonts w:hint="eastAsia" w:ascii="宋体" w:hAnsi="宋体"/>
          <w:szCs w:val="21"/>
        </w:rPr>
        <w:t>结</w:t>
      </w:r>
      <w:r>
        <w:rPr>
          <w:rFonts w:ascii="宋体" w:hAnsi="宋体"/>
          <w:szCs w:val="21"/>
        </w:rPr>
        <w:t>果导致合同价格抬升，采购人将蒙受合同价格损失。恶意弃标行为出现后，采购人有权要求弃标人依法承担赔偿合同差价损失</w:t>
      </w:r>
      <w:r>
        <w:rPr>
          <w:rFonts w:hint="eastAsia" w:ascii="宋体" w:hAnsi="宋体"/>
          <w:szCs w:val="21"/>
        </w:rPr>
        <w:t>，并没收其</w:t>
      </w:r>
      <w:r>
        <w:rPr>
          <w:rFonts w:ascii="宋体" w:hAnsi="宋体"/>
          <w:szCs w:val="21"/>
        </w:rPr>
        <w:t>投标保证金</w:t>
      </w:r>
      <w:r>
        <w:rPr>
          <w:rFonts w:hint="eastAsia" w:ascii="宋体" w:hAnsi="宋体"/>
          <w:szCs w:val="21"/>
        </w:rPr>
        <w:t>，并报财政部门给予通报，禁止及3年内不得参与省内的投标活动。</w:t>
      </w:r>
    </w:p>
    <w:p>
      <w:pPr>
        <w:pStyle w:val="5"/>
        <w:rPr>
          <w:rFonts w:ascii="宋体" w:hAnsi="宋体"/>
          <w:sz w:val="21"/>
          <w:szCs w:val="21"/>
        </w:rPr>
      </w:pPr>
      <w:bookmarkStart w:id="197" w:name="_Toc243992976"/>
      <w:bookmarkStart w:id="198" w:name="_Toc286853493"/>
      <w:bookmarkStart w:id="199" w:name="_Toc238445343"/>
      <w:bookmarkStart w:id="200" w:name="_Toc239129419"/>
      <w:bookmarkStart w:id="201" w:name="_Toc238444676"/>
      <w:bookmarkStart w:id="202" w:name="_Toc509493354"/>
      <w:bookmarkStart w:id="203" w:name="_Toc7116"/>
      <w:bookmarkStart w:id="204" w:name="_Toc244076334"/>
      <w:r>
        <w:rPr>
          <w:rFonts w:hint="eastAsia" w:ascii="宋体" w:hAnsi="宋体"/>
          <w:sz w:val="21"/>
          <w:szCs w:val="21"/>
        </w:rPr>
        <w:t>3.5　资格审查资料</w:t>
      </w:r>
      <w:bookmarkEnd w:id="197"/>
      <w:bookmarkEnd w:id="198"/>
      <w:bookmarkEnd w:id="199"/>
      <w:bookmarkEnd w:id="200"/>
      <w:bookmarkEnd w:id="201"/>
      <w:bookmarkEnd w:id="202"/>
      <w:bookmarkEnd w:id="203"/>
      <w:bookmarkEnd w:id="204"/>
    </w:p>
    <w:p>
      <w:pPr>
        <w:spacing w:line="360" w:lineRule="auto"/>
        <w:ind w:firstLine="420" w:firstLineChars="200"/>
        <w:rPr>
          <w:rFonts w:ascii="宋体" w:hAnsi="宋体"/>
          <w:szCs w:val="21"/>
        </w:rPr>
      </w:pPr>
      <w:r>
        <w:rPr>
          <w:rFonts w:hint="eastAsia" w:ascii="宋体" w:hAnsi="宋体"/>
          <w:szCs w:val="21"/>
        </w:rPr>
        <w:t>本招标项目的资格审查资料：见投标人须知前附表。</w:t>
      </w:r>
    </w:p>
    <w:p>
      <w:pPr>
        <w:pStyle w:val="5"/>
        <w:rPr>
          <w:rFonts w:ascii="宋体" w:hAnsi="宋体"/>
          <w:sz w:val="21"/>
          <w:szCs w:val="21"/>
        </w:rPr>
      </w:pPr>
      <w:bookmarkStart w:id="205" w:name="_Toc243992977"/>
      <w:bookmarkStart w:id="206" w:name="_Toc238444677"/>
      <w:bookmarkStart w:id="207" w:name="_Toc509493355"/>
      <w:bookmarkStart w:id="208" w:name="_Toc239129420"/>
      <w:bookmarkStart w:id="209" w:name="_Toc286853494"/>
      <w:bookmarkStart w:id="210" w:name="_Toc238445344"/>
      <w:bookmarkStart w:id="211" w:name="_Toc1878"/>
      <w:bookmarkStart w:id="212" w:name="_Toc244076335"/>
      <w:r>
        <w:rPr>
          <w:rFonts w:hint="eastAsia" w:ascii="宋体" w:hAnsi="宋体"/>
          <w:sz w:val="21"/>
          <w:szCs w:val="21"/>
        </w:rPr>
        <w:t>3.6　备选投标方案</w:t>
      </w:r>
      <w:bookmarkEnd w:id="205"/>
      <w:bookmarkEnd w:id="206"/>
      <w:bookmarkEnd w:id="207"/>
      <w:bookmarkEnd w:id="208"/>
      <w:bookmarkEnd w:id="209"/>
      <w:bookmarkEnd w:id="210"/>
      <w:bookmarkEnd w:id="211"/>
      <w:bookmarkEnd w:id="212"/>
    </w:p>
    <w:p>
      <w:pPr>
        <w:spacing w:line="360" w:lineRule="auto"/>
        <w:ind w:firstLine="420" w:firstLineChars="200"/>
        <w:rPr>
          <w:rFonts w:ascii="宋体" w:hAnsi="宋体"/>
          <w:szCs w:val="21"/>
        </w:rPr>
      </w:pPr>
      <w:r>
        <w:rPr>
          <w:rFonts w:hint="eastAsia" w:ascii="宋体" w:hAnsi="宋体"/>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宋体" w:hAnsi="宋体"/>
          <w:sz w:val="21"/>
          <w:szCs w:val="21"/>
        </w:rPr>
      </w:pPr>
      <w:bookmarkStart w:id="213" w:name="_Toc238444678"/>
      <w:bookmarkStart w:id="214" w:name="_Toc238445345"/>
      <w:bookmarkStart w:id="215" w:name="_Toc286853495"/>
      <w:bookmarkStart w:id="216" w:name="_Toc243992978"/>
      <w:bookmarkStart w:id="217" w:name="_Toc239129421"/>
      <w:bookmarkStart w:id="218" w:name="_Toc244076336"/>
      <w:bookmarkStart w:id="219" w:name="_Toc509493356"/>
      <w:bookmarkStart w:id="220" w:name="_Toc11347"/>
      <w:r>
        <w:rPr>
          <w:rFonts w:hint="eastAsia" w:ascii="宋体" w:hAnsi="宋体"/>
          <w:sz w:val="21"/>
          <w:szCs w:val="21"/>
        </w:rPr>
        <w:t>3.7　投标文件的编制</w:t>
      </w:r>
      <w:bookmarkEnd w:id="213"/>
      <w:bookmarkEnd w:id="214"/>
      <w:bookmarkEnd w:id="215"/>
      <w:bookmarkEnd w:id="216"/>
      <w:bookmarkEnd w:id="217"/>
      <w:bookmarkEnd w:id="218"/>
      <w:bookmarkEnd w:id="219"/>
      <w:bookmarkEnd w:id="220"/>
    </w:p>
    <w:p>
      <w:pPr>
        <w:spacing w:line="360" w:lineRule="auto"/>
        <w:ind w:firstLine="420" w:firstLineChars="200"/>
        <w:rPr>
          <w:rFonts w:ascii="宋体" w:hAnsi="宋体"/>
          <w:szCs w:val="21"/>
        </w:rPr>
      </w:pPr>
      <w:r>
        <w:rPr>
          <w:rFonts w:hint="eastAsia" w:ascii="宋体" w:hAnsi="宋体"/>
          <w:szCs w:val="21"/>
        </w:rPr>
        <w:t>3.7.1　投标文件应按第七章“投标文件格式”进行编写，并编制目录，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szCs w:val="21"/>
        </w:rPr>
      </w:pPr>
      <w:r>
        <w:rPr>
          <w:rFonts w:hint="eastAsia" w:ascii="宋体" w:hAnsi="宋体"/>
          <w:szCs w:val="21"/>
        </w:rPr>
        <w:t>3.7.2　投标文件应当对招标文件有关工期、投标有效期、质量要求、技术标准和要求、招标范围等实质性内容作出响应。</w:t>
      </w:r>
    </w:p>
    <w:p>
      <w:pPr>
        <w:spacing w:line="360" w:lineRule="auto"/>
        <w:ind w:firstLine="420" w:firstLineChars="200"/>
        <w:rPr>
          <w:rFonts w:ascii="宋体" w:hAnsi="宋体"/>
          <w:szCs w:val="21"/>
        </w:rPr>
      </w:pPr>
      <w:r>
        <w:rPr>
          <w:rFonts w:hint="eastAsia" w:ascii="宋体" w:hAnsi="宋体"/>
          <w:szCs w:val="21"/>
        </w:rPr>
        <w:t>3.7.3　投标文件应用不褪色的材料书写或打印，并由投标人的法定代表人或其委托代理人签字和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60" w:lineRule="auto"/>
        <w:ind w:firstLine="420" w:firstLineChars="200"/>
        <w:rPr>
          <w:rFonts w:ascii="宋体" w:hAnsi="宋体"/>
          <w:szCs w:val="21"/>
        </w:rPr>
      </w:pPr>
      <w:r>
        <w:rPr>
          <w:rFonts w:hint="eastAsia" w:ascii="宋体" w:hAnsi="宋体"/>
          <w:szCs w:val="21"/>
        </w:rPr>
        <w:t>3.7.4　投标文件份数见投标人须知前附表。正本和副本的封面上应清楚地标记“正本”或“副本”的字样。当副本和正本内容不一致时，以正本为准。</w:t>
      </w:r>
    </w:p>
    <w:p>
      <w:pPr>
        <w:spacing w:line="360" w:lineRule="auto"/>
        <w:ind w:firstLine="420" w:firstLineChars="200"/>
        <w:rPr>
          <w:rFonts w:ascii="宋体" w:hAnsi="宋体"/>
          <w:szCs w:val="21"/>
        </w:rPr>
      </w:pPr>
      <w:r>
        <w:rPr>
          <w:rFonts w:hint="eastAsia" w:ascii="宋体" w:hAnsi="宋体"/>
          <w:szCs w:val="21"/>
        </w:rPr>
        <w:t>3.7.5　投标文件的装订应采用不可抽取调换内页的平装方式。</w:t>
      </w:r>
    </w:p>
    <w:p>
      <w:pPr>
        <w:pStyle w:val="4"/>
        <w:rPr>
          <w:rFonts w:ascii="宋体" w:hAnsi="宋体" w:eastAsia="宋体"/>
          <w:sz w:val="24"/>
          <w:szCs w:val="24"/>
        </w:rPr>
      </w:pPr>
      <w:bookmarkStart w:id="221" w:name="_Toc239129422"/>
      <w:bookmarkStart w:id="222" w:name="_Toc286853496"/>
      <w:bookmarkStart w:id="223" w:name="_Toc509493357"/>
      <w:bookmarkStart w:id="224" w:name="_Toc243992979"/>
      <w:bookmarkStart w:id="225" w:name="_Toc244076337"/>
      <w:bookmarkStart w:id="226" w:name="_Toc184635074"/>
      <w:bookmarkStart w:id="227" w:name="_Toc8897"/>
      <w:r>
        <w:rPr>
          <w:rFonts w:hint="eastAsia" w:ascii="宋体" w:hAnsi="宋体" w:eastAsia="宋体"/>
          <w:sz w:val="24"/>
          <w:szCs w:val="24"/>
        </w:rPr>
        <w:t>4．投标</w:t>
      </w:r>
      <w:bookmarkEnd w:id="221"/>
      <w:bookmarkEnd w:id="222"/>
      <w:bookmarkEnd w:id="223"/>
      <w:bookmarkEnd w:id="224"/>
      <w:bookmarkEnd w:id="225"/>
      <w:bookmarkEnd w:id="226"/>
      <w:bookmarkEnd w:id="227"/>
    </w:p>
    <w:p>
      <w:pPr>
        <w:pStyle w:val="5"/>
        <w:spacing w:line="360" w:lineRule="auto"/>
        <w:rPr>
          <w:rFonts w:ascii="宋体" w:hAnsi="宋体"/>
          <w:sz w:val="21"/>
          <w:szCs w:val="21"/>
        </w:rPr>
      </w:pPr>
      <w:bookmarkStart w:id="228" w:name="_Toc238444680"/>
      <w:bookmarkStart w:id="229" w:name="_Toc244076338"/>
      <w:bookmarkStart w:id="230" w:name="_Toc238445347"/>
      <w:bookmarkStart w:id="231" w:name="_Toc239129423"/>
      <w:bookmarkStart w:id="232" w:name="_Toc286853497"/>
      <w:bookmarkStart w:id="233" w:name="_Toc243992980"/>
      <w:bookmarkStart w:id="234" w:name="_Toc509493358"/>
      <w:bookmarkStart w:id="235" w:name="_Toc31417"/>
      <w:r>
        <w:rPr>
          <w:rFonts w:hint="eastAsia" w:ascii="宋体" w:hAnsi="宋体"/>
          <w:sz w:val="21"/>
          <w:szCs w:val="21"/>
        </w:rPr>
        <w:t>4.1　</w:t>
      </w:r>
      <w:bookmarkEnd w:id="228"/>
      <w:bookmarkEnd w:id="229"/>
      <w:bookmarkEnd w:id="230"/>
      <w:bookmarkEnd w:id="231"/>
      <w:bookmarkEnd w:id="232"/>
      <w:bookmarkEnd w:id="233"/>
      <w:bookmarkStart w:id="236" w:name="_Toc243992981"/>
      <w:bookmarkStart w:id="237" w:name="_Toc244076339"/>
      <w:bookmarkStart w:id="238" w:name="_Toc238445348"/>
      <w:bookmarkStart w:id="239" w:name="_Toc239129424"/>
      <w:bookmarkStart w:id="240" w:name="_Toc238444681"/>
      <w:bookmarkStart w:id="241" w:name="_Toc286853498"/>
      <w:r>
        <w:rPr>
          <w:rFonts w:hint="eastAsia" w:ascii="宋体" w:hAnsi="宋体"/>
          <w:sz w:val="21"/>
          <w:szCs w:val="21"/>
        </w:rPr>
        <w:t>投标文件的份数、签署、密封</w:t>
      </w:r>
      <w:bookmarkEnd w:id="234"/>
      <w:bookmarkEnd w:id="235"/>
    </w:p>
    <w:p>
      <w:pPr>
        <w:spacing w:line="360" w:lineRule="auto"/>
        <w:ind w:firstLine="420" w:firstLineChars="200"/>
        <w:rPr>
          <w:rFonts w:ascii="宋体" w:hAnsi="宋体"/>
          <w:szCs w:val="21"/>
        </w:rPr>
      </w:pPr>
      <w:r>
        <w:rPr>
          <w:rFonts w:hint="eastAsia" w:ascii="宋体" w:hAnsi="宋体"/>
          <w:szCs w:val="21"/>
        </w:rPr>
        <w:t>4.1.1</w:t>
      </w:r>
      <w:r>
        <w:rPr>
          <w:rFonts w:hint="eastAsia"/>
        </w:rPr>
        <w:t>投标文件的份数和签署：</w:t>
      </w:r>
      <w:r>
        <w:rPr>
          <w:rFonts w:hint="eastAsia" w:ascii="宋体" w:hAnsi="宋体"/>
          <w:szCs w:val="21"/>
        </w:rPr>
        <w:t>投标文件的份数详见投标人须知前附表。</w:t>
      </w:r>
    </w:p>
    <w:p>
      <w:pPr>
        <w:spacing w:line="360" w:lineRule="auto"/>
        <w:ind w:firstLine="420" w:firstLineChars="200"/>
        <w:rPr>
          <w:rFonts w:ascii="宋体" w:hAnsi="宋体"/>
          <w:szCs w:val="21"/>
        </w:rPr>
      </w:pPr>
      <w:r>
        <w:rPr>
          <w:rFonts w:hint="eastAsia" w:ascii="宋体" w:hAnsi="宋体"/>
          <w:szCs w:val="21"/>
        </w:rPr>
        <w:t>明确标明“正本”和“副本”字样，投标文件正本和副本如有不一致之处，以正本为准。</w:t>
      </w:r>
    </w:p>
    <w:p>
      <w:pPr>
        <w:spacing w:line="360" w:lineRule="auto"/>
        <w:ind w:firstLine="420" w:firstLineChars="200"/>
        <w:rPr>
          <w:rFonts w:ascii="宋体" w:hAnsi="宋体"/>
          <w:szCs w:val="21"/>
        </w:rPr>
      </w:pPr>
      <w:r>
        <w:rPr>
          <w:rFonts w:hint="eastAsia" w:ascii="宋体" w:hAnsi="宋体"/>
          <w:szCs w:val="21"/>
        </w:rPr>
        <w:t>投标文件中除要求由投标人法定代表人或被授权人签字的内容必须签字、盖章外，其他每页也须加盖公章。投标文件应使用不能擦去的墨水打印或书写。全套投标文件应无涂改和行间插字，除非这些删改是根据招标人的指示进行的，或者是投标人造成的必须修改的错误。修改处应由法人或授权的投标代表签字证明。</w:t>
      </w:r>
    </w:p>
    <w:p>
      <w:pPr>
        <w:spacing w:line="360" w:lineRule="auto"/>
        <w:ind w:firstLine="422" w:firstLineChars="200"/>
        <w:rPr>
          <w:rFonts w:ascii="宋体" w:hAnsi="宋体"/>
          <w:b/>
          <w:szCs w:val="21"/>
        </w:rPr>
      </w:pPr>
      <w:r>
        <w:rPr>
          <w:rFonts w:hint="eastAsia" w:ascii="宋体" w:hAnsi="宋体"/>
          <w:b/>
          <w:szCs w:val="21"/>
        </w:rPr>
        <w:t>4.1.2</w:t>
      </w:r>
      <w:r>
        <w:rPr>
          <w:rFonts w:hint="eastAsia"/>
          <w:b/>
        </w:rPr>
        <w:t>投标文件</w:t>
      </w:r>
      <w:r>
        <w:rPr>
          <w:rFonts w:hint="eastAsia" w:ascii="宋体" w:hAnsi="宋体"/>
          <w:b/>
          <w:szCs w:val="21"/>
        </w:rPr>
        <w:t>的密封</w:t>
      </w:r>
    </w:p>
    <w:p>
      <w:pPr>
        <w:spacing w:line="360" w:lineRule="auto"/>
        <w:ind w:firstLine="420" w:firstLineChars="200"/>
        <w:rPr>
          <w:rFonts w:ascii="宋体" w:hAnsi="宋体"/>
          <w:szCs w:val="21"/>
        </w:rPr>
      </w:pPr>
      <w:r>
        <w:rPr>
          <w:rFonts w:hint="eastAsia" w:ascii="宋体" w:hAnsi="宋体"/>
          <w:szCs w:val="21"/>
        </w:rPr>
        <w:t>投标人的投标文件（包括正、副本、电子版）用信封密封，并在信封上标明“项目名称”、“招标编号”、“投标商名称”（盖公章）。</w:t>
      </w:r>
    </w:p>
    <w:p>
      <w:pPr>
        <w:pStyle w:val="5"/>
        <w:rPr>
          <w:rFonts w:ascii="宋体" w:hAnsi="宋体"/>
          <w:sz w:val="21"/>
          <w:szCs w:val="21"/>
        </w:rPr>
      </w:pPr>
      <w:bookmarkStart w:id="242" w:name="_Toc509493360"/>
      <w:bookmarkStart w:id="243" w:name="_Toc16056"/>
      <w:r>
        <w:rPr>
          <w:rFonts w:hint="eastAsia" w:ascii="宋体" w:hAnsi="宋体"/>
          <w:sz w:val="21"/>
          <w:szCs w:val="21"/>
        </w:rPr>
        <w:t>4.2　投标文件的递交</w:t>
      </w:r>
      <w:bookmarkEnd w:id="236"/>
      <w:bookmarkEnd w:id="237"/>
      <w:bookmarkEnd w:id="238"/>
      <w:bookmarkEnd w:id="239"/>
      <w:bookmarkEnd w:id="240"/>
      <w:bookmarkEnd w:id="241"/>
      <w:bookmarkEnd w:id="242"/>
      <w:bookmarkEnd w:id="243"/>
    </w:p>
    <w:p>
      <w:pPr>
        <w:spacing w:line="360" w:lineRule="auto"/>
        <w:ind w:firstLine="420" w:firstLineChars="200"/>
        <w:rPr>
          <w:rFonts w:ascii="宋体" w:hAnsi="宋体"/>
          <w:szCs w:val="21"/>
        </w:rPr>
      </w:pPr>
      <w:bookmarkStart w:id="244" w:name="_Toc239129425"/>
      <w:bookmarkStart w:id="245" w:name="_Toc244076340"/>
      <w:bookmarkStart w:id="246" w:name="_Toc238444682"/>
      <w:bookmarkStart w:id="247" w:name="_Toc238445349"/>
      <w:bookmarkStart w:id="248" w:name="_Toc286853499"/>
      <w:bookmarkStart w:id="249" w:name="_Toc243992982"/>
      <w:r>
        <w:rPr>
          <w:rFonts w:hint="eastAsia" w:ascii="宋体" w:hAnsi="宋体"/>
          <w:szCs w:val="21"/>
        </w:rPr>
        <w:t>4.2.1　投标文件应在投标文件递交时间内送达招标文件指定地点，招标人将拒绝接受在投标截止时间后递交的投标文件。</w:t>
      </w:r>
    </w:p>
    <w:p>
      <w:pPr>
        <w:spacing w:line="360" w:lineRule="auto"/>
        <w:ind w:firstLine="420" w:firstLineChars="200"/>
        <w:rPr>
          <w:rFonts w:ascii="宋体" w:hAnsi="宋体"/>
          <w:szCs w:val="21"/>
        </w:rPr>
      </w:pPr>
      <w:r>
        <w:rPr>
          <w:rFonts w:hint="eastAsia" w:ascii="宋体" w:hAnsi="宋体"/>
          <w:szCs w:val="21"/>
        </w:rPr>
        <w:t>4.2.2　投标文件递交截止时间见投标须知前附表</w:t>
      </w:r>
    </w:p>
    <w:p>
      <w:pPr>
        <w:spacing w:line="360" w:lineRule="auto"/>
        <w:ind w:firstLine="420" w:firstLineChars="200"/>
        <w:rPr>
          <w:rFonts w:ascii="宋体" w:hAnsi="宋体"/>
          <w:szCs w:val="21"/>
        </w:rPr>
      </w:pPr>
      <w:r>
        <w:rPr>
          <w:rFonts w:hint="eastAsia" w:ascii="宋体" w:hAnsi="宋体"/>
          <w:szCs w:val="21"/>
        </w:rPr>
        <w:t>招标人或代理机构可视具体情况，延长投标截止时间和开标时间，但应当在提交投标文件截止时间3日前。变更时间应当在《甘肃政府采购网》发布。</w:t>
      </w:r>
    </w:p>
    <w:p>
      <w:pPr>
        <w:pStyle w:val="5"/>
        <w:rPr>
          <w:rFonts w:ascii="宋体" w:hAnsi="宋体"/>
          <w:sz w:val="21"/>
          <w:szCs w:val="21"/>
        </w:rPr>
      </w:pPr>
      <w:bookmarkStart w:id="250" w:name="_Toc509493361"/>
      <w:bookmarkStart w:id="251" w:name="_Toc22012"/>
      <w:r>
        <w:rPr>
          <w:rFonts w:hint="eastAsia" w:ascii="宋体" w:hAnsi="宋体"/>
          <w:sz w:val="21"/>
          <w:szCs w:val="21"/>
        </w:rPr>
        <w:t>4.3　投标文件的修改与撤回</w:t>
      </w:r>
      <w:bookmarkEnd w:id="244"/>
      <w:bookmarkEnd w:id="245"/>
      <w:bookmarkEnd w:id="246"/>
      <w:bookmarkEnd w:id="247"/>
      <w:bookmarkEnd w:id="248"/>
      <w:bookmarkEnd w:id="249"/>
      <w:bookmarkEnd w:id="250"/>
      <w:bookmarkEnd w:id="251"/>
    </w:p>
    <w:p>
      <w:pPr>
        <w:spacing w:line="360" w:lineRule="auto"/>
        <w:ind w:firstLine="420" w:firstLineChars="200"/>
        <w:rPr>
          <w:rFonts w:ascii="宋体" w:hAnsi="宋体"/>
          <w:szCs w:val="21"/>
        </w:rPr>
      </w:pPr>
      <w:bookmarkStart w:id="252" w:name="_Toc244076341"/>
      <w:bookmarkStart w:id="253" w:name="_Toc184635075"/>
      <w:bookmarkStart w:id="254" w:name="_Toc239129426"/>
      <w:bookmarkStart w:id="255" w:name="_Toc243992983"/>
      <w:bookmarkStart w:id="256" w:name="_Toc286853500"/>
      <w:r>
        <w:rPr>
          <w:rFonts w:hint="eastAsia" w:ascii="宋体" w:hAnsi="宋体"/>
          <w:szCs w:val="21"/>
        </w:rPr>
        <w:t>投标人可以在递交投标文件以后，在规定的投标截止时间之前，可以书面形式向招标人递交修改或撤回其投标文件的通知。在投标截止时间以后，不能更改投标文件。</w:t>
      </w:r>
    </w:p>
    <w:p>
      <w:pPr>
        <w:spacing w:line="360" w:lineRule="auto"/>
        <w:ind w:firstLine="420" w:firstLineChars="200"/>
        <w:rPr>
          <w:rFonts w:ascii="宋体" w:hAnsi="宋体"/>
          <w:szCs w:val="21"/>
        </w:rPr>
      </w:pPr>
      <w:r>
        <w:rPr>
          <w:rFonts w:hint="eastAsia" w:ascii="宋体" w:hAnsi="宋体"/>
          <w:szCs w:val="21"/>
        </w:rPr>
        <w:t>投标人的修改或撤回通知，应单独密封在一个信封中，在信封上注明“修改”或“撤回”的字样。同时，信封上还须按投标文件的密封要求加写标志。</w:t>
      </w:r>
    </w:p>
    <w:p>
      <w:pPr>
        <w:pStyle w:val="5"/>
        <w:rPr>
          <w:rFonts w:ascii="宋体" w:hAnsi="宋体"/>
          <w:sz w:val="21"/>
          <w:szCs w:val="21"/>
        </w:rPr>
      </w:pPr>
      <w:bookmarkStart w:id="257" w:name="_Toc509493362"/>
      <w:bookmarkStart w:id="258" w:name="_Toc20892"/>
      <w:r>
        <w:rPr>
          <w:rFonts w:hint="eastAsia" w:ascii="宋体" w:hAnsi="宋体"/>
          <w:sz w:val="21"/>
          <w:szCs w:val="21"/>
        </w:rPr>
        <w:t>4.4投标人出现以下情况，采购人（代理机构）将拒收其递交的投标文件。</w:t>
      </w:r>
      <w:bookmarkEnd w:id="257"/>
      <w:bookmarkEnd w:id="258"/>
    </w:p>
    <w:p>
      <w:pPr>
        <w:spacing w:line="360" w:lineRule="auto"/>
        <w:ind w:firstLine="420" w:firstLineChars="200"/>
        <w:rPr>
          <w:rFonts w:ascii="宋体" w:hAnsi="宋体"/>
          <w:szCs w:val="21"/>
        </w:rPr>
      </w:pPr>
      <w:r>
        <w:rPr>
          <w:rFonts w:hint="eastAsia" w:ascii="宋体" w:hAnsi="宋体"/>
          <w:szCs w:val="21"/>
        </w:rPr>
        <w:t>（1）逾期送达投标文件的。</w:t>
      </w:r>
    </w:p>
    <w:p>
      <w:pPr>
        <w:spacing w:line="360" w:lineRule="auto"/>
        <w:ind w:firstLine="420" w:firstLineChars="200"/>
        <w:rPr>
          <w:rFonts w:ascii="宋体" w:hAnsi="宋体"/>
          <w:szCs w:val="21"/>
        </w:rPr>
      </w:pPr>
      <w:r>
        <w:rPr>
          <w:rFonts w:hint="eastAsia" w:ascii="宋体" w:hAnsi="宋体"/>
          <w:szCs w:val="21"/>
        </w:rPr>
        <w:t>（2）未按招标文件要求密封投标文件的。</w:t>
      </w:r>
    </w:p>
    <w:p>
      <w:pPr>
        <w:spacing w:line="360" w:lineRule="auto"/>
        <w:ind w:firstLine="420" w:firstLineChars="200"/>
        <w:rPr>
          <w:rFonts w:ascii="宋体" w:hAnsi="宋体"/>
          <w:szCs w:val="21"/>
        </w:rPr>
      </w:pPr>
      <w:r>
        <w:rPr>
          <w:rFonts w:hint="eastAsia" w:ascii="宋体" w:hAnsi="宋体"/>
          <w:szCs w:val="21"/>
        </w:rPr>
        <w:t>（3）未按规定交纳保证金的。</w:t>
      </w:r>
    </w:p>
    <w:p>
      <w:pPr>
        <w:spacing w:line="360" w:lineRule="auto"/>
        <w:ind w:firstLine="420" w:firstLineChars="200"/>
        <w:rPr>
          <w:rFonts w:ascii="宋体" w:hAnsi="宋体"/>
          <w:szCs w:val="21"/>
        </w:rPr>
      </w:pPr>
      <w:r>
        <w:rPr>
          <w:rFonts w:hint="eastAsia" w:ascii="宋体" w:hAnsi="宋体"/>
          <w:szCs w:val="21"/>
        </w:rPr>
        <w:t>（4）投标单位出席开标会议时，法定代表人不能出具法人代表证明材料的或授权代表不能出具授权委托书原件的。</w:t>
      </w:r>
    </w:p>
    <w:p>
      <w:pPr>
        <w:pStyle w:val="5"/>
        <w:rPr>
          <w:rFonts w:ascii="宋体" w:hAnsi="宋体"/>
          <w:sz w:val="21"/>
          <w:szCs w:val="21"/>
        </w:rPr>
      </w:pPr>
      <w:bookmarkStart w:id="259" w:name="_Toc14774"/>
      <w:bookmarkStart w:id="260" w:name="_Toc5924"/>
      <w:bookmarkStart w:id="261" w:name="_Toc509493363"/>
      <w:bookmarkStart w:id="262" w:name="_Toc9793"/>
      <w:bookmarkStart w:id="263" w:name="_Toc493008692"/>
      <w:bookmarkStart w:id="264" w:name="_Toc6374"/>
      <w:bookmarkStart w:id="265" w:name="_Toc493509484"/>
      <w:bookmarkStart w:id="266" w:name="_Toc459622981"/>
      <w:r>
        <w:rPr>
          <w:rFonts w:hint="eastAsia" w:ascii="宋体" w:hAnsi="宋体"/>
          <w:sz w:val="21"/>
          <w:szCs w:val="21"/>
        </w:rPr>
        <w:t>4.5特殊情形的规定</w:t>
      </w:r>
      <w:bookmarkEnd w:id="259"/>
      <w:bookmarkEnd w:id="260"/>
      <w:bookmarkEnd w:id="261"/>
      <w:bookmarkEnd w:id="262"/>
      <w:bookmarkEnd w:id="263"/>
      <w:bookmarkEnd w:id="264"/>
      <w:bookmarkEnd w:id="265"/>
      <w:bookmarkEnd w:id="266"/>
    </w:p>
    <w:p>
      <w:pPr>
        <w:spacing w:line="360" w:lineRule="auto"/>
        <w:ind w:firstLine="480"/>
        <w:rPr>
          <w:rFonts w:ascii="宋体" w:hAnsi="宋体"/>
          <w:szCs w:val="21"/>
        </w:rPr>
      </w:pPr>
      <w:r>
        <w:rPr>
          <w:rFonts w:hint="eastAsia" w:ascii="宋体" w:hAnsi="宋体"/>
          <w:szCs w:val="21"/>
        </w:rPr>
        <w:t>特殊情形是指：在规定的投标截止时间</w:t>
      </w:r>
      <w:r>
        <w:rPr>
          <w:rFonts w:hint="eastAsia" w:ascii="宋体" w:hAnsi="宋体"/>
          <w:szCs w:val="21"/>
          <w:lang w:val="zh-CN"/>
        </w:rPr>
        <w:t>递交投标文件或者经评审实质性响应招标文件要求的供应商不足3家的情形。</w:t>
      </w:r>
    </w:p>
    <w:p>
      <w:pPr>
        <w:spacing w:line="360" w:lineRule="auto"/>
        <w:ind w:firstLine="480"/>
        <w:rPr>
          <w:rFonts w:ascii="宋体" w:hAnsi="宋体"/>
          <w:szCs w:val="21"/>
        </w:rPr>
      </w:pPr>
      <w:r>
        <w:rPr>
          <w:rFonts w:hint="eastAsia" w:ascii="宋体" w:hAnsi="宋体"/>
          <w:szCs w:val="21"/>
        </w:rPr>
        <w:t>（1）根据政府采购货物和服务招标投标管理办法（财政部令第87号）第四十一条的规定，投标人不足3家的，不得开标。</w:t>
      </w:r>
    </w:p>
    <w:p>
      <w:pPr>
        <w:spacing w:line="360" w:lineRule="auto"/>
        <w:ind w:firstLine="480"/>
        <w:rPr>
          <w:rFonts w:ascii="宋体" w:hAnsi="宋体"/>
          <w:szCs w:val="21"/>
        </w:rPr>
      </w:pPr>
      <w:r>
        <w:rPr>
          <w:rFonts w:hint="eastAsia" w:ascii="宋体" w:hAnsi="宋体"/>
          <w:szCs w:val="21"/>
        </w:rPr>
        <w:t>（2）公开招标数额标准以上的采购项目，投标截止后投标人不足3家或者通过资格审查或符合性审查的投标人不足3家的，除采购任务取消情形外，按照以下方式处理：</w:t>
      </w:r>
    </w:p>
    <w:p>
      <w:pPr>
        <w:spacing w:line="360" w:lineRule="auto"/>
        <w:ind w:firstLine="480"/>
        <w:rPr>
          <w:rFonts w:ascii="宋体" w:hAnsi="宋体"/>
          <w:szCs w:val="21"/>
        </w:rPr>
      </w:pPr>
      <w:r>
        <w:rPr>
          <w:rFonts w:hint="eastAsia" w:ascii="宋体" w:hAnsi="宋体"/>
          <w:szCs w:val="21"/>
        </w:rPr>
        <w:t>①招标文件存在不合理条款或者招标程序不符合规定的，采购人、采购代理机构改正后依法重新招标；</w:t>
      </w:r>
    </w:p>
    <w:p>
      <w:pPr>
        <w:spacing w:line="360" w:lineRule="auto"/>
        <w:ind w:firstLine="480"/>
        <w:rPr>
          <w:rFonts w:ascii="宋体" w:hAnsi="宋体"/>
          <w:szCs w:val="21"/>
        </w:rPr>
      </w:pPr>
      <w:r>
        <w:rPr>
          <w:rFonts w:hint="eastAsia" w:ascii="宋体" w:hAnsi="宋体"/>
          <w:szCs w:val="21"/>
        </w:rPr>
        <w:t>②招标文件没有不合理条款、招标程序符合规定，需要采用其他采购方式采购的，采购人应当依法报财政部门批准。</w:t>
      </w:r>
    </w:p>
    <w:p>
      <w:pPr>
        <w:pStyle w:val="4"/>
        <w:rPr>
          <w:rFonts w:ascii="宋体" w:hAnsi="宋体" w:eastAsia="宋体"/>
          <w:sz w:val="24"/>
          <w:szCs w:val="24"/>
        </w:rPr>
      </w:pPr>
      <w:bookmarkStart w:id="267" w:name="_Toc22843"/>
      <w:bookmarkStart w:id="268" w:name="_Toc509493364"/>
      <w:r>
        <w:rPr>
          <w:rFonts w:hint="eastAsia" w:ascii="宋体" w:hAnsi="宋体" w:eastAsia="宋体"/>
          <w:sz w:val="24"/>
          <w:szCs w:val="24"/>
        </w:rPr>
        <w:t>5．开标</w:t>
      </w:r>
      <w:bookmarkEnd w:id="252"/>
      <w:bookmarkEnd w:id="253"/>
      <w:bookmarkEnd w:id="254"/>
      <w:bookmarkEnd w:id="255"/>
      <w:bookmarkEnd w:id="256"/>
      <w:bookmarkEnd w:id="267"/>
      <w:bookmarkEnd w:id="268"/>
    </w:p>
    <w:p>
      <w:pPr>
        <w:pStyle w:val="5"/>
        <w:rPr>
          <w:rFonts w:ascii="宋体" w:hAnsi="宋体"/>
          <w:sz w:val="21"/>
          <w:szCs w:val="21"/>
        </w:rPr>
      </w:pPr>
      <w:bookmarkStart w:id="269" w:name="_Toc238444684"/>
      <w:bookmarkStart w:id="270" w:name="_Toc238445351"/>
      <w:bookmarkStart w:id="271" w:name="_Toc243992984"/>
      <w:bookmarkStart w:id="272" w:name="_Toc509493365"/>
      <w:bookmarkStart w:id="273" w:name="_Toc286853501"/>
      <w:bookmarkStart w:id="274" w:name="_Toc239129427"/>
      <w:bookmarkStart w:id="275" w:name="_Toc18320"/>
      <w:bookmarkStart w:id="276" w:name="_Toc244076342"/>
      <w:r>
        <w:rPr>
          <w:rFonts w:hint="eastAsia" w:ascii="宋体" w:hAnsi="宋体"/>
          <w:sz w:val="21"/>
          <w:szCs w:val="21"/>
        </w:rPr>
        <w:t>5.1　开标时间和地点</w:t>
      </w:r>
      <w:bookmarkEnd w:id="269"/>
      <w:bookmarkEnd w:id="270"/>
      <w:bookmarkEnd w:id="271"/>
      <w:bookmarkEnd w:id="272"/>
      <w:bookmarkEnd w:id="273"/>
      <w:bookmarkEnd w:id="274"/>
      <w:bookmarkEnd w:id="275"/>
      <w:bookmarkEnd w:id="276"/>
    </w:p>
    <w:p>
      <w:pPr>
        <w:spacing w:line="360" w:lineRule="auto"/>
        <w:ind w:firstLine="420" w:firstLineChars="200"/>
        <w:rPr>
          <w:rFonts w:ascii="宋体" w:hAnsi="宋体"/>
          <w:szCs w:val="21"/>
        </w:rPr>
      </w:pPr>
      <w:r>
        <w:rPr>
          <w:rFonts w:hint="eastAsia" w:ascii="宋体" w:hAnsi="宋体"/>
          <w:szCs w:val="21"/>
        </w:rPr>
        <w:t>招标人在规定的投标截止时间（开标时间）和投标人须知前附表规定的地点公开开标，并邀请所有投标人的法定代表人或其委托代理人准时参加。</w:t>
      </w:r>
    </w:p>
    <w:p>
      <w:pPr>
        <w:pStyle w:val="4"/>
        <w:rPr>
          <w:rFonts w:ascii="宋体" w:hAnsi="宋体" w:eastAsia="宋体"/>
          <w:sz w:val="24"/>
          <w:szCs w:val="24"/>
        </w:rPr>
      </w:pPr>
      <w:bookmarkStart w:id="277" w:name="_Toc286853502"/>
      <w:bookmarkStart w:id="278" w:name="_Toc243992985"/>
      <w:bookmarkStart w:id="279" w:name="_Toc238445352"/>
      <w:bookmarkStart w:id="280" w:name="_Toc239129428"/>
      <w:bookmarkStart w:id="281" w:name="_Toc238444685"/>
      <w:bookmarkStart w:id="282" w:name="_Toc244076343"/>
      <w:bookmarkStart w:id="283" w:name="_Toc509493366"/>
      <w:bookmarkStart w:id="284" w:name="_Toc22723"/>
      <w:r>
        <w:rPr>
          <w:rFonts w:hint="eastAsia" w:ascii="宋体" w:hAnsi="宋体"/>
          <w:sz w:val="21"/>
          <w:szCs w:val="21"/>
        </w:rPr>
        <w:t>5.2　</w:t>
      </w:r>
      <w:bookmarkEnd w:id="277"/>
      <w:bookmarkEnd w:id="278"/>
      <w:bookmarkEnd w:id="279"/>
      <w:bookmarkEnd w:id="280"/>
      <w:bookmarkEnd w:id="281"/>
      <w:bookmarkEnd w:id="282"/>
      <w:r>
        <w:rPr>
          <w:rFonts w:hint="eastAsia" w:ascii="宋体" w:hAnsi="宋体" w:eastAsia="宋体"/>
          <w:sz w:val="24"/>
          <w:szCs w:val="24"/>
        </w:rPr>
        <w:t>开标内容及注意事项</w:t>
      </w:r>
      <w:bookmarkEnd w:id="283"/>
      <w:bookmarkEnd w:id="284"/>
    </w:p>
    <w:p>
      <w:pPr>
        <w:spacing w:line="360" w:lineRule="auto"/>
        <w:ind w:firstLine="480"/>
        <w:rPr>
          <w:rFonts w:ascii="宋体" w:hAnsi="宋体"/>
          <w:szCs w:val="21"/>
        </w:rPr>
      </w:pPr>
      <w:r>
        <w:rPr>
          <w:rFonts w:hint="eastAsia" w:ascii="宋体" w:hAnsi="宋体"/>
          <w:szCs w:val="21"/>
        </w:rPr>
        <w:t>（1）招标人将于本招标文件规定的开标时间和地点举行开标会议，投标人代表必须参加开标会议。</w:t>
      </w:r>
    </w:p>
    <w:p>
      <w:pPr>
        <w:spacing w:line="360" w:lineRule="auto"/>
        <w:ind w:firstLine="480"/>
        <w:rPr>
          <w:rFonts w:ascii="宋体" w:hAnsi="宋体"/>
          <w:szCs w:val="21"/>
        </w:rPr>
      </w:pPr>
      <w:r>
        <w:rPr>
          <w:rFonts w:hint="eastAsia" w:ascii="宋体" w:hAnsi="宋体"/>
          <w:szCs w:val="21"/>
        </w:rPr>
        <w:t>（2）投标人代表为法定代表人的，投标时应出示其身份证原件和《法定代表人资格证明书》 （式样见附件）；非法定代表人的，除出示其身份证原件外，还须持有《法定代表人授权委托书》（式样见附件）</w:t>
      </w:r>
    </w:p>
    <w:p>
      <w:pPr>
        <w:spacing w:line="360" w:lineRule="auto"/>
        <w:ind w:firstLine="480"/>
        <w:rPr>
          <w:rFonts w:ascii="宋体" w:hAnsi="宋体"/>
          <w:szCs w:val="21"/>
        </w:rPr>
      </w:pPr>
      <w:r>
        <w:rPr>
          <w:rFonts w:hint="eastAsia" w:ascii="宋体" w:hAnsi="宋体"/>
          <w:szCs w:val="21"/>
        </w:rPr>
        <w:t>（3）开标会议在有关监督部门及投标人的监督下，由招标人组织并主持，除投标截止时间后递交的投标文件外，由投标人代表和监督人检查投标文件是否符合招标文件的密封要求，未按招标文件要求密封的，将被视为无效投标文件。</w:t>
      </w:r>
    </w:p>
    <w:p>
      <w:pPr>
        <w:spacing w:line="360" w:lineRule="auto"/>
        <w:ind w:firstLine="480"/>
        <w:rPr>
          <w:rFonts w:ascii="宋体" w:hAnsi="宋体"/>
          <w:szCs w:val="21"/>
        </w:rPr>
      </w:pPr>
      <w:r>
        <w:rPr>
          <w:rFonts w:hint="eastAsia" w:ascii="宋体" w:hAnsi="宋体"/>
          <w:szCs w:val="21"/>
        </w:rPr>
        <w:t>（4）开标后，将由招标人按照递交投标文件的逆顺序，公开宣读有效投标人的开标一览表所有内容，以及招标人认为必要的其它内容。</w:t>
      </w:r>
    </w:p>
    <w:p>
      <w:pPr>
        <w:spacing w:line="360" w:lineRule="auto"/>
        <w:ind w:firstLine="480"/>
        <w:rPr>
          <w:rFonts w:ascii="宋体" w:hAnsi="宋体"/>
          <w:szCs w:val="21"/>
        </w:rPr>
      </w:pPr>
      <w:r>
        <w:rPr>
          <w:rFonts w:hint="eastAsia" w:ascii="宋体" w:hAnsi="宋体"/>
          <w:szCs w:val="21"/>
        </w:rPr>
        <w:t>（5）招标人有权就投标文件中含混之处向投标人提出询问或澄清要求。</w:t>
      </w:r>
    </w:p>
    <w:p>
      <w:pPr>
        <w:spacing w:line="360" w:lineRule="auto"/>
        <w:ind w:firstLine="480"/>
        <w:rPr>
          <w:rFonts w:ascii="宋体" w:hAnsi="宋体"/>
          <w:szCs w:val="21"/>
        </w:rPr>
      </w:pPr>
      <w:r>
        <w:rPr>
          <w:rFonts w:hint="eastAsia" w:ascii="宋体" w:hAnsi="宋体"/>
          <w:szCs w:val="21"/>
        </w:rPr>
        <w:t xml:space="preserve">（6）公开开标后，直到向中标的投标人授予合同时止，凡与审查、澄清、评价和比较投标的有关资料以及授标意见等均不得向投标人及与投标无关的其他人透露。 </w:t>
      </w:r>
    </w:p>
    <w:p>
      <w:pPr>
        <w:pStyle w:val="4"/>
        <w:rPr>
          <w:rFonts w:ascii="宋体" w:hAnsi="宋体" w:eastAsia="宋体"/>
          <w:sz w:val="24"/>
          <w:szCs w:val="24"/>
        </w:rPr>
      </w:pPr>
      <w:bookmarkStart w:id="285" w:name="_Toc509493367"/>
      <w:bookmarkStart w:id="286" w:name="_Toc4613"/>
      <w:r>
        <w:rPr>
          <w:rFonts w:hint="eastAsia" w:ascii="宋体" w:hAnsi="宋体" w:eastAsia="宋体"/>
          <w:sz w:val="24"/>
          <w:szCs w:val="24"/>
        </w:rPr>
        <w:t>6．评标</w:t>
      </w:r>
      <w:bookmarkEnd w:id="285"/>
      <w:bookmarkEnd w:id="286"/>
    </w:p>
    <w:p>
      <w:pPr>
        <w:pStyle w:val="4"/>
        <w:rPr>
          <w:rFonts w:ascii="宋体" w:hAnsi="宋体" w:eastAsia="宋体"/>
          <w:sz w:val="24"/>
          <w:szCs w:val="24"/>
        </w:rPr>
      </w:pPr>
      <w:bookmarkStart w:id="287" w:name="_Toc459622985"/>
      <w:bookmarkStart w:id="288" w:name="_Toc29278"/>
      <w:bookmarkStart w:id="289" w:name="_Toc1438"/>
      <w:bookmarkStart w:id="290" w:name="_Toc493008696"/>
      <w:bookmarkStart w:id="291" w:name="_Toc493509489"/>
      <w:bookmarkStart w:id="292" w:name="_Toc509493368"/>
      <w:bookmarkStart w:id="293" w:name="_Toc7253"/>
      <w:bookmarkStart w:id="294" w:name="_Toc23391"/>
      <w:r>
        <w:rPr>
          <w:rFonts w:hint="eastAsia" w:ascii="宋体" w:hAnsi="宋体" w:eastAsia="宋体"/>
          <w:sz w:val="24"/>
          <w:szCs w:val="24"/>
        </w:rPr>
        <w:t>6.1评标流程</w:t>
      </w:r>
      <w:bookmarkEnd w:id="287"/>
      <w:bookmarkEnd w:id="288"/>
      <w:bookmarkEnd w:id="289"/>
      <w:bookmarkEnd w:id="290"/>
      <w:bookmarkEnd w:id="291"/>
      <w:bookmarkEnd w:id="292"/>
      <w:bookmarkEnd w:id="293"/>
      <w:bookmarkEnd w:id="294"/>
    </w:p>
    <w:p>
      <w:pPr>
        <w:spacing w:line="360" w:lineRule="auto"/>
        <w:ind w:firstLine="480"/>
        <w:rPr>
          <w:rFonts w:ascii="宋体" w:hAnsi="宋体"/>
          <w:szCs w:val="21"/>
        </w:rPr>
      </w:pPr>
      <w:r>
        <w:rPr>
          <w:rFonts w:hint="eastAsia" w:ascii="宋体" w:hAnsi="宋体"/>
          <w:szCs w:val="21"/>
        </w:rPr>
        <w:t>评标工作由招标人依法组建的评标委员</w:t>
      </w:r>
      <w:r>
        <w:rPr>
          <w:rFonts w:hint="eastAsia" w:ascii="宋体" w:hAnsi="宋体"/>
          <w:szCs w:val="21"/>
          <w:lang w:val="zh-CN"/>
        </w:rPr>
        <w:t>会（以下简称评委会）负</w:t>
      </w:r>
      <w:r>
        <w:rPr>
          <w:rFonts w:hint="eastAsia" w:ascii="宋体" w:hAnsi="宋体"/>
          <w:szCs w:val="21"/>
        </w:rPr>
        <w:t>责。</w:t>
      </w:r>
    </w:p>
    <w:p>
      <w:pPr>
        <w:spacing w:line="360" w:lineRule="auto"/>
        <w:ind w:firstLine="480"/>
        <w:rPr>
          <w:rFonts w:ascii="宋体" w:hAnsi="宋体"/>
          <w:szCs w:val="21"/>
        </w:rPr>
      </w:pPr>
      <w:r>
        <w:rPr>
          <w:rFonts w:hint="eastAsia" w:ascii="宋体" w:hAnsi="宋体"/>
          <w:szCs w:val="21"/>
        </w:rPr>
        <w:t>评标流程详见第四章评标办法。</w:t>
      </w:r>
    </w:p>
    <w:p>
      <w:pPr>
        <w:spacing w:line="360" w:lineRule="auto"/>
        <w:ind w:firstLine="480"/>
        <w:rPr>
          <w:rFonts w:ascii="宋体" w:hAnsi="宋体"/>
          <w:szCs w:val="21"/>
        </w:rPr>
      </w:pPr>
      <w:r>
        <w:rPr>
          <w:rFonts w:hint="eastAsia" w:ascii="宋体" w:hAnsi="宋体"/>
          <w:szCs w:val="21"/>
        </w:rPr>
        <w:t>评标方法分为综合评分法或最低评标价法。</w:t>
      </w:r>
    </w:p>
    <w:p>
      <w:pPr>
        <w:spacing w:line="360" w:lineRule="auto"/>
        <w:ind w:firstLine="480"/>
        <w:rPr>
          <w:rFonts w:ascii="宋体" w:hAnsi="宋体"/>
          <w:szCs w:val="21"/>
        </w:rPr>
      </w:pPr>
      <w:r>
        <w:rPr>
          <w:rFonts w:hint="eastAsia" w:ascii="宋体" w:hAnsi="宋体"/>
          <w:szCs w:val="21"/>
        </w:rPr>
        <w:t>1）综合评分法：是指投标文件满足招标文件全部实质性要求且按照评审因素的量化指标评审得分最高的供应商为中标候选人的评标方法。综合评分法中的价格分统一采用低价优先法计算，即满足招标文件要求且投标价格最低的投标报价为评标基准价，其价格分为满分。其他投标人的价格分统一按照下列公式计算：投标报价得分＝（评标基准价/投标报价）×价格权值×100。</w:t>
      </w:r>
    </w:p>
    <w:p>
      <w:pPr>
        <w:spacing w:line="360" w:lineRule="auto"/>
        <w:ind w:firstLine="480"/>
        <w:rPr>
          <w:rFonts w:ascii="宋体" w:hAnsi="宋体"/>
          <w:szCs w:val="21"/>
          <w:highlight w:val="yellow"/>
        </w:rPr>
      </w:pPr>
      <w:r>
        <w:rPr>
          <w:rFonts w:hint="eastAsia" w:ascii="宋体" w:hAnsi="宋体"/>
          <w:szCs w:val="21"/>
        </w:rPr>
        <w:t>2）最低评标价法：是指投标文件满足招标文件全部实质性要求且投标报价最低的供应商为中标候选人的评标方法。</w:t>
      </w:r>
    </w:p>
    <w:p>
      <w:pPr>
        <w:spacing w:line="360" w:lineRule="auto"/>
        <w:ind w:firstLine="480"/>
        <w:rPr>
          <w:rFonts w:ascii="宋体" w:hAnsi="宋体"/>
          <w:szCs w:val="21"/>
        </w:rPr>
      </w:pPr>
      <w:r>
        <w:rPr>
          <w:rFonts w:hint="eastAsia" w:ascii="宋体" w:hAnsi="宋体"/>
          <w:szCs w:val="21"/>
        </w:rPr>
        <w:t>（3）评委会出具书面评标报告。</w:t>
      </w:r>
    </w:p>
    <w:p>
      <w:pPr>
        <w:pStyle w:val="4"/>
        <w:rPr>
          <w:rFonts w:ascii="宋体" w:hAnsi="宋体" w:eastAsia="宋体"/>
          <w:sz w:val="24"/>
          <w:szCs w:val="24"/>
        </w:rPr>
      </w:pPr>
      <w:bookmarkStart w:id="295" w:name="_Toc493509490"/>
      <w:bookmarkStart w:id="296" w:name="_Toc493008697"/>
      <w:bookmarkStart w:id="297" w:name="_Toc11492"/>
      <w:bookmarkStart w:id="298" w:name="_Toc509493369"/>
      <w:bookmarkStart w:id="299" w:name="_Toc6700"/>
      <w:bookmarkStart w:id="300" w:name="_Toc18231"/>
      <w:bookmarkStart w:id="301" w:name="_Toc9945"/>
      <w:bookmarkStart w:id="302" w:name="_Toc459622986"/>
      <w:r>
        <w:rPr>
          <w:rFonts w:hint="eastAsia" w:ascii="宋体" w:hAnsi="宋体" w:eastAsia="宋体"/>
          <w:sz w:val="24"/>
          <w:szCs w:val="24"/>
        </w:rPr>
        <w:t>6.2注意事项</w:t>
      </w:r>
      <w:bookmarkEnd w:id="295"/>
      <w:bookmarkEnd w:id="296"/>
      <w:bookmarkEnd w:id="297"/>
      <w:bookmarkEnd w:id="298"/>
      <w:bookmarkEnd w:id="299"/>
      <w:bookmarkEnd w:id="300"/>
      <w:bookmarkEnd w:id="301"/>
      <w:bookmarkEnd w:id="302"/>
    </w:p>
    <w:p>
      <w:pPr>
        <w:spacing w:line="360" w:lineRule="auto"/>
        <w:ind w:firstLine="480"/>
        <w:rPr>
          <w:rFonts w:ascii="宋体" w:hAnsi="宋体"/>
          <w:szCs w:val="21"/>
        </w:rPr>
      </w:pPr>
      <w:r>
        <w:rPr>
          <w:rFonts w:hint="eastAsia" w:ascii="宋体" w:hAnsi="宋体"/>
          <w:szCs w:val="21"/>
        </w:rPr>
        <w:t>在评标期间，评标过程严格保密。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360" w:lineRule="auto"/>
        <w:ind w:firstLine="480"/>
        <w:rPr>
          <w:rFonts w:ascii="宋体" w:hAnsi="宋体"/>
          <w:szCs w:val="21"/>
        </w:rPr>
      </w:pPr>
      <w:r>
        <w:rPr>
          <w:rFonts w:hint="eastAsia" w:ascii="宋体" w:hAnsi="宋体"/>
          <w:szCs w:val="21"/>
        </w:rPr>
        <w:t>如果投标文件没有实质性响应招标文件的要求，评委会将予以拒绝。</w:t>
      </w:r>
    </w:p>
    <w:p>
      <w:pPr>
        <w:spacing w:line="360" w:lineRule="auto"/>
        <w:ind w:firstLine="480"/>
        <w:rPr>
          <w:rFonts w:ascii="宋体" w:hAnsi="宋体"/>
          <w:szCs w:val="21"/>
        </w:rPr>
      </w:pPr>
      <w:r>
        <w:rPr>
          <w:rFonts w:hint="eastAsia" w:ascii="宋体" w:hAnsi="宋体"/>
          <w:szCs w:val="21"/>
        </w:rPr>
        <w:t>评委会只对确定为实质性响应招标文件要求的投标文件，根据招标文件的要求采用相同的评标程序、评分办法及标准进行评价和比较。</w:t>
      </w:r>
    </w:p>
    <w:p>
      <w:pPr>
        <w:pStyle w:val="4"/>
        <w:rPr>
          <w:rFonts w:ascii="宋体" w:hAnsi="宋体" w:eastAsia="宋体"/>
          <w:sz w:val="24"/>
          <w:szCs w:val="24"/>
          <w:highlight w:val="yellow"/>
        </w:rPr>
      </w:pPr>
      <w:bookmarkStart w:id="303" w:name="_Toc493008698"/>
      <w:bookmarkStart w:id="304" w:name="_Toc18631"/>
      <w:bookmarkStart w:id="305" w:name="_Toc493509491"/>
      <w:bookmarkStart w:id="306" w:name="_Toc509493370"/>
      <w:r>
        <w:rPr>
          <w:rFonts w:hint="eastAsia" w:ascii="宋体" w:hAnsi="宋体" w:eastAsia="宋体"/>
          <w:sz w:val="24"/>
          <w:szCs w:val="24"/>
        </w:rPr>
        <w:t xml:space="preserve">6.3 </w:t>
      </w:r>
      <w:bookmarkEnd w:id="303"/>
      <w:r>
        <w:rPr>
          <w:rFonts w:hint="eastAsia" w:ascii="宋体" w:hAnsi="宋体" w:eastAsia="宋体"/>
          <w:sz w:val="24"/>
          <w:szCs w:val="24"/>
        </w:rPr>
        <w:t>投标人家数计算</w:t>
      </w:r>
      <w:bookmarkEnd w:id="304"/>
      <w:bookmarkEnd w:id="305"/>
      <w:bookmarkEnd w:id="306"/>
    </w:p>
    <w:p>
      <w:pPr>
        <w:spacing w:line="360" w:lineRule="auto"/>
        <w:ind w:firstLine="480"/>
        <w:rPr>
          <w:rFonts w:ascii="宋体" w:hAnsi="宋体"/>
          <w:szCs w:val="21"/>
        </w:rPr>
      </w:pPr>
      <w:r>
        <w:rPr>
          <w:rFonts w:hint="eastAsia" w:ascii="宋体" w:hAnsi="宋体"/>
          <w:szCs w:val="21"/>
        </w:rPr>
        <w:t xml:space="preserve">（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spacing w:line="360" w:lineRule="auto"/>
        <w:ind w:firstLine="480"/>
        <w:rPr>
          <w:rFonts w:ascii="宋体" w:hAnsi="宋体"/>
          <w:szCs w:val="21"/>
        </w:rPr>
      </w:pPr>
      <w:r>
        <w:rPr>
          <w:rFonts w:hint="eastAsia" w:ascii="宋体" w:hAnsi="宋体"/>
          <w:szCs w:val="21"/>
        </w:rPr>
        <w:t xml:space="preserve">（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本项目由采购人确定），招标文件未规定的采取随机抽取方式确定，其他同品牌投标人不作为中标候选人。 </w:t>
      </w:r>
    </w:p>
    <w:p>
      <w:pPr>
        <w:spacing w:line="360" w:lineRule="auto"/>
        <w:ind w:firstLine="480"/>
        <w:rPr>
          <w:rFonts w:ascii="宋体" w:hAnsi="宋体"/>
          <w:szCs w:val="21"/>
        </w:rPr>
      </w:pPr>
      <w:r>
        <w:rPr>
          <w:rFonts w:hint="eastAsia" w:ascii="宋体" w:hAnsi="宋体"/>
          <w:szCs w:val="21"/>
        </w:rPr>
        <w:t>（3）非单一产品采购项目，采购人应当根据采购项目技术构成、产品价格比重等合理确定核心产品，并在招标文件中载明。多家投标人提供的核心产品品牌相同的，按前两款规定处理。</w:t>
      </w:r>
    </w:p>
    <w:p>
      <w:pPr>
        <w:pStyle w:val="4"/>
        <w:tabs>
          <w:tab w:val="left" w:pos="1470"/>
        </w:tabs>
        <w:rPr>
          <w:rFonts w:ascii="宋体" w:hAnsi="宋体" w:eastAsia="宋体"/>
          <w:sz w:val="24"/>
          <w:szCs w:val="24"/>
        </w:rPr>
      </w:pPr>
      <w:bookmarkStart w:id="307" w:name="_Toc509493371"/>
      <w:bookmarkStart w:id="308" w:name="_Toc9584"/>
      <w:bookmarkStart w:id="309" w:name="_Toc20291"/>
      <w:bookmarkStart w:id="310" w:name="_Toc447207020"/>
      <w:bookmarkStart w:id="311" w:name="_Toc14757"/>
      <w:bookmarkStart w:id="312" w:name="_Toc447272157"/>
      <w:bookmarkStart w:id="313" w:name="_Toc493509492"/>
      <w:bookmarkStart w:id="314" w:name="_Toc493008699"/>
      <w:bookmarkStart w:id="315" w:name="_Toc459622987"/>
      <w:bookmarkStart w:id="316" w:name="_Toc14393"/>
      <w:r>
        <w:rPr>
          <w:rFonts w:hint="eastAsia" w:ascii="宋体" w:hAnsi="宋体" w:eastAsia="宋体"/>
          <w:sz w:val="24"/>
          <w:szCs w:val="24"/>
        </w:rPr>
        <w:t>6.4定标</w:t>
      </w:r>
      <w:bookmarkEnd w:id="307"/>
      <w:bookmarkEnd w:id="308"/>
      <w:bookmarkEnd w:id="309"/>
      <w:bookmarkEnd w:id="310"/>
      <w:bookmarkEnd w:id="311"/>
      <w:bookmarkEnd w:id="312"/>
      <w:bookmarkEnd w:id="313"/>
      <w:bookmarkEnd w:id="314"/>
      <w:bookmarkEnd w:id="315"/>
      <w:bookmarkEnd w:id="316"/>
      <w:r>
        <w:rPr>
          <w:rFonts w:ascii="宋体" w:hAnsi="宋体" w:eastAsia="宋体"/>
          <w:sz w:val="24"/>
          <w:szCs w:val="24"/>
        </w:rPr>
        <w:tab/>
      </w:r>
    </w:p>
    <w:p>
      <w:pPr>
        <w:spacing w:line="360" w:lineRule="auto"/>
        <w:ind w:firstLine="480"/>
        <w:rPr>
          <w:rFonts w:ascii="宋体" w:hAnsi="宋体"/>
          <w:bCs/>
          <w:szCs w:val="21"/>
        </w:rPr>
      </w:pPr>
      <w:bookmarkStart w:id="317" w:name="_Toc493509493"/>
      <w:r>
        <w:rPr>
          <w:rFonts w:hint="eastAsia" w:ascii="宋体" w:hAnsi="宋体"/>
          <w:bCs/>
          <w:szCs w:val="21"/>
        </w:rPr>
        <w:t>6.4.1 定标原则</w:t>
      </w:r>
      <w:bookmarkEnd w:id="317"/>
    </w:p>
    <w:p>
      <w:pPr>
        <w:spacing w:line="360" w:lineRule="auto"/>
        <w:ind w:firstLine="480"/>
        <w:rPr>
          <w:rFonts w:ascii="宋体" w:hAnsi="宋体"/>
          <w:szCs w:val="21"/>
        </w:rPr>
      </w:pPr>
      <w:r>
        <w:rPr>
          <w:rFonts w:hint="eastAsia" w:ascii="宋体" w:hAnsi="宋体"/>
          <w:szCs w:val="21"/>
        </w:rPr>
        <w:t>采购人根据评委会推荐的中标候选人名单，按顺序确定中标人。</w:t>
      </w:r>
    </w:p>
    <w:p>
      <w:pPr>
        <w:spacing w:line="360" w:lineRule="auto"/>
        <w:ind w:firstLine="480"/>
        <w:rPr>
          <w:rFonts w:ascii="宋体" w:hAnsi="宋体"/>
          <w:b/>
          <w:szCs w:val="21"/>
        </w:rPr>
      </w:pPr>
      <w:bookmarkStart w:id="318" w:name="_Toc493509494"/>
      <w:r>
        <w:rPr>
          <w:rFonts w:hint="eastAsia" w:ascii="宋体" w:hAnsi="宋体"/>
          <w:bCs/>
          <w:szCs w:val="21"/>
        </w:rPr>
        <w:t>6.4.2 定标程序</w:t>
      </w:r>
      <w:bookmarkEnd w:id="318"/>
    </w:p>
    <w:p>
      <w:pPr>
        <w:spacing w:line="360" w:lineRule="auto"/>
        <w:ind w:firstLine="480"/>
        <w:rPr>
          <w:rFonts w:ascii="宋体" w:hAnsi="宋体"/>
          <w:szCs w:val="21"/>
        </w:rPr>
      </w:pPr>
      <w:bookmarkStart w:id="319" w:name="_Toc14012"/>
      <w:bookmarkStart w:id="320" w:name="_Toc31462"/>
      <w:bookmarkStart w:id="321" w:name="_Toc459622988"/>
      <w:bookmarkStart w:id="322" w:name="_Toc447207021"/>
      <w:bookmarkStart w:id="323" w:name="_Toc447272158"/>
      <w:bookmarkStart w:id="324" w:name="_Toc128372079"/>
      <w:bookmarkStart w:id="325" w:name="_Toc23895"/>
      <w:bookmarkStart w:id="326" w:name="_Toc139965352"/>
      <w:bookmarkStart w:id="327" w:name="_Toc128372757"/>
      <w:r>
        <w:rPr>
          <w:rFonts w:hint="eastAsia" w:ascii="宋体" w:hAnsi="宋体"/>
          <w:szCs w:val="21"/>
        </w:rPr>
        <w:t xml:space="preserve">采购人或者采购代理机构应当自中标人确定之日起2个工作日内，在省级以上财政部门指定的媒体上公告中标结果，招标文件应当随中标结果同时公告。 </w:t>
      </w:r>
    </w:p>
    <w:p>
      <w:pPr>
        <w:spacing w:line="360" w:lineRule="auto"/>
        <w:ind w:firstLine="480"/>
        <w:rPr>
          <w:rFonts w:ascii="宋体" w:hAnsi="宋体"/>
          <w:szCs w:val="21"/>
        </w:rPr>
      </w:pPr>
      <w:r>
        <w:rPr>
          <w:rFonts w:hint="eastAsia" w:ascii="宋体" w:hAnsi="宋体"/>
          <w:szCs w:val="21"/>
        </w:rPr>
        <w:t xml:space="preserve">中标结果公告内容应当包括采购人及其委托的采购代理机构的名称、地址、联系方式，项目名称和项目编号，中标人名称、地址和中标金额，主要中标标的的名称、规格型号、数量、单价、服务要求，中标公告期限以及评审专家名单。 </w:t>
      </w:r>
    </w:p>
    <w:p>
      <w:pPr>
        <w:spacing w:line="360" w:lineRule="auto"/>
        <w:ind w:firstLine="480"/>
        <w:rPr>
          <w:rFonts w:ascii="宋体" w:hAnsi="宋体"/>
          <w:szCs w:val="21"/>
        </w:rPr>
      </w:pPr>
      <w:r>
        <w:rPr>
          <w:rFonts w:hint="eastAsia" w:ascii="宋体" w:hAnsi="宋体"/>
          <w:szCs w:val="21"/>
        </w:rPr>
        <w:t xml:space="preserve">中标公告期限为1个工作日。 </w:t>
      </w:r>
    </w:p>
    <w:p>
      <w:pPr>
        <w:spacing w:line="360" w:lineRule="auto"/>
        <w:ind w:firstLine="480"/>
        <w:rPr>
          <w:rFonts w:ascii="宋体" w:hAnsi="宋体"/>
          <w:szCs w:val="21"/>
        </w:rPr>
      </w:pPr>
      <w:r>
        <w:rPr>
          <w:rFonts w:hint="eastAsia" w:ascii="宋体" w:hAnsi="宋体"/>
          <w:szCs w:val="21"/>
        </w:rPr>
        <w:t xml:space="preserve">邀请招标采购人采用书面推荐方式产生符合资格条件的潜在投标人的，还应当将所有被推荐供应商名单和推荐理由随中标结果同时公告。 </w:t>
      </w:r>
    </w:p>
    <w:p>
      <w:pPr>
        <w:spacing w:line="360" w:lineRule="auto"/>
        <w:ind w:firstLine="480"/>
        <w:rPr>
          <w:rFonts w:ascii="宋体" w:hAnsi="宋体"/>
          <w:bCs/>
          <w:szCs w:val="21"/>
        </w:rPr>
      </w:pPr>
      <w:bookmarkStart w:id="328" w:name="_Toc493008700"/>
      <w:bookmarkStart w:id="329" w:name="_Toc493509495"/>
      <w:r>
        <w:rPr>
          <w:rFonts w:hint="eastAsia" w:ascii="宋体" w:hAnsi="宋体"/>
          <w:bCs/>
          <w:szCs w:val="21"/>
        </w:rPr>
        <w:t>6.4.3发放中标通知书</w:t>
      </w:r>
      <w:bookmarkEnd w:id="319"/>
      <w:bookmarkEnd w:id="320"/>
      <w:bookmarkEnd w:id="321"/>
      <w:bookmarkEnd w:id="322"/>
      <w:bookmarkEnd w:id="323"/>
      <w:bookmarkEnd w:id="324"/>
      <w:bookmarkEnd w:id="325"/>
      <w:bookmarkEnd w:id="326"/>
      <w:bookmarkEnd w:id="327"/>
      <w:bookmarkEnd w:id="328"/>
      <w:bookmarkEnd w:id="329"/>
    </w:p>
    <w:p>
      <w:pPr>
        <w:spacing w:line="360" w:lineRule="auto"/>
        <w:ind w:firstLine="480"/>
        <w:rPr>
          <w:rFonts w:ascii="宋体" w:hAnsi="宋体"/>
          <w:szCs w:val="21"/>
        </w:rPr>
      </w:pPr>
      <w:r>
        <w:rPr>
          <w:rFonts w:hint="eastAsia" w:ascii="宋体" w:hAnsi="宋体"/>
          <w:szCs w:val="21"/>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360" w:lineRule="auto"/>
        <w:ind w:firstLine="480"/>
        <w:rPr>
          <w:rFonts w:ascii="宋体" w:hAnsi="宋体"/>
          <w:szCs w:val="21"/>
        </w:rPr>
      </w:pPr>
      <w:r>
        <w:rPr>
          <w:rFonts w:hint="eastAsia" w:ascii="宋体" w:hAnsi="宋体"/>
          <w:szCs w:val="21"/>
        </w:rPr>
        <w:t>中标通知书对采购人和中标人均具有法律效力。中标通知书发出后，采购人改变中标结果，或者中标人无正当理由放弃中标的，应当承担相应的法律责任。</w:t>
      </w:r>
    </w:p>
    <w:p>
      <w:pPr>
        <w:spacing w:line="360" w:lineRule="auto"/>
        <w:ind w:firstLine="420" w:firstLineChars="200"/>
        <w:rPr>
          <w:rFonts w:ascii="宋体" w:hAnsi="宋体"/>
          <w:szCs w:val="21"/>
        </w:rPr>
      </w:pPr>
      <w:r>
        <w:rPr>
          <w:rFonts w:hint="eastAsia" w:ascii="宋体" w:hAnsi="宋体"/>
          <w:szCs w:val="21"/>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pStyle w:val="4"/>
        <w:rPr>
          <w:rFonts w:ascii="宋体" w:hAnsi="宋体" w:eastAsia="宋体"/>
          <w:sz w:val="24"/>
          <w:szCs w:val="24"/>
        </w:rPr>
      </w:pPr>
      <w:bookmarkStart w:id="330" w:name="_Toc839"/>
      <w:bookmarkStart w:id="331" w:name="_Toc244076348"/>
      <w:bookmarkStart w:id="332" w:name="_Toc243992990"/>
      <w:bookmarkStart w:id="333" w:name="_Toc509493372"/>
      <w:bookmarkStart w:id="334" w:name="_Toc239129433"/>
      <w:bookmarkStart w:id="335" w:name="_Toc184635077"/>
      <w:bookmarkStart w:id="336" w:name="_Toc286853507"/>
      <w:r>
        <w:rPr>
          <w:rFonts w:hint="eastAsia" w:ascii="宋体" w:hAnsi="宋体" w:eastAsia="宋体"/>
          <w:sz w:val="24"/>
          <w:szCs w:val="24"/>
        </w:rPr>
        <w:t>7．合同授予</w:t>
      </w:r>
      <w:bookmarkEnd w:id="330"/>
      <w:bookmarkEnd w:id="331"/>
      <w:bookmarkEnd w:id="332"/>
      <w:bookmarkEnd w:id="333"/>
      <w:bookmarkEnd w:id="334"/>
      <w:bookmarkEnd w:id="335"/>
      <w:bookmarkEnd w:id="336"/>
    </w:p>
    <w:p>
      <w:pPr>
        <w:pStyle w:val="5"/>
        <w:rPr>
          <w:rFonts w:ascii="宋体" w:hAnsi="宋体"/>
          <w:sz w:val="21"/>
          <w:szCs w:val="21"/>
        </w:rPr>
      </w:pPr>
      <w:bookmarkStart w:id="337" w:name="_Toc286853508"/>
      <w:bookmarkStart w:id="338" w:name="_Toc475172053"/>
      <w:bookmarkStart w:id="339" w:name="_Toc239129434"/>
      <w:bookmarkStart w:id="340" w:name="_Toc243992991"/>
      <w:bookmarkStart w:id="341" w:name="_Toc238444691"/>
      <w:bookmarkStart w:id="342" w:name="_Toc244076349"/>
      <w:bookmarkStart w:id="343" w:name="_Toc238445358"/>
      <w:bookmarkStart w:id="344" w:name="_Toc28124"/>
      <w:bookmarkStart w:id="345" w:name="_Toc509493373"/>
      <w:r>
        <w:rPr>
          <w:rFonts w:hint="eastAsia" w:ascii="宋体" w:hAnsi="宋体"/>
          <w:sz w:val="21"/>
          <w:szCs w:val="21"/>
        </w:rPr>
        <w:t>7.1　</w:t>
      </w:r>
      <w:bookmarkEnd w:id="337"/>
      <w:bookmarkEnd w:id="338"/>
      <w:bookmarkEnd w:id="339"/>
      <w:bookmarkEnd w:id="340"/>
      <w:bookmarkEnd w:id="341"/>
      <w:bookmarkEnd w:id="342"/>
      <w:bookmarkEnd w:id="343"/>
      <w:r>
        <w:rPr>
          <w:rFonts w:hint="eastAsia" w:ascii="宋体" w:hAnsi="宋体"/>
          <w:sz w:val="24"/>
          <w:szCs w:val="24"/>
        </w:rPr>
        <w:t>合同授予原则</w:t>
      </w:r>
      <w:bookmarkEnd w:id="344"/>
      <w:bookmarkEnd w:id="345"/>
    </w:p>
    <w:p>
      <w:pPr>
        <w:spacing w:line="360" w:lineRule="auto"/>
        <w:ind w:firstLine="420" w:firstLineChars="200"/>
        <w:rPr>
          <w:rFonts w:ascii="宋体" w:hAnsi="宋体"/>
          <w:szCs w:val="21"/>
        </w:rPr>
      </w:pPr>
      <w:r>
        <w:rPr>
          <w:rFonts w:hint="eastAsia" w:ascii="宋体" w:hAnsi="宋体"/>
          <w:szCs w:val="21"/>
        </w:rPr>
        <w:t>招标人将把合同授予经评委会评议推荐采购人确认的投标人。若因中标人违约或因不可抗力等原因不能被授予合同，则合同将授予排序在该投标人之后的下一个投标人。</w:t>
      </w:r>
    </w:p>
    <w:p>
      <w:pPr>
        <w:spacing w:line="360" w:lineRule="auto"/>
        <w:ind w:firstLine="420" w:firstLineChars="200"/>
        <w:rPr>
          <w:rFonts w:ascii="宋体" w:hAnsi="宋体"/>
          <w:szCs w:val="21"/>
        </w:rPr>
      </w:pPr>
      <w:r>
        <w:rPr>
          <w:rFonts w:hint="eastAsia" w:ascii="宋体" w:hAnsi="宋体"/>
          <w:szCs w:val="21"/>
        </w:rPr>
        <w:t>招标人保留在签订合同时调整方案需求和变动所购设备或材料数量的权力。</w:t>
      </w:r>
    </w:p>
    <w:p>
      <w:pPr>
        <w:pStyle w:val="5"/>
        <w:rPr>
          <w:rFonts w:ascii="宋体" w:hAnsi="宋体"/>
          <w:sz w:val="24"/>
          <w:szCs w:val="24"/>
        </w:rPr>
      </w:pPr>
      <w:bookmarkStart w:id="346" w:name="_Toc139965353"/>
      <w:bookmarkStart w:id="347" w:name="_Toc128372080"/>
      <w:bookmarkStart w:id="348" w:name="_Toc128372758"/>
      <w:bookmarkStart w:id="349" w:name="_Toc17165"/>
      <w:bookmarkStart w:id="350" w:name="_Toc509493374"/>
      <w:bookmarkStart w:id="351" w:name="_Toc493008703"/>
      <w:bookmarkStart w:id="352" w:name="_Toc15235"/>
      <w:bookmarkStart w:id="353" w:name="_Toc459622991"/>
      <w:bookmarkStart w:id="354" w:name="_Toc5086"/>
      <w:bookmarkStart w:id="355" w:name="_Toc28809"/>
      <w:bookmarkStart w:id="356" w:name="_Toc493509498"/>
      <w:r>
        <w:rPr>
          <w:rFonts w:hint="eastAsia" w:ascii="宋体" w:hAnsi="宋体"/>
          <w:sz w:val="24"/>
          <w:szCs w:val="24"/>
        </w:rPr>
        <w:t>7.2合同的签署</w:t>
      </w:r>
      <w:bookmarkEnd w:id="346"/>
      <w:bookmarkEnd w:id="347"/>
      <w:bookmarkEnd w:id="348"/>
      <w:r>
        <w:rPr>
          <w:rFonts w:hint="eastAsia" w:ascii="宋体" w:hAnsi="宋体"/>
          <w:sz w:val="24"/>
          <w:szCs w:val="24"/>
        </w:rPr>
        <w:t>、履行及验收</w:t>
      </w:r>
      <w:bookmarkEnd w:id="349"/>
      <w:bookmarkEnd w:id="350"/>
      <w:bookmarkEnd w:id="351"/>
      <w:bookmarkEnd w:id="352"/>
      <w:bookmarkEnd w:id="353"/>
      <w:bookmarkEnd w:id="354"/>
      <w:bookmarkEnd w:id="355"/>
      <w:bookmarkEnd w:id="356"/>
    </w:p>
    <w:p>
      <w:pPr>
        <w:spacing w:line="360" w:lineRule="auto"/>
        <w:ind w:firstLine="420" w:firstLineChars="200"/>
        <w:rPr>
          <w:rFonts w:ascii="宋体" w:hAnsi="宋体"/>
          <w:szCs w:val="21"/>
        </w:rPr>
      </w:pPr>
      <w:r>
        <w:rPr>
          <w:rFonts w:hint="eastAsia" w:ascii="宋体" w:hAnsi="宋体"/>
          <w:szCs w:val="21"/>
        </w:rPr>
        <w:t>中标人于中标通知书中发出之日起30日内，按中标通知书指定的时间、地点与中标人签订政府采购合同。招标文件、中标人的投标文件均为签订合同的依据，需方与中标人是合同权利与义务的直接、全部责任承担人。招标人所发出的中标通知书对需方和中标供应商具有同等法律效力。</w:t>
      </w:r>
    </w:p>
    <w:p>
      <w:pPr>
        <w:spacing w:line="360" w:lineRule="auto"/>
        <w:ind w:firstLine="420" w:firstLineChars="200"/>
        <w:rPr>
          <w:rFonts w:ascii="宋体" w:hAnsi="宋体"/>
          <w:szCs w:val="21"/>
        </w:rPr>
      </w:pPr>
      <w:r>
        <w:rPr>
          <w:rFonts w:hint="eastAsia" w:ascii="宋体" w:hAnsi="宋体"/>
          <w:szCs w:val="21"/>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按照财政部令</w:t>
      </w:r>
      <w:r>
        <w:rPr>
          <w:rFonts w:ascii="宋体" w:hAnsi="宋体"/>
          <w:szCs w:val="21"/>
        </w:rPr>
        <w:t>[2</w:t>
      </w:r>
      <w:r>
        <w:rPr>
          <w:rFonts w:hint="eastAsia" w:ascii="宋体" w:hAnsi="宋体"/>
          <w:szCs w:val="21"/>
        </w:rPr>
        <w:t>017</w:t>
      </w:r>
      <w:r>
        <w:rPr>
          <w:rFonts w:ascii="宋体" w:hAnsi="宋体"/>
          <w:szCs w:val="21"/>
        </w:rPr>
        <w:t>]</w:t>
      </w:r>
      <w:r>
        <w:rPr>
          <w:rFonts w:hint="eastAsia" w:ascii="宋体" w:hAnsi="宋体"/>
          <w:szCs w:val="21"/>
        </w:rPr>
        <w:t>第87号第七十一条、第七十二条、第七十三条规定办理。此时可由招标人按照排名顺序与下一投标人签订合同。</w:t>
      </w:r>
    </w:p>
    <w:p>
      <w:pPr>
        <w:spacing w:line="360" w:lineRule="auto"/>
        <w:ind w:firstLine="420" w:firstLineChars="200"/>
        <w:rPr>
          <w:rFonts w:ascii="宋体" w:hAnsi="宋体"/>
          <w:szCs w:val="21"/>
        </w:rPr>
      </w:pPr>
      <w:r>
        <w:rPr>
          <w:rFonts w:hint="eastAsia" w:ascii="宋体" w:hAnsi="宋体"/>
          <w:szCs w:val="21"/>
        </w:rPr>
        <w:t>如果中标人在规定的合同签订时间内，没有按照招标文件的规定交纳履约保证金，且又无正当理由的，将视为放弃中标，其交纳的投标保证金将不予退还。</w:t>
      </w:r>
    </w:p>
    <w:p>
      <w:pPr>
        <w:pStyle w:val="5"/>
        <w:rPr>
          <w:rFonts w:ascii="宋体" w:hAnsi="宋体"/>
          <w:sz w:val="21"/>
          <w:szCs w:val="21"/>
        </w:rPr>
      </w:pPr>
      <w:bookmarkStart w:id="357" w:name="_Toc239129436"/>
      <w:bookmarkStart w:id="358" w:name="_Toc286853510"/>
      <w:bookmarkStart w:id="359" w:name="_Toc238444693"/>
      <w:bookmarkStart w:id="360" w:name="_Toc238445360"/>
      <w:bookmarkStart w:id="361" w:name="_Toc243992993"/>
      <w:bookmarkStart w:id="362" w:name="_Toc244076351"/>
      <w:bookmarkStart w:id="363" w:name="_Toc509493375"/>
      <w:bookmarkStart w:id="364" w:name="_Toc475172055"/>
      <w:bookmarkStart w:id="365" w:name="_Toc23582"/>
      <w:r>
        <w:rPr>
          <w:rFonts w:hint="eastAsia" w:ascii="宋体" w:hAnsi="宋体"/>
          <w:sz w:val="24"/>
          <w:szCs w:val="24"/>
        </w:rPr>
        <w:t>7.3　履约担保</w:t>
      </w:r>
      <w:bookmarkEnd w:id="357"/>
      <w:bookmarkEnd w:id="358"/>
      <w:bookmarkEnd w:id="359"/>
      <w:bookmarkEnd w:id="360"/>
      <w:bookmarkEnd w:id="361"/>
      <w:bookmarkEnd w:id="362"/>
      <w:bookmarkEnd w:id="363"/>
      <w:bookmarkEnd w:id="364"/>
      <w:bookmarkEnd w:id="365"/>
    </w:p>
    <w:p>
      <w:pPr>
        <w:spacing w:line="360" w:lineRule="auto"/>
        <w:ind w:firstLine="420" w:firstLineChars="200"/>
        <w:rPr>
          <w:rFonts w:ascii="宋体" w:hAnsi="宋体"/>
          <w:szCs w:val="21"/>
        </w:rPr>
      </w:pPr>
      <w:r>
        <w:rPr>
          <w:rFonts w:hint="eastAsia" w:ascii="宋体" w:hAnsi="宋体"/>
          <w:szCs w:val="21"/>
        </w:rPr>
        <w:t>7.3.1　在签订合同前，中标人应按投标人须知前附表规定的金额、担保形式和招标文件第三章“合同条款及格式”规定的履约担保格式向招标人提交履约担保。联合体中标的，其履约担保由牵头人递交，并应符合投标人须知前附表规定的金额、担保形式和招标文件第三章“合同条款及格式”规定的履约担保格式要求。</w:t>
      </w:r>
    </w:p>
    <w:p>
      <w:pPr>
        <w:spacing w:line="360" w:lineRule="auto"/>
        <w:ind w:firstLine="420" w:firstLineChars="200"/>
        <w:rPr>
          <w:rFonts w:ascii="宋体" w:hAnsi="宋体"/>
          <w:szCs w:val="21"/>
        </w:rPr>
      </w:pPr>
      <w:r>
        <w:rPr>
          <w:rFonts w:hint="eastAsia" w:ascii="宋体" w:hAnsi="宋体"/>
          <w:szCs w:val="21"/>
        </w:rPr>
        <w:t>7.3.2　中标人不能按本章第7.3.1项要求提交履约担保的，视为放弃中标，其投标保证金不予退还，给招标人造成的损失超过投标保证金数额的，中标人还应当对超过部分予以赔偿。</w:t>
      </w:r>
    </w:p>
    <w:p>
      <w:pPr>
        <w:spacing w:line="360" w:lineRule="auto"/>
        <w:ind w:firstLine="420" w:firstLineChars="200"/>
        <w:rPr>
          <w:rFonts w:ascii="宋体" w:hAnsi="宋体"/>
          <w:b/>
          <w:szCs w:val="21"/>
        </w:rPr>
      </w:pPr>
      <w:r>
        <w:rPr>
          <w:rFonts w:hint="eastAsia" w:ascii="宋体" w:hAnsi="宋体"/>
          <w:bCs/>
          <w:szCs w:val="21"/>
        </w:rPr>
        <w:t>7.3.3</w:t>
      </w:r>
      <w:bookmarkStart w:id="366" w:name="_Toc415577079"/>
      <w:r>
        <w:rPr>
          <w:rFonts w:hint="eastAsia" w:ascii="宋体" w:hAnsi="宋体"/>
          <w:bCs/>
          <w:szCs w:val="21"/>
        </w:rPr>
        <w:t xml:space="preserve">  履行合同</w:t>
      </w:r>
      <w:bookmarkEnd w:id="366"/>
    </w:p>
    <w:p>
      <w:pPr>
        <w:spacing w:line="360" w:lineRule="auto"/>
        <w:ind w:firstLine="420" w:firstLineChars="200"/>
        <w:rPr>
          <w:rFonts w:ascii="宋体" w:hAnsi="宋体"/>
          <w:szCs w:val="21"/>
        </w:rPr>
      </w:pPr>
      <w:bookmarkStart w:id="367" w:name="_Toc415577080"/>
      <w:r>
        <w:rPr>
          <w:rFonts w:hint="eastAsia" w:ascii="宋体" w:hAnsi="宋体"/>
          <w:szCs w:val="21"/>
        </w:rPr>
        <w:t>中标人与采购人签订合同后，合同双方应严格执行合同条款，履行合同规定的义务，保证合同的顺利完成。</w:t>
      </w:r>
      <w:bookmarkEnd w:id="367"/>
    </w:p>
    <w:p>
      <w:pPr>
        <w:spacing w:line="360" w:lineRule="auto"/>
        <w:ind w:firstLine="420" w:firstLineChars="200"/>
        <w:rPr>
          <w:rFonts w:ascii="宋体" w:hAnsi="宋体"/>
          <w:szCs w:val="21"/>
        </w:rPr>
      </w:pPr>
      <w:bookmarkStart w:id="368" w:name="_Toc415577081"/>
      <w:r>
        <w:rPr>
          <w:rFonts w:hint="eastAsia" w:ascii="宋体" w:hAnsi="宋体"/>
          <w:szCs w:val="21"/>
        </w:rPr>
        <w:t>在合同履行过程中，如发生合同纠纷，合同双方应按照《合同法》的有关规定进行处理。</w:t>
      </w:r>
      <w:bookmarkEnd w:id="368"/>
    </w:p>
    <w:p>
      <w:pPr>
        <w:pStyle w:val="5"/>
        <w:rPr>
          <w:rFonts w:ascii="宋体" w:hAnsi="宋体"/>
          <w:sz w:val="21"/>
          <w:szCs w:val="21"/>
        </w:rPr>
      </w:pPr>
      <w:bookmarkStart w:id="369" w:name="_Toc239129437"/>
      <w:bookmarkStart w:id="370" w:name="_Toc238444694"/>
      <w:bookmarkStart w:id="371" w:name="_Toc238445361"/>
      <w:bookmarkStart w:id="372" w:name="_Toc244076352"/>
      <w:bookmarkStart w:id="373" w:name="_Toc179"/>
      <w:bookmarkStart w:id="374" w:name="_Toc243992994"/>
      <w:bookmarkStart w:id="375" w:name="_Toc509493376"/>
      <w:bookmarkStart w:id="376" w:name="_Toc475172056"/>
      <w:bookmarkStart w:id="377" w:name="_Toc286853511"/>
      <w:r>
        <w:rPr>
          <w:rFonts w:hint="eastAsia" w:ascii="宋体" w:hAnsi="宋体"/>
          <w:sz w:val="24"/>
          <w:szCs w:val="24"/>
        </w:rPr>
        <w:t>7.4　签订合同</w:t>
      </w:r>
      <w:bookmarkEnd w:id="369"/>
      <w:bookmarkEnd w:id="370"/>
      <w:bookmarkEnd w:id="371"/>
      <w:bookmarkEnd w:id="372"/>
      <w:bookmarkEnd w:id="373"/>
      <w:bookmarkEnd w:id="374"/>
      <w:bookmarkEnd w:id="375"/>
      <w:bookmarkEnd w:id="376"/>
      <w:bookmarkEnd w:id="377"/>
    </w:p>
    <w:p>
      <w:pPr>
        <w:spacing w:line="360" w:lineRule="auto"/>
        <w:ind w:firstLine="420" w:firstLineChars="200"/>
        <w:rPr>
          <w:rFonts w:ascii="宋体" w:hAnsi="宋体"/>
          <w:szCs w:val="21"/>
        </w:rPr>
      </w:pPr>
      <w:r>
        <w:rPr>
          <w:rFonts w:hint="eastAsia" w:ascii="宋体" w:hAnsi="宋体"/>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szCs w:val="21"/>
        </w:rPr>
      </w:pPr>
      <w:r>
        <w:rPr>
          <w:rFonts w:hint="eastAsia" w:ascii="宋体" w:hAnsi="宋体"/>
          <w:szCs w:val="21"/>
        </w:rPr>
        <w:t>7.4.2　发出中标通知书后，招标人无正当理由拒签合同的，招标人向中标人退还投标保证金；给中标人造成损失的，还应当赔偿损失。</w:t>
      </w:r>
    </w:p>
    <w:p>
      <w:pPr>
        <w:pStyle w:val="4"/>
        <w:rPr>
          <w:rFonts w:ascii="宋体" w:hAnsi="宋体" w:eastAsia="宋体"/>
          <w:sz w:val="24"/>
          <w:szCs w:val="24"/>
        </w:rPr>
      </w:pPr>
      <w:bookmarkStart w:id="378" w:name="_Toc244076353"/>
      <w:bookmarkStart w:id="379" w:name="_Toc509493377"/>
      <w:bookmarkStart w:id="380" w:name="_Toc22156"/>
      <w:bookmarkStart w:id="381" w:name="_Toc286853512"/>
      <w:bookmarkStart w:id="382" w:name="_Toc243992995"/>
      <w:bookmarkStart w:id="383" w:name="_Toc239129438"/>
      <w:bookmarkStart w:id="384" w:name="_Toc184635078"/>
      <w:r>
        <w:rPr>
          <w:rFonts w:hint="eastAsia" w:ascii="宋体" w:hAnsi="宋体" w:eastAsia="宋体"/>
          <w:sz w:val="24"/>
          <w:szCs w:val="24"/>
        </w:rPr>
        <w:t>8．重新招标和不再招标</w:t>
      </w:r>
      <w:bookmarkEnd w:id="378"/>
      <w:bookmarkEnd w:id="379"/>
      <w:bookmarkEnd w:id="380"/>
      <w:bookmarkEnd w:id="381"/>
      <w:bookmarkEnd w:id="382"/>
      <w:bookmarkEnd w:id="383"/>
      <w:bookmarkEnd w:id="384"/>
    </w:p>
    <w:p>
      <w:pPr>
        <w:pStyle w:val="5"/>
        <w:rPr>
          <w:rFonts w:ascii="宋体" w:hAnsi="宋体"/>
          <w:sz w:val="24"/>
          <w:szCs w:val="24"/>
        </w:rPr>
      </w:pPr>
      <w:bookmarkStart w:id="385" w:name="_Toc239129439"/>
      <w:bookmarkStart w:id="386" w:name="_Toc244076354"/>
      <w:bookmarkStart w:id="387" w:name="_Toc475172058"/>
      <w:bookmarkStart w:id="388" w:name="_Toc238444696"/>
      <w:bookmarkStart w:id="389" w:name="_Toc509493378"/>
      <w:bookmarkStart w:id="390" w:name="_Toc238445363"/>
      <w:bookmarkStart w:id="391" w:name="_Toc243992996"/>
      <w:bookmarkStart w:id="392" w:name="_Toc286853513"/>
      <w:bookmarkStart w:id="393" w:name="_Toc4457"/>
      <w:r>
        <w:rPr>
          <w:rFonts w:hint="eastAsia" w:ascii="宋体" w:hAnsi="宋体"/>
          <w:sz w:val="24"/>
          <w:szCs w:val="24"/>
        </w:rPr>
        <w:t>8.1　重新招标</w:t>
      </w:r>
      <w:bookmarkEnd w:id="385"/>
      <w:bookmarkEnd w:id="386"/>
      <w:bookmarkEnd w:id="387"/>
      <w:bookmarkEnd w:id="388"/>
      <w:bookmarkEnd w:id="389"/>
      <w:bookmarkEnd w:id="390"/>
      <w:bookmarkEnd w:id="391"/>
      <w:bookmarkEnd w:id="392"/>
      <w:bookmarkEnd w:id="393"/>
    </w:p>
    <w:p>
      <w:pPr>
        <w:spacing w:line="360" w:lineRule="auto"/>
        <w:ind w:firstLine="421"/>
        <w:rPr>
          <w:rFonts w:ascii="宋体" w:hAnsi="宋体"/>
          <w:szCs w:val="21"/>
        </w:rPr>
      </w:pPr>
      <w:bookmarkStart w:id="394" w:name="_Toc243992997"/>
      <w:bookmarkStart w:id="395" w:name="_Toc244076355"/>
      <w:bookmarkStart w:id="396" w:name="_Toc238444697"/>
      <w:bookmarkStart w:id="397" w:name="_Toc238445364"/>
      <w:bookmarkStart w:id="398" w:name="_Toc286853514"/>
      <w:bookmarkStart w:id="399" w:name="_Toc239129440"/>
      <w:r>
        <w:rPr>
          <w:rFonts w:hint="eastAsia" w:ascii="宋体" w:hAnsi="宋体"/>
          <w:szCs w:val="21"/>
        </w:rPr>
        <w:t>有下列情形之一的，采购人将重新招标：</w:t>
      </w:r>
    </w:p>
    <w:p>
      <w:pPr>
        <w:spacing w:line="360" w:lineRule="auto"/>
        <w:rPr>
          <w:rFonts w:ascii="宋体" w:hAnsi="宋体"/>
          <w:szCs w:val="21"/>
        </w:rPr>
      </w:pPr>
      <w:r>
        <w:rPr>
          <w:rFonts w:hint="eastAsia" w:ascii="宋体" w:hAnsi="宋体"/>
          <w:szCs w:val="21"/>
        </w:rPr>
        <w:t xml:space="preserve">   （1）投标截止时间止，投标人少于3个的；</w:t>
      </w:r>
    </w:p>
    <w:p>
      <w:pPr>
        <w:spacing w:line="360" w:lineRule="auto"/>
        <w:rPr>
          <w:rFonts w:ascii="宋体" w:hAnsi="宋体"/>
          <w:szCs w:val="21"/>
        </w:rPr>
      </w:pPr>
      <w:r>
        <w:rPr>
          <w:rFonts w:hint="eastAsia" w:ascii="宋体" w:hAnsi="宋体"/>
          <w:szCs w:val="21"/>
        </w:rPr>
        <w:t xml:space="preserve">   （2）经评标委员会评审后否决所有投标的；</w:t>
      </w:r>
    </w:p>
    <w:p>
      <w:pPr>
        <w:spacing w:line="360" w:lineRule="auto"/>
        <w:rPr>
          <w:rFonts w:ascii="宋体" w:hAnsi="宋体"/>
          <w:szCs w:val="21"/>
        </w:rPr>
      </w:pPr>
      <w:r>
        <w:rPr>
          <w:rFonts w:hint="eastAsia" w:ascii="宋体" w:hAnsi="宋体"/>
          <w:szCs w:val="21"/>
        </w:rPr>
        <w:t xml:space="preserve">   （3）评标委员会否决不合格投标或者界定为废标后因有效投标不足3家使得投标明显缺乏竞争，投标委员会决定否决全部投标的；</w:t>
      </w:r>
    </w:p>
    <w:p>
      <w:pPr>
        <w:spacing w:line="360" w:lineRule="auto"/>
        <w:rPr>
          <w:rFonts w:ascii="宋体" w:hAnsi="宋体"/>
          <w:szCs w:val="21"/>
        </w:rPr>
      </w:pPr>
      <w:r>
        <w:rPr>
          <w:rFonts w:hint="eastAsia" w:ascii="宋体" w:hAnsi="宋体"/>
          <w:szCs w:val="21"/>
        </w:rPr>
        <w:t xml:space="preserve">   （4）同意延长投标有效期的投标人少于3个；</w:t>
      </w:r>
    </w:p>
    <w:p>
      <w:pPr>
        <w:spacing w:line="360" w:lineRule="auto"/>
        <w:rPr>
          <w:rFonts w:ascii="宋体" w:hAnsi="宋体"/>
          <w:szCs w:val="21"/>
        </w:rPr>
      </w:pPr>
      <w:r>
        <w:rPr>
          <w:rFonts w:hint="eastAsia" w:ascii="宋体" w:hAnsi="宋体"/>
          <w:szCs w:val="21"/>
        </w:rPr>
        <w:t xml:space="preserve">   （5）中标人未与采购人签订合同的。</w:t>
      </w:r>
    </w:p>
    <w:bookmarkEnd w:id="394"/>
    <w:bookmarkEnd w:id="395"/>
    <w:bookmarkEnd w:id="396"/>
    <w:bookmarkEnd w:id="397"/>
    <w:bookmarkEnd w:id="398"/>
    <w:bookmarkEnd w:id="399"/>
    <w:p>
      <w:pPr>
        <w:pStyle w:val="4"/>
        <w:rPr>
          <w:rFonts w:ascii="宋体" w:hAnsi="宋体" w:eastAsia="宋体"/>
          <w:sz w:val="24"/>
          <w:szCs w:val="24"/>
        </w:rPr>
      </w:pPr>
      <w:bookmarkStart w:id="400" w:name="_Toc184635079"/>
      <w:bookmarkStart w:id="401" w:name="_Toc286853515"/>
      <w:bookmarkStart w:id="402" w:name="_Toc239129441"/>
      <w:bookmarkStart w:id="403" w:name="_Toc243992998"/>
      <w:bookmarkStart w:id="404" w:name="_Toc509493379"/>
      <w:bookmarkStart w:id="405" w:name="_Toc244076356"/>
      <w:bookmarkStart w:id="406" w:name="_Toc22026"/>
      <w:r>
        <w:rPr>
          <w:rFonts w:hint="eastAsia" w:ascii="宋体" w:hAnsi="宋体" w:eastAsia="宋体"/>
          <w:sz w:val="24"/>
          <w:szCs w:val="24"/>
        </w:rPr>
        <w:t>9．纪律和监督</w:t>
      </w:r>
      <w:bookmarkEnd w:id="400"/>
      <w:bookmarkEnd w:id="401"/>
      <w:bookmarkEnd w:id="402"/>
      <w:bookmarkEnd w:id="403"/>
      <w:bookmarkEnd w:id="404"/>
      <w:bookmarkEnd w:id="405"/>
      <w:bookmarkEnd w:id="406"/>
    </w:p>
    <w:p>
      <w:pPr>
        <w:pStyle w:val="5"/>
        <w:rPr>
          <w:rFonts w:ascii="宋体" w:hAnsi="宋体"/>
          <w:sz w:val="21"/>
          <w:szCs w:val="21"/>
        </w:rPr>
      </w:pPr>
      <w:bookmarkStart w:id="407" w:name="_Toc286853516"/>
      <w:bookmarkStart w:id="408" w:name="_Toc509493380"/>
      <w:bookmarkStart w:id="409" w:name="_Toc238444699"/>
      <w:bookmarkStart w:id="410" w:name="_Toc244076357"/>
      <w:bookmarkStart w:id="411" w:name="_Toc238445366"/>
      <w:bookmarkStart w:id="412" w:name="_Toc26926"/>
      <w:bookmarkStart w:id="413" w:name="_Toc243992999"/>
      <w:bookmarkStart w:id="414" w:name="_Toc239129442"/>
      <w:r>
        <w:rPr>
          <w:rFonts w:hint="eastAsia" w:ascii="宋体" w:hAnsi="宋体"/>
          <w:sz w:val="24"/>
          <w:szCs w:val="24"/>
        </w:rPr>
        <w:t>9.1　对招标人的纪律要求</w:t>
      </w:r>
      <w:bookmarkEnd w:id="407"/>
      <w:bookmarkEnd w:id="408"/>
      <w:bookmarkEnd w:id="409"/>
      <w:bookmarkEnd w:id="410"/>
      <w:bookmarkEnd w:id="411"/>
      <w:bookmarkEnd w:id="412"/>
      <w:bookmarkEnd w:id="413"/>
      <w:bookmarkEnd w:id="414"/>
    </w:p>
    <w:p>
      <w:pPr>
        <w:spacing w:line="360" w:lineRule="auto"/>
        <w:ind w:firstLine="420" w:firstLineChars="200"/>
        <w:rPr>
          <w:rFonts w:ascii="宋体" w:hAnsi="宋体"/>
          <w:szCs w:val="21"/>
        </w:rPr>
      </w:pPr>
      <w:bookmarkStart w:id="415" w:name="_Toc238445367"/>
      <w:bookmarkStart w:id="416" w:name="_Toc239129443"/>
      <w:bookmarkStart w:id="417" w:name="_Toc243993000"/>
      <w:bookmarkStart w:id="418" w:name="_Toc238444700"/>
      <w:bookmarkStart w:id="419" w:name="_Toc286853517"/>
      <w:bookmarkStart w:id="420" w:name="_Toc244076358"/>
      <w:r>
        <w:rPr>
          <w:rFonts w:hint="eastAsia" w:ascii="宋体" w:hAnsi="宋体"/>
          <w:szCs w:val="21"/>
        </w:rPr>
        <w:t>采购人不得泄漏招标投标活动中应当保密的情况和资料，不得与投标人串通损害国家利益、社会公共利益或者他人合法权益。</w:t>
      </w:r>
    </w:p>
    <w:p>
      <w:pPr>
        <w:pStyle w:val="5"/>
        <w:rPr>
          <w:rFonts w:ascii="宋体" w:hAnsi="宋体"/>
          <w:sz w:val="24"/>
          <w:szCs w:val="24"/>
        </w:rPr>
      </w:pPr>
      <w:bookmarkStart w:id="421" w:name="_Toc2716"/>
      <w:bookmarkStart w:id="422" w:name="_Toc509493381"/>
      <w:r>
        <w:rPr>
          <w:rFonts w:hint="eastAsia" w:ascii="宋体" w:hAnsi="宋体"/>
          <w:sz w:val="24"/>
          <w:szCs w:val="24"/>
        </w:rPr>
        <w:t>9.2　对投标人的纪律要求</w:t>
      </w:r>
      <w:bookmarkEnd w:id="415"/>
      <w:bookmarkEnd w:id="416"/>
      <w:bookmarkEnd w:id="417"/>
      <w:bookmarkEnd w:id="418"/>
      <w:bookmarkEnd w:id="419"/>
      <w:bookmarkEnd w:id="420"/>
      <w:bookmarkEnd w:id="421"/>
      <w:bookmarkEnd w:id="422"/>
    </w:p>
    <w:p>
      <w:pPr>
        <w:spacing w:line="360" w:lineRule="auto"/>
        <w:ind w:firstLine="420" w:firstLineChars="200"/>
        <w:rPr>
          <w:rFonts w:ascii="宋体" w:hAnsi="宋体"/>
          <w:szCs w:val="21"/>
        </w:rPr>
      </w:pPr>
      <w:bookmarkStart w:id="423" w:name="_Toc238445368"/>
      <w:bookmarkStart w:id="424" w:name="_Toc244076359"/>
      <w:bookmarkStart w:id="425" w:name="_Toc239129444"/>
      <w:bookmarkStart w:id="426" w:name="_Toc286853518"/>
      <w:bookmarkStart w:id="427" w:name="_Toc238444701"/>
      <w:bookmarkStart w:id="428" w:name="_Toc243993001"/>
      <w:r>
        <w:rPr>
          <w:rFonts w:hint="eastAsia" w:ascii="宋体" w:hAnsi="宋体"/>
          <w:szCs w:val="21"/>
        </w:rPr>
        <w:t>投标人不得相互串通投标或者与采购人串通投标，不得向采购人或者评标委员会成员行贿谋取中标，不得以他人名义投标或者以其他方式弄虚作假骗取中标；投标人不得以任何方式干扰、影响评标工作。</w:t>
      </w:r>
    </w:p>
    <w:p>
      <w:pPr>
        <w:pStyle w:val="5"/>
        <w:rPr>
          <w:rFonts w:ascii="宋体" w:hAnsi="宋体"/>
          <w:sz w:val="21"/>
          <w:szCs w:val="21"/>
        </w:rPr>
      </w:pPr>
      <w:bookmarkStart w:id="429" w:name="_Toc509493382"/>
      <w:bookmarkStart w:id="430" w:name="_Toc23534"/>
      <w:r>
        <w:rPr>
          <w:rFonts w:hint="eastAsia" w:ascii="宋体" w:hAnsi="宋体"/>
          <w:sz w:val="24"/>
          <w:szCs w:val="24"/>
        </w:rPr>
        <w:t>9.3　对评标委员会成员的纪律要求</w:t>
      </w:r>
      <w:bookmarkEnd w:id="423"/>
      <w:bookmarkEnd w:id="424"/>
      <w:bookmarkEnd w:id="425"/>
      <w:bookmarkEnd w:id="426"/>
      <w:bookmarkEnd w:id="427"/>
      <w:bookmarkEnd w:id="428"/>
      <w:bookmarkEnd w:id="429"/>
      <w:bookmarkEnd w:id="430"/>
    </w:p>
    <w:p>
      <w:pPr>
        <w:spacing w:line="360" w:lineRule="auto"/>
        <w:ind w:firstLine="420" w:firstLineChars="200"/>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pPr>
        <w:pStyle w:val="5"/>
        <w:rPr>
          <w:rFonts w:ascii="宋体" w:hAnsi="宋体"/>
          <w:sz w:val="21"/>
          <w:szCs w:val="21"/>
        </w:rPr>
      </w:pPr>
      <w:bookmarkStart w:id="431" w:name="_Toc238444702"/>
      <w:bookmarkStart w:id="432" w:name="_Toc13458"/>
      <w:bookmarkStart w:id="433" w:name="_Toc243993002"/>
      <w:bookmarkStart w:id="434" w:name="_Toc238445369"/>
      <w:bookmarkStart w:id="435" w:name="_Toc509493383"/>
      <w:bookmarkStart w:id="436" w:name="_Toc239129445"/>
      <w:bookmarkStart w:id="437" w:name="_Toc286853519"/>
      <w:bookmarkStart w:id="438" w:name="_Toc244076360"/>
      <w:r>
        <w:rPr>
          <w:rFonts w:hint="eastAsia" w:ascii="宋体" w:hAnsi="宋体"/>
          <w:sz w:val="24"/>
          <w:szCs w:val="24"/>
        </w:rPr>
        <w:t>9.4　对与评标活动有关的工作人员的纪律要求</w:t>
      </w:r>
      <w:bookmarkEnd w:id="431"/>
      <w:bookmarkEnd w:id="432"/>
      <w:bookmarkEnd w:id="433"/>
      <w:bookmarkEnd w:id="434"/>
      <w:bookmarkEnd w:id="435"/>
      <w:bookmarkEnd w:id="436"/>
      <w:bookmarkEnd w:id="437"/>
      <w:bookmarkEnd w:id="438"/>
    </w:p>
    <w:p>
      <w:pPr>
        <w:spacing w:line="360" w:lineRule="auto"/>
        <w:ind w:firstLine="420" w:firstLineChars="200"/>
        <w:rPr>
          <w:rFonts w:ascii="宋体" w:hAnsi="宋体"/>
          <w:szCs w:val="21"/>
        </w:rPr>
      </w:pPr>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rPr>
          <w:rFonts w:ascii="宋体" w:hAnsi="宋体"/>
          <w:sz w:val="24"/>
          <w:szCs w:val="24"/>
        </w:rPr>
      </w:pPr>
      <w:bookmarkStart w:id="439" w:name="_Toc509493384"/>
      <w:bookmarkStart w:id="440" w:name="_Toc15497"/>
      <w:r>
        <w:rPr>
          <w:rFonts w:hint="eastAsia" w:ascii="宋体" w:hAnsi="宋体"/>
          <w:sz w:val="24"/>
          <w:szCs w:val="24"/>
        </w:rPr>
        <w:t>9.5</w:t>
      </w:r>
      <w:bookmarkStart w:id="441" w:name="_Toc244076362"/>
      <w:bookmarkStart w:id="442" w:name="_Toc184635080"/>
      <w:bookmarkStart w:id="443" w:name="_Toc286853521"/>
      <w:bookmarkStart w:id="444" w:name="_Toc239129447"/>
      <w:bookmarkStart w:id="445" w:name="_Toc243993004"/>
      <w:r>
        <w:rPr>
          <w:rFonts w:hint="eastAsia" w:ascii="宋体" w:hAnsi="宋体"/>
          <w:sz w:val="24"/>
          <w:szCs w:val="24"/>
        </w:rPr>
        <w:t>质疑与答复</w:t>
      </w:r>
      <w:bookmarkEnd w:id="439"/>
      <w:bookmarkEnd w:id="440"/>
    </w:p>
    <w:p>
      <w:pPr>
        <w:pStyle w:val="5"/>
        <w:spacing w:before="156" w:after="156" w:line="360" w:lineRule="auto"/>
        <w:ind w:firstLine="482"/>
        <w:rPr>
          <w:rFonts w:ascii="宋体" w:hAnsi="宋体"/>
          <w:bCs w:val="0"/>
          <w:sz w:val="21"/>
          <w:szCs w:val="21"/>
        </w:rPr>
      </w:pPr>
      <w:bookmarkStart w:id="446" w:name="_Toc459622994"/>
      <w:bookmarkStart w:id="447" w:name="_Toc509493385"/>
      <w:bookmarkStart w:id="448" w:name="_Toc13201"/>
      <w:bookmarkStart w:id="449" w:name="_Toc493008706"/>
      <w:bookmarkStart w:id="450" w:name="_Toc5761"/>
      <w:bookmarkStart w:id="451" w:name="_Toc18417"/>
      <w:bookmarkStart w:id="452" w:name="_Toc30697"/>
      <w:bookmarkStart w:id="453" w:name="_Toc493509501"/>
      <w:r>
        <w:rPr>
          <w:rFonts w:hint="eastAsia" w:ascii="宋体" w:hAnsi="宋体"/>
          <w:b w:val="0"/>
          <w:sz w:val="21"/>
          <w:szCs w:val="21"/>
        </w:rPr>
        <w:t>9.5.1 综合说明</w:t>
      </w:r>
      <w:bookmarkEnd w:id="446"/>
      <w:bookmarkEnd w:id="447"/>
      <w:bookmarkEnd w:id="448"/>
      <w:bookmarkEnd w:id="449"/>
      <w:bookmarkEnd w:id="450"/>
      <w:bookmarkEnd w:id="451"/>
      <w:bookmarkEnd w:id="452"/>
      <w:bookmarkEnd w:id="453"/>
    </w:p>
    <w:p>
      <w:pPr>
        <w:spacing w:line="360" w:lineRule="auto"/>
        <w:ind w:firstLine="480"/>
        <w:rPr>
          <w:rFonts w:ascii="宋体" w:hAnsi="宋体"/>
          <w:szCs w:val="21"/>
        </w:rPr>
      </w:pPr>
      <w:r>
        <w:rPr>
          <w:rFonts w:hint="eastAsia" w:ascii="宋体" w:hAnsi="宋体"/>
          <w:szCs w:val="21"/>
        </w:rPr>
        <w:t>投标人对政府采购活动事项有疑问的，可以向招标人提出询问，招标人应当及时予以答复，但答复的内容不得涉及商业秘密；投标人认为招标文件、招标过程或中标结果使自己的权益受到损害的，可以在规定期限内，以书面形式向招标人提出质疑。投标人质疑实行实名制，质疑应当有事实根据，不得进行虚假、恶意质疑，干扰政府采购正常的工作秩序。</w:t>
      </w:r>
    </w:p>
    <w:p>
      <w:pPr>
        <w:spacing w:line="360" w:lineRule="auto"/>
        <w:ind w:firstLine="480"/>
        <w:rPr>
          <w:rFonts w:ascii="宋体" w:hAnsi="宋体"/>
          <w:szCs w:val="21"/>
        </w:rPr>
      </w:pPr>
      <w:r>
        <w:rPr>
          <w:rFonts w:hint="eastAsia" w:ascii="宋体" w:hAnsi="宋体"/>
          <w:szCs w:val="21"/>
        </w:rPr>
        <w:t>招标人应当在收到投标人的书面质疑后及时作出答复，但答复的内容不得涉及商业秘密。</w:t>
      </w:r>
    </w:p>
    <w:p>
      <w:pPr>
        <w:pStyle w:val="5"/>
        <w:spacing w:before="156" w:after="156" w:line="360" w:lineRule="auto"/>
        <w:ind w:firstLine="482"/>
        <w:rPr>
          <w:rFonts w:ascii="宋体" w:hAnsi="宋体"/>
          <w:b w:val="0"/>
          <w:sz w:val="21"/>
          <w:szCs w:val="21"/>
        </w:rPr>
      </w:pPr>
      <w:bookmarkStart w:id="454" w:name="_Toc31365"/>
      <w:bookmarkStart w:id="455" w:name="_Toc493509502"/>
      <w:bookmarkStart w:id="456" w:name="_Toc28933"/>
      <w:bookmarkStart w:id="457" w:name="_Toc8558"/>
      <w:bookmarkStart w:id="458" w:name="_Toc493008707"/>
      <w:bookmarkStart w:id="459" w:name="_Toc509493386"/>
      <w:bookmarkStart w:id="460" w:name="_Toc22181"/>
      <w:bookmarkStart w:id="461" w:name="_Toc459622995"/>
      <w:r>
        <w:rPr>
          <w:rFonts w:hint="eastAsia" w:ascii="宋体" w:hAnsi="宋体"/>
          <w:b w:val="0"/>
          <w:sz w:val="21"/>
          <w:szCs w:val="21"/>
        </w:rPr>
        <w:t>9.5.2质疑和答复的时限</w:t>
      </w:r>
      <w:bookmarkEnd w:id="454"/>
      <w:bookmarkEnd w:id="455"/>
      <w:bookmarkEnd w:id="456"/>
      <w:bookmarkEnd w:id="457"/>
      <w:bookmarkEnd w:id="458"/>
      <w:bookmarkEnd w:id="459"/>
      <w:bookmarkEnd w:id="460"/>
      <w:bookmarkEnd w:id="461"/>
    </w:p>
    <w:p>
      <w:pPr>
        <w:spacing w:line="360" w:lineRule="auto"/>
        <w:ind w:firstLine="480"/>
        <w:rPr>
          <w:rFonts w:ascii="宋体" w:hAnsi="宋体"/>
          <w:szCs w:val="21"/>
        </w:rPr>
      </w:pPr>
      <w:r>
        <w:rPr>
          <w:rFonts w:hint="eastAsia" w:ascii="宋体" w:hAnsi="宋体"/>
          <w:szCs w:val="21"/>
        </w:rPr>
        <w:t>（1）投标商对政府采购活动事项有疑问的，可以向采购人或采购代理机构提出询问。采购人或采购代理机构将在3个工作日内作出答复。</w:t>
      </w:r>
    </w:p>
    <w:p>
      <w:pPr>
        <w:adjustRightInd w:val="0"/>
        <w:snapToGrid w:val="0"/>
        <w:spacing w:line="360" w:lineRule="auto"/>
        <w:ind w:firstLine="480"/>
        <w:jc w:val="left"/>
        <w:rPr>
          <w:rFonts w:ascii="宋体" w:hAnsi="宋体"/>
          <w:szCs w:val="21"/>
        </w:rPr>
      </w:pPr>
      <w:r>
        <w:rPr>
          <w:rFonts w:hint="eastAsia" w:ascii="宋体" w:hAnsi="宋体"/>
          <w:szCs w:val="21"/>
        </w:rPr>
        <w:t>（2）投标人若认为采购过程和中标结果使自己的权益受到损害，应当在下列时间内以书面形式向采购人或采购代理机构提出：</w:t>
      </w:r>
    </w:p>
    <w:p>
      <w:pPr>
        <w:adjustRightInd w:val="0"/>
        <w:snapToGrid w:val="0"/>
        <w:spacing w:line="360" w:lineRule="auto"/>
        <w:ind w:left="359" w:leftChars="171" w:firstLine="480"/>
        <w:jc w:val="left"/>
        <w:rPr>
          <w:rFonts w:ascii="宋体" w:hAnsi="宋体"/>
          <w:szCs w:val="21"/>
        </w:rPr>
      </w:pPr>
      <w:r>
        <w:rPr>
          <w:rFonts w:hint="eastAsia" w:ascii="宋体" w:hAnsi="宋体"/>
          <w:szCs w:val="21"/>
        </w:rPr>
        <w:t>①关于招标文件的质疑，应在采购文件公告期限届满之日起7个工作日内提出。</w:t>
      </w:r>
    </w:p>
    <w:p>
      <w:pPr>
        <w:adjustRightInd w:val="0"/>
        <w:snapToGrid w:val="0"/>
        <w:spacing w:line="360" w:lineRule="auto"/>
        <w:ind w:firstLine="735" w:firstLineChars="350"/>
        <w:jc w:val="left"/>
        <w:rPr>
          <w:rFonts w:ascii="宋体" w:hAnsi="宋体"/>
          <w:szCs w:val="21"/>
        </w:rPr>
      </w:pPr>
      <w:r>
        <w:rPr>
          <w:rFonts w:hint="eastAsia" w:ascii="宋体" w:hAnsi="宋体"/>
          <w:szCs w:val="21"/>
        </w:rPr>
        <w:t>②关于采购过程的质疑，应在采购程序环节结束之日起7个工作日内提出。</w:t>
      </w:r>
    </w:p>
    <w:p>
      <w:pPr>
        <w:spacing w:line="360" w:lineRule="auto"/>
        <w:ind w:firstLine="735" w:firstLineChars="350"/>
        <w:rPr>
          <w:rFonts w:ascii="宋体" w:hAnsi="宋体"/>
          <w:szCs w:val="21"/>
        </w:rPr>
      </w:pPr>
      <w:r>
        <w:rPr>
          <w:rFonts w:hint="eastAsia" w:ascii="宋体" w:hAnsi="宋体"/>
          <w:szCs w:val="21"/>
        </w:rPr>
        <w:t>③关于中标结果的质疑，应在中标结果信息发布后7个工作日内提出。</w:t>
      </w:r>
    </w:p>
    <w:p>
      <w:pPr>
        <w:spacing w:line="360" w:lineRule="auto"/>
        <w:ind w:firstLine="480"/>
        <w:rPr>
          <w:rFonts w:ascii="宋体" w:hAnsi="宋体"/>
          <w:szCs w:val="21"/>
        </w:rPr>
      </w:pPr>
      <w:r>
        <w:rPr>
          <w:rFonts w:hint="eastAsia" w:ascii="宋体" w:hAnsi="宋体"/>
          <w:szCs w:val="21"/>
        </w:rPr>
        <w:t>（3）采购人应当在收到供应商的书面质疑后7个工作日内作出答复。</w:t>
      </w:r>
    </w:p>
    <w:p>
      <w:pPr>
        <w:adjustRightInd w:val="0"/>
        <w:snapToGrid w:val="0"/>
        <w:spacing w:line="360" w:lineRule="auto"/>
        <w:ind w:firstLine="735" w:firstLineChars="350"/>
        <w:jc w:val="left"/>
        <w:rPr>
          <w:rFonts w:ascii="宋体" w:hAnsi="宋体"/>
          <w:bCs/>
          <w:szCs w:val="21"/>
        </w:rPr>
      </w:pPr>
      <w:bookmarkStart w:id="462" w:name="_Toc14127"/>
      <w:bookmarkStart w:id="463" w:name="_Toc459622996"/>
      <w:bookmarkStart w:id="464" w:name="_Toc493509503"/>
      <w:bookmarkStart w:id="465" w:name="_Toc493008708"/>
      <w:bookmarkStart w:id="466" w:name="_Toc16320"/>
      <w:bookmarkStart w:id="467" w:name="_Toc1620"/>
      <w:r>
        <w:rPr>
          <w:rFonts w:hint="eastAsia" w:ascii="宋体" w:hAnsi="宋体"/>
          <w:bCs/>
          <w:szCs w:val="21"/>
        </w:rPr>
        <w:t>9.5.3投标人提起质疑应当符合下列条件：</w:t>
      </w:r>
      <w:bookmarkEnd w:id="462"/>
      <w:bookmarkEnd w:id="463"/>
      <w:bookmarkEnd w:id="464"/>
      <w:bookmarkEnd w:id="465"/>
      <w:bookmarkEnd w:id="466"/>
      <w:bookmarkEnd w:id="467"/>
    </w:p>
    <w:p>
      <w:pPr>
        <w:adjustRightInd w:val="0"/>
        <w:snapToGrid w:val="0"/>
        <w:spacing w:line="360" w:lineRule="auto"/>
        <w:ind w:firstLine="735" w:firstLineChars="350"/>
        <w:jc w:val="left"/>
        <w:rPr>
          <w:rFonts w:ascii="宋体" w:hAnsi="宋体"/>
          <w:szCs w:val="21"/>
        </w:rPr>
      </w:pPr>
      <w:r>
        <w:rPr>
          <w:rFonts w:hint="eastAsia" w:ascii="宋体" w:hAnsi="宋体"/>
          <w:szCs w:val="21"/>
        </w:rPr>
        <w:t>（1）必须是参与被质疑项目的投标人；</w:t>
      </w:r>
    </w:p>
    <w:p>
      <w:pPr>
        <w:adjustRightInd w:val="0"/>
        <w:snapToGrid w:val="0"/>
        <w:spacing w:line="360" w:lineRule="auto"/>
        <w:ind w:firstLine="735" w:firstLineChars="350"/>
        <w:jc w:val="left"/>
        <w:rPr>
          <w:rFonts w:ascii="宋体" w:hAnsi="宋体"/>
          <w:szCs w:val="21"/>
        </w:rPr>
      </w:pPr>
      <w:r>
        <w:rPr>
          <w:rFonts w:hint="eastAsia" w:ascii="宋体" w:hAnsi="宋体"/>
          <w:szCs w:val="21"/>
        </w:rPr>
        <w:t>（2）必须在规定的质疑有效期内提起质疑；</w:t>
      </w:r>
    </w:p>
    <w:p>
      <w:pPr>
        <w:adjustRightInd w:val="0"/>
        <w:snapToGrid w:val="0"/>
        <w:spacing w:line="360" w:lineRule="auto"/>
        <w:ind w:firstLine="735" w:firstLineChars="350"/>
        <w:jc w:val="left"/>
        <w:rPr>
          <w:rFonts w:ascii="宋体" w:hAnsi="宋体"/>
          <w:szCs w:val="21"/>
        </w:rPr>
      </w:pPr>
      <w:r>
        <w:rPr>
          <w:rFonts w:hint="eastAsia" w:ascii="宋体" w:hAnsi="宋体"/>
          <w:szCs w:val="21"/>
        </w:rPr>
        <w:t>（3）政府采购监督管理部门规定的其他条件。</w:t>
      </w:r>
    </w:p>
    <w:p>
      <w:pPr>
        <w:adjustRightInd w:val="0"/>
        <w:snapToGrid w:val="0"/>
        <w:spacing w:line="360" w:lineRule="auto"/>
        <w:ind w:firstLine="735" w:firstLineChars="350"/>
        <w:jc w:val="left"/>
        <w:rPr>
          <w:rFonts w:ascii="宋体" w:hAnsi="宋体"/>
          <w:b/>
          <w:szCs w:val="21"/>
        </w:rPr>
      </w:pPr>
      <w:bookmarkStart w:id="468" w:name="_Toc27240"/>
      <w:bookmarkStart w:id="469" w:name="_Toc459622997"/>
      <w:bookmarkStart w:id="470" w:name="_Toc2414"/>
      <w:bookmarkStart w:id="471" w:name="_Toc3129"/>
      <w:bookmarkStart w:id="472" w:name="_Toc493509504"/>
      <w:bookmarkStart w:id="473" w:name="_Toc493008709"/>
      <w:r>
        <w:rPr>
          <w:rFonts w:hint="eastAsia" w:ascii="宋体" w:hAnsi="宋体"/>
          <w:bCs/>
          <w:szCs w:val="21"/>
        </w:rPr>
        <w:t>9.5.4质疑函的递交</w:t>
      </w:r>
      <w:bookmarkEnd w:id="468"/>
      <w:bookmarkEnd w:id="469"/>
      <w:bookmarkEnd w:id="470"/>
      <w:bookmarkEnd w:id="471"/>
      <w:r>
        <w:rPr>
          <w:rFonts w:hint="eastAsia" w:ascii="宋体" w:hAnsi="宋体"/>
          <w:bCs/>
          <w:szCs w:val="21"/>
        </w:rPr>
        <w:t>及地点</w:t>
      </w:r>
      <w:bookmarkEnd w:id="472"/>
      <w:bookmarkEnd w:id="473"/>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（1）质疑函应当包括下列主要内容：</w:t>
      </w:r>
    </w:p>
    <w:p>
      <w:pPr>
        <w:adjustRightInd w:val="0"/>
        <w:snapToGrid w:val="0"/>
        <w:spacing w:line="360" w:lineRule="auto"/>
        <w:ind w:firstLine="735" w:firstLineChars="350"/>
        <w:jc w:val="left"/>
        <w:rPr>
          <w:rFonts w:ascii="宋体" w:hAnsi="宋体"/>
          <w:szCs w:val="21"/>
        </w:rPr>
      </w:pPr>
      <w:r>
        <w:rPr>
          <w:rFonts w:hint="eastAsia" w:ascii="宋体" w:hAnsi="宋体"/>
          <w:szCs w:val="21"/>
        </w:rPr>
        <w:t>①提起质疑的投标人名称、地址及有效联系方式；</w:t>
      </w:r>
    </w:p>
    <w:p>
      <w:pPr>
        <w:adjustRightInd w:val="0"/>
        <w:snapToGrid w:val="0"/>
        <w:spacing w:line="360" w:lineRule="auto"/>
        <w:ind w:firstLine="735" w:firstLineChars="350"/>
        <w:jc w:val="left"/>
        <w:rPr>
          <w:rFonts w:ascii="宋体" w:hAnsi="宋体"/>
          <w:szCs w:val="21"/>
        </w:rPr>
      </w:pPr>
      <w:r>
        <w:rPr>
          <w:rFonts w:hint="eastAsia" w:ascii="宋体" w:hAnsi="宋体"/>
          <w:szCs w:val="21"/>
        </w:rPr>
        <w:t>②质疑事项；</w:t>
      </w:r>
    </w:p>
    <w:p>
      <w:pPr>
        <w:adjustRightInd w:val="0"/>
        <w:snapToGrid w:val="0"/>
        <w:spacing w:line="360" w:lineRule="auto"/>
        <w:ind w:firstLine="735" w:firstLineChars="350"/>
        <w:jc w:val="left"/>
        <w:rPr>
          <w:rFonts w:ascii="宋体" w:hAnsi="宋体"/>
          <w:szCs w:val="21"/>
        </w:rPr>
      </w:pPr>
      <w:r>
        <w:rPr>
          <w:rFonts w:hint="eastAsia" w:ascii="宋体" w:hAnsi="宋体"/>
          <w:szCs w:val="21"/>
        </w:rPr>
        <w:t>③事实依据及相关证明材料；</w:t>
      </w:r>
    </w:p>
    <w:p>
      <w:pPr>
        <w:adjustRightInd w:val="0"/>
        <w:snapToGrid w:val="0"/>
        <w:spacing w:line="360" w:lineRule="auto"/>
        <w:ind w:firstLine="735" w:firstLineChars="350"/>
        <w:jc w:val="left"/>
        <w:rPr>
          <w:rFonts w:ascii="宋体" w:hAnsi="宋体"/>
          <w:szCs w:val="21"/>
        </w:rPr>
      </w:pPr>
      <w:r>
        <w:rPr>
          <w:rFonts w:hint="eastAsia" w:ascii="宋体" w:hAnsi="宋体"/>
          <w:szCs w:val="21"/>
        </w:rPr>
        <w:t>④请求和主张。</w:t>
      </w:r>
    </w:p>
    <w:p>
      <w:pPr>
        <w:adjustRightInd w:val="0"/>
        <w:snapToGrid w:val="0"/>
        <w:spacing w:line="360" w:lineRule="auto"/>
        <w:ind w:firstLine="735" w:firstLineChars="350"/>
        <w:jc w:val="left"/>
        <w:rPr>
          <w:rFonts w:ascii="宋体" w:hAnsi="宋体"/>
          <w:szCs w:val="21"/>
        </w:rPr>
      </w:pPr>
      <w:r>
        <w:rPr>
          <w:rFonts w:hint="eastAsia" w:ascii="宋体" w:hAnsi="宋体"/>
          <w:szCs w:val="21"/>
        </w:rPr>
        <w:t>质疑函应当由投标人法定代表人或其授权的代理人签字并加盖投标人单位公章，质疑函由授权的代理人签字的应附投标人法定代表人委托授权书。</w:t>
      </w:r>
    </w:p>
    <w:p>
      <w:pPr>
        <w:adjustRightInd w:val="0"/>
        <w:snapToGrid w:val="0"/>
        <w:spacing w:line="360" w:lineRule="auto"/>
        <w:ind w:firstLine="735" w:firstLineChars="350"/>
        <w:jc w:val="left"/>
        <w:rPr>
          <w:rFonts w:ascii="宋体" w:hAnsi="宋体"/>
          <w:szCs w:val="21"/>
        </w:rPr>
      </w:pPr>
      <w:r>
        <w:rPr>
          <w:rFonts w:hint="eastAsia" w:ascii="宋体" w:hAnsi="宋体"/>
          <w:szCs w:val="21"/>
        </w:rPr>
        <w:t>质疑地点：（采购人）、（招标代理机构）</w:t>
      </w:r>
    </w:p>
    <w:p>
      <w:pPr>
        <w:adjustRightInd w:val="0"/>
        <w:snapToGrid w:val="0"/>
        <w:spacing w:line="360" w:lineRule="auto"/>
        <w:ind w:firstLine="735" w:firstLineChars="350"/>
        <w:jc w:val="left"/>
        <w:rPr>
          <w:rFonts w:ascii="宋体" w:hAnsi="宋体"/>
          <w:szCs w:val="21"/>
        </w:rPr>
      </w:pPr>
      <w:r>
        <w:rPr>
          <w:rFonts w:hint="eastAsia" w:ascii="宋体" w:hAnsi="宋体"/>
          <w:szCs w:val="21"/>
        </w:rPr>
        <w:t>（2）质疑函的递交应当采取当面递交的形式。</w:t>
      </w:r>
    </w:p>
    <w:p>
      <w:pPr>
        <w:adjustRightInd w:val="0"/>
        <w:snapToGrid w:val="0"/>
        <w:spacing w:line="360" w:lineRule="auto"/>
        <w:ind w:firstLine="735" w:firstLineChars="350"/>
        <w:jc w:val="left"/>
        <w:rPr>
          <w:rFonts w:ascii="宋体" w:hAnsi="宋体"/>
          <w:szCs w:val="21"/>
        </w:rPr>
      </w:pPr>
      <w:r>
        <w:rPr>
          <w:rFonts w:hint="eastAsia" w:ascii="宋体" w:hAnsi="宋体"/>
          <w:szCs w:val="21"/>
        </w:rPr>
        <w:t>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XXX项目质疑使用”字样，并由身份证持有人签字确认。上述资料均须加盖公章。</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（3）采购人或采购代理机构收到质疑函后，应当向质疑供应商签收回执。</w:t>
      </w:r>
    </w:p>
    <w:p>
      <w:pPr>
        <w:adjustRightInd w:val="0"/>
        <w:snapToGrid w:val="0"/>
        <w:spacing w:line="360" w:lineRule="auto"/>
        <w:ind w:firstLine="735" w:firstLineChars="350"/>
        <w:jc w:val="left"/>
        <w:rPr>
          <w:rFonts w:ascii="宋体" w:hAnsi="宋体"/>
          <w:bCs/>
          <w:szCs w:val="21"/>
        </w:rPr>
      </w:pPr>
      <w:bookmarkStart w:id="474" w:name="_Toc21251"/>
      <w:bookmarkStart w:id="475" w:name="_Toc23158"/>
      <w:bookmarkStart w:id="476" w:name="_Toc493008710"/>
      <w:bookmarkStart w:id="477" w:name="_Toc493509505"/>
      <w:bookmarkStart w:id="478" w:name="_Toc459622998"/>
      <w:bookmarkStart w:id="479" w:name="_Toc14558"/>
      <w:r>
        <w:rPr>
          <w:rFonts w:hint="eastAsia" w:ascii="宋体" w:hAnsi="宋体"/>
          <w:bCs/>
          <w:szCs w:val="21"/>
        </w:rPr>
        <w:t>9.5.5对供应商质疑的答复</w:t>
      </w:r>
      <w:bookmarkEnd w:id="474"/>
      <w:bookmarkEnd w:id="475"/>
      <w:bookmarkEnd w:id="476"/>
      <w:bookmarkEnd w:id="477"/>
      <w:bookmarkEnd w:id="478"/>
      <w:bookmarkEnd w:id="479"/>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招标人应在收到质疑函7个工作日内根据澄清或质疑函的具体内容相应作出答复或不予答复，答复内容不得涉及商业秘密。作出答复的将以书面形式通知提出澄清或质疑的投标人和其他有关投标人，或在指定媒体上予以公布。</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adjustRightInd w:val="0"/>
        <w:snapToGrid w:val="0"/>
        <w:spacing w:line="360" w:lineRule="auto"/>
        <w:ind w:firstLine="735" w:firstLineChars="350"/>
        <w:jc w:val="left"/>
        <w:rPr>
          <w:rFonts w:ascii="宋体" w:hAnsi="宋体"/>
          <w:bCs/>
          <w:szCs w:val="21"/>
        </w:rPr>
      </w:pPr>
      <w:bookmarkStart w:id="480" w:name="_Toc493008711"/>
      <w:bookmarkStart w:id="481" w:name="_Toc14322"/>
      <w:bookmarkStart w:id="482" w:name="_Toc5210"/>
      <w:bookmarkStart w:id="483" w:name="_Toc493509506"/>
      <w:bookmarkStart w:id="484" w:name="_Toc22004"/>
      <w:bookmarkStart w:id="485" w:name="_Toc459622999"/>
      <w:r>
        <w:rPr>
          <w:rFonts w:hint="eastAsia" w:ascii="宋体" w:hAnsi="宋体"/>
          <w:bCs/>
          <w:szCs w:val="21"/>
        </w:rPr>
        <w:t>9.5.6质疑不予受理的情况</w:t>
      </w:r>
      <w:bookmarkEnd w:id="480"/>
      <w:bookmarkEnd w:id="481"/>
      <w:bookmarkEnd w:id="482"/>
      <w:bookmarkEnd w:id="483"/>
      <w:bookmarkEnd w:id="484"/>
      <w:bookmarkEnd w:id="485"/>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有下列情形之一的，属于无效质疑，被质疑人不予受理，由此产生的影响由投标人自行承担：</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(1)不是参与该政府采购项目活动供应商的;</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(2)被质疑人为采购人或政府采购代理机构之外的；</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(3)所有质疑事项超过质疑有效期的；</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(4)以具有法律效力的文书送达之外方式提出的；</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(5)未按上述规定递交澄清或质疑函的；</w:t>
      </w:r>
    </w:p>
    <w:p>
      <w:pPr>
        <w:adjustRightInd w:val="0"/>
        <w:snapToGrid w:val="0"/>
        <w:spacing w:line="360" w:lineRule="auto"/>
        <w:ind w:firstLine="735" w:firstLineChars="350"/>
        <w:jc w:val="left"/>
        <w:rPr>
          <w:rFonts w:ascii="宋体" w:hAnsi="宋体"/>
          <w:bCs/>
          <w:szCs w:val="21"/>
        </w:rPr>
      </w:pPr>
      <w:r>
        <w:rPr>
          <w:rFonts w:hint="eastAsia" w:ascii="宋体" w:hAnsi="宋体"/>
          <w:bCs/>
          <w:szCs w:val="21"/>
        </w:rPr>
        <w:t>(6) 其它不符合受理条件的情形。</w:t>
      </w:r>
    </w:p>
    <w:p>
      <w:pPr>
        <w:adjustRightInd w:val="0"/>
        <w:snapToGrid w:val="0"/>
        <w:spacing w:line="360" w:lineRule="auto"/>
        <w:ind w:firstLine="735" w:firstLineChars="350"/>
        <w:jc w:val="left"/>
        <w:rPr>
          <w:rFonts w:ascii="宋体" w:hAnsi="宋体"/>
          <w:bCs/>
          <w:szCs w:val="21"/>
        </w:rPr>
      </w:pPr>
      <w:bookmarkStart w:id="486" w:name="_Toc459623000"/>
      <w:bookmarkStart w:id="487" w:name="_Toc25456"/>
      <w:bookmarkStart w:id="488" w:name="_Toc25269"/>
      <w:bookmarkStart w:id="489" w:name="_Toc493509507"/>
      <w:bookmarkStart w:id="490" w:name="_Toc493008712"/>
      <w:bookmarkStart w:id="491" w:name="_Toc27568"/>
      <w:r>
        <w:rPr>
          <w:rFonts w:hint="eastAsia" w:ascii="宋体" w:hAnsi="宋体"/>
          <w:bCs/>
          <w:szCs w:val="21"/>
        </w:rPr>
        <w:t>9.5.7投诉</w:t>
      </w:r>
      <w:bookmarkEnd w:id="486"/>
      <w:bookmarkEnd w:id="487"/>
      <w:bookmarkEnd w:id="488"/>
      <w:bookmarkEnd w:id="489"/>
      <w:bookmarkEnd w:id="490"/>
      <w:bookmarkEnd w:id="491"/>
    </w:p>
    <w:p>
      <w:pPr>
        <w:adjustRightInd w:val="0"/>
        <w:snapToGrid w:val="0"/>
        <w:spacing w:line="360" w:lineRule="auto"/>
        <w:ind w:firstLine="735" w:firstLineChars="350"/>
        <w:jc w:val="left"/>
        <w:rPr>
          <w:rFonts w:ascii="宋体" w:hAnsi="宋体"/>
          <w:szCs w:val="21"/>
        </w:rPr>
      </w:pPr>
      <w:r>
        <w:rPr>
          <w:rFonts w:hint="eastAsia" w:ascii="宋体" w:hAnsi="宋体"/>
          <w:szCs w:val="21"/>
        </w:rPr>
        <w:t>投标人对采购人或采购代理机构的答复不满意，或采购人或采购代理机构未在规定的期限作出答复的，可在答复期满后15个工作日内，按政府采购相关法律法规规章的规定及程序，向同级财政部门提出投诉。15个工作日过后视为放弃投诉。</w:t>
      </w:r>
    </w:p>
    <w:p>
      <w:pPr>
        <w:pStyle w:val="4"/>
        <w:rPr>
          <w:rFonts w:ascii="宋体" w:hAnsi="宋体" w:eastAsia="宋体"/>
          <w:sz w:val="24"/>
          <w:szCs w:val="24"/>
        </w:rPr>
      </w:pPr>
      <w:bookmarkStart w:id="492" w:name="_Toc509493387"/>
      <w:bookmarkStart w:id="493" w:name="_Toc13392"/>
      <w:r>
        <w:rPr>
          <w:rFonts w:hint="eastAsia" w:ascii="宋体" w:hAnsi="宋体" w:eastAsia="宋体"/>
          <w:sz w:val="24"/>
          <w:szCs w:val="24"/>
        </w:rPr>
        <w:t>10．需要补充的其他内容</w:t>
      </w:r>
      <w:bookmarkEnd w:id="441"/>
      <w:bookmarkEnd w:id="442"/>
      <w:bookmarkEnd w:id="443"/>
      <w:bookmarkEnd w:id="444"/>
      <w:bookmarkEnd w:id="445"/>
      <w:bookmarkEnd w:id="492"/>
      <w:bookmarkEnd w:id="493"/>
    </w:p>
    <w:p>
      <w:pPr>
        <w:ind w:firstLine="315" w:firstLineChars="150"/>
        <w:rPr>
          <w:rFonts w:ascii="宋体" w:hAnsi="宋体"/>
          <w:szCs w:val="21"/>
        </w:rPr>
      </w:pPr>
      <w:r>
        <w:rPr>
          <w:rFonts w:hint="eastAsia" w:ascii="宋体" w:hAnsi="宋体"/>
          <w:szCs w:val="21"/>
        </w:rPr>
        <w:t>需要补充的其他内容：见投标人须知前附表。</w:t>
      </w:r>
    </w:p>
    <w:p>
      <w:pPr>
        <w:pStyle w:val="4"/>
        <w:rPr>
          <w:rFonts w:ascii="宋体" w:hAnsi="宋体" w:eastAsia="宋体"/>
          <w:sz w:val="24"/>
          <w:szCs w:val="24"/>
        </w:rPr>
      </w:pPr>
      <w:r>
        <w:rPr>
          <w:rFonts w:hint="eastAsia" w:ascii="宋体" w:hAnsi="宋体" w:eastAsia="宋体"/>
          <w:sz w:val="24"/>
          <w:szCs w:val="24"/>
        </w:rPr>
        <w:t>11．澄清和质疑的提交</w:t>
      </w:r>
    </w:p>
    <w:p>
      <w:pPr>
        <w:spacing w:line="360" w:lineRule="auto"/>
        <w:ind w:firstLine="315" w:firstLineChars="150"/>
        <w:rPr>
          <w:rFonts w:ascii="宋体" w:hAnsi="宋体"/>
          <w:szCs w:val="21"/>
        </w:rPr>
      </w:pPr>
      <w:r>
        <w:rPr>
          <w:rFonts w:hint="eastAsia" w:ascii="宋体" w:hAnsi="宋体"/>
          <w:szCs w:val="21"/>
        </w:rPr>
        <w:t>澄清或质疑函递交地点：</w:t>
      </w:r>
      <w:r>
        <w:rPr>
          <w:rFonts w:hint="eastAsia" w:ascii="宋体" w:hAnsi="宋体"/>
          <w:szCs w:val="21"/>
          <w:lang w:eastAsia="zh-CN"/>
        </w:rPr>
        <w:t>甘肃金瑞工程项目咨询管理有限公司</w:t>
      </w:r>
      <w:r>
        <w:rPr>
          <w:rFonts w:hint="eastAsia" w:ascii="宋体" w:hAnsi="宋体"/>
          <w:szCs w:val="21"/>
        </w:rPr>
        <w:t>（景泰县一条山镇长城路）</w:t>
      </w:r>
    </w:p>
    <w:p>
      <w:pPr>
        <w:spacing w:line="360" w:lineRule="auto"/>
        <w:ind w:firstLine="315" w:firstLineChars="150"/>
        <w:rPr>
          <w:rFonts w:ascii="宋体" w:hAnsi="宋体"/>
          <w:szCs w:val="21"/>
        </w:rPr>
      </w:pPr>
      <w:r>
        <w:rPr>
          <w:rFonts w:hint="eastAsia" w:ascii="宋体" w:hAnsi="宋体"/>
          <w:szCs w:val="21"/>
        </w:rPr>
        <w:t>澄清或质疑函的递交应当采取书面的形式递交。</w:t>
      </w:r>
    </w:p>
    <w:p>
      <w:pPr>
        <w:spacing w:line="360" w:lineRule="auto"/>
        <w:ind w:firstLine="315" w:firstLineChars="150"/>
      </w:pPr>
      <w:r>
        <w:rPr>
          <w:rFonts w:hint="eastAsia"/>
        </w:rPr>
        <w:br w:type="page"/>
      </w:r>
      <w:bookmarkStart w:id="494" w:name="_Toc240450143"/>
      <w:bookmarkStart w:id="495" w:name="_Toc286853555"/>
      <w:bookmarkStart w:id="496" w:name="_Toc240449551"/>
      <w:bookmarkStart w:id="497" w:name="_Toc243993040"/>
    </w:p>
    <w:p>
      <w:pPr>
        <w:pStyle w:val="3"/>
        <w:jc w:val="center"/>
        <w:rPr>
          <w:rFonts w:ascii="宋体" w:hAnsi="宋体"/>
          <w:sz w:val="44"/>
        </w:rPr>
      </w:pPr>
      <w:bookmarkStart w:id="498" w:name="_Toc372570830"/>
      <w:bookmarkStart w:id="499" w:name="_Toc444769027"/>
      <w:bookmarkStart w:id="500" w:name="_Toc244076363"/>
      <w:bookmarkStart w:id="501" w:name="_Toc373316810"/>
      <w:bookmarkStart w:id="502" w:name="_Toc246826866"/>
      <w:bookmarkStart w:id="503" w:name="_Toc184635096"/>
      <w:bookmarkStart w:id="504" w:name="_Toc291781229"/>
      <w:bookmarkStart w:id="505" w:name="_Toc239129448"/>
      <w:bookmarkStart w:id="506" w:name="_Toc307314419"/>
      <w:bookmarkStart w:id="507" w:name="_Toc243993005"/>
      <w:bookmarkStart w:id="508" w:name="_Toc3463"/>
      <w:r>
        <w:rPr>
          <w:rFonts w:hint="eastAsia" w:ascii="宋体" w:hAnsi="宋体"/>
          <w:sz w:val="44"/>
        </w:rPr>
        <w:t>第三章　</w:t>
      </w:r>
      <w:bookmarkEnd w:id="498"/>
      <w:bookmarkEnd w:id="499"/>
      <w:bookmarkEnd w:id="500"/>
      <w:bookmarkEnd w:id="501"/>
      <w:bookmarkEnd w:id="502"/>
      <w:bookmarkEnd w:id="503"/>
      <w:bookmarkEnd w:id="504"/>
      <w:bookmarkEnd w:id="505"/>
      <w:bookmarkEnd w:id="506"/>
      <w:bookmarkEnd w:id="507"/>
      <w:r>
        <w:rPr>
          <w:rFonts w:hint="eastAsia" w:ascii="宋体" w:hAnsi="宋体"/>
          <w:sz w:val="44"/>
        </w:rPr>
        <w:t>政府采购工程合同模板</w:t>
      </w:r>
      <w:bookmarkEnd w:id="508"/>
    </w:p>
    <w:p>
      <w:pPr>
        <w:jc w:val="center"/>
        <w:rPr>
          <w:rFonts w:ascii="仿宋_GB2312" w:hAnsi="仿宋" w:eastAsia="仿宋_GB2312"/>
          <w:b/>
          <w:sz w:val="48"/>
          <w:szCs w:val="48"/>
        </w:rPr>
      </w:pPr>
      <w:r>
        <w:rPr>
          <w:rFonts w:hint="eastAsia" w:ascii="仿宋_GB2312" w:hAnsi="仿宋" w:eastAsia="仿宋_GB2312"/>
          <w:b/>
          <w:sz w:val="48"/>
          <w:szCs w:val="48"/>
        </w:rPr>
        <w:t>政 府 采 购 工 程 合 同</w:t>
      </w:r>
    </w:p>
    <w:p>
      <w:pPr>
        <w:spacing w:line="320" w:lineRule="exact"/>
        <w:rPr>
          <w:rFonts w:ascii="仿宋_GB2312" w:hAnsi="仿宋" w:eastAsia="仿宋_GB2312"/>
          <w:b/>
          <w:sz w:val="48"/>
          <w:szCs w:val="48"/>
        </w:rPr>
      </w:pPr>
    </w:p>
    <w:p>
      <w:pPr>
        <w:spacing w:line="360" w:lineRule="auto"/>
        <w:jc w:val="center"/>
        <w:rPr>
          <w:rFonts w:ascii="仿宋" w:hAnsi="仿宋" w:eastAsia="仿宋"/>
          <w:sz w:val="32"/>
          <w:szCs w:val="32"/>
        </w:rPr>
      </w:pPr>
      <w:r>
        <w:rPr>
          <w:rFonts w:hint="eastAsia" w:ascii="仿宋_GB2312" w:hAnsi="仿宋" w:eastAsia="仿宋_GB2312"/>
          <w:b/>
          <w:sz w:val="30"/>
          <w:szCs w:val="30"/>
        </w:rPr>
        <w:t>合同编号:</w:t>
      </w:r>
      <w:r>
        <w:rPr>
          <w:rFonts w:hint="eastAsia" w:ascii="宋体" w:hAnsi="宋体" w:eastAsia="仿宋_GB2312"/>
          <w:b/>
          <w:sz w:val="32"/>
          <w:szCs w:val="32"/>
          <w:lang w:val="en-US" w:eastAsia="zh-CN"/>
        </w:rPr>
        <w:t>JTZC-</w:t>
      </w:r>
      <w:r>
        <w:rPr>
          <w:rFonts w:hint="eastAsia" w:ascii="宋体" w:hAnsi="宋体"/>
          <w:b/>
          <w:sz w:val="32"/>
          <w:szCs w:val="32"/>
        </w:rPr>
        <w:t>19***</w:t>
      </w:r>
      <w:r>
        <w:rPr>
          <w:rFonts w:hint="eastAsia" w:ascii="仿宋_GB2312" w:hAnsi="仿宋" w:eastAsia="仿宋_GB2312"/>
          <w:b/>
          <w:sz w:val="30"/>
          <w:szCs w:val="30"/>
        </w:rPr>
        <w:t>号</w:t>
      </w:r>
    </w:p>
    <w:p>
      <w:pPr>
        <w:rPr>
          <w:rFonts w:ascii="宋体" w:hAnsi="宋体"/>
          <w:sz w:val="24"/>
        </w:rPr>
      </w:pPr>
      <w:r>
        <w:rPr>
          <w:rFonts w:hint="eastAsia" w:ascii="宋体" w:hAnsi="宋体"/>
          <w:sz w:val="24"/>
        </w:rPr>
        <w:t xml:space="preserve">需    方：（采购人）： </w:t>
      </w:r>
    </w:p>
    <w:p>
      <w:pPr>
        <w:rPr>
          <w:rFonts w:ascii="宋体" w:hAnsi="宋体"/>
          <w:sz w:val="24"/>
        </w:rPr>
      </w:pPr>
    </w:p>
    <w:p>
      <w:pPr>
        <w:rPr>
          <w:rFonts w:ascii="宋体" w:hAnsi="宋体"/>
          <w:sz w:val="24"/>
        </w:rPr>
      </w:pPr>
      <w:r>
        <w:rPr>
          <w:rFonts w:hint="eastAsia" w:ascii="宋体" w:hAnsi="宋体"/>
          <w:sz w:val="24"/>
        </w:rPr>
        <w:t xml:space="preserve">供    方：（投标商）： </w:t>
      </w:r>
    </w:p>
    <w:p>
      <w:pPr>
        <w:rPr>
          <w:rFonts w:ascii="宋体" w:hAnsi="宋体"/>
          <w:sz w:val="24"/>
        </w:rPr>
      </w:pPr>
    </w:p>
    <w:p>
      <w:pPr>
        <w:spacing w:line="420" w:lineRule="exact"/>
        <w:ind w:firstLine="600" w:firstLineChars="250"/>
        <w:rPr>
          <w:rFonts w:ascii="宋体" w:hAnsi="宋体"/>
          <w:sz w:val="24"/>
        </w:rPr>
      </w:pPr>
    </w:p>
    <w:p>
      <w:pPr>
        <w:spacing w:line="420" w:lineRule="exact"/>
        <w:ind w:firstLine="600" w:firstLineChars="250"/>
        <w:rPr>
          <w:rFonts w:ascii="宋体" w:hAnsi="宋体"/>
          <w:sz w:val="24"/>
        </w:rPr>
      </w:pPr>
      <w:r>
        <w:rPr>
          <w:rFonts w:hint="eastAsia" w:ascii="宋体" w:hAnsi="宋体"/>
          <w:sz w:val="24"/>
        </w:rPr>
        <w:t>依据《中华人民共和国合同法》、《中华人民共和国建筑法》及其他有关法律、行政法规，遵循平等、自愿、公平和诚实信用的原则，双方就本建设工程施工事项协商一致，订立本合同。</w:t>
      </w:r>
    </w:p>
    <w:p>
      <w:pPr>
        <w:spacing w:line="420" w:lineRule="exact"/>
        <w:rPr>
          <w:rFonts w:ascii="宋体" w:hAnsi="宋体"/>
          <w:sz w:val="24"/>
        </w:rPr>
      </w:pPr>
      <w:r>
        <w:rPr>
          <w:rFonts w:hint="eastAsia" w:ascii="宋体" w:hAnsi="宋体"/>
          <w:sz w:val="24"/>
        </w:rPr>
        <w:t>一、工程项目及报价金额（注：填写不下时，可按此表格自行打印清单）</w:t>
      </w:r>
    </w:p>
    <w:tbl>
      <w:tblPr>
        <w:tblStyle w:val="3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276"/>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项目</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工程名称</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采购预算（万元）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中标价（万元）</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节约资金（万元）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r>
              <w:rPr>
                <w:rFonts w:hint="eastAsia" w:ascii="宋体" w:hAnsi="宋体"/>
                <w:sz w:val="24"/>
              </w:rPr>
              <w:t xml:space="preserve"> </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ascii="宋体" w:hAnsi="宋体"/>
                <w:sz w:val="24"/>
              </w:rPr>
            </w:pPr>
          </w:p>
        </w:tc>
      </w:tr>
    </w:tbl>
    <w:p>
      <w:pPr>
        <w:spacing w:line="420" w:lineRule="exact"/>
        <w:rPr>
          <w:rFonts w:ascii="宋体" w:hAnsi="宋体"/>
          <w:sz w:val="24"/>
        </w:rPr>
      </w:pPr>
      <w:r>
        <w:rPr>
          <w:rFonts w:hint="eastAsia" w:ascii="宋体" w:hAnsi="宋体"/>
          <w:sz w:val="24"/>
        </w:rPr>
        <w:t>二、交工地点、时间：</w:t>
      </w:r>
    </w:p>
    <w:p>
      <w:pPr>
        <w:spacing w:line="420" w:lineRule="exact"/>
        <w:rPr>
          <w:rFonts w:ascii="宋体" w:hAnsi="宋体"/>
          <w:sz w:val="24"/>
        </w:rPr>
      </w:pPr>
      <w:r>
        <w:rPr>
          <w:rFonts w:hint="eastAsia" w:ascii="宋体" w:hAnsi="宋体"/>
          <w:sz w:val="24"/>
        </w:rPr>
        <w:t>交工时间：于 年 月 日到 年 月 日前交工完毕。</w:t>
      </w:r>
    </w:p>
    <w:p>
      <w:pPr>
        <w:rPr>
          <w:rFonts w:ascii="宋体" w:hAnsi="宋体"/>
          <w:sz w:val="24"/>
        </w:rPr>
      </w:pPr>
      <w:r>
        <w:rPr>
          <w:rFonts w:hint="eastAsia" w:ascii="宋体" w:hAnsi="宋体"/>
          <w:sz w:val="24"/>
        </w:rPr>
        <w:t xml:space="preserve">验收单位名称：                      工程施工地点：     </w:t>
      </w:r>
    </w:p>
    <w:p>
      <w:pPr>
        <w:spacing w:line="400" w:lineRule="exact"/>
        <w:rPr>
          <w:rFonts w:ascii="宋体" w:hAnsi="宋体"/>
          <w:sz w:val="24"/>
        </w:rPr>
      </w:pPr>
      <w:r>
        <w:rPr>
          <w:rFonts w:hint="eastAsia" w:ascii="宋体" w:hAnsi="宋体"/>
          <w:sz w:val="24"/>
        </w:rPr>
        <w:t>验收联系人：                        联系电话 ：</w:t>
      </w:r>
    </w:p>
    <w:p>
      <w:pPr>
        <w:spacing w:line="480" w:lineRule="exact"/>
        <w:rPr>
          <w:rFonts w:ascii="宋体" w:hAnsi="宋体"/>
          <w:sz w:val="24"/>
        </w:rPr>
      </w:pPr>
      <w:r>
        <w:rPr>
          <w:rFonts w:hint="eastAsia" w:ascii="宋体" w:hAnsi="宋体"/>
          <w:sz w:val="24"/>
        </w:rPr>
        <w:t>交工方式：</w:t>
      </w:r>
    </w:p>
    <w:p>
      <w:pPr>
        <w:spacing w:line="420" w:lineRule="exact"/>
        <w:rPr>
          <w:rFonts w:ascii="宋体" w:hAnsi="宋体"/>
          <w:sz w:val="24"/>
        </w:rPr>
      </w:pPr>
      <w:r>
        <w:rPr>
          <w:rFonts w:hint="eastAsia" w:ascii="宋体" w:hAnsi="宋体"/>
          <w:sz w:val="24"/>
        </w:rPr>
        <w:t>三、质量与验收标准及提出异议时间：</w:t>
      </w:r>
    </w:p>
    <w:p>
      <w:pPr>
        <w:spacing w:line="420" w:lineRule="exact"/>
        <w:ind w:firstLine="360" w:firstLineChars="150"/>
        <w:rPr>
          <w:rFonts w:ascii="宋体" w:hAnsi="宋体"/>
          <w:sz w:val="24"/>
        </w:rPr>
      </w:pPr>
      <w:r>
        <w:rPr>
          <w:rFonts w:hint="eastAsia" w:ascii="宋体" w:hAnsi="宋体"/>
          <w:sz w:val="24"/>
        </w:rPr>
        <w:t>质量和验收标准依据以装箱单和国家有关法规规定。</w:t>
      </w:r>
    </w:p>
    <w:p>
      <w:pPr>
        <w:spacing w:line="420" w:lineRule="exact"/>
        <w:ind w:firstLine="360" w:firstLineChars="150"/>
        <w:rPr>
          <w:rFonts w:ascii="宋体" w:hAnsi="宋体"/>
          <w:sz w:val="24"/>
        </w:rPr>
      </w:pPr>
      <w:r>
        <w:rPr>
          <w:rFonts w:hint="eastAsia" w:ascii="宋体" w:hAnsi="宋体"/>
          <w:sz w:val="24"/>
        </w:rPr>
        <w:t>（一）验收标准：1、招投标文件要求和承诺质量标准； 2、合格证；3、供方保证一次性合格率大于98%（百分之九十八）。</w:t>
      </w:r>
    </w:p>
    <w:p>
      <w:pPr>
        <w:spacing w:line="420" w:lineRule="exact"/>
        <w:ind w:firstLine="360" w:firstLineChars="150"/>
        <w:rPr>
          <w:rFonts w:ascii="宋体" w:hAnsi="宋体"/>
          <w:sz w:val="24"/>
        </w:rPr>
      </w:pPr>
      <w:r>
        <w:rPr>
          <w:rFonts w:hint="eastAsia" w:ascii="宋体" w:hAnsi="宋体"/>
          <w:sz w:val="24"/>
        </w:rPr>
        <w:t>（二）提出异议时间截止7天。</w:t>
      </w:r>
    </w:p>
    <w:p>
      <w:pPr>
        <w:spacing w:line="420" w:lineRule="exact"/>
        <w:rPr>
          <w:rFonts w:ascii="宋体" w:hAnsi="宋体"/>
          <w:sz w:val="24"/>
        </w:rPr>
      </w:pPr>
      <w:r>
        <w:rPr>
          <w:rFonts w:hint="eastAsia" w:ascii="宋体" w:hAnsi="宋体"/>
          <w:sz w:val="24"/>
        </w:rPr>
        <w:t>四、质量保证金：</w:t>
      </w:r>
    </w:p>
    <w:p>
      <w:pPr>
        <w:spacing w:line="420" w:lineRule="exact"/>
        <w:ind w:firstLine="480" w:firstLineChars="200"/>
        <w:rPr>
          <w:rFonts w:ascii="宋体" w:hAnsi="宋体"/>
          <w:sz w:val="24"/>
        </w:rPr>
      </w:pPr>
      <w:r>
        <w:rPr>
          <w:rFonts w:hint="eastAsia" w:ascii="宋体" w:hAnsi="宋体"/>
          <w:sz w:val="24"/>
        </w:rPr>
        <w:t>中标投标商签订合同前必须向采购人（需方）交纳中标价3% 的质量保证金, 一年期满经需方验收合格后予以无息退还。</w:t>
      </w:r>
    </w:p>
    <w:p>
      <w:pPr>
        <w:spacing w:line="420" w:lineRule="exact"/>
        <w:rPr>
          <w:rFonts w:ascii="宋体" w:hAnsi="宋体"/>
          <w:sz w:val="24"/>
        </w:rPr>
      </w:pPr>
      <w:r>
        <w:rPr>
          <w:rFonts w:hint="eastAsia" w:ascii="宋体" w:hAnsi="宋体"/>
          <w:sz w:val="24"/>
        </w:rPr>
        <w:t>五、售后服务：</w:t>
      </w:r>
    </w:p>
    <w:p>
      <w:pPr>
        <w:spacing w:line="420" w:lineRule="exact"/>
        <w:ind w:firstLine="360" w:firstLineChars="150"/>
        <w:rPr>
          <w:rFonts w:ascii="宋体" w:hAnsi="宋体"/>
          <w:sz w:val="24"/>
        </w:rPr>
      </w:pPr>
      <w:r>
        <w:rPr>
          <w:rFonts w:hint="eastAsia" w:ascii="宋体" w:hAnsi="宋体"/>
          <w:sz w:val="24"/>
        </w:rPr>
        <w:t>以《装箱单》和国家有关法规规定为依据。产品服务标准以招标文件承诺服务标准提供服务。供方与需方另可补充达成如下条款：</w:t>
      </w:r>
    </w:p>
    <w:p>
      <w:pPr>
        <w:spacing w:line="420" w:lineRule="exact"/>
        <w:ind w:firstLine="240" w:firstLineChars="100"/>
        <w:rPr>
          <w:rFonts w:ascii="宋体" w:hAnsi="宋体"/>
          <w:sz w:val="24"/>
        </w:rPr>
      </w:pPr>
      <w:r>
        <w:rPr>
          <w:rFonts w:hint="eastAsia" w:ascii="宋体" w:hAnsi="宋体"/>
          <w:sz w:val="24"/>
        </w:rPr>
        <w:t xml:space="preserve"> 1、供方必须按需方要求清单所需要的配置、参数、保质保量供货。</w:t>
      </w:r>
    </w:p>
    <w:p>
      <w:pPr>
        <w:spacing w:line="420" w:lineRule="exact"/>
        <w:ind w:firstLine="360" w:firstLineChars="150"/>
        <w:rPr>
          <w:rFonts w:ascii="宋体" w:hAnsi="宋体"/>
          <w:sz w:val="24"/>
        </w:rPr>
      </w:pPr>
      <w:r>
        <w:rPr>
          <w:rFonts w:hint="eastAsia" w:ascii="宋体" w:hAnsi="宋体"/>
          <w:sz w:val="24"/>
        </w:rPr>
        <w:t>2、所提供的产品必须符合国家统一质量标准。</w:t>
      </w:r>
    </w:p>
    <w:p>
      <w:pPr>
        <w:spacing w:line="420" w:lineRule="exact"/>
        <w:rPr>
          <w:rFonts w:ascii="宋体" w:hAnsi="宋体"/>
          <w:sz w:val="24"/>
        </w:rPr>
      </w:pPr>
      <w:r>
        <w:rPr>
          <w:rFonts w:hint="eastAsia" w:ascii="宋体" w:hAnsi="宋体"/>
          <w:sz w:val="24"/>
        </w:rPr>
        <w:t>六、付款方式：</w:t>
      </w:r>
    </w:p>
    <w:p>
      <w:pPr>
        <w:spacing w:line="42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经采购人验收合格后，凭验收单及合同总价开据的发票（完税价），由财政国库&lt;采购人&gt;支付97%工程款,3%质量保证金满一年无息返还。</w:t>
      </w:r>
    </w:p>
    <w:p>
      <w:pPr>
        <w:spacing w:line="420" w:lineRule="exact"/>
        <w:rPr>
          <w:rFonts w:ascii="宋体" w:hAnsi="宋体"/>
          <w:sz w:val="24"/>
        </w:rPr>
      </w:pPr>
      <w:r>
        <w:rPr>
          <w:rFonts w:hint="eastAsia" w:ascii="宋体" w:hAnsi="宋体"/>
          <w:sz w:val="24"/>
        </w:rPr>
        <w:t>七、违约责任：</w:t>
      </w:r>
    </w:p>
    <w:p>
      <w:pPr>
        <w:spacing w:line="420" w:lineRule="exact"/>
        <w:ind w:firstLine="360" w:firstLineChars="150"/>
        <w:rPr>
          <w:rFonts w:ascii="宋体" w:hAnsi="宋体"/>
          <w:sz w:val="24"/>
        </w:rPr>
      </w:pPr>
      <w:r>
        <w:rPr>
          <w:rFonts w:hint="eastAsia" w:ascii="宋体" w:hAnsi="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420" w:lineRule="exact"/>
        <w:ind w:firstLine="360" w:firstLineChars="150"/>
        <w:rPr>
          <w:rFonts w:ascii="宋体" w:hAnsi="宋体"/>
          <w:sz w:val="24"/>
        </w:rPr>
      </w:pPr>
      <w:r>
        <w:rPr>
          <w:rFonts w:hint="eastAsia" w:ascii="宋体" w:hAnsi="宋体"/>
          <w:sz w:val="24"/>
        </w:rPr>
        <w:t>2、如因供方供应的设备质量问题，造成需方损失，供方应承担全部责任。</w:t>
      </w:r>
    </w:p>
    <w:p>
      <w:pPr>
        <w:spacing w:line="420" w:lineRule="exact"/>
        <w:rPr>
          <w:rFonts w:ascii="宋体" w:hAnsi="宋体"/>
          <w:sz w:val="24"/>
        </w:rPr>
      </w:pPr>
      <w:r>
        <w:rPr>
          <w:rFonts w:hint="eastAsia" w:ascii="宋体" w:hAnsi="宋体"/>
          <w:sz w:val="24"/>
        </w:rPr>
        <w:t>八、变更解除合同及解决纠纷方式：</w:t>
      </w:r>
    </w:p>
    <w:p>
      <w:pPr>
        <w:spacing w:line="420" w:lineRule="exact"/>
        <w:ind w:firstLine="360" w:firstLineChars="150"/>
        <w:rPr>
          <w:rFonts w:ascii="宋体" w:hAnsi="宋体"/>
          <w:sz w:val="24"/>
        </w:rPr>
      </w:pPr>
      <w:r>
        <w:rPr>
          <w:rFonts w:hint="eastAsia" w:ascii="宋体" w:hAnsi="宋体"/>
          <w:sz w:val="24"/>
        </w:rPr>
        <w:t>1、供需双方如变更或解除本合同，需经同级政府采购办公室书面同意。</w:t>
      </w:r>
    </w:p>
    <w:p>
      <w:pPr>
        <w:spacing w:line="420" w:lineRule="exact"/>
        <w:rPr>
          <w:rFonts w:ascii="宋体" w:hAnsi="宋体"/>
          <w:sz w:val="24"/>
        </w:rPr>
      </w:pPr>
      <w:r>
        <w:rPr>
          <w:rFonts w:hint="eastAsia" w:ascii="宋体" w:hAnsi="宋体"/>
          <w:sz w:val="24"/>
        </w:rPr>
        <w:t xml:space="preserve">   2、纠纷方式：双方协商□；向授权厂商投诉□；向财政部门投诉□；提请仲裁□；向人民法院提起诉讼□。  </w:t>
      </w:r>
    </w:p>
    <w:p>
      <w:pPr>
        <w:spacing w:line="420" w:lineRule="exact"/>
        <w:rPr>
          <w:rFonts w:ascii="宋体" w:hAnsi="宋体"/>
          <w:sz w:val="24"/>
        </w:rPr>
      </w:pPr>
      <w:r>
        <w:rPr>
          <w:rFonts w:hint="eastAsia" w:ascii="宋体" w:hAnsi="宋体"/>
          <w:sz w:val="24"/>
        </w:rPr>
        <w:t>九、其他事项：</w:t>
      </w:r>
    </w:p>
    <w:p>
      <w:pPr>
        <w:spacing w:line="420" w:lineRule="exact"/>
        <w:ind w:firstLine="360" w:firstLineChars="150"/>
        <w:rPr>
          <w:rFonts w:ascii="宋体" w:hAnsi="宋体"/>
          <w:sz w:val="24"/>
        </w:rPr>
      </w:pPr>
      <w:r>
        <w:rPr>
          <w:rFonts w:hint="eastAsia" w:ascii="宋体" w:hAnsi="宋体"/>
          <w:sz w:val="24"/>
        </w:rPr>
        <w:t>1、招标文件、投标文件和中标投标商承诺书、补充协议是本合同不可分割的部分，对采购人和中标投标商均具有法律效力，本合同未尽事宜，按相关法律规定办理。</w:t>
      </w:r>
    </w:p>
    <w:p>
      <w:pPr>
        <w:spacing w:line="420" w:lineRule="exact"/>
        <w:ind w:firstLine="360" w:firstLineChars="150"/>
        <w:rPr>
          <w:rFonts w:ascii="宋体" w:hAnsi="宋体"/>
        </w:rPr>
      </w:pPr>
      <w:r>
        <w:rPr>
          <w:rFonts w:hint="eastAsia" w:ascii="宋体" w:hAnsi="宋体"/>
          <w:sz w:val="24"/>
        </w:rPr>
        <w:t>2、本合同为投标商与招标人买卖合同。一式五份，双方各执一份，财政部门政府采购办公室备案一份、采购中心备案一份，代理公司一份(如有代理公司)</w:t>
      </w:r>
    </w:p>
    <w:p>
      <w:pPr>
        <w:spacing w:line="420" w:lineRule="exact"/>
        <w:ind w:firstLine="360" w:firstLineChars="150"/>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420" w:lineRule="exact"/>
        <w:rPr>
          <w:rFonts w:ascii="宋体" w:hAnsi="宋体"/>
        </w:rPr>
        <w:sectPr>
          <w:footerReference r:id="rId10" w:type="first"/>
          <w:footerReference r:id="rId9" w:type="default"/>
          <w:pgSz w:w="11906" w:h="16838"/>
          <w:pgMar w:top="1440" w:right="1646" w:bottom="1440" w:left="1797" w:header="851" w:footer="992" w:gutter="0"/>
          <w:cols w:space="720" w:num="1"/>
          <w:titlePg/>
          <w:docGrid w:type="lines" w:linePitch="312" w:charSpace="0"/>
        </w:sectPr>
      </w:pPr>
    </w:p>
    <w:tbl>
      <w:tblPr>
        <w:tblStyle w:val="36"/>
        <w:tblpPr w:leftFromText="180" w:rightFromText="180" w:vertAnchor="page" w:horzAnchor="margin" w:tblpY="1936"/>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40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供方:（章）</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地址:</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电话:</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邮编:</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需方:（章）</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地址:</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电话:</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trPr>
        <w:tc>
          <w:tcPr>
            <w:tcW w:w="40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法定代表人:</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签字日期:</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法定代表人:</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(或委托代理人)</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exact"/>
        </w:trPr>
        <w:tc>
          <w:tcPr>
            <w:tcW w:w="40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经 办 人:</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签字日期:</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经 办 人:</w:t>
            </w: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exact"/>
        </w:trPr>
        <w:tc>
          <w:tcPr>
            <w:tcW w:w="4095"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开户行:</w:t>
            </w:r>
          </w:p>
          <w:p>
            <w:pPr>
              <w:keepNext w:val="0"/>
              <w:keepLines w:val="0"/>
              <w:suppressLineNumbers w:val="0"/>
              <w:spacing w:before="0" w:beforeAutospacing="0" w:after="0" w:afterAutospacing="0" w:line="420" w:lineRule="exact"/>
              <w:ind w:left="0" w:right="0"/>
              <w:rPr>
                <w:rFonts w:ascii="宋体" w:hAnsi="宋体"/>
              </w:rPr>
            </w:pP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账号:</w:t>
            </w:r>
          </w:p>
        </w:tc>
        <w:tc>
          <w:tcPr>
            <w:tcW w:w="420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开户行:</w:t>
            </w:r>
          </w:p>
          <w:p>
            <w:pPr>
              <w:keepNext w:val="0"/>
              <w:keepLines w:val="0"/>
              <w:suppressLineNumbers w:val="0"/>
              <w:spacing w:before="0" w:beforeAutospacing="0" w:after="0" w:afterAutospacing="0" w:line="420" w:lineRule="exact"/>
              <w:ind w:left="0" w:right="0"/>
              <w:rPr>
                <w:rFonts w:ascii="宋体" w:hAnsi="宋体"/>
              </w:rPr>
            </w:pPr>
          </w:p>
          <w:p>
            <w:pPr>
              <w:keepNext w:val="0"/>
              <w:keepLines w:val="0"/>
              <w:suppressLineNumbers w:val="0"/>
              <w:spacing w:before="0" w:beforeAutospacing="0" w:after="0" w:afterAutospacing="0" w:line="420" w:lineRule="exact"/>
              <w:ind w:left="0" w:right="0"/>
              <w:rPr>
                <w:rFonts w:ascii="宋体" w:hAnsi="宋体"/>
              </w:rPr>
            </w:pPr>
            <w:r>
              <w:rPr>
                <w:rFonts w:hint="eastAsia" w:ascii="宋体" w:hAnsi="宋体"/>
              </w:rPr>
              <w:t>账号:</w:t>
            </w:r>
          </w:p>
        </w:tc>
      </w:tr>
    </w:tbl>
    <w:p>
      <w:pPr>
        <w:spacing w:line="420" w:lineRule="exact"/>
        <w:rPr>
          <w:rFonts w:ascii="宋体" w:hAnsi="宋体"/>
        </w:rPr>
      </w:pPr>
    </w:p>
    <w:p>
      <w:pPr>
        <w:ind w:firstLine="643"/>
        <w:jc w:val="center"/>
        <w:rPr>
          <w:rFonts w:ascii="宋体" w:hAnsi="宋体"/>
          <w:b/>
          <w:sz w:val="32"/>
          <w:szCs w:val="32"/>
        </w:rPr>
      </w:pPr>
      <w:r>
        <w:rPr>
          <w:rFonts w:ascii="宋体" w:hAnsi="宋体"/>
        </w:rPr>
        <w:br w:type="page"/>
      </w:r>
    </w:p>
    <w:p>
      <w:pPr>
        <w:pStyle w:val="3"/>
        <w:jc w:val="center"/>
        <w:rPr>
          <w:rFonts w:ascii="宋体" w:hAnsi="宋体"/>
          <w:sz w:val="44"/>
        </w:rPr>
      </w:pPr>
      <w:bookmarkStart w:id="509" w:name="_Toc21437"/>
      <w:bookmarkStart w:id="510" w:name="_Toc509493444"/>
      <w:r>
        <w:rPr>
          <w:rFonts w:hint="eastAsia" w:ascii="宋体" w:hAnsi="宋体"/>
          <w:sz w:val="44"/>
        </w:rPr>
        <w:t>第四章  评标办法</w:t>
      </w:r>
      <w:bookmarkEnd w:id="494"/>
      <w:bookmarkEnd w:id="495"/>
      <w:bookmarkEnd w:id="496"/>
      <w:bookmarkEnd w:id="497"/>
      <w:bookmarkEnd w:id="509"/>
      <w:bookmarkEnd w:id="510"/>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
          <w:kern w:val="0"/>
          <w:szCs w:val="21"/>
        </w:rPr>
        <w:t>第一条</w:t>
      </w:r>
      <w:r>
        <w:rPr>
          <w:rFonts w:hint="eastAsia" w:ascii="宋体" w:hAnsi="宋体" w:cs="宋体"/>
          <w:kern w:val="0"/>
          <w:szCs w:val="21"/>
        </w:rPr>
        <w:t>　根据《中华人民共和国招标投标法》、《甘肃省招标投标条例》、《甘肃省建设工程造价管理条例》、《甘肃省建筑市场管理条例》、《评标委员会和评标办法暂行规定》（七部委12号令）以及《建设工程工程量清单计价规范》（GB50500-2013）、《中华人民共和国政府采购法》等法律法规，结合本省实际，制定本办法。</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
          <w:kern w:val="0"/>
          <w:szCs w:val="21"/>
        </w:rPr>
        <w:t>第二条</w:t>
      </w:r>
      <w:r>
        <w:rPr>
          <w:rFonts w:hint="eastAsia" w:ascii="宋体" w:hAnsi="宋体" w:cs="宋体"/>
          <w:kern w:val="0"/>
          <w:szCs w:val="21"/>
        </w:rPr>
        <w:t>　评标、定标活动应当遵循公平、公正、科学、择优的原则，任何单位和个人不得干涉、影响评标过程及结果。</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
          <w:kern w:val="0"/>
          <w:szCs w:val="21"/>
        </w:rPr>
        <w:t>第三条</w:t>
      </w:r>
      <w:r>
        <w:rPr>
          <w:rFonts w:hint="eastAsia" w:ascii="宋体" w:hAnsi="宋体" w:cs="宋体"/>
          <w:kern w:val="0"/>
          <w:szCs w:val="21"/>
        </w:rPr>
        <w:t>　工程量清单招标的工程项目，应当遵照国家和本省现行计价规定，由招标人提供工程量清单，并对工程量清单的准确性和完整性负责。工程量清单作为招标文件的重要组成部分提供给投标人。</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
          <w:kern w:val="0"/>
          <w:szCs w:val="21"/>
        </w:rPr>
        <w:t>第四条</w:t>
      </w:r>
      <w:r>
        <w:rPr>
          <w:rFonts w:hint="eastAsia" w:ascii="宋体" w:hAnsi="宋体" w:cs="宋体"/>
          <w:kern w:val="0"/>
          <w:szCs w:val="21"/>
        </w:rPr>
        <w:t xml:space="preserve">  投标人依据工程量清单自主报价。工程量清单对招标人和投标人具有同等的约束力。</w:t>
      </w:r>
    </w:p>
    <w:p>
      <w:pPr>
        <w:widowControl/>
        <w:adjustRightInd w:val="0"/>
        <w:snapToGrid w:val="0"/>
        <w:spacing w:line="360" w:lineRule="auto"/>
        <w:ind w:firstLine="420" w:firstLineChars="200"/>
        <w:jc w:val="left"/>
        <w:rPr>
          <w:rFonts w:ascii="宋体" w:hAnsi="宋体" w:cs="宋体"/>
          <w:kern w:val="0"/>
          <w:szCs w:val="21"/>
          <w:highlight w:val="yellow"/>
        </w:rPr>
      </w:pPr>
      <w:r>
        <w:rPr>
          <w:rFonts w:hint="eastAsia" w:ascii="宋体" w:hAnsi="宋体" w:cs="宋体"/>
          <w:b/>
          <w:kern w:val="0"/>
          <w:szCs w:val="21"/>
        </w:rPr>
        <w:t>第五条</w:t>
      </w:r>
      <w:r>
        <w:rPr>
          <w:rFonts w:hint="eastAsia" w:ascii="宋体" w:hAnsi="宋体" w:cs="宋体"/>
          <w:kern w:val="0"/>
          <w:szCs w:val="21"/>
        </w:rPr>
        <w:t>　投标人有下列情形之一的，招标人不予受理：</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（1）逾期送达投标文件的。</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（2）未按招标文件要求密封投标文件的。</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（3）未按规定交纳保证金的。</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（4）投标单位出席开标会议时，法定代表人不能出具法人代表证明材料的或授权代表不能出具授权委托书原件的。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b/>
          <w:kern w:val="0"/>
          <w:szCs w:val="21"/>
        </w:rPr>
        <w:t>第六条</w:t>
      </w:r>
      <w:r>
        <w:rPr>
          <w:rFonts w:hint="eastAsia" w:ascii="宋体" w:hAnsi="宋体" w:cs="宋体"/>
          <w:kern w:val="0"/>
          <w:szCs w:val="21"/>
        </w:rPr>
        <w:t>　招标人依法组建的评标委员会负责评标。评标委员会成员人数为5人以上单数，其中三分之二的评标专家。</w:t>
      </w:r>
      <w:bookmarkStart w:id="511" w:name="_Toc509493445"/>
    </w:p>
    <w:p>
      <w:pPr>
        <w:widowControl/>
        <w:adjustRightInd w:val="0"/>
        <w:snapToGrid w:val="0"/>
        <w:spacing w:line="360" w:lineRule="auto"/>
        <w:ind w:firstLine="420"/>
        <w:jc w:val="left"/>
        <w:rPr>
          <w:rFonts w:ascii="宋体" w:hAnsi="宋体" w:cs="宋体"/>
          <w:b/>
          <w:kern w:val="0"/>
          <w:szCs w:val="21"/>
        </w:rPr>
      </w:pPr>
      <w:r>
        <w:rPr>
          <w:rFonts w:hint="eastAsia" w:ascii="宋体" w:hAnsi="宋体" w:cs="宋体"/>
          <w:b/>
          <w:kern w:val="0"/>
          <w:szCs w:val="21"/>
        </w:rPr>
        <w:t>第七条  组织</w:t>
      </w:r>
      <w:bookmarkEnd w:id="511"/>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（1）评委会：由采购人代表和从专家库随机抽取的专家组成评委会。</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 招标人</w:t>
      </w:r>
      <w:r>
        <w:rPr>
          <w:rFonts w:ascii="宋体" w:hAnsi="宋体" w:cs="宋体"/>
          <w:kern w:val="0"/>
          <w:szCs w:val="21"/>
        </w:rPr>
        <w:t>:</w:t>
      </w:r>
      <w:r>
        <w:rPr>
          <w:rFonts w:hint="eastAsia" w:ascii="宋体" w:hAnsi="宋体" w:cs="宋体"/>
          <w:kern w:val="0"/>
          <w:szCs w:val="21"/>
        </w:rPr>
        <w:t>由采购人和招标代理机构组成，负责对外联系并配合交易中心工作人员开标、评标的会务工作</w:t>
      </w:r>
      <w:r>
        <w:rPr>
          <w:rFonts w:ascii="宋体" w:hAnsi="宋体" w:cs="宋体"/>
          <w:kern w:val="0"/>
          <w:szCs w:val="21"/>
        </w:rPr>
        <w:t>,</w:t>
      </w:r>
      <w:r>
        <w:rPr>
          <w:rFonts w:hint="eastAsia" w:ascii="宋体" w:hAnsi="宋体" w:cs="宋体"/>
          <w:kern w:val="0"/>
          <w:szCs w:val="21"/>
        </w:rPr>
        <w:t>整理并向评标组分发投标资料、投标文件；做好开标和评标会议记录；对评标过程中的原始文件进行归档；随时印发需要的文件资料</w:t>
      </w:r>
      <w:r>
        <w:rPr>
          <w:rFonts w:ascii="宋体" w:hAnsi="宋体" w:cs="宋体"/>
          <w:kern w:val="0"/>
          <w:szCs w:val="21"/>
        </w:rPr>
        <w:t>,</w:t>
      </w:r>
      <w:r>
        <w:rPr>
          <w:rFonts w:hint="eastAsia" w:ascii="宋体" w:hAnsi="宋体" w:cs="宋体"/>
          <w:kern w:val="0"/>
          <w:szCs w:val="21"/>
        </w:rPr>
        <w:t>对各种咨询函件及档案文件的统收统发。</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（3）监督部门：由同级财政局采购办公室、市公共资源管理办公室、市公共资源交易中心监督科等有关监督部门组成，根据国家有关法律、法规及招标文件的规定</w:t>
      </w:r>
      <w:r>
        <w:rPr>
          <w:rFonts w:ascii="宋体" w:hAnsi="宋体" w:cs="宋体"/>
          <w:kern w:val="0"/>
          <w:szCs w:val="21"/>
        </w:rPr>
        <w:t>,</w:t>
      </w:r>
      <w:r>
        <w:rPr>
          <w:rFonts w:hint="eastAsia" w:ascii="宋体" w:hAnsi="宋体" w:cs="宋体"/>
          <w:kern w:val="0"/>
          <w:szCs w:val="21"/>
        </w:rPr>
        <w:t>对整个评标过程进行监督</w:t>
      </w:r>
      <w:r>
        <w:rPr>
          <w:rFonts w:ascii="宋体" w:hAnsi="宋体" w:cs="宋体"/>
          <w:kern w:val="0"/>
          <w:szCs w:val="21"/>
        </w:rPr>
        <w:t>,</w:t>
      </w:r>
      <w:r>
        <w:rPr>
          <w:rFonts w:hint="eastAsia" w:ascii="宋体" w:hAnsi="宋体" w:cs="宋体"/>
          <w:kern w:val="0"/>
          <w:szCs w:val="21"/>
        </w:rPr>
        <w:t>保证评标的公正性</w:t>
      </w:r>
      <w:r>
        <w:rPr>
          <w:rFonts w:ascii="宋体" w:hAnsi="宋体" w:cs="宋体"/>
          <w:kern w:val="0"/>
          <w:szCs w:val="21"/>
        </w:rPr>
        <w:t>,</w:t>
      </w:r>
      <w:r>
        <w:rPr>
          <w:rFonts w:hint="eastAsia" w:ascii="宋体" w:hAnsi="宋体" w:cs="宋体"/>
          <w:kern w:val="0"/>
          <w:szCs w:val="21"/>
        </w:rPr>
        <w:t>防止违法行为的产生。</w:t>
      </w:r>
    </w:p>
    <w:p>
      <w:pPr>
        <w:widowControl/>
        <w:adjustRightInd w:val="0"/>
        <w:snapToGrid w:val="0"/>
        <w:spacing w:line="360" w:lineRule="auto"/>
        <w:ind w:firstLine="420"/>
        <w:jc w:val="left"/>
        <w:rPr>
          <w:rFonts w:ascii="宋体" w:hAnsi="宋体" w:cs="宋体"/>
          <w:b/>
          <w:kern w:val="0"/>
          <w:szCs w:val="21"/>
        </w:rPr>
      </w:pPr>
      <w:r>
        <w:rPr>
          <w:rFonts w:hint="eastAsia" w:ascii="宋体" w:hAnsi="宋体" w:cs="宋体"/>
          <w:b/>
          <w:kern w:val="0"/>
          <w:szCs w:val="21"/>
        </w:rPr>
        <w:t>第八条</w:t>
      </w:r>
      <w:bookmarkStart w:id="512" w:name="_Toc493509519"/>
      <w:r>
        <w:rPr>
          <w:rFonts w:hint="eastAsia" w:ascii="宋体" w:hAnsi="宋体" w:cs="宋体"/>
          <w:b/>
          <w:kern w:val="0"/>
          <w:szCs w:val="21"/>
        </w:rPr>
        <w:t xml:space="preserve">  投标文件的初审</w:t>
      </w:r>
      <w:bookmarkEnd w:id="512"/>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（1）初审分为资格审查和符合性审查</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① 资格审查。根据法律法规和招标文件的规定，采购人或采购代理机构依法对投标人进行资格审查，或出具委托授权函委托评委会对投标人进行资格审查，以确定投标人是否具备投标资格。</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由采购人或采购代理机构对投标人进行资格审查的，采购人应当出具资格审查小组人员名单，并在资格审查结果表上签字。</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由评委会对投标人进行资格审查的，评委会成员应当在资格审查结果表上签字。</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资格审查要求详见投标人须知前附表2.5。</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② 符合性审查。评标委员会应当对符合资格的投标人的投标文件进行符合性审查，以确定其是否满足招标文件的实质性要求。</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1）投标文件是否按照招标文件的规定编制、标注、密封、封装；</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2）投标人是否按照招标文件的规定提交投标保证金（提供电汇凭证等银行证明材料）；</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3）投标文件是否按照招标文件要求签署、盖章；</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4）投标文件是否按照招标文件规定的格式填写相关内容；</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5）投标报价是否在招标文件中规定的预算金额或者最高限价范围内；</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6）投标文件是否对招标文件提出的商务、技术等要求作出实质性响应（资格要求除外）；</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7）投标文件是否含有采购人不能接受的附加条件；</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8）投标人能否按照评标委员会要求对投标文件进行澄清、说明或者补正。</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③ 评委会决定投标文件的响应性只根据投标文件真实无误的内容，而不依据外部的证据。</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④ 投标人不得通过修正或撤销不合要求的偏离从而使其投标成为实质上响应的投标。</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b/>
          <w:kern w:val="0"/>
          <w:szCs w:val="21"/>
        </w:rPr>
        <w:t>第八条</w:t>
      </w:r>
      <w:r>
        <w:rPr>
          <w:rFonts w:hint="eastAsia" w:ascii="宋体" w:hAnsi="宋体" w:cs="宋体"/>
          <w:kern w:val="0"/>
          <w:szCs w:val="21"/>
        </w:rPr>
        <w:t>　不同投标人在同一工程投标文件中，在内容、数据、文字表述等方面出现多处明显雷同时，评标委员会应当判定为串通投标或者围标，按废标处理，并依法追究其责任。</w:t>
      </w:r>
    </w:p>
    <w:p>
      <w:pPr>
        <w:adjustRightInd w:val="0"/>
        <w:snapToGrid w:val="0"/>
        <w:spacing w:before="156" w:beforeLines="50" w:line="360" w:lineRule="auto"/>
        <w:ind w:right="-109" w:rightChars="-52" w:firstLine="315" w:firstLineChars="150"/>
        <w:rPr>
          <w:rFonts w:ascii="宋体" w:hAnsi="宋体" w:cs="宋体"/>
          <w:szCs w:val="21"/>
          <w:lang w:val="zh-CN"/>
        </w:rPr>
      </w:pPr>
      <w:r>
        <w:rPr>
          <w:rFonts w:hint="eastAsia" w:ascii="宋体" w:hAnsi="宋体"/>
          <w:b/>
          <w:bCs/>
          <w:szCs w:val="21"/>
        </w:rPr>
        <w:t>第九条  投标文件的校核</w:t>
      </w:r>
    </w:p>
    <w:p>
      <w:pPr>
        <w:tabs>
          <w:tab w:val="left" w:pos="8640"/>
        </w:tabs>
        <w:spacing w:line="360" w:lineRule="auto"/>
        <w:ind w:firstLine="480"/>
        <w:rPr>
          <w:rFonts w:ascii="宋体" w:hAnsi="宋体" w:cs="宋体"/>
          <w:szCs w:val="21"/>
          <w:lang w:val="zh-CN"/>
        </w:rPr>
      </w:pPr>
      <w:r>
        <w:rPr>
          <w:rFonts w:hint="eastAsia" w:ascii="宋体" w:hAnsi="宋体" w:cs="宋体"/>
          <w:szCs w:val="21"/>
          <w:lang w:val="zh-CN"/>
        </w:rPr>
        <w:t xml:space="preserve">投标文件报价出现前后不一致的，除招标文件另有规定外，按照下列规定修正： </w:t>
      </w:r>
    </w:p>
    <w:p>
      <w:pPr>
        <w:tabs>
          <w:tab w:val="left" w:pos="8640"/>
        </w:tabs>
        <w:spacing w:line="360" w:lineRule="auto"/>
        <w:ind w:left="119" w:leftChars="57" w:firstLine="525" w:firstLineChars="250"/>
        <w:rPr>
          <w:rFonts w:ascii="宋体" w:hAnsi="宋体" w:cs="宋体"/>
          <w:szCs w:val="21"/>
          <w:lang w:val="zh-CN"/>
        </w:rPr>
      </w:pPr>
      <w:r>
        <w:rPr>
          <w:rFonts w:hint="eastAsia" w:ascii="宋体" w:hAnsi="宋体" w:cs="宋体"/>
          <w:szCs w:val="21"/>
          <w:lang w:val="zh-CN"/>
        </w:rPr>
        <w:t xml:space="preserve">①投标文件中开标一览表(报价表)内容与投标文件中相应内容不一致的，以开标一览表(报价表)为准; </w:t>
      </w:r>
    </w:p>
    <w:p>
      <w:pPr>
        <w:tabs>
          <w:tab w:val="left" w:pos="8640"/>
        </w:tabs>
        <w:spacing w:line="360" w:lineRule="auto"/>
        <w:ind w:firstLine="630" w:firstLineChars="300"/>
        <w:rPr>
          <w:rFonts w:ascii="宋体" w:hAnsi="宋体" w:cs="宋体"/>
          <w:szCs w:val="21"/>
          <w:lang w:val="zh-CN"/>
        </w:rPr>
      </w:pPr>
      <w:r>
        <w:rPr>
          <w:rFonts w:hint="eastAsia" w:ascii="宋体" w:hAnsi="宋体" w:cs="宋体"/>
          <w:szCs w:val="21"/>
          <w:lang w:val="zh-CN"/>
        </w:rPr>
        <w:t xml:space="preserve">②大写金额和小写金额不一致的，以大写金额为准; </w:t>
      </w:r>
    </w:p>
    <w:p>
      <w:pPr>
        <w:tabs>
          <w:tab w:val="left" w:pos="8640"/>
        </w:tabs>
        <w:spacing w:line="360" w:lineRule="auto"/>
        <w:ind w:firstLine="630" w:firstLineChars="300"/>
        <w:rPr>
          <w:rFonts w:ascii="宋体" w:hAnsi="宋体" w:cs="宋体"/>
          <w:szCs w:val="21"/>
          <w:lang w:val="zh-CN"/>
        </w:rPr>
      </w:pPr>
      <w:r>
        <w:rPr>
          <w:rFonts w:hint="eastAsia" w:ascii="宋体" w:hAnsi="宋体" w:cs="宋体"/>
          <w:szCs w:val="21"/>
          <w:lang w:val="zh-CN"/>
        </w:rPr>
        <w:t xml:space="preserve">③单价金额小数点或者百分比有明显错位的，以开标一览表的总价为准，并修改单价; </w:t>
      </w:r>
    </w:p>
    <w:p>
      <w:pPr>
        <w:tabs>
          <w:tab w:val="left" w:pos="8640"/>
        </w:tabs>
        <w:spacing w:line="360" w:lineRule="auto"/>
        <w:ind w:firstLine="630" w:firstLineChars="300"/>
        <w:rPr>
          <w:rFonts w:ascii="宋体" w:hAnsi="宋体" w:cs="宋体"/>
          <w:szCs w:val="21"/>
          <w:lang w:val="zh-CN"/>
        </w:rPr>
      </w:pPr>
      <w:r>
        <w:rPr>
          <w:rFonts w:hint="eastAsia" w:ascii="宋体" w:hAnsi="宋体" w:cs="宋体"/>
          <w:szCs w:val="21"/>
          <w:lang w:val="zh-CN"/>
        </w:rPr>
        <w:t xml:space="preserve">④总价金额与按单价汇总金额不一致的，以单价金额计算结果为准。 </w:t>
      </w:r>
    </w:p>
    <w:p>
      <w:pPr>
        <w:tabs>
          <w:tab w:val="left" w:pos="8640"/>
        </w:tabs>
        <w:spacing w:line="360" w:lineRule="auto"/>
        <w:ind w:firstLine="480"/>
        <w:rPr>
          <w:rFonts w:ascii="宋体" w:cs="宋体"/>
          <w:szCs w:val="21"/>
        </w:rPr>
      </w:pPr>
      <w:r>
        <w:rPr>
          <w:rFonts w:hint="eastAsia" w:ascii="宋体" w:hAnsi="宋体" w:cs="宋体"/>
          <w:szCs w:val="21"/>
          <w:lang w:val="zh-CN"/>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adjustRightInd w:val="0"/>
        <w:snapToGrid w:val="0"/>
        <w:spacing w:before="156" w:beforeLines="50" w:line="360" w:lineRule="auto"/>
        <w:ind w:right="-109" w:rightChars="-52" w:firstLine="315" w:firstLineChars="150"/>
        <w:rPr>
          <w:rFonts w:ascii="宋体" w:hAnsi="宋体"/>
          <w:b/>
          <w:bCs/>
          <w:szCs w:val="21"/>
        </w:rPr>
      </w:pPr>
      <w:r>
        <w:rPr>
          <w:rFonts w:hint="eastAsia" w:ascii="宋体" w:hAnsi="宋体"/>
          <w:b/>
          <w:bCs/>
          <w:szCs w:val="21"/>
        </w:rPr>
        <w:t>第十条  无效投标</w:t>
      </w:r>
    </w:p>
    <w:p>
      <w:pPr>
        <w:adjustRightInd w:val="0"/>
        <w:snapToGrid w:val="0"/>
        <w:spacing w:before="156" w:beforeLines="50" w:line="360" w:lineRule="auto"/>
        <w:ind w:right="-109" w:rightChars="-52" w:firstLine="315" w:firstLineChars="150"/>
        <w:rPr>
          <w:rFonts w:ascii="宋体" w:hAnsi="宋体"/>
          <w:bCs/>
          <w:szCs w:val="21"/>
        </w:rPr>
      </w:pPr>
      <w:r>
        <w:rPr>
          <w:rFonts w:hint="eastAsia" w:ascii="宋体" w:hAnsi="宋体"/>
          <w:bCs/>
          <w:szCs w:val="21"/>
        </w:rPr>
        <w:t>投标文件属下列情况之一的，应在资格审查、符合性审查时按照无效投标处理</w:t>
      </w:r>
      <w:r>
        <w:rPr>
          <w:rFonts w:ascii="宋体" w:hAnsi="宋体"/>
          <w:bCs/>
          <w:szCs w:val="21"/>
        </w:rPr>
        <w:t>:</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①投标人未按要求交纳投标保证金或金额不足的（详见投标人须知前附表2.9）；</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②投标人未按要求提交</w:t>
      </w:r>
      <w:r>
        <w:rPr>
          <w:rFonts w:hint="eastAsia" w:ascii="宋体" w:hAnsi="宋体"/>
          <w:spacing w:val="-6"/>
          <w:szCs w:val="21"/>
        </w:rPr>
        <w:t>本项目投标保证金电汇凭证等银行证明文件的；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③投标文件未按规定编制、标注、密封、封装的；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④报价超过招标文件中规定的预算金额或者最高限价的；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⑤投标文件无投标人公章和法人或者法人授权代理人的印章或签字的；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⑥投标人未能提供法人授权函等证明文件和资料的，或提供的证件不齐或无效；</w:t>
      </w:r>
    </w:p>
    <w:p>
      <w:pPr>
        <w:adjustRightInd w:val="0"/>
        <w:snapToGrid w:val="0"/>
        <w:spacing w:line="360" w:lineRule="auto"/>
        <w:ind w:left="119" w:leftChars="57" w:right="-109" w:rightChars="-52" w:firstLine="480"/>
        <w:rPr>
          <w:rFonts w:ascii="宋体" w:hAnsi="宋体"/>
          <w:szCs w:val="21"/>
        </w:rPr>
      </w:pPr>
      <w:r>
        <w:rPr>
          <w:rFonts w:hint="eastAsia" w:ascii="宋体" w:hAnsi="宋体"/>
          <w:szCs w:val="21"/>
        </w:rPr>
        <w:t>⑦投标文件未按照招标文件规定的格式填写，或者填写的内容不全，或者辨认不清产生歧义，或者涂改处未加盖投标人公章及法人或法人授权的代理人的印章或签字的；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⑧投标文件中以两个及两个以上的方案进行投标的（招标文件另有规定的除外）；</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⑨投标文件未能对招标文件提出的要求和条件作出实质性响应的；</w:t>
      </w:r>
    </w:p>
    <w:p>
      <w:pPr>
        <w:adjustRightInd w:val="0"/>
        <w:snapToGrid w:val="0"/>
        <w:spacing w:line="360" w:lineRule="auto"/>
        <w:ind w:right="-109" w:rightChars="-52" w:firstLine="525" w:firstLineChars="250"/>
        <w:rPr>
          <w:rFonts w:ascii="宋体" w:hAnsi="宋体"/>
          <w:szCs w:val="21"/>
        </w:rPr>
      </w:pPr>
      <w:r>
        <w:rPr>
          <w:rFonts w:hint="eastAsia" w:ascii="宋体" w:hAnsi="宋体"/>
          <w:szCs w:val="21"/>
        </w:rPr>
        <w:t>⑩投标人资格条件不符合国家有关规定和招标文件要求的，或者拒不按照要求对投标文件进行澄清、说明或者补正的；</w:t>
      </w:r>
    </w:p>
    <w:p>
      <w:pPr>
        <w:adjustRightInd w:val="0"/>
        <w:snapToGrid w:val="0"/>
        <w:spacing w:line="360" w:lineRule="auto"/>
        <w:ind w:right="-109" w:rightChars="-52" w:firstLine="525" w:firstLineChars="250"/>
        <w:rPr>
          <w:rFonts w:ascii="宋体" w:hAnsi="宋体"/>
          <w:szCs w:val="21"/>
        </w:rPr>
      </w:pPr>
      <w:r>
        <w:rPr>
          <w:rFonts w:ascii="MS Mincho" w:hAnsi="MS Mincho" w:cs="Cambria Math"/>
          <w:szCs w:val="21"/>
        </w:rPr>
        <w:t>⑪</w:t>
      </w:r>
      <w:r>
        <w:rPr>
          <w:rFonts w:hint="eastAsia" w:ascii="宋体" w:hAnsi="宋体"/>
          <w:szCs w:val="21"/>
        </w:rPr>
        <w:t>投标文件附有招标人不能接受的条件的；</w:t>
      </w:r>
    </w:p>
    <w:p>
      <w:pPr>
        <w:adjustRightInd w:val="0"/>
        <w:snapToGrid w:val="0"/>
        <w:spacing w:line="360" w:lineRule="auto"/>
        <w:ind w:right="-109" w:rightChars="-52" w:firstLine="525" w:firstLineChars="250"/>
        <w:rPr>
          <w:rFonts w:ascii="宋体" w:hAnsi="宋体"/>
          <w:szCs w:val="21"/>
        </w:rPr>
      </w:pPr>
      <w:r>
        <w:rPr>
          <w:rFonts w:ascii="MS Mincho" w:hAnsi="MS Mincho"/>
          <w:szCs w:val="21"/>
        </w:rPr>
        <w:t>⑫</w:t>
      </w:r>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adjustRightInd w:val="0"/>
        <w:snapToGrid w:val="0"/>
        <w:spacing w:line="360" w:lineRule="auto"/>
        <w:ind w:right="-109" w:rightChars="-52" w:firstLine="525" w:firstLineChars="250"/>
        <w:rPr>
          <w:rFonts w:ascii="宋体" w:hAnsi="宋体"/>
          <w:szCs w:val="21"/>
        </w:rPr>
      </w:pPr>
      <w:r>
        <w:rPr>
          <w:rFonts w:ascii="MS Mincho" w:hAnsi="MS Mincho" w:cs="MS Mincho"/>
          <w:szCs w:val="21"/>
        </w:rPr>
        <w:t>⑬</w:t>
      </w:r>
      <w:r>
        <w:rPr>
          <w:rFonts w:hint="eastAsia" w:ascii="宋体" w:hAnsi="宋体"/>
          <w:szCs w:val="21"/>
        </w:rPr>
        <w:t>投标有效期不足</w:t>
      </w:r>
      <w:r>
        <w:rPr>
          <w:rFonts w:ascii="宋体" w:hAnsi="宋体"/>
          <w:szCs w:val="21"/>
        </w:rPr>
        <w:t>60</w:t>
      </w:r>
      <w:r>
        <w:rPr>
          <w:rFonts w:hint="eastAsia" w:ascii="宋体" w:hAnsi="宋体"/>
          <w:szCs w:val="21"/>
        </w:rPr>
        <w:t>天的；</w:t>
      </w:r>
    </w:p>
    <w:p>
      <w:pPr>
        <w:adjustRightInd w:val="0"/>
        <w:snapToGrid w:val="0"/>
        <w:spacing w:line="360" w:lineRule="auto"/>
        <w:ind w:right="-109" w:rightChars="-52" w:firstLine="525" w:firstLineChars="250"/>
        <w:rPr>
          <w:rFonts w:ascii="宋体" w:hAnsi="宋体"/>
          <w:szCs w:val="21"/>
        </w:rPr>
      </w:pPr>
      <w:r>
        <w:rPr>
          <w:rFonts w:ascii="MS Mincho" w:hAnsi="MS Mincho" w:cs="MS Mincho"/>
          <w:szCs w:val="21"/>
        </w:rPr>
        <w:t>⑭</w:t>
      </w:r>
      <w:r>
        <w:rPr>
          <w:rFonts w:hint="eastAsia" w:ascii="宋体" w:hAnsi="宋体"/>
          <w:szCs w:val="21"/>
        </w:rPr>
        <w:t>有下列情形之一的，视为投标人串通投标，其投标无效：</w:t>
      </w:r>
    </w:p>
    <w:p>
      <w:pPr>
        <w:adjustRightInd w:val="0"/>
        <w:snapToGrid w:val="0"/>
        <w:spacing w:line="360" w:lineRule="auto"/>
        <w:ind w:right="-109" w:rightChars="-52" w:firstLine="480"/>
        <w:rPr>
          <w:rFonts w:ascii="宋体" w:hAnsi="宋体"/>
          <w:szCs w:val="21"/>
        </w:rPr>
      </w:pPr>
      <w:r>
        <w:rPr>
          <w:rFonts w:hint="eastAsia" w:ascii="宋体" w:hAnsi="宋体"/>
          <w:szCs w:val="21"/>
        </w:rPr>
        <w:t xml:space="preserve">  1）不同投标人的投标文件由同一单位或者个人编制；</w:t>
      </w:r>
    </w:p>
    <w:p>
      <w:pPr>
        <w:adjustRightInd w:val="0"/>
        <w:snapToGrid w:val="0"/>
        <w:spacing w:line="360" w:lineRule="auto"/>
        <w:ind w:right="-109" w:rightChars="-52" w:firstLine="630" w:firstLineChars="300"/>
        <w:rPr>
          <w:rFonts w:ascii="宋体" w:hAnsi="宋体"/>
          <w:szCs w:val="21"/>
        </w:rPr>
      </w:pPr>
      <w:r>
        <w:rPr>
          <w:rFonts w:hint="eastAsia" w:ascii="宋体" w:hAnsi="宋体"/>
          <w:szCs w:val="21"/>
        </w:rPr>
        <w:t>2）不同投标人委托同一单位或者个人办理投标事宜；</w:t>
      </w:r>
    </w:p>
    <w:p>
      <w:pPr>
        <w:adjustRightInd w:val="0"/>
        <w:snapToGrid w:val="0"/>
        <w:spacing w:line="360" w:lineRule="auto"/>
        <w:ind w:right="-109" w:rightChars="-52" w:firstLine="630" w:firstLineChars="300"/>
        <w:rPr>
          <w:rFonts w:ascii="宋体" w:hAnsi="宋体"/>
          <w:szCs w:val="21"/>
        </w:rPr>
      </w:pPr>
      <w:r>
        <w:rPr>
          <w:rFonts w:hint="eastAsia" w:ascii="宋体" w:hAnsi="宋体"/>
          <w:szCs w:val="21"/>
        </w:rPr>
        <w:t>3）不同投标人的投标文件载明的项目管理成员或者联系人员为同一人；</w:t>
      </w:r>
    </w:p>
    <w:p>
      <w:pPr>
        <w:adjustRightInd w:val="0"/>
        <w:snapToGrid w:val="0"/>
        <w:spacing w:line="360" w:lineRule="auto"/>
        <w:ind w:right="-109" w:rightChars="-52" w:firstLine="630" w:firstLineChars="300"/>
        <w:rPr>
          <w:rFonts w:ascii="宋体" w:hAnsi="宋体"/>
          <w:szCs w:val="21"/>
        </w:rPr>
      </w:pPr>
      <w:r>
        <w:rPr>
          <w:rFonts w:hint="eastAsia" w:ascii="宋体" w:hAnsi="宋体"/>
          <w:szCs w:val="21"/>
        </w:rPr>
        <w:t>4）不同投标人的投标文件异常一致或者投标报价呈规律性差异；</w:t>
      </w:r>
    </w:p>
    <w:p>
      <w:pPr>
        <w:adjustRightInd w:val="0"/>
        <w:snapToGrid w:val="0"/>
        <w:spacing w:line="360" w:lineRule="auto"/>
        <w:ind w:right="-109" w:rightChars="-52" w:firstLine="630" w:firstLineChars="300"/>
        <w:rPr>
          <w:rFonts w:ascii="宋体" w:hAnsi="宋体"/>
          <w:szCs w:val="21"/>
        </w:rPr>
      </w:pPr>
      <w:r>
        <w:rPr>
          <w:rFonts w:hint="eastAsia" w:ascii="宋体" w:hAnsi="宋体"/>
          <w:szCs w:val="21"/>
        </w:rPr>
        <w:t>5）不同投标人的投标文件相互混装；</w:t>
      </w:r>
    </w:p>
    <w:p>
      <w:pPr>
        <w:adjustRightInd w:val="0"/>
        <w:snapToGrid w:val="0"/>
        <w:spacing w:line="360" w:lineRule="auto"/>
        <w:ind w:right="-109" w:rightChars="-52" w:firstLine="630" w:firstLineChars="300"/>
        <w:rPr>
          <w:rFonts w:ascii="宋体" w:hAnsi="宋体"/>
          <w:szCs w:val="21"/>
        </w:rPr>
      </w:pPr>
      <w:r>
        <w:rPr>
          <w:rFonts w:hint="eastAsia" w:ascii="宋体" w:hAnsi="宋体"/>
          <w:szCs w:val="21"/>
        </w:rPr>
        <w:t>6）不同投标人的投标保证金从同一单位或者个人的账户转出。</w:t>
      </w:r>
      <w:r>
        <w:rPr>
          <w:rFonts w:hint="eastAsia" w:ascii="宋体" w:hAnsi="宋体"/>
          <w:szCs w:val="21"/>
        </w:rPr>
        <w:tab/>
      </w:r>
    </w:p>
    <w:p>
      <w:pPr>
        <w:spacing w:line="360" w:lineRule="auto"/>
        <w:ind w:firstLine="420" w:firstLineChars="200"/>
        <w:rPr>
          <w:rFonts w:ascii="宋体" w:hAnsi="宋体"/>
          <w:szCs w:val="21"/>
        </w:rPr>
      </w:pPr>
      <w:r>
        <w:rPr>
          <w:rFonts w:ascii="MS Mincho" w:hAnsi="MS Mincho" w:cs="Cambria Math"/>
          <w:szCs w:val="21"/>
        </w:rPr>
        <w:t>⑮</w:t>
      </w:r>
      <w:r>
        <w:rPr>
          <w:rFonts w:hint="eastAsia" w:ascii="宋体" w:hAnsi="宋体"/>
          <w:szCs w:val="21"/>
        </w:rPr>
        <w:t>招标文件规定的其它无效投标条件。</w:t>
      </w:r>
    </w:p>
    <w:p>
      <w:pPr>
        <w:spacing w:line="360" w:lineRule="auto"/>
        <w:ind w:firstLine="420" w:firstLineChars="200"/>
        <w:rPr>
          <w:rFonts w:ascii="宋体" w:hAnsi="宋体"/>
          <w:b/>
          <w:szCs w:val="21"/>
        </w:rPr>
      </w:pPr>
      <w:r>
        <w:rPr>
          <w:rFonts w:hint="eastAsia" w:ascii="宋体" w:hAnsi="宋体"/>
          <w:b/>
          <w:bCs/>
          <w:szCs w:val="21"/>
        </w:rPr>
        <w:t xml:space="preserve">第十一条  </w:t>
      </w:r>
      <w:bookmarkStart w:id="513" w:name="_Toc16457"/>
      <w:bookmarkStart w:id="514" w:name="_Toc459623010"/>
      <w:bookmarkStart w:id="515" w:name="_Toc17184"/>
      <w:bookmarkStart w:id="516" w:name="_Toc11580"/>
      <w:bookmarkStart w:id="517" w:name="_Toc493013076"/>
      <w:bookmarkStart w:id="518" w:name="_Toc493509520"/>
      <w:r>
        <w:rPr>
          <w:rFonts w:hint="eastAsia"/>
          <w:b/>
        </w:rPr>
        <w:t>比较与评价</w:t>
      </w:r>
      <w:bookmarkEnd w:id="513"/>
      <w:bookmarkEnd w:id="514"/>
      <w:bookmarkEnd w:id="515"/>
      <w:bookmarkEnd w:id="516"/>
      <w:bookmarkEnd w:id="517"/>
      <w:bookmarkEnd w:id="518"/>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评标委员会应当按照招标文件中规定的评标方法和标准，对符合性审查合格的投标文件进行商务和技术评估，综合比较与评价。</w:t>
      </w:r>
      <w:bookmarkStart w:id="519" w:name="_Toc5226"/>
      <w:bookmarkStart w:id="520" w:name="_Toc459623011"/>
      <w:bookmarkStart w:id="521" w:name="_Toc28663"/>
      <w:bookmarkStart w:id="522" w:name="_Toc493013077"/>
      <w:bookmarkStart w:id="523" w:name="_Toc16488"/>
      <w:bookmarkStart w:id="524" w:name="_Toc493509521"/>
    </w:p>
    <w:p>
      <w:pPr>
        <w:spacing w:line="360" w:lineRule="auto"/>
        <w:ind w:firstLine="420" w:firstLineChars="200"/>
        <w:rPr>
          <w:rFonts w:ascii="宋体" w:hAnsi="宋体"/>
          <w:b/>
          <w:bCs/>
          <w:szCs w:val="21"/>
        </w:rPr>
      </w:pPr>
      <w:r>
        <w:rPr>
          <w:rFonts w:hint="eastAsia" w:ascii="宋体" w:hAnsi="宋体"/>
          <w:b/>
          <w:bCs/>
          <w:szCs w:val="21"/>
        </w:rPr>
        <w:t>第十二条  评标方法</w:t>
      </w:r>
      <w:bookmarkEnd w:id="519"/>
      <w:bookmarkEnd w:id="520"/>
      <w:bookmarkEnd w:id="521"/>
      <w:bookmarkEnd w:id="522"/>
      <w:bookmarkEnd w:id="523"/>
      <w:bookmarkEnd w:id="524"/>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本项目采用“综合评分法”，即是指在最大限度地满足招标文件实质性要求前提下，按照招标文件中规定的各项因素进行综合评审后，以评标总得分最高的投标人作为排名第一的中标候选人。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cs="宋体"/>
          <w:kern w:val="0"/>
          <w:szCs w:val="21"/>
        </w:rPr>
        <w:t>/</w:t>
      </w:r>
      <w:r>
        <w:rPr>
          <w:rFonts w:hint="eastAsia" w:ascii="宋体" w:hAnsi="宋体" w:cs="宋体"/>
          <w:kern w:val="0"/>
          <w:szCs w:val="21"/>
        </w:rPr>
        <w:t>投标报价）×价格权值×</w:t>
      </w:r>
      <w:r>
        <w:rPr>
          <w:rFonts w:ascii="宋体" w:hAnsi="宋体" w:cs="宋体"/>
          <w:kern w:val="0"/>
          <w:szCs w:val="21"/>
        </w:rPr>
        <w:t>100</w:t>
      </w:r>
      <w:r>
        <w:rPr>
          <w:rFonts w:hint="eastAsia" w:ascii="宋体" w:hAnsi="宋体" w:cs="宋体"/>
          <w:kern w:val="0"/>
          <w:szCs w:val="21"/>
        </w:rPr>
        <w:t>。</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法律、法规、规章和省级以上财政部门涉及政府采购政策功能及其他规定，见招标文件前附表。评委会应根据招标文件规定，优先推荐节能环保产品，优先考虑中小企业。</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投标人获得相应政府采购政策优惠的，应提供相关证明材料。</w:t>
      </w:r>
    </w:p>
    <w:p>
      <w:pPr>
        <w:widowControl/>
        <w:tabs>
          <w:tab w:val="left" w:pos="540"/>
        </w:tabs>
        <w:adjustRightInd w:val="0"/>
        <w:snapToGrid w:val="0"/>
        <w:spacing w:line="360" w:lineRule="auto"/>
        <w:ind w:firstLine="315" w:firstLineChars="150"/>
        <w:jc w:val="left"/>
        <w:rPr>
          <w:rFonts w:ascii="宋体" w:hAnsi="宋体" w:cs="宋体"/>
          <w:kern w:val="0"/>
          <w:szCs w:val="21"/>
        </w:rPr>
      </w:pPr>
      <w:r>
        <w:rPr>
          <w:rFonts w:hint="eastAsia" w:ascii="宋体" w:hAnsi="宋体" w:cs="宋体"/>
          <w:kern w:val="0"/>
          <w:szCs w:val="21"/>
        </w:rPr>
        <w:t>对中小微企业执行财库〔</w:t>
      </w:r>
      <w:r>
        <w:rPr>
          <w:rFonts w:ascii="宋体" w:hAnsi="宋体" w:cs="宋体"/>
          <w:kern w:val="0"/>
          <w:szCs w:val="21"/>
        </w:rPr>
        <w:t>2011</w:t>
      </w:r>
      <w:r>
        <w:rPr>
          <w:rFonts w:hint="eastAsia" w:ascii="宋体" w:hAnsi="宋体" w:cs="宋体"/>
          <w:kern w:val="0"/>
          <w:szCs w:val="21"/>
        </w:rPr>
        <w:t>〕</w:t>
      </w:r>
      <w:r>
        <w:rPr>
          <w:rFonts w:ascii="宋体" w:hAnsi="宋体" w:cs="宋体"/>
          <w:kern w:val="0"/>
          <w:szCs w:val="21"/>
        </w:rPr>
        <w:t>181</w:t>
      </w:r>
      <w:r>
        <w:rPr>
          <w:rFonts w:hint="eastAsia" w:ascii="宋体" w:hAnsi="宋体" w:cs="宋体"/>
          <w:kern w:val="0"/>
          <w:szCs w:val="21"/>
        </w:rPr>
        <w:t>号文件的规定，对其投标报价按</w:t>
      </w:r>
      <w:r>
        <w:rPr>
          <w:rFonts w:ascii="宋体" w:hAnsi="宋体" w:cs="宋体"/>
          <w:kern w:val="0"/>
          <w:szCs w:val="21"/>
        </w:rPr>
        <w:t>6%</w:t>
      </w:r>
      <w:r>
        <w:rPr>
          <w:rFonts w:hint="eastAsia" w:ascii="宋体" w:hAnsi="宋体" w:cs="宋体"/>
          <w:kern w:val="0"/>
          <w:szCs w:val="21"/>
        </w:rPr>
        <w:t>扣除后的价格作为其评标价。不符合财库〔</w:t>
      </w:r>
      <w:r>
        <w:rPr>
          <w:rFonts w:ascii="宋体" w:hAnsi="宋体" w:cs="宋体"/>
          <w:kern w:val="0"/>
          <w:szCs w:val="21"/>
        </w:rPr>
        <w:t>2011</w:t>
      </w:r>
      <w:r>
        <w:rPr>
          <w:rFonts w:hint="eastAsia" w:ascii="宋体" w:hAnsi="宋体" w:cs="宋体"/>
          <w:kern w:val="0"/>
          <w:szCs w:val="21"/>
        </w:rPr>
        <w:t>〕</w:t>
      </w:r>
      <w:r>
        <w:rPr>
          <w:rFonts w:ascii="宋体" w:hAnsi="宋体" w:cs="宋体"/>
          <w:kern w:val="0"/>
          <w:szCs w:val="21"/>
        </w:rPr>
        <w:t>181</w:t>
      </w:r>
      <w:r>
        <w:rPr>
          <w:rFonts w:hint="eastAsia" w:ascii="宋体" w:hAnsi="宋体" w:cs="宋体"/>
          <w:kern w:val="0"/>
          <w:szCs w:val="21"/>
        </w:rPr>
        <w:t>号文件的规定企业的产品价格不予扣除，其投标报价即为评标价。</w:t>
      </w:r>
    </w:p>
    <w:p>
      <w:pPr>
        <w:spacing w:line="360" w:lineRule="auto"/>
        <w:ind w:firstLine="420" w:firstLineChars="200"/>
        <w:rPr>
          <w:rFonts w:ascii="宋体" w:hAnsi="宋体" w:cs="宋体"/>
          <w:b/>
          <w:kern w:val="0"/>
          <w:szCs w:val="21"/>
        </w:rPr>
      </w:pPr>
      <w:r>
        <w:rPr>
          <w:rFonts w:hint="eastAsia" w:ascii="宋体" w:hAnsi="宋体" w:cs="宋体"/>
          <w:b/>
          <w:kern w:val="0"/>
          <w:szCs w:val="21"/>
        </w:rPr>
        <w:t>一、价格</w:t>
      </w:r>
      <w:r>
        <w:rPr>
          <w:rFonts w:hint="eastAsia" w:ascii="宋体" w:hAnsi="宋体" w:cs="宋体"/>
          <w:b/>
          <w:kern w:val="0"/>
          <w:szCs w:val="21"/>
          <w:lang w:val="en-US" w:eastAsia="zh-CN"/>
        </w:rPr>
        <w:t>40</w:t>
      </w:r>
      <w:r>
        <w:rPr>
          <w:rFonts w:hint="eastAsia" w:ascii="宋体" w:hAnsi="宋体" w:cs="宋体"/>
          <w:b/>
          <w:kern w:val="0"/>
          <w:szCs w:val="21"/>
        </w:rPr>
        <w:t>分</w:t>
      </w:r>
    </w:p>
    <w:p>
      <w:pPr>
        <w:spacing w:line="360" w:lineRule="auto"/>
        <w:ind w:firstLine="420" w:firstLineChars="200"/>
        <w:rPr>
          <w:rFonts w:ascii="宋体" w:hAnsi="宋体" w:cs="宋体"/>
          <w:kern w:val="0"/>
          <w:szCs w:val="21"/>
        </w:rPr>
      </w:pPr>
      <w:r>
        <w:rPr>
          <w:rFonts w:hint="eastAsia" w:ascii="宋体" w:hAnsi="宋体" w:cs="宋体"/>
          <w:kern w:val="0"/>
          <w:szCs w:val="21"/>
        </w:rPr>
        <w:t>在价格评分时，</w:t>
      </w:r>
      <w:r>
        <w:rPr>
          <w:rFonts w:hint="eastAsia" w:ascii="宋体" w:hAnsi="宋体" w:cs="宋体"/>
          <w:b/>
          <w:kern w:val="0"/>
          <w:szCs w:val="21"/>
        </w:rPr>
        <w:t>满足招标文件要求且投标报价中最低的投标报价为评标基准价</w:t>
      </w:r>
      <w:r>
        <w:rPr>
          <w:rFonts w:hint="eastAsia" w:ascii="宋体" w:hAnsi="宋体" w:cs="宋体"/>
          <w:kern w:val="0"/>
          <w:szCs w:val="21"/>
        </w:rPr>
        <w:t>，其价格分为满分</w:t>
      </w:r>
      <w:r>
        <w:rPr>
          <w:rFonts w:hint="eastAsia" w:ascii="宋体" w:hAnsi="宋体" w:cs="宋体"/>
          <w:kern w:val="0"/>
          <w:szCs w:val="21"/>
          <w:lang w:val="en-US" w:eastAsia="zh-CN"/>
        </w:rPr>
        <w:t>40</w:t>
      </w:r>
      <w:r>
        <w:rPr>
          <w:rFonts w:hint="eastAsia" w:ascii="宋体" w:hAnsi="宋体" w:cs="宋体"/>
          <w:kern w:val="0"/>
          <w:szCs w:val="21"/>
        </w:rPr>
        <w:t>分；其他投标人的价格分统一按照以下公式计算：</w:t>
      </w:r>
    </w:p>
    <w:p>
      <w:pPr>
        <w:pStyle w:val="107"/>
        <w:spacing w:before="0" w:after="0"/>
        <w:ind w:firstLine="420" w:firstLineChars="200"/>
        <w:rPr>
          <w:rFonts w:ascii="宋体" w:hAnsi="宋体" w:cs="宋体"/>
          <w:kern w:val="0"/>
          <w:sz w:val="21"/>
          <w:szCs w:val="21"/>
        </w:rPr>
      </w:pPr>
      <w:r>
        <w:rPr>
          <w:rFonts w:hint="eastAsia" w:ascii="宋体" w:hAnsi="宋体" w:cs="宋体"/>
          <w:kern w:val="0"/>
          <w:sz w:val="21"/>
          <w:szCs w:val="21"/>
        </w:rPr>
        <w:t>投标报价得分 =（评标基准价/投标报价）×100×</w:t>
      </w:r>
      <w:r>
        <w:rPr>
          <w:rFonts w:hint="eastAsia" w:ascii="宋体" w:hAnsi="宋体" w:cs="宋体"/>
          <w:kern w:val="0"/>
          <w:sz w:val="21"/>
          <w:szCs w:val="21"/>
          <w:lang w:val="en-US" w:eastAsia="zh-CN"/>
        </w:rPr>
        <w:t>40</w:t>
      </w:r>
      <w:r>
        <w:rPr>
          <w:rFonts w:hint="eastAsia" w:ascii="宋体" w:hAnsi="宋体" w:cs="宋体"/>
          <w:kern w:val="0"/>
          <w:sz w:val="21"/>
          <w:szCs w:val="21"/>
        </w:rPr>
        <w:t>%</w:t>
      </w:r>
    </w:p>
    <w:p>
      <w:pPr>
        <w:widowControl/>
        <w:tabs>
          <w:tab w:val="left" w:pos="540"/>
        </w:tabs>
        <w:adjustRightInd w:val="0"/>
        <w:snapToGrid w:val="0"/>
        <w:spacing w:line="360" w:lineRule="auto"/>
        <w:ind w:firstLine="420" w:firstLineChars="200"/>
        <w:jc w:val="left"/>
        <w:rPr>
          <w:rFonts w:ascii="宋体" w:hAnsi="宋体" w:cs="宋体"/>
          <w:b/>
          <w:kern w:val="0"/>
          <w:szCs w:val="21"/>
        </w:rPr>
      </w:pPr>
      <w:r>
        <w:rPr>
          <w:rFonts w:hint="eastAsia" w:ascii="宋体" w:hAnsi="宋体" w:cs="宋体"/>
          <w:b/>
          <w:kern w:val="0"/>
          <w:szCs w:val="21"/>
        </w:rPr>
        <w:t>二、技术5</w:t>
      </w:r>
      <w:r>
        <w:rPr>
          <w:rFonts w:hint="eastAsia" w:ascii="宋体" w:hAnsi="宋体" w:cs="宋体"/>
          <w:b/>
          <w:kern w:val="0"/>
          <w:szCs w:val="21"/>
          <w:lang w:val="en-US" w:eastAsia="zh-CN"/>
        </w:rPr>
        <w:t>0</w:t>
      </w:r>
      <w:r>
        <w:rPr>
          <w:rFonts w:hint="eastAsia" w:ascii="宋体" w:hAnsi="宋体" w:cs="宋体"/>
          <w:b/>
          <w:kern w:val="0"/>
          <w:szCs w:val="21"/>
        </w:rPr>
        <w:t>分：</w:t>
      </w:r>
    </w:p>
    <w:p>
      <w:pPr>
        <w:widowControl/>
        <w:tabs>
          <w:tab w:val="left" w:pos="540"/>
        </w:tabs>
        <w:adjustRightInd w:val="0"/>
        <w:snapToGrid w:val="0"/>
        <w:spacing w:line="360" w:lineRule="auto"/>
        <w:ind w:firstLine="420" w:firstLineChars="200"/>
        <w:jc w:val="left"/>
        <w:rPr>
          <w:rFonts w:ascii="宋体" w:hAnsi="宋体" w:cs="宋体"/>
          <w:b/>
          <w:kern w:val="0"/>
          <w:szCs w:val="21"/>
        </w:rPr>
      </w:pPr>
      <w:r>
        <w:rPr>
          <w:rFonts w:hint="eastAsia" w:ascii="宋体" w:hAnsi="宋体" w:cs="宋体"/>
          <w:b/>
          <w:kern w:val="0"/>
          <w:szCs w:val="21"/>
        </w:rPr>
        <w:t>1、施工能力评审</w:t>
      </w:r>
      <w:r>
        <w:rPr>
          <w:rFonts w:hint="eastAsia" w:ascii="宋体" w:hAnsi="宋体" w:cs="宋体"/>
          <w:b/>
          <w:kern w:val="0"/>
          <w:szCs w:val="21"/>
          <w:lang w:val="en-US" w:eastAsia="zh-CN"/>
        </w:rPr>
        <w:t>25</w:t>
      </w:r>
      <w:r>
        <w:rPr>
          <w:rFonts w:hint="eastAsia" w:ascii="宋体" w:hAnsi="宋体" w:cs="宋体"/>
          <w:b/>
          <w:kern w:val="0"/>
          <w:szCs w:val="21"/>
        </w:rPr>
        <w:t>分</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（1）施工组织管理机构健全，管理人员及技术人员配备齐全者优得</w:t>
      </w:r>
      <w:r>
        <w:rPr>
          <w:rFonts w:hint="eastAsia" w:ascii="宋体" w:hAnsi="宋体" w:cs="宋体"/>
          <w:kern w:val="0"/>
          <w:szCs w:val="21"/>
          <w:lang w:val="en-US" w:eastAsia="zh-CN"/>
        </w:rPr>
        <w:t>6-9</w:t>
      </w:r>
      <w:r>
        <w:rPr>
          <w:rFonts w:hint="eastAsia" w:ascii="宋体" w:hAnsi="宋体" w:cs="宋体"/>
          <w:kern w:val="0"/>
          <w:szCs w:val="21"/>
        </w:rPr>
        <w:t>分，良得</w:t>
      </w:r>
      <w:r>
        <w:rPr>
          <w:rFonts w:hint="eastAsia" w:ascii="宋体" w:hAnsi="宋体" w:cs="宋体"/>
          <w:kern w:val="0"/>
          <w:szCs w:val="21"/>
          <w:lang w:val="en-US" w:eastAsia="zh-CN"/>
        </w:rPr>
        <w:t>3-5</w:t>
      </w:r>
      <w:r>
        <w:rPr>
          <w:rFonts w:hint="eastAsia" w:ascii="宋体" w:hAnsi="宋体" w:cs="宋体"/>
          <w:kern w:val="0"/>
          <w:szCs w:val="21"/>
        </w:rPr>
        <w:t>分，一般得1</w:t>
      </w:r>
      <w:r>
        <w:rPr>
          <w:rFonts w:hint="eastAsia" w:ascii="宋体" w:hAnsi="宋体" w:cs="宋体"/>
          <w:kern w:val="0"/>
          <w:szCs w:val="21"/>
          <w:lang w:val="en-US" w:eastAsia="zh-CN"/>
        </w:rPr>
        <w:t>-2</w:t>
      </w:r>
      <w:r>
        <w:rPr>
          <w:rFonts w:hint="eastAsia" w:ascii="宋体" w:hAnsi="宋体" w:cs="宋体"/>
          <w:kern w:val="0"/>
          <w:szCs w:val="21"/>
        </w:rPr>
        <w:t>分；</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（2）拟投入的机械设备能够达到本工程施工要求者（优得</w:t>
      </w:r>
      <w:r>
        <w:rPr>
          <w:rFonts w:hint="eastAsia" w:ascii="宋体" w:hAnsi="宋体" w:cs="宋体"/>
          <w:kern w:val="0"/>
          <w:szCs w:val="21"/>
          <w:lang w:val="en-US" w:eastAsia="zh-CN"/>
        </w:rPr>
        <w:t>6-8</w:t>
      </w:r>
      <w:r>
        <w:rPr>
          <w:rFonts w:hint="eastAsia" w:ascii="宋体" w:hAnsi="宋体" w:cs="宋体"/>
          <w:kern w:val="0"/>
          <w:szCs w:val="21"/>
        </w:rPr>
        <w:t>分、良得</w:t>
      </w:r>
      <w:r>
        <w:rPr>
          <w:rFonts w:hint="eastAsia" w:ascii="宋体" w:hAnsi="宋体" w:cs="宋体"/>
          <w:kern w:val="0"/>
          <w:szCs w:val="21"/>
          <w:lang w:val="en-US" w:eastAsia="zh-CN"/>
        </w:rPr>
        <w:t>3-5</w:t>
      </w:r>
      <w:r>
        <w:rPr>
          <w:rFonts w:hint="eastAsia" w:ascii="宋体" w:hAnsi="宋体" w:cs="宋体"/>
          <w:kern w:val="0"/>
          <w:szCs w:val="21"/>
        </w:rPr>
        <w:t>分、一般得1分）；</w:t>
      </w:r>
    </w:p>
    <w:p>
      <w:pPr>
        <w:adjustRightInd w:val="0"/>
        <w:snapToGrid w:val="0"/>
        <w:spacing w:line="360" w:lineRule="auto"/>
        <w:ind w:firstLine="315" w:firstLineChars="150"/>
        <w:rPr>
          <w:rFonts w:ascii="宋体" w:hAnsi="宋体" w:cs="宋体"/>
          <w:kern w:val="0"/>
          <w:szCs w:val="21"/>
        </w:rPr>
      </w:pPr>
      <w:r>
        <w:rPr>
          <w:rFonts w:hint="eastAsia" w:ascii="宋体" w:hAnsi="宋体" w:cs="宋体"/>
          <w:kern w:val="0"/>
          <w:szCs w:val="21"/>
        </w:rPr>
        <w:t xml:space="preserve"> （3）施工的主要技术工种安排合理，能满足施工要求者（优得</w:t>
      </w:r>
      <w:r>
        <w:rPr>
          <w:rFonts w:hint="eastAsia" w:ascii="宋体" w:hAnsi="宋体" w:cs="宋体"/>
          <w:kern w:val="0"/>
          <w:szCs w:val="21"/>
          <w:lang w:val="en-US" w:eastAsia="zh-CN"/>
        </w:rPr>
        <w:t>6-8</w:t>
      </w:r>
      <w:r>
        <w:rPr>
          <w:rFonts w:hint="eastAsia" w:ascii="宋体" w:hAnsi="宋体" w:cs="宋体"/>
          <w:kern w:val="0"/>
          <w:szCs w:val="21"/>
        </w:rPr>
        <w:t>分、良得</w:t>
      </w:r>
      <w:r>
        <w:rPr>
          <w:rFonts w:hint="eastAsia" w:ascii="宋体" w:hAnsi="宋体" w:cs="宋体"/>
          <w:kern w:val="0"/>
          <w:szCs w:val="21"/>
          <w:lang w:val="en-US" w:eastAsia="zh-CN"/>
        </w:rPr>
        <w:t>3-5</w:t>
      </w:r>
      <w:r>
        <w:rPr>
          <w:rFonts w:hint="eastAsia" w:ascii="宋体" w:hAnsi="宋体" w:cs="宋体"/>
          <w:kern w:val="0"/>
          <w:szCs w:val="21"/>
        </w:rPr>
        <w:t>分、一般得1分）；</w:t>
      </w:r>
    </w:p>
    <w:p>
      <w:pPr>
        <w:widowControl/>
        <w:tabs>
          <w:tab w:val="left" w:pos="540"/>
        </w:tabs>
        <w:adjustRightInd w:val="0"/>
        <w:snapToGrid w:val="0"/>
        <w:spacing w:line="360" w:lineRule="auto"/>
        <w:ind w:firstLine="420" w:firstLineChars="200"/>
        <w:jc w:val="left"/>
        <w:rPr>
          <w:rFonts w:ascii="宋体" w:hAnsi="宋体" w:cs="宋体"/>
          <w:b/>
          <w:kern w:val="0"/>
          <w:szCs w:val="21"/>
        </w:rPr>
      </w:pPr>
      <w:r>
        <w:rPr>
          <w:rFonts w:hint="eastAsia" w:ascii="宋体" w:hAnsi="宋体" w:cs="宋体"/>
          <w:b/>
          <w:kern w:val="0"/>
          <w:szCs w:val="21"/>
        </w:rPr>
        <w:t>2、施工方案及技术组织措施评审</w:t>
      </w:r>
      <w:r>
        <w:rPr>
          <w:rFonts w:hint="eastAsia" w:ascii="宋体" w:hAnsi="宋体" w:cs="宋体"/>
          <w:b/>
          <w:kern w:val="0"/>
          <w:szCs w:val="21"/>
          <w:lang w:val="en-US" w:eastAsia="zh-CN"/>
        </w:rPr>
        <w:t>25</w:t>
      </w:r>
      <w:r>
        <w:rPr>
          <w:rFonts w:hint="eastAsia" w:ascii="宋体" w:hAnsi="宋体" w:cs="宋体"/>
          <w:b/>
          <w:kern w:val="0"/>
          <w:szCs w:val="21"/>
        </w:rPr>
        <w:t>分</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1</w:t>
      </w:r>
      <w:r>
        <w:rPr>
          <w:rFonts w:hint="eastAsia" w:ascii="宋体" w:hAnsi="宋体" w:cs="宋体"/>
          <w:kern w:val="0"/>
          <w:szCs w:val="21"/>
        </w:rPr>
        <w:t>）对施工安全保证体系及针对性的安全预防措施（优得</w:t>
      </w:r>
      <w:r>
        <w:rPr>
          <w:rFonts w:hint="eastAsia" w:ascii="宋体" w:hAnsi="宋体" w:cs="宋体"/>
          <w:kern w:val="0"/>
          <w:szCs w:val="21"/>
          <w:lang w:val="en-US" w:eastAsia="zh-CN"/>
        </w:rPr>
        <w:t>7-10</w:t>
      </w:r>
      <w:r>
        <w:rPr>
          <w:rFonts w:hint="eastAsia" w:ascii="宋体" w:hAnsi="宋体" w:cs="宋体"/>
          <w:kern w:val="0"/>
          <w:szCs w:val="21"/>
        </w:rPr>
        <w:t>分，良得</w:t>
      </w:r>
      <w:r>
        <w:rPr>
          <w:rFonts w:hint="eastAsia" w:ascii="宋体" w:hAnsi="宋体" w:cs="宋体"/>
          <w:kern w:val="0"/>
          <w:szCs w:val="21"/>
          <w:lang w:val="en-US" w:eastAsia="zh-CN"/>
        </w:rPr>
        <w:t>4-6</w:t>
      </w:r>
      <w:r>
        <w:rPr>
          <w:rFonts w:hint="eastAsia" w:ascii="宋体" w:hAnsi="宋体" w:cs="宋体"/>
          <w:kern w:val="0"/>
          <w:szCs w:val="21"/>
        </w:rPr>
        <w:t>分，一般得</w:t>
      </w:r>
      <w:r>
        <w:rPr>
          <w:rFonts w:hint="eastAsia" w:ascii="宋体" w:hAnsi="宋体" w:cs="宋体"/>
          <w:kern w:val="0"/>
          <w:szCs w:val="21"/>
          <w:lang w:val="en-US" w:eastAsia="zh-CN"/>
        </w:rPr>
        <w:t>1-3</w:t>
      </w:r>
      <w:r>
        <w:rPr>
          <w:rFonts w:hint="eastAsia" w:ascii="宋体" w:hAnsi="宋体" w:cs="宋体"/>
          <w:kern w:val="0"/>
          <w:szCs w:val="21"/>
        </w:rPr>
        <w:t>分）；</w:t>
      </w:r>
    </w:p>
    <w:p>
      <w:pPr>
        <w:widowControl/>
        <w:tabs>
          <w:tab w:val="left" w:pos="540"/>
        </w:tabs>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2</w:t>
      </w:r>
      <w:r>
        <w:rPr>
          <w:rFonts w:hint="eastAsia" w:ascii="宋体" w:hAnsi="宋体" w:cs="宋体"/>
          <w:kern w:val="0"/>
          <w:szCs w:val="21"/>
        </w:rPr>
        <w:t>）对文明施工关键环节，具有针对性保证措施</w:t>
      </w:r>
      <w:r>
        <w:rPr>
          <w:rFonts w:hint="eastAsia" w:ascii="宋体" w:hAnsi="宋体"/>
          <w:kern w:val="0"/>
          <w:szCs w:val="21"/>
        </w:rPr>
        <w:t>，方案合理</w:t>
      </w:r>
      <w:r>
        <w:rPr>
          <w:rFonts w:hint="eastAsia" w:ascii="宋体" w:hAnsi="宋体"/>
          <w:kern w:val="0"/>
          <w:szCs w:val="21"/>
          <w:lang w:eastAsia="zh-CN"/>
        </w:rPr>
        <w:t>；</w:t>
      </w:r>
      <w:r>
        <w:rPr>
          <w:rFonts w:hint="eastAsia" w:ascii="宋体" w:hAnsi="宋体" w:cs="宋体"/>
          <w:kern w:val="0"/>
          <w:szCs w:val="21"/>
        </w:rPr>
        <w:t>（优得</w:t>
      </w:r>
      <w:r>
        <w:rPr>
          <w:rFonts w:hint="eastAsia" w:ascii="宋体" w:hAnsi="宋体" w:cs="宋体"/>
          <w:kern w:val="0"/>
          <w:szCs w:val="21"/>
          <w:lang w:val="en-US" w:eastAsia="zh-CN"/>
        </w:rPr>
        <w:t>7-10</w:t>
      </w:r>
      <w:r>
        <w:rPr>
          <w:rFonts w:hint="eastAsia" w:ascii="宋体" w:hAnsi="宋体" w:cs="宋体"/>
          <w:kern w:val="0"/>
          <w:szCs w:val="21"/>
        </w:rPr>
        <w:t>分，良得</w:t>
      </w:r>
      <w:r>
        <w:rPr>
          <w:rFonts w:hint="eastAsia" w:ascii="宋体" w:hAnsi="宋体" w:cs="宋体"/>
          <w:kern w:val="0"/>
          <w:szCs w:val="21"/>
          <w:lang w:val="en-US" w:eastAsia="zh-CN"/>
        </w:rPr>
        <w:t>4-6</w:t>
      </w:r>
      <w:r>
        <w:rPr>
          <w:rFonts w:hint="eastAsia" w:ascii="宋体" w:hAnsi="宋体" w:cs="宋体"/>
          <w:kern w:val="0"/>
          <w:szCs w:val="21"/>
        </w:rPr>
        <w:t>分，一般得</w:t>
      </w:r>
      <w:r>
        <w:rPr>
          <w:rFonts w:hint="eastAsia" w:ascii="宋体" w:hAnsi="宋体" w:cs="宋体"/>
          <w:kern w:val="0"/>
          <w:szCs w:val="21"/>
          <w:lang w:val="en-US" w:eastAsia="zh-CN"/>
        </w:rPr>
        <w:t>1-3</w:t>
      </w:r>
      <w:r>
        <w:rPr>
          <w:rFonts w:hint="eastAsia" w:ascii="宋体" w:hAnsi="宋体" w:cs="宋体"/>
          <w:kern w:val="0"/>
          <w:szCs w:val="21"/>
        </w:rPr>
        <w:t>分）；</w:t>
      </w:r>
    </w:p>
    <w:p>
      <w:pPr>
        <w:adjustRightInd w:val="0"/>
        <w:snapToGrid w:val="0"/>
        <w:spacing w:line="360" w:lineRule="auto"/>
        <w:ind w:firstLine="315" w:firstLineChars="150"/>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3</w:t>
      </w:r>
      <w:r>
        <w:rPr>
          <w:rFonts w:hint="eastAsia" w:ascii="宋体" w:hAnsi="宋体" w:cs="宋体"/>
          <w:kern w:val="0"/>
          <w:szCs w:val="21"/>
        </w:rPr>
        <w:t>）具有执行国家、行业、地方强制性标准规范的具体措施；采用国家、省级推广的新工艺、新技术、新材料及合理化建议，能节约投资（优得</w:t>
      </w:r>
      <w:r>
        <w:rPr>
          <w:rFonts w:hint="eastAsia" w:ascii="宋体" w:hAnsi="宋体" w:cs="宋体"/>
          <w:kern w:val="0"/>
          <w:szCs w:val="21"/>
          <w:lang w:val="en-US" w:eastAsia="zh-CN"/>
        </w:rPr>
        <w:t>5</w:t>
      </w:r>
      <w:r>
        <w:rPr>
          <w:rFonts w:hint="eastAsia" w:ascii="宋体" w:hAnsi="宋体" w:cs="宋体"/>
          <w:kern w:val="0"/>
          <w:szCs w:val="21"/>
        </w:rPr>
        <w:t>分、良得</w:t>
      </w:r>
      <w:r>
        <w:rPr>
          <w:rFonts w:hint="eastAsia" w:ascii="宋体" w:hAnsi="宋体" w:cs="宋体"/>
          <w:kern w:val="0"/>
          <w:szCs w:val="21"/>
          <w:lang w:val="en-US" w:eastAsia="zh-CN"/>
        </w:rPr>
        <w:t>3</w:t>
      </w:r>
      <w:r>
        <w:rPr>
          <w:rFonts w:hint="eastAsia" w:ascii="宋体" w:hAnsi="宋体" w:cs="宋体"/>
          <w:kern w:val="0"/>
          <w:szCs w:val="21"/>
        </w:rPr>
        <w:t>分、一般</w:t>
      </w:r>
      <w:r>
        <w:rPr>
          <w:rFonts w:hint="eastAsia" w:ascii="宋体" w:hAnsi="宋体" w:cs="宋体"/>
          <w:kern w:val="0"/>
          <w:szCs w:val="21"/>
          <w:lang w:val="en-US" w:eastAsia="zh-CN"/>
        </w:rPr>
        <w:t>不得</w:t>
      </w:r>
      <w:r>
        <w:rPr>
          <w:rFonts w:hint="eastAsia" w:ascii="宋体" w:hAnsi="宋体" w:cs="宋体"/>
          <w:kern w:val="0"/>
          <w:szCs w:val="21"/>
        </w:rPr>
        <w:t>分）。</w:t>
      </w:r>
    </w:p>
    <w:p>
      <w:pPr>
        <w:spacing w:line="360" w:lineRule="auto"/>
        <w:ind w:firstLine="420" w:firstLineChars="200"/>
        <w:rPr>
          <w:rFonts w:ascii="宋体" w:hAnsi="宋体" w:cs="宋体"/>
          <w:b/>
          <w:kern w:val="0"/>
          <w:szCs w:val="21"/>
        </w:rPr>
      </w:pPr>
      <w:r>
        <w:rPr>
          <w:rFonts w:hint="eastAsia" w:ascii="宋体" w:hAnsi="宋体" w:cs="宋体"/>
          <w:b/>
          <w:kern w:val="0"/>
          <w:szCs w:val="21"/>
        </w:rPr>
        <w:t>三、商务10分</w:t>
      </w:r>
    </w:p>
    <w:p>
      <w:pPr>
        <w:snapToGrid w:val="0"/>
        <w:spacing w:line="360" w:lineRule="auto"/>
        <w:ind w:firstLine="197" w:firstLineChars="94"/>
        <w:rPr>
          <w:rFonts w:ascii="宋体" w:hAnsi="宋体"/>
          <w:b/>
          <w:szCs w:val="21"/>
        </w:rPr>
      </w:pPr>
      <w:r>
        <w:rPr>
          <w:rFonts w:hint="eastAsia" w:ascii="宋体" w:hAnsi="宋体"/>
          <w:b/>
          <w:szCs w:val="21"/>
        </w:rPr>
        <w:t>（</w:t>
      </w:r>
      <w:r>
        <w:rPr>
          <w:rFonts w:hint="eastAsia" w:ascii="宋体" w:hAnsi="宋体"/>
          <w:b/>
          <w:szCs w:val="21"/>
          <w:lang w:val="en-US" w:eastAsia="zh-CN"/>
        </w:rPr>
        <w:t>1</w:t>
      </w:r>
      <w:r>
        <w:rPr>
          <w:rFonts w:hint="eastAsia" w:ascii="宋体" w:hAnsi="宋体"/>
          <w:b/>
          <w:szCs w:val="21"/>
        </w:rPr>
        <w:t xml:space="preserve">）财务状况 </w:t>
      </w:r>
      <w:r>
        <w:rPr>
          <w:rFonts w:hint="eastAsia" w:ascii="宋体" w:hAnsi="宋体"/>
          <w:b/>
          <w:szCs w:val="21"/>
          <w:lang w:val="en-US" w:eastAsia="zh-CN"/>
        </w:rPr>
        <w:t>5</w:t>
      </w:r>
      <w:r>
        <w:rPr>
          <w:rFonts w:hint="eastAsia" w:ascii="宋体" w:hAnsi="宋体"/>
          <w:b/>
          <w:szCs w:val="21"/>
        </w:rPr>
        <w:t>分</w:t>
      </w:r>
    </w:p>
    <w:p>
      <w:pPr>
        <w:snapToGrid w:val="0"/>
        <w:spacing w:line="360" w:lineRule="auto"/>
        <w:ind w:firstLine="420"/>
        <w:rPr>
          <w:rFonts w:ascii="宋体" w:hAnsi="宋体"/>
          <w:szCs w:val="21"/>
        </w:rPr>
      </w:pPr>
      <w:r>
        <w:rPr>
          <w:rFonts w:hint="eastAsia" w:ascii="宋体" w:hAnsi="宋体"/>
          <w:szCs w:val="21"/>
        </w:rPr>
        <w:t>上一年度资产负债率小于50%得</w:t>
      </w:r>
      <w:r>
        <w:rPr>
          <w:rFonts w:hint="eastAsia" w:ascii="宋体" w:hAnsi="宋体"/>
          <w:szCs w:val="21"/>
          <w:lang w:val="en-US" w:eastAsia="zh-CN"/>
        </w:rPr>
        <w:t>5</w:t>
      </w:r>
      <w:r>
        <w:rPr>
          <w:rFonts w:hint="eastAsia" w:ascii="宋体" w:hAnsi="宋体"/>
          <w:szCs w:val="21"/>
        </w:rPr>
        <w:t>分，否则不得分。</w:t>
      </w:r>
    </w:p>
    <w:p>
      <w:pPr>
        <w:snapToGrid w:val="0"/>
        <w:spacing w:line="360" w:lineRule="auto"/>
        <w:ind w:firstLine="302" w:firstLineChars="144"/>
        <w:rPr>
          <w:rFonts w:ascii="宋体" w:hAnsi="宋体"/>
          <w:b/>
          <w:szCs w:val="21"/>
        </w:rPr>
      </w:pPr>
      <w:r>
        <w:rPr>
          <w:rFonts w:hint="eastAsia" w:ascii="宋体" w:hAnsi="宋体"/>
          <w:b/>
          <w:szCs w:val="21"/>
        </w:rPr>
        <w:t>（</w:t>
      </w:r>
      <w:r>
        <w:rPr>
          <w:rFonts w:hint="eastAsia" w:ascii="宋体" w:hAnsi="宋体"/>
          <w:b/>
          <w:szCs w:val="21"/>
          <w:lang w:val="en-US" w:eastAsia="zh-CN"/>
        </w:rPr>
        <w:t>2</w:t>
      </w:r>
      <w:r>
        <w:rPr>
          <w:rFonts w:hint="eastAsia" w:ascii="宋体" w:hAnsi="宋体"/>
          <w:b/>
          <w:szCs w:val="21"/>
        </w:rPr>
        <w:t>）服务承诺</w:t>
      </w:r>
      <w:r>
        <w:rPr>
          <w:rFonts w:hint="eastAsia" w:ascii="宋体" w:hAnsi="宋体"/>
          <w:b/>
          <w:szCs w:val="21"/>
          <w:lang w:val="en-US" w:eastAsia="zh-CN"/>
        </w:rPr>
        <w:t>5</w:t>
      </w:r>
      <w:r>
        <w:rPr>
          <w:rFonts w:hint="eastAsia" w:ascii="宋体" w:hAnsi="宋体"/>
          <w:b/>
          <w:szCs w:val="21"/>
        </w:rPr>
        <w:t>分</w:t>
      </w:r>
    </w:p>
    <w:p>
      <w:pPr>
        <w:snapToGrid w:val="0"/>
        <w:spacing w:line="480" w:lineRule="auto"/>
        <w:ind w:firstLine="420"/>
        <w:rPr>
          <w:rFonts w:hint="eastAsia" w:ascii="宋体" w:hAnsi="宋体"/>
          <w:szCs w:val="21"/>
        </w:rPr>
      </w:pPr>
      <w:r>
        <w:rPr>
          <w:rFonts w:hint="eastAsia" w:ascii="宋体" w:hAnsi="宋体"/>
          <w:szCs w:val="21"/>
        </w:rPr>
        <w:t>具有针对本项目有效合理可行的安全、质量和服务承诺</w:t>
      </w:r>
      <w:r>
        <w:rPr>
          <w:rFonts w:hint="eastAsia" w:ascii="宋体" w:hAnsi="宋体"/>
          <w:szCs w:val="21"/>
          <w:lang w:eastAsia="zh-CN"/>
        </w:rPr>
        <w:t>者得</w:t>
      </w:r>
      <w:r>
        <w:rPr>
          <w:rFonts w:hint="eastAsia" w:ascii="宋体" w:hAnsi="宋体"/>
          <w:szCs w:val="21"/>
          <w:lang w:val="en-US" w:eastAsia="zh-CN"/>
        </w:rPr>
        <w:t>5</w:t>
      </w:r>
      <w:r>
        <w:rPr>
          <w:rFonts w:hint="eastAsia" w:ascii="宋体" w:hAnsi="宋体"/>
          <w:szCs w:val="21"/>
        </w:rPr>
        <w:t>分，否则</w:t>
      </w:r>
      <w:r>
        <w:rPr>
          <w:rFonts w:hint="eastAsia" w:ascii="宋体" w:hAnsi="宋体"/>
          <w:szCs w:val="21"/>
          <w:lang w:eastAsia="zh-CN"/>
        </w:rPr>
        <w:t>酌情扣分</w:t>
      </w:r>
      <w:r>
        <w:rPr>
          <w:rFonts w:hint="eastAsia" w:ascii="宋体" w:hAnsi="宋体"/>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投标得分减去所有扣分后，最高得分者为第一中标候选人。第一中标候选人放弃中标后，由第二名作为中标候选人，依次类推。投标人得分出现绝对相等时，以总报价低者为中标人。</w:t>
      </w:r>
      <w:bookmarkStart w:id="525" w:name="_Toc493013078"/>
      <w:bookmarkStart w:id="526" w:name="_Toc493509522"/>
    </w:p>
    <w:p>
      <w:pPr>
        <w:spacing w:line="360" w:lineRule="auto"/>
        <w:ind w:firstLine="420" w:firstLineChars="200"/>
        <w:rPr>
          <w:rFonts w:ascii="宋体" w:hAnsi="宋体"/>
          <w:b/>
          <w:bCs/>
          <w:szCs w:val="21"/>
        </w:rPr>
      </w:pPr>
      <w:r>
        <w:rPr>
          <w:rFonts w:hint="eastAsia" w:ascii="宋体" w:hAnsi="宋体"/>
          <w:b/>
          <w:bCs/>
          <w:szCs w:val="21"/>
        </w:rPr>
        <w:t>第十三条  变更采购方式后采用的评标方法</w:t>
      </w:r>
    </w:p>
    <w:bookmarkEnd w:id="525"/>
    <w:bookmarkEnd w:id="526"/>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提交投标文件或经评审实质性响应招标文件的供应商只有两家的，经评标委员会认定，招标文件没有不合理条款、招标程序符合规定，报本级财政部门批准后，招标文件可视为竞争性谈判 文件，同时评标办法转为竞争性谈判成交原则。相应的，投标文件可视为谈判响应文件，原评标小组改为竞争性谈判小组，可继续进行竞争性谈判。</w:t>
      </w:r>
    </w:p>
    <w:p>
      <w:pPr>
        <w:spacing w:line="360" w:lineRule="auto"/>
        <w:ind w:firstLine="420" w:firstLineChars="200"/>
        <w:rPr>
          <w:rFonts w:ascii="宋体" w:hAnsi="宋体"/>
          <w:b/>
          <w:bCs/>
          <w:szCs w:val="21"/>
        </w:rPr>
      </w:pPr>
      <w:bookmarkStart w:id="527" w:name="_Toc493013079"/>
      <w:bookmarkStart w:id="528" w:name="_Toc493509523"/>
      <w:r>
        <w:rPr>
          <w:rFonts w:hint="eastAsia" w:ascii="宋体" w:hAnsi="宋体"/>
          <w:b/>
          <w:bCs/>
          <w:szCs w:val="21"/>
        </w:rPr>
        <w:t>第十四条  评标报告</w:t>
      </w:r>
    </w:p>
    <w:bookmarkEnd w:id="527"/>
    <w:bookmarkEnd w:id="528"/>
    <w:p>
      <w:pPr>
        <w:adjustRightInd w:val="0"/>
        <w:snapToGrid w:val="0"/>
        <w:spacing w:line="360" w:lineRule="auto"/>
        <w:ind w:firstLine="420" w:firstLineChars="200"/>
        <w:rPr>
          <w:rFonts w:ascii="宋体" w:hAnsi="宋体" w:cs="宋体"/>
          <w:kern w:val="0"/>
          <w:szCs w:val="21"/>
        </w:rPr>
      </w:pPr>
      <w:r>
        <w:rPr>
          <w:rFonts w:hint="eastAsia" w:cs="宋体"/>
          <w:b/>
          <w:szCs w:val="21"/>
        </w:rPr>
        <w:t>（1）</w:t>
      </w:r>
      <w:r>
        <w:rPr>
          <w:rFonts w:hint="eastAsia" w:ascii="宋体" w:hAnsi="宋体" w:cs="宋体"/>
          <w:kern w:val="0"/>
          <w:szCs w:val="21"/>
        </w:rPr>
        <w:t xml:space="preserve"> 评标委员会根据全体评标成员签字的原始评标记录和评标结果编写评标报告。评标报告应当包括以下内容：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①招标公告刊登的媒体名称、开标日期和地点;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②投标人名单和评标委员会成员名单;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③评标方法和标准;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④开标记录和评标情况及说明，包括无效投标人名单及原因;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⑤评标结果，确定的中标候选人名单或者经采购人委托直接确定的中标人;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 ⑥其他需要说明的情况，包括评标过程中投标人根据评标委员会要求进行的澄清、说明或者补正，评标委员会成员的更换等。</w:t>
      </w:r>
    </w:p>
    <w:p>
      <w:pPr>
        <w:adjustRightInd w:val="0"/>
        <w:snapToGrid w:val="0"/>
        <w:spacing w:line="360" w:lineRule="auto"/>
        <w:ind w:firstLine="420" w:firstLineChars="200"/>
        <w:rPr>
          <w:rFonts w:ascii="宋体" w:hAnsi="宋体" w:cs="宋体"/>
          <w:kern w:val="0"/>
          <w:szCs w:val="21"/>
        </w:rPr>
      </w:pPr>
      <w:r>
        <w:rPr>
          <w:rFonts w:hint="eastAsia" w:cs="宋体"/>
          <w:b/>
          <w:szCs w:val="21"/>
        </w:rPr>
        <w:t xml:space="preserve">（2） </w:t>
      </w:r>
      <w:r>
        <w:rPr>
          <w:rFonts w:hint="eastAsia" w:ascii="宋体" w:hAnsi="宋体" w:cs="宋体"/>
          <w:kern w:val="0"/>
          <w:szCs w:val="21"/>
        </w:rPr>
        <w:t>评标报告由评委会全体成员签字。评标委员会成员对需要共同认定的事项存在争议的，应当按照少数服从多数的原则作出结论。持不同意见的评标委员会成员应当在评标报告上签署不同意见及理由，否则视为同意评标报告。评标报告签署前，经复核发现存在以下情形之一的，评标委员会应当当场修改评标结果，并在评标报告中记载：</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①分值汇总计算错误的;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②分项评分超出评分标准范围的;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③评标委员会成员对客观评审因素评分不一致的;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④经评标委员会认定评分畸高、畸低的。</w:t>
      </w:r>
      <w:bookmarkStart w:id="529" w:name="_Toc13930"/>
      <w:bookmarkStart w:id="530" w:name="_Toc447207033"/>
      <w:bookmarkStart w:id="531" w:name="_Toc30177"/>
      <w:bookmarkStart w:id="532" w:name="_Toc1653"/>
      <w:bookmarkStart w:id="533" w:name="_Toc459623013"/>
      <w:bookmarkStart w:id="534" w:name="_Toc493509524"/>
      <w:bookmarkStart w:id="535" w:name="_Toc447272169"/>
      <w:bookmarkStart w:id="536" w:name="_Toc493013080"/>
    </w:p>
    <w:p>
      <w:pPr>
        <w:adjustRightInd w:val="0"/>
        <w:snapToGrid w:val="0"/>
        <w:spacing w:line="360" w:lineRule="auto"/>
        <w:ind w:firstLine="420" w:firstLineChars="200"/>
        <w:rPr>
          <w:rFonts w:ascii="宋体" w:hAnsi="宋体"/>
          <w:b/>
          <w:bCs/>
          <w:szCs w:val="21"/>
        </w:rPr>
      </w:pPr>
      <w:r>
        <w:rPr>
          <w:rFonts w:hint="eastAsia" w:ascii="宋体" w:hAnsi="宋体"/>
          <w:b/>
          <w:bCs/>
          <w:szCs w:val="21"/>
        </w:rPr>
        <w:t>第十四条  废标</w:t>
      </w:r>
      <w:bookmarkEnd w:id="529"/>
      <w:bookmarkEnd w:id="530"/>
      <w:bookmarkEnd w:id="531"/>
      <w:bookmarkEnd w:id="532"/>
      <w:bookmarkEnd w:id="533"/>
      <w:bookmarkEnd w:id="534"/>
      <w:bookmarkEnd w:id="535"/>
      <w:bookmarkEnd w:id="536"/>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在招标采购中，出现下列情形之一的，应予废标：</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①符合专业条件的供应商或者对招标文件作实质响应的供应商不足三家的（经同级政府采购监管部门审核批准的除外）；</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②出现影响采购公正的违法、违规行为的；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③投标人的报价均超过了采购预算，采购人不能支付的；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④因重大变故，采购任务取消的。废标后，采购人应当将废标理由通知所有采购当事人。</w:t>
      </w: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br w:type="page"/>
      </w:r>
    </w:p>
    <w:p>
      <w:pPr>
        <w:pStyle w:val="3"/>
        <w:numPr>
          <w:ilvl w:val="0"/>
          <w:numId w:val="4"/>
        </w:numPr>
        <w:jc w:val="center"/>
        <w:rPr>
          <w:rFonts w:hint="eastAsia"/>
          <w:sz w:val="44"/>
        </w:rPr>
      </w:pPr>
      <w:bookmarkStart w:id="537" w:name="_Toc25828"/>
      <w:r>
        <w:rPr>
          <w:rFonts w:hint="eastAsia"/>
          <w:sz w:val="44"/>
        </w:rPr>
        <w:t>工程量清单</w:t>
      </w:r>
      <w:bookmarkEnd w:id="537"/>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83"/>
        <w:gridCol w:w="2874"/>
        <w:gridCol w:w="180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序号</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品名</w:t>
            </w:r>
          </w:p>
        </w:tc>
        <w:tc>
          <w:tcPr>
            <w:tcW w:w="2874"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型号/规格</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单位</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一</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振兴路</w:t>
            </w:r>
          </w:p>
        </w:tc>
        <w:tc>
          <w:tcPr>
            <w:tcW w:w="2874"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1</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LED中国结</w:t>
            </w:r>
          </w:p>
        </w:tc>
        <w:tc>
          <w:tcPr>
            <w:tcW w:w="2874"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830㎝*1600㎝</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个</w:t>
            </w:r>
          </w:p>
        </w:tc>
        <w:tc>
          <w:tcPr>
            <w:tcW w:w="1801"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2</w:t>
            </w:r>
          </w:p>
        </w:tc>
        <w:tc>
          <w:tcPr>
            <w:tcW w:w="1683"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辅材</w:t>
            </w:r>
          </w:p>
        </w:tc>
        <w:tc>
          <w:tcPr>
            <w:tcW w:w="2874"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电线、铁丝、胶布、支架等</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项</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3</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人工费</w:t>
            </w:r>
          </w:p>
        </w:tc>
        <w:tc>
          <w:tcPr>
            <w:tcW w:w="2874"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项</w:t>
            </w:r>
          </w:p>
        </w:tc>
        <w:tc>
          <w:tcPr>
            <w:tcW w:w="1801"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二</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黄河路</w:t>
            </w:r>
          </w:p>
        </w:tc>
        <w:tc>
          <w:tcPr>
            <w:tcW w:w="2874"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LED中国结</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830㎝*1600㎝</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个</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辅材</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电线、铁丝、胶布、支架等</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人工费</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三</w:t>
            </w:r>
          </w:p>
        </w:tc>
        <w:tc>
          <w:tcPr>
            <w:tcW w:w="1683" w:type="dxa"/>
          </w:tcPr>
          <w:p>
            <w:pPr>
              <w:keepNext w:val="0"/>
              <w:keepLines w:val="0"/>
              <w:suppressLineNumbers w:val="0"/>
              <w:spacing w:before="0" w:beforeAutospacing="0" w:after="0" w:afterAutospacing="0"/>
              <w:ind w:left="0" w:right="0"/>
              <w:jc w:val="center"/>
              <w:rPr>
                <w:rFonts w:hint="eastAsia" w:eastAsia="宋体"/>
                <w:vertAlign w:val="baseline"/>
                <w:lang w:val="en-US" w:eastAsia="zh-CN"/>
              </w:rPr>
            </w:pPr>
            <w:r>
              <w:rPr>
                <w:rFonts w:hint="eastAsia"/>
                <w:vertAlign w:val="baseline"/>
                <w:lang w:val="en-US" w:eastAsia="zh-CN"/>
              </w:rPr>
              <w:t>永泰路</w:t>
            </w:r>
          </w:p>
        </w:tc>
        <w:tc>
          <w:tcPr>
            <w:tcW w:w="2874"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1683" w:type="dxa"/>
            <w:vAlign w:val="top"/>
          </w:tcPr>
          <w:p>
            <w:pPr>
              <w:keepNext w:val="0"/>
              <w:keepLines w:val="0"/>
              <w:suppressLineNumbers w:val="0"/>
              <w:spacing w:before="0" w:beforeAutospacing="0" w:after="0" w:afterAutospacing="0"/>
              <w:ind w:left="0" w:right="0"/>
              <w:jc w:val="center"/>
              <w:rPr>
                <w:rFonts w:hint="default"/>
                <w:b/>
                <w:bCs/>
                <w:vertAlign w:val="baseline"/>
                <w:lang w:val="en-US"/>
              </w:rPr>
            </w:pPr>
            <w:r>
              <w:rPr>
                <w:rFonts w:hint="eastAsia"/>
                <w:vertAlign w:val="baseline"/>
                <w:lang w:val="en-US" w:eastAsia="zh-CN"/>
              </w:rPr>
              <w:t>亚克力灯笼</w:t>
            </w:r>
          </w:p>
        </w:tc>
        <w:tc>
          <w:tcPr>
            <w:tcW w:w="2874"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600㎝*1200㎝</w:t>
            </w:r>
          </w:p>
        </w:tc>
        <w:tc>
          <w:tcPr>
            <w:tcW w:w="1801"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个</w:t>
            </w:r>
          </w:p>
        </w:tc>
        <w:tc>
          <w:tcPr>
            <w:tcW w:w="1801" w:type="dxa"/>
            <w:vAlign w:val="top"/>
          </w:tcPr>
          <w:p>
            <w:pPr>
              <w:keepNext w:val="0"/>
              <w:keepLines w:val="0"/>
              <w:suppressLineNumbers w:val="0"/>
              <w:spacing w:before="0" w:beforeAutospacing="0" w:after="0" w:afterAutospacing="0"/>
              <w:ind w:left="0" w:right="0"/>
              <w:jc w:val="center"/>
              <w:rPr>
                <w:rFonts w:hint="default"/>
                <w:b/>
                <w:bCs/>
                <w:vertAlign w:val="baseline"/>
                <w:lang w:val="en-US"/>
              </w:rPr>
            </w:pPr>
            <w:r>
              <w:rPr>
                <w:rFonts w:hint="eastAsia"/>
                <w:vertAlign w:val="baseli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1683"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辅材</w:t>
            </w:r>
          </w:p>
        </w:tc>
        <w:tc>
          <w:tcPr>
            <w:tcW w:w="2874"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电线、铁丝、胶布、支架等</w:t>
            </w:r>
          </w:p>
        </w:tc>
        <w:tc>
          <w:tcPr>
            <w:tcW w:w="1801"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w:t>
            </w:r>
          </w:p>
        </w:tc>
        <w:tc>
          <w:tcPr>
            <w:tcW w:w="1683"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人工费</w:t>
            </w:r>
          </w:p>
        </w:tc>
        <w:tc>
          <w:tcPr>
            <w:tcW w:w="2874" w:type="dxa"/>
            <w:vAlign w:val="top"/>
          </w:tcPr>
          <w:p>
            <w:pPr>
              <w:keepNext w:val="0"/>
              <w:keepLines w:val="0"/>
              <w:suppressLineNumbers w:val="0"/>
              <w:spacing w:before="0" w:beforeAutospacing="0" w:after="0" w:afterAutospacing="0"/>
              <w:ind w:left="0" w:right="0"/>
              <w:jc w:val="center"/>
              <w:rPr>
                <w:rFonts w:hint="eastAsia"/>
                <w:b/>
                <w:bCs/>
                <w:vertAlign w:val="baseline"/>
              </w:rPr>
            </w:pPr>
          </w:p>
        </w:tc>
        <w:tc>
          <w:tcPr>
            <w:tcW w:w="1801"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b/>
                <w:bCs/>
                <w:vertAlign w:val="baseline"/>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四</w:t>
            </w:r>
          </w:p>
        </w:tc>
        <w:tc>
          <w:tcPr>
            <w:tcW w:w="1683" w:type="dxa"/>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昌林路</w:t>
            </w:r>
          </w:p>
        </w:tc>
        <w:tc>
          <w:tcPr>
            <w:tcW w:w="2874"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c>
          <w:tcPr>
            <w:tcW w:w="1801" w:type="dxa"/>
          </w:tcPr>
          <w:p>
            <w:pPr>
              <w:keepNext w:val="0"/>
              <w:keepLines w:val="0"/>
              <w:suppressLineNumbers w:val="0"/>
              <w:spacing w:before="0" w:beforeAutospacing="0" w:after="0" w:afterAutospacing="0"/>
              <w:ind w:left="0" w:right="0"/>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LED中国结</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830㎝*1600㎝</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个</w:t>
            </w:r>
          </w:p>
        </w:tc>
        <w:tc>
          <w:tcPr>
            <w:tcW w:w="1801" w:type="dxa"/>
            <w:vAlign w:val="top"/>
          </w:tcPr>
          <w:p>
            <w:pPr>
              <w:keepNext w:val="0"/>
              <w:keepLines w:val="0"/>
              <w:suppressLineNumbers w:val="0"/>
              <w:spacing w:before="0" w:beforeAutospacing="0" w:after="0" w:afterAutospacing="0"/>
              <w:ind w:left="0" w:right="0"/>
              <w:jc w:val="center"/>
              <w:rPr>
                <w:rFonts w:hint="default" w:eastAsia="宋体"/>
                <w:vertAlign w:val="baseline"/>
                <w:lang w:val="en-US" w:eastAsia="zh-CN"/>
              </w:rPr>
            </w:pPr>
            <w:r>
              <w:rPr>
                <w:rFonts w:hint="eastAsia"/>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辅材</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电线、铁丝、胶布、支架等</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3</w:t>
            </w:r>
          </w:p>
        </w:tc>
        <w:tc>
          <w:tcPr>
            <w:tcW w:w="1683"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人工费</w:t>
            </w:r>
          </w:p>
        </w:tc>
        <w:tc>
          <w:tcPr>
            <w:tcW w:w="2874" w:type="dxa"/>
            <w:vAlign w:val="top"/>
          </w:tcPr>
          <w:p>
            <w:pPr>
              <w:keepNext w:val="0"/>
              <w:keepLines w:val="0"/>
              <w:suppressLineNumbers w:val="0"/>
              <w:spacing w:before="0" w:beforeAutospacing="0" w:after="0" w:afterAutospacing="0"/>
              <w:ind w:left="0" w:right="0"/>
              <w:jc w:val="center"/>
              <w:rPr>
                <w:rFonts w:hint="eastAsia"/>
                <w:vertAlign w:val="baseline"/>
              </w:rPr>
            </w:pP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项</w:t>
            </w:r>
          </w:p>
        </w:tc>
        <w:tc>
          <w:tcPr>
            <w:tcW w:w="1801" w:type="dxa"/>
            <w:vAlign w:val="top"/>
          </w:tcPr>
          <w:p>
            <w:pPr>
              <w:keepNext w:val="0"/>
              <w:keepLines w:val="0"/>
              <w:suppressLineNumbers w:val="0"/>
              <w:spacing w:before="0" w:beforeAutospacing="0" w:after="0" w:afterAutospacing="0"/>
              <w:ind w:left="0" w:right="0"/>
              <w:jc w:val="center"/>
              <w:rPr>
                <w:rFonts w:hint="eastAsia"/>
                <w:vertAlign w:val="baseline"/>
              </w:rPr>
            </w:pPr>
            <w:r>
              <w:rPr>
                <w:rFonts w:hint="eastAsia"/>
                <w:vertAlign w:val="baseline"/>
                <w:lang w:val="en-US" w:eastAsia="zh-CN"/>
              </w:rPr>
              <w:t>1</w:t>
            </w:r>
          </w:p>
        </w:tc>
      </w:tr>
    </w:tbl>
    <w:p>
      <w:pPr>
        <w:rPr>
          <w:rFonts w:hint="eastAsia"/>
        </w:rPr>
      </w:pPr>
    </w:p>
    <w:p/>
    <w:p>
      <w:pPr>
        <w:pStyle w:val="2"/>
        <w:sectPr>
          <w:pgSz w:w="11906" w:h="16838"/>
          <w:pgMar w:top="1701" w:right="1701" w:bottom="1418" w:left="1418" w:header="851" w:footer="992" w:gutter="0"/>
          <w:cols w:space="720" w:num="1"/>
          <w:docGrid w:type="linesAndChars" w:linePitch="312" w:charSpace="0"/>
        </w:sectPr>
      </w:pPr>
    </w:p>
    <w:p>
      <w:pPr>
        <w:pStyle w:val="3"/>
        <w:jc w:val="center"/>
        <w:rPr>
          <w:rFonts w:ascii="宋体" w:hAnsi="宋体"/>
          <w:sz w:val="44"/>
        </w:rPr>
      </w:pPr>
      <w:bookmarkStart w:id="538" w:name="_Toc8922"/>
      <w:bookmarkStart w:id="539" w:name="_Toc240450145"/>
      <w:bookmarkStart w:id="540" w:name="_Toc244076400"/>
      <w:bookmarkStart w:id="541" w:name="_Toc240449553"/>
      <w:bookmarkStart w:id="542" w:name="_Toc243990750"/>
      <w:bookmarkStart w:id="543" w:name="_Toc509493446"/>
      <w:bookmarkStart w:id="544" w:name="_Toc286853558"/>
      <w:r>
        <w:rPr>
          <w:rFonts w:hint="eastAsia" w:ascii="宋体" w:hAnsi="宋体"/>
          <w:sz w:val="44"/>
        </w:rPr>
        <w:t>第六章   图纸</w:t>
      </w:r>
      <w:bookmarkEnd w:id="538"/>
    </w:p>
    <w:p>
      <w:pPr>
        <w:jc w:val="center"/>
        <w:rPr>
          <w:sz w:val="36"/>
          <w:szCs w:val="44"/>
        </w:rPr>
      </w:pPr>
      <w:r>
        <w:rPr>
          <w:rFonts w:hint="eastAsia"/>
          <w:sz w:val="36"/>
          <w:szCs w:val="44"/>
        </w:rPr>
        <w:t>（不提供）</w:t>
      </w:r>
    </w:p>
    <w:p>
      <w:pPr>
        <w:pStyle w:val="21"/>
      </w:pPr>
    </w:p>
    <w:p>
      <w:pPr>
        <w:pStyle w:val="21"/>
        <w:sectPr>
          <w:pgSz w:w="11906" w:h="16838"/>
          <w:pgMar w:top="1701" w:right="1701" w:bottom="1418" w:left="1418" w:header="851" w:footer="992" w:gutter="0"/>
          <w:cols w:space="720" w:num="1"/>
          <w:docGrid w:type="linesAndChars" w:linePitch="312" w:charSpace="0"/>
        </w:sectPr>
      </w:pPr>
    </w:p>
    <w:p>
      <w:pPr>
        <w:pStyle w:val="3"/>
        <w:jc w:val="center"/>
        <w:rPr>
          <w:rFonts w:ascii="宋体" w:hAnsi="宋体"/>
          <w:sz w:val="44"/>
        </w:rPr>
      </w:pPr>
      <w:bookmarkStart w:id="545" w:name="_Toc29607"/>
      <w:r>
        <w:rPr>
          <w:rFonts w:hint="eastAsia" w:ascii="宋体" w:hAnsi="宋体"/>
          <w:sz w:val="44"/>
        </w:rPr>
        <w:t>第七章　技术标准和要求</w:t>
      </w:r>
      <w:bookmarkEnd w:id="539"/>
      <w:bookmarkEnd w:id="540"/>
      <w:bookmarkEnd w:id="541"/>
      <w:bookmarkEnd w:id="542"/>
      <w:bookmarkEnd w:id="543"/>
      <w:bookmarkEnd w:id="544"/>
      <w:bookmarkEnd w:id="545"/>
    </w:p>
    <w:p/>
    <w:p>
      <w:pPr>
        <w:spacing w:line="360" w:lineRule="auto"/>
        <w:ind w:firstLine="420" w:firstLineChars="200"/>
      </w:pPr>
      <w:r>
        <w:t>1</w:t>
      </w:r>
      <w:r>
        <w:rPr>
          <w:rFonts w:hint="eastAsia"/>
        </w:rPr>
        <w:t>、本招标工程项目的材料、设备、施工须达到中华人民共和国以及本省或行业现行的、相关的工程建设标准、规范的要求。</w:t>
      </w:r>
    </w:p>
    <w:p>
      <w:pPr>
        <w:spacing w:line="360" w:lineRule="auto"/>
        <w:ind w:firstLine="525" w:firstLineChars="250"/>
        <w:rPr>
          <w:rFonts w:ascii="宋体" w:hAnsi="宋体"/>
          <w:szCs w:val="21"/>
        </w:rPr>
        <w:sectPr>
          <w:pgSz w:w="11906" w:h="16838"/>
          <w:pgMar w:top="1701" w:right="1701" w:bottom="1418" w:left="1418" w:header="851" w:footer="992" w:gutter="0"/>
          <w:cols w:space="720" w:num="1"/>
          <w:docGrid w:type="linesAndChars" w:linePitch="312" w:charSpace="0"/>
        </w:sectPr>
      </w:pPr>
      <w:r>
        <w:rPr>
          <w:rFonts w:hint="eastAsia" w:ascii="宋体" w:hAnsi="宋体"/>
          <w:szCs w:val="21"/>
        </w:rPr>
        <w:t>2、适用的国家、行业及地方规范、标准和规程：</w:t>
      </w:r>
      <w:bookmarkStart w:id="546" w:name="_Toc240450146"/>
      <w:bookmarkStart w:id="547" w:name="_Toc244927710"/>
      <w:bookmarkStart w:id="548" w:name="_Toc286853559"/>
      <w:bookmarkStart w:id="549" w:name="_Toc244003665"/>
      <w:bookmarkStart w:id="550" w:name="_Toc240449554"/>
    </w:p>
    <w:p>
      <w:pPr>
        <w:pStyle w:val="3"/>
        <w:jc w:val="center"/>
      </w:pPr>
      <w:bookmarkStart w:id="551" w:name="_Toc509493447"/>
      <w:bookmarkStart w:id="552" w:name="_Toc1122"/>
      <w:r>
        <w:rPr>
          <w:rFonts w:hint="eastAsia" w:ascii="宋体" w:hAnsi="宋体"/>
          <w:sz w:val="44"/>
        </w:rPr>
        <w:t>第八章　投标文件格式</w:t>
      </w:r>
      <w:bookmarkEnd w:id="546"/>
      <w:bookmarkEnd w:id="547"/>
      <w:bookmarkEnd w:id="548"/>
      <w:bookmarkEnd w:id="549"/>
      <w:bookmarkEnd w:id="550"/>
      <w:bookmarkEnd w:id="551"/>
      <w:bookmarkEnd w:id="552"/>
    </w:p>
    <w:p>
      <w:pPr>
        <w:spacing w:line="360" w:lineRule="auto"/>
        <w:jc w:val="right"/>
        <w:rPr>
          <w:rFonts w:ascii="宋体" w:hAnsi="宋体"/>
          <w:b/>
          <w:sz w:val="32"/>
          <w:szCs w:val="32"/>
          <w:bdr w:val="single" w:color="auto" w:sz="4" w:space="0"/>
        </w:rPr>
      </w:pPr>
      <w:r>
        <w:rPr>
          <w:rFonts w:hint="eastAsia" w:ascii="宋体" w:hAnsi="宋体"/>
          <w:b/>
          <w:sz w:val="32"/>
          <w:szCs w:val="32"/>
          <w:bdr w:val="single" w:color="auto" w:sz="4" w:space="0"/>
        </w:rPr>
        <w:t>正本/副本</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黑体" w:hAnsi="宋体" w:eastAsia="黑体"/>
          <w:b/>
          <w:sz w:val="52"/>
          <w:szCs w:val="52"/>
          <w:u w:val="single"/>
        </w:rPr>
      </w:pPr>
      <w:r>
        <w:rPr>
          <w:rFonts w:hint="eastAsia" w:ascii="黑体" w:hAnsi="宋体" w:eastAsia="黑体"/>
          <w:b/>
          <w:sz w:val="52"/>
          <w:szCs w:val="52"/>
          <w:u w:val="single"/>
        </w:rPr>
        <w:t>　　　　　　（招标人名称）</w:t>
      </w:r>
    </w:p>
    <w:p>
      <w:pPr>
        <w:spacing w:line="360" w:lineRule="auto"/>
        <w:jc w:val="center"/>
        <w:rPr>
          <w:rFonts w:ascii="黑体" w:hAnsi="宋体" w:eastAsia="黑体"/>
          <w:b/>
          <w:sz w:val="52"/>
          <w:szCs w:val="52"/>
        </w:rPr>
      </w:pPr>
      <w:r>
        <w:rPr>
          <w:rFonts w:hint="eastAsia" w:ascii="黑体" w:hAnsi="宋体" w:eastAsia="黑体"/>
          <w:b/>
          <w:sz w:val="52"/>
          <w:szCs w:val="52"/>
          <w:u w:val="single"/>
        </w:rPr>
        <w:t>　　　　　　（项目名称）</w:t>
      </w:r>
      <w:r>
        <w:rPr>
          <w:rFonts w:hint="eastAsia" w:ascii="黑体" w:hAnsi="宋体" w:eastAsia="黑体"/>
          <w:b/>
          <w:sz w:val="52"/>
          <w:szCs w:val="52"/>
        </w:rPr>
        <w:t>投标文件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ind w:firstLine="640" w:firstLineChars="200"/>
        <w:rPr>
          <w:rFonts w:ascii="宋体" w:hAnsi="宋体"/>
          <w:b/>
          <w:sz w:val="32"/>
          <w:szCs w:val="32"/>
        </w:rPr>
      </w:pPr>
      <w:r>
        <w:rPr>
          <w:rFonts w:hint="eastAsia" w:ascii="宋体" w:hAnsi="宋体"/>
          <w:b/>
          <w:sz w:val="32"/>
          <w:szCs w:val="32"/>
        </w:rPr>
        <w:t>投标人：</w:t>
      </w:r>
      <w:r>
        <w:rPr>
          <w:rFonts w:hint="eastAsia" w:ascii="宋体" w:hAnsi="宋体"/>
          <w:sz w:val="28"/>
          <w:szCs w:val="28"/>
          <w:u w:val="single"/>
        </w:rPr>
        <w:t>　　　　　　　　　</w:t>
      </w:r>
      <w:r>
        <w:rPr>
          <w:rFonts w:hint="eastAsia" w:ascii="宋体" w:hAnsi="宋体"/>
          <w:b/>
          <w:sz w:val="32"/>
          <w:szCs w:val="32"/>
        </w:rPr>
        <w:t>（盖单位章）</w:t>
      </w:r>
    </w:p>
    <w:p>
      <w:pPr>
        <w:spacing w:line="360" w:lineRule="auto"/>
        <w:ind w:firstLine="640" w:firstLineChars="200"/>
        <w:rPr>
          <w:rFonts w:ascii="宋体" w:hAnsi="宋体"/>
          <w:b/>
          <w:sz w:val="32"/>
          <w:szCs w:val="32"/>
        </w:rPr>
      </w:pPr>
    </w:p>
    <w:p>
      <w:pPr>
        <w:spacing w:line="360" w:lineRule="auto"/>
        <w:ind w:firstLine="640" w:firstLineChars="200"/>
        <w:rPr>
          <w:rFonts w:ascii="宋体" w:hAnsi="宋体"/>
          <w:b/>
          <w:sz w:val="32"/>
          <w:szCs w:val="32"/>
        </w:rPr>
      </w:pPr>
      <w:r>
        <w:rPr>
          <w:rFonts w:hint="eastAsia" w:ascii="宋体" w:hAnsi="宋体"/>
          <w:b/>
          <w:sz w:val="32"/>
          <w:szCs w:val="32"/>
        </w:rPr>
        <w:t>法定代表人或委托代理人：</w:t>
      </w:r>
      <w:r>
        <w:rPr>
          <w:rFonts w:hint="eastAsia" w:ascii="宋体" w:hAnsi="宋体"/>
          <w:b/>
          <w:sz w:val="32"/>
          <w:szCs w:val="32"/>
          <w:u w:val="single"/>
        </w:rPr>
        <w:t>　　　　　　</w:t>
      </w:r>
      <w:r>
        <w:rPr>
          <w:rFonts w:hint="eastAsia" w:ascii="宋体" w:hAnsi="宋体"/>
          <w:b/>
          <w:sz w:val="32"/>
          <w:szCs w:val="32"/>
        </w:rPr>
        <w:t>（签字或盖章）</w:t>
      </w:r>
    </w:p>
    <w:p>
      <w:pPr>
        <w:spacing w:line="360" w:lineRule="auto"/>
        <w:jc w:val="center"/>
        <w:rPr>
          <w:rFonts w:ascii="宋体" w:hAnsi="宋体"/>
          <w:szCs w:val="21"/>
          <w:u w:val="single"/>
        </w:rPr>
      </w:pPr>
    </w:p>
    <w:p>
      <w:pPr>
        <w:spacing w:line="360" w:lineRule="auto"/>
        <w:jc w:val="center"/>
        <w:rPr>
          <w:rFonts w:ascii="宋体" w:hAnsi="宋体"/>
          <w:sz w:val="28"/>
          <w:szCs w:val="28"/>
        </w:rPr>
      </w:pP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pStyle w:val="4"/>
        <w:jc w:val="center"/>
        <w:rPr>
          <w:rFonts w:ascii="宋体" w:hAnsi="宋体" w:eastAsia="宋体"/>
        </w:rPr>
      </w:pPr>
      <w:bookmarkStart w:id="553" w:name="_Toc240450147"/>
      <w:bookmarkStart w:id="554" w:name="_Toc240449555"/>
      <w:bookmarkStart w:id="555" w:name="_Toc184635137"/>
      <w:bookmarkStart w:id="556" w:name="_Toc285638696"/>
      <w:bookmarkStart w:id="557" w:name="_Toc244927711"/>
      <w:bookmarkStart w:id="558" w:name="_Toc509493448"/>
      <w:bookmarkStart w:id="559" w:name="_Toc286853560"/>
      <w:bookmarkStart w:id="560" w:name="_Toc7993"/>
      <w:bookmarkStart w:id="561" w:name="_Toc244003666"/>
      <w:r>
        <w:rPr>
          <w:rFonts w:hint="eastAsia" w:ascii="宋体" w:hAnsi="宋体" w:eastAsia="宋体"/>
        </w:rPr>
        <w:t>目　录</w:t>
      </w:r>
      <w:bookmarkEnd w:id="553"/>
      <w:bookmarkEnd w:id="554"/>
      <w:bookmarkEnd w:id="555"/>
      <w:bookmarkEnd w:id="556"/>
      <w:bookmarkEnd w:id="557"/>
      <w:bookmarkEnd w:id="558"/>
      <w:bookmarkEnd w:id="559"/>
      <w:bookmarkEnd w:id="560"/>
      <w:bookmarkEnd w:id="561"/>
    </w:p>
    <w:p>
      <w:pPr>
        <w:spacing w:line="360" w:lineRule="auto"/>
        <w:rPr>
          <w:rFonts w:ascii="宋体" w:hAnsi="宋体"/>
          <w:szCs w:val="21"/>
        </w:rPr>
      </w:pPr>
      <w:r>
        <w:rPr>
          <w:rFonts w:hint="eastAsia" w:ascii="宋体" w:hAnsi="宋体"/>
          <w:szCs w:val="21"/>
        </w:rPr>
        <w:t>一、投标函及投标函附录</w:t>
      </w:r>
    </w:p>
    <w:p>
      <w:pPr>
        <w:spacing w:line="360" w:lineRule="auto"/>
        <w:rPr>
          <w:rFonts w:ascii="宋体" w:hAnsi="宋体"/>
          <w:szCs w:val="21"/>
        </w:rPr>
      </w:pPr>
      <w:r>
        <w:rPr>
          <w:rFonts w:hint="eastAsia" w:ascii="宋体" w:hAnsi="宋体"/>
          <w:szCs w:val="21"/>
        </w:rPr>
        <w:t>二、法定代表人身份证明</w:t>
      </w:r>
    </w:p>
    <w:p>
      <w:pPr>
        <w:spacing w:line="360" w:lineRule="auto"/>
        <w:rPr>
          <w:rFonts w:ascii="宋体" w:hAnsi="宋体"/>
          <w:szCs w:val="21"/>
        </w:rPr>
      </w:pPr>
      <w:r>
        <w:rPr>
          <w:rFonts w:hint="eastAsia" w:ascii="宋体" w:hAnsi="宋体"/>
          <w:szCs w:val="21"/>
        </w:rPr>
        <w:t>三、法定代表人授权委托书</w:t>
      </w:r>
    </w:p>
    <w:p>
      <w:pPr>
        <w:spacing w:line="360" w:lineRule="auto"/>
        <w:rPr>
          <w:rFonts w:ascii="宋体" w:hAnsi="宋体"/>
          <w:szCs w:val="21"/>
        </w:rPr>
      </w:pPr>
      <w:r>
        <w:rPr>
          <w:rFonts w:hint="eastAsia" w:ascii="宋体" w:hAnsi="宋体"/>
          <w:szCs w:val="21"/>
        </w:rPr>
        <w:t>四、联合体协议书</w:t>
      </w:r>
    </w:p>
    <w:p>
      <w:pPr>
        <w:spacing w:line="360" w:lineRule="auto"/>
        <w:rPr>
          <w:rFonts w:ascii="宋体" w:hAnsi="宋体"/>
          <w:szCs w:val="21"/>
        </w:rPr>
      </w:pPr>
      <w:r>
        <w:rPr>
          <w:rFonts w:hint="eastAsia" w:ascii="宋体" w:hAnsi="宋体"/>
          <w:szCs w:val="21"/>
        </w:rPr>
        <w:t>五、投标保证金</w:t>
      </w:r>
    </w:p>
    <w:p>
      <w:pPr>
        <w:spacing w:line="360" w:lineRule="auto"/>
        <w:rPr>
          <w:rFonts w:ascii="宋体" w:hAnsi="宋体"/>
          <w:szCs w:val="21"/>
        </w:rPr>
      </w:pPr>
      <w:r>
        <w:rPr>
          <w:rFonts w:hint="eastAsia" w:ascii="宋体" w:hAnsi="宋体"/>
          <w:szCs w:val="21"/>
        </w:rPr>
        <w:t>六、已标价工程量清单</w:t>
      </w:r>
    </w:p>
    <w:p>
      <w:pPr>
        <w:spacing w:line="360" w:lineRule="auto"/>
        <w:rPr>
          <w:rFonts w:ascii="宋体" w:hAnsi="宋体"/>
          <w:szCs w:val="21"/>
        </w:rPr>
      </w:pPr>
      <w:r>
        <w:rPr>
          <w:rFonts w:hint="eastAsia" w:ascii="宋体" w:hAnsi="宋体"/>
          <w:szCs w:val="21"/>
        </w:rPr>
        <w:t>七、施工组织设计或施工方案</w:t>
      </w:r>
    </w:p>
    <w:p>
      <w:pPr>
        <w:spacing w:line="360" w:lineRule="auto"/>
        <w:rPr>
          <w:rFonts w:ascii="宋体" w:hAnsi="宋体"/>
          <w:szCs w:val="21"/>
        </w:rPr>
      </w:pPr>
      <w:r>
        <w:rPr>
          <w:rFonts w:hint="eastAsia" w:ascii="宋体" w:hAnsi="宋体"/>
          <w:szCs w:val="21"/>
        </w:rPr>
        <w:t>八、投标人施工现场管理机构</w:t>
      </w:r>
    </w:p>
    <w:p>
      <w:pPr>
        <w:spacing w:line="360" w:lineRule="auto"/>
        <w:rPr>
          <w:rFonts w:ascii="宋体" w:hAnsi="宋体"/>
          <w:szCs w:val="21"/>
        </w:rPr>
      </w:pPr>
      <w:r>
        <w:rPr>
          <w:rFonts w:hint="eastAsia" w:ascii="宋体" w:hAnsi="宋体"/>
          <w:szCs w:val="21"/>
        </w:rPr>
        <w:t>九、拟分包项目情况表</w:t>
      </w:r>
    </w:p>
    <w:p>
      <w:pPr>
        <w:spacing w:line="360" w:lineRule="auto"/>
        <w:rPr>
          <w:rFonts w:ascii="宋体" w:hAnsi="宋体"/>
          <w:szCs w:val="21"/>
        </w:rPr>
      </w:pPr>
      <w:r>
        <w:rPr>
          <w:rFonts w:hint="eastAsia" w:ascii="宋体" w:hAnsi="宋体"/>
          <w:szCs w:val="21"/>
        </w:rPr>
        <w:t>十、资格审查资料（资格后审）</w:t>
      </w:r>
    </w:p>
    <w:p>
      <w:pPr>
        <w:spacing w:line="360" w:lineRule="auto"/>
        <w:rPr>
          <w:rFonts w:ascii="宋体" w:hAnsi="宋体"/>
          <w:szCs w:val="21"/>
        </w:rPr>
      </w:pPr>
      <w:r>
        <w:rPr>
          <w:rFonts w:hint="eastAsia" w:ascii="宋体" w:hAnsi="宋体"/>
          <w:szCs w:val="21"/>
        </w:rPr>
        <w:t>十一、其他资料</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pStyle w:val="4"/>
        <w:jc w:val="center"/>
        <w:rPr>
          <w:rFonts w:ascii="宋体" w:hAnsi="宋体" w:eastAsia="宋体"/>
        </w:rPr>
      </w:pPr>
      <w:bookmarkStart w:id="562" w:name="_Toc509493449"/>
      <w:bookmarkStart w:id="563" w:name="_Toc240450148"/>
      <w:bookmarkStart w:id="564" w:name="_Toc244927712"/>
      <w:bookmarkStart w:id="565" w:name="_Toc244003667"/>
      <w:bookmarkStart w:id="566" w:name="_Toc9294"/>
      <w:bookmarkStart w:id="567" w:name="_Toc285638697"/>
      <w:bookmarkStart w:id="568" w:name="_Toc286853561"/>
      <w:bookmarkStart w:id="569" w:name="_Toc240449556"/>
      <w:r>
        <w:rPr>
          <w:rFonts w:hint="eastAsia" w:ascii="宋体" w:hAnsi="宋体" w:eastAsia="宋体"/>
        </w:rPr>
        <w:t>一、投标函及投标函附录</w:t>
      </w:r>
      <w:bookmarkEnd w:id="562"/>
      <w:bookmarkEnd w:id="563"/>
      <w:bookmarkEnd w:id="564"/>
      <w:bookmarkEnd w:id="565"/>
      <w:bookmarkEnd w:id="566"/>
      <w:bookmarkEnd w:id="567"/>
      <w:bookmarkEnd w:id="568"/>
      <w:bookmarkEnd w:id="569"/>
    </w:p>
    <w:p>
      <w:pPr>
        <w:snapToGrid w:val="0"/>
        <w:spacing w:line="460" w:lineRule="atLeast"/>
        <w:jc w:val="center"/>
        <w:rPr>
          <w:rFonts w:ascii="方正大标宋简体" w:hAnsi="宋体" w:eastAsia="方正大标宋简体"/>
          <w:sz w:val="32"/>
          <w:szCs w:val="32"/>
        </w:rPr>
      </w:pPr>
      <w:r>
        <w:rPr>
          <w:rFonts w:hint="eastAsia" w:ascii="方正大标宋简体" w:hAnsi="宋体" w:eastAsia="方正大标宋简体"/>
          <w:sz w:val="32"/>
          <w:szCs w:val="32"/>
        </w:rPr>
        <w:t>（一）投标函</w:t>
      </w:r>
    </w:p>
    <w:p>
      <w:pPr>
        <w:snapToGrid w:val="0"/>
        <w:spacing w:line="460" w:lineRule="atLeas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（招标人名称）</w:t>
      </w:r>
    </w:p>
    <w:p>
      <w:pPr>
        <w:adjustRightInd w:val="0"/>
        <w:snapToGrid w:val="0"/>
        <w:spacing w:line="420" w:lineRule="auto"/>
        <w:rPr>
          <w:rFonts w:ascii="宋体" w:hAnsi="宋体"/>
          <w:szCs w:val="21"/>
        </w:rPr>
      </w:pPr>
    </w:p>
    <w:p>
      <w:pPr>
        <w:adjustRightInd w:val="0"/>
        <w:snapToGrid w:val="0"/>
        <w:spacing w:line="420" w:lineRule="auto"/>
        <w:rPr>
          <w:rFonts w:ascii="宋体" w:hAnsi="宋体"/>
          <w:szCs w:val="21"/>
        </w:rPr>
      </w:pPr>
      <w:r>
        <w:rPr>
          <w:rFonts w:hint="eastAsia" w:ascii="宋体" w:hAnsi="宋体"/>
          <w:szCs w:val="21"/>
        </w:rPr>
        <w:t xml:space="preserve">    在考察现场并充分研究</w:t>
      </w:r>
      <w:r>
        <w:rPr>
          <w:rFonts w:hint="eastAsia" w:ascii="宋体" w:hAnsi="宋体"/>
          <w:szCs w:val="21"/>
          <w:u w:val="single"/>
        </w:rPr>
        <w:t xml:space="preserve">                     </w:t>
      </w:r>
      <w:r>
        <w:rPr>
          <w:rFonts w:hint="eastAsia" w:ascii="宋体" w:hAnsi="宋体"/>
          <w:szCs w:val="21"/>
        </w:rPr>
        <w:t>（项目名称）（以下简称“本工程”）施工招标文件的全部内容后，我方兹以：</w:t>
      </w:r>
    </w:p>
    <w:p>
      <w:pPr>
        <w:adjustRightInd w:val="0"/>
        <w:snapToGrid w:val="0"/>
        <w:spacing w:line="420" w:lineRule="auto"/>
        <w:rPr>
          <w:rFonts w:ascii="宋体" w:hAnsi="宋体"/>
          <w:szCs w:val="21"/>
        </w:rPr>
      </w:pPr>
      <w:r>
        <w:rPr>
          <w:rFonts w:hint="eastAsia" w:ascii="宋体" w:hAnsi="宋体"/>
          <w:szCs w:val="21"/>
        </w:rPr>
        <w:t xml:space="preserve">    人民币（大写）：</w:t>
      </w:r>
      <w:r>
        <w:rPr>
          <w:rFonts w:hint="eastAsia" w:ascii="宋体" w:hAnsi="宋体"/>
          <w:szCs w:val="21"/>
          <w:u w:val="single"/>
        </w:rPr>
        <w:t xml:space="preserve">                </w:t>
      </w:r>
      <w:r>
        <w:rPr>
          <w:rFonts w:hint="eastAsia" w:ascii="宋体" w:hAnsi="宋体"/>
          <w:szCs w:val="21"/>
        </w:rPr>
        <w:t>元</w:t>
      </w:r>
    </w:p>
    <w:p>
      <w:pPr>
        <w:adjustRightInd w:val="0"/>
        <w:snapToGrid w:val="0"/>
        <w:spacing w:line="420" w:lineRule="auto"/>
        <w:rPr>
          <w:rFonts w:ascii="宋体" w:hAnsi="宋体"/>
          <w:szCs w:val="21"/>
        </w:rPr>
      </w:pPr>
      <w:r>
        <w:rPr>
          <w:rFonts w:hint="eastAsia" w:ascii="宋体" w:hAnsi="宋体"/>
          <w:szCs w:val="21"/>
        </w:rPr>
        <w:t xml:space="preserve">    RMB￥：</w:t>
      </w:r>
      <w:r>
        <w:rPr>
          <w:rFonts w:hint="eastAsia" w:ascii="宋体" w:hAnsi="宋体"/>
          <w:szCs w:val="21"/>
          <w:u w:val="single"/>
        </w:rPr>
        <w:t xml:space="preserve">               </w:t>
      </w:r>
      <w:r>
        <w:rPr>
          <w:rFonts w:hint="eastAsia" w:ascii="宋体" w:hAnsi="宋体"/>
          <w:szCs w:val="21"/>
        </w:rPr>
        <w:t>元</w:t>
      </w:r>
    </w:p>
    <w:p>
      <w:pPr>
        <w:adjustRightInd w:val="0"/>
        <w:snapToGrid w:val="0"/>
        <w:spacing w:line="420" w:lineRule="auto"/>
        <w:rPr>
          <w:rFonts w:ascii="宋体" w:hAnsi="宋体"/>
          <w:szCs w:val="21"/>
        </w:rPr>
      </w:pPr>
      <w:r>
        <w:rPr>
          <w:rFonts w:hint="eastAsia" w:ascii="宋体" w:hAnsi="宋体"/>
          <w:szCs w:val="21"/>
        </w:rPr>
        <w:t>的投标价格和按合同约定有权得到的其它金额，并严格按照合同约定，实施和完成本工程并修补其中的任何缺陷。</w:t>
      </w:r>
    </w:p>
    <w:p>
      <w:pPr>
        <w:adjustRightInd w:val="0"/>
        <w:snapToGrid w:val="0"/>
        <w:spacing w:line="420" w:lineRule="auto"/>
        <w:rPr>
          <w:rFonts w:ascii="宋体" w:hAnsi="宋体"/>
          <w:szCs w:val="21"/>
        </w:rPr>
      </w:pPr>
      <w:r>
        <w:rPr>
          <w:rFonts w:hint="eastAsia" w:ascii="宋体" w:hAnsi="宋体"/>
          <w:szCs w:val="21"/>
        </w:rPr>
        <w:t xml:space="preserve">    在我方的上述投标报价中，包括：安全文明施工费RMB￥：</w:t>
      </w:r>
      <w:r>
        <w:rPr>
          <w:rFonts w:hint="eastAsia" w:ascii="宋体" w:hAnsi="宋体"/>
          <w:szCs w:val="21"/>
          <w:u w:val="single"/>
        </w:rPr>
        <w:t xml:space="preserve">                </w:t>
      </w:r>
      <w:r>
        <w:rPr>
          <w:rFonts w:hint="eastAsia" w:ascii="宋体" w:hAnsi="宋体"/>
          <w:szCs w:val="21"/>
        </w:rPr>
        <w:t>元</w:t>
      </w:r>
    </w:p>
    <w:p>
      <w:pPr>
        <w:adjustRightInd w:val="0"/>
        <w:snapToGrid w:val="0"/>
        <w:spacing w:line="420" w:lineRule="auto"/>
        <w:ind w:firstLine="420"/>
        <w:rPr>
          <w:rFonts w:ascii="宋体" w:hAnsi="宋体"/>
          <w:szCs w:val="21"/>
        </w:rPr>
      </w:pPr>
      <w:r>
        <w:rPr>
          <w:rFonts w:hint="eastAsia" w:ascii="宋体" w:hAnsi="宋体"/>
          <w:szCs w:val="21"/>
        </w:rPr>
        <w:t>如果我方中标，我方保证按照合同文件规定的开工日期开始上述工程的施工，</w:t>
      </w:r>
      <w:r>
        <w:rPr>
          <w:rFonts w:hint="eastAsia" w:ascii="宋体" w:hAnsi="宋体"/>
          <w:szCs w:val="21"/>
          <w:u w:val="single"/>
        </w:rPr>
        <w:t xml:space="preserve">     </w:t>
      </w:r>
      <w:r>
        <w:rPr>
          <w:rFonts w:hint="eastAsia" w:ascii="宋体" w:hAnsi="宋体"/>
          <w:szCs w:val="21"/>
        </w:rPr>
        <w:t>天（日历天）内竣工，并确保工程质量达到标准。我方同意本投标函在招标文件规定的提交投标文件截止时间后，在招标文件规定的投标有效期期满前对我方具有约束力，且随时准备接受你方发出的中标通知书。</w:t>
      </w:r>
    </w:p>
    <w:p>
      <w:pPr>
        <w:widowControl/>
        <w:adjustRightInd w:val="0"/>
        <w:snapToGrid w:val="0"/>
        <w:spacing w:line="420" w:lineRule="auto"/>
        <w:ind w:firstLine="420" w:firstLineChars="200"/>
        <w:jc w:val="left"/>
        <w:rPr>
          <w:rFonts w:ascii="宋体" w:hAnsi="宋体"/>
          <w:szCs w:val="21"/>
        </w:rPr>
      </w:pPr>
      <w:r>
        <w:rPr>
          <w:rFonts w:ascii="宋体" w:hAnsi="宋体"/>
          <w:szCs w:val="21"/>
        </w:rPr>
        <w:t>我方同意所递交的投标文件在</w:t>
      </w:r>
      <w:r>
        <w:rPr>
          <w:rFonts w:hint="eastAsia" w:ascii="宋体" w:hAnsi="宋体"/>
          <w:szCs w:val="21"/>
          <w:u w:val="single"/>
        </w:rPr>
        <w:t xml:space="preserve"> 60 </w:t>
      </w:r>
      <w:r>
        <w:rPr>
          <w:rFonts w:ascii="宋体" w:hAnsi="宋体"/>
          <w:szCs w:val="21"/>
        </w:rPr>
        <w:t>天的投标有效期内有效，在此期间我方将受此约束。</w:t>
      </w:r>
    </w:p>
    <w:p>
      <w:pPr>
        <w:widowControl/>
        <w:adjustRightInd w:val="0"/>
        <w:snapToGrid w:val="0"/>
        <w:spacing w:line="420" w:lineRule="auto"/>
        <w:ind w:firstLine="420" w:firstLineChars="200"/>
        <w:jc w:val="left"/>
        <w:rPr>
          <w:rFonts w:ascii="宋体" w:hAnsi="宋体"/>
          <w:szCs w:val="21"/>
        </w:rPr>
      </w:pPr>
      <w:r>
        <w:rPr>
          <w:rFonts w:ascii="宋体" w:hAnsi="宋体"/>
          <w:szCs w:val="21"/>
        </w:rPr>
        <w:t>我们理解贵方不一定要接受最低报价的投标或收到的任何投标。</w:t>
      </w:r>
    </w:p>
    <w:p>
      <w:pPr>
        <w:adjustRightInd w:val="0"/>
        <w:snapToGrid w:val="0"/>
        <w:spacing w:line="420" w:lineRule="auto"/>
        <w:rPr>
          <w:rFonts w:ascii="宋体" w:hAnsi="宋体"/>
          <w:szCs w:val="21"/>
        </w:rPr>
      </w:pPr>
      <w:r>
        <w:rPr>
          <w:rFonts w:hint="eastAsia" w:ascii="宋体" w:hAnsi="宋体"/>
          <w:szCs w:val="21"/>
        </w:rPr>
        <w:t xml:space="preserve">    随本投标函递交的投标函附录是本投标函的组成部分，对我方构成约束力。</w:t>
      </w:r>
    </w:p>
    <w:p>
      <w:pPr>
        <w:adjustRightInd w:val="0"/>
        <w:snapToGrid w:val="0"/>
        <w:spacing w:line="420" w:lineRule="auto"/>
        <w:rPr>
          <w:rFonts w:ascii="宋体" w:hAnsi="宋体"/>
          <w:szCs w:val="21"/>
        </w:rPr>
      </w:pPr>
      <w:r>
        <w:rPr>
          <w:rFonts w:hint="eastAsia" w:ascii="宋体" w:hAnsi="宋体"/>
          <w:szCs w:val="21"/>
        </w:rPr>
        <w:t xml:space="preserve">    在签署协议书之前，你方的中标通知书连同本投标函，包括其所有附属文件，将构成双方之间具有约束力的合同文件。</w:t>
      </w:r>
    </w:p>
    <w:p>
      <w:pPr>
        <w:adjustRightInd w:val="0"/>
        <w:snapToGrid w:val="0"/>
        <w:spacing w:line="420" w:lineRule="auto"/>
        <w:rPr>
          <w:rFonts w:ascii="宋体" w:hAnsi="宋体"/>
          <w:szCs w:val="21"/>
        </w:rPr>
      </w:pPr>
      <w:r>
        <w:rPr>
          <w:rFonts w:hint="eastAsia" w:ascii="宋体" w:hAnsi="宋体"/>
          <w:szCs w:val="21"/>
        </w:rPr>
        <w:t xml:space="preserve">                                                 投标人（盖单位章）：</w:t>
      </w:r>
    </w:p>
    <w:p>
      <w:pPr>
        <w:adjustRightInd w:val="0"/>
        <w:snapToGrid w:val="0"/>
        <w:spacing w:line="420" w:lineRule="auto"/>
        <w:rPr>
          <w:rFonts w:ascii="宋体" w:hAnsi="宋体"/>
          <w:szCs w:val="21"/>
        </w:rPr>
      </w:pPr>
      <w:r>
        <w:rPr>
          <w:rFonts w:hint="eastAsia" w:ascii="宋体" w:hAnsi="宋体"/>
          <w:szCs w:val="21"/>
        </w:rPr>
        <w:t xml:space="preserve">                                            法定代表人或委托代理人（签字）：</w:t>
      </w:r>
    </w:p>
    <w:p>
      <w:pPr>
        <w:adjustRightInd w:val="0"/>
        <w:snapToGrid w:val="0"/>
        <w:spacing w:line="420" w:lineRule="auto"/>
        <w:rPr>
          <w:rFonts w:ascii="宋体" w:hAnsi="宋体"/>
          <w:szCs w:val="21"/>
        </w:rPr>
      </w:pPr>
      <w:r>
        <w:rPr>
          <w:rFonts w:hint="eastAsia" w:ascii="宋体" w:hAnsi="宋体"/>
          <w:szCs w:val="21"/>
        </w:rPr>
        <w:t xml:space="preserve">                                                              日期：   年   月   日</w:t>
      </w:r>
    </w:p>
    <w:p>
      <w:pPr>
        <w:widowControl/>
        <w:spacing w:line="48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snapToGrid w:val="0"/>
        <w:spacing w:line="460" w:lineRule="atLeast"/>
        <w:jc w:val="center"/>
        <w:rPr>
          <w:rFonts w:ascii="方正大标宋简体" w:hAnsi="宋体" w:eastAsia="方正大标宋简体"/>
          <w:sz w:val="32"/>
          <w:szCs w:val="32"/>
        </w:rPr>
      </w:pPr>
      <w:r>
        <w:rPr>
          <w:rFonts w:hint="eastAsia" w:ascii="方正大标宋简体" w:hAnsi="宋体" w:eastAsia="方正大标宋简体"/>
          <w:sz w:val="32"/>
          <w:szCs w:val="32"/>
        </w:rPr>
        <w:t>（二）投标函附录</w:t>
      </w:r>
    </w:p>
    <w:p>
      <w:pPr>
        <w:snapToGrid w:val="0"/>
        <w:spacing w:line="460" w:lineRule="atLeast"/>
        <w:rPr>
          <w:rFonts w:ascii="宋体" w:hAnsi="宋体"/>
          <w:szCs w:val="21"/>
        </w:rPr>
      </w:pPr>
    </w:p>
    <w:p>
      <w:pPr>
        <w:snapToGrid w:val="0"/>
        <w:spacing w:line="460" w:lineRule="atLeast"/>
        <w:rPr>
          <w:rFonts w:ascii="宋体" w:hAnsi="宋体"/>
          <w:szCs w:val="21"/>
        </w:rPr>
      </w:pPr>
      <w:r>
        <w:rPr>
          <w:rFonts w:hint="eastAsia" w:ascii="宋体" w:hAnsi="宋体"/>
          <w:szCs w:val="21"/>
        </w:rPr>
        <w:t>项目名称：</w:t>
      </w:r>
    </w:p>
    <w:p>
      <w:pPr>
        <w:snapToGrid w:val="0"/>
        <w:spacing w:line="460" w:lineRule="atLeast"/>
        <w:rPr>
          <w:rFonts w:ascii="宋体" w:hAnsi="宋体"/>
          <w:szCs w:val="21"/>
        </w:rPr>
      </w:pPr>
    </w:p>
    <w:tbl>
      <w:tblPr>
        <w:tblStyle w:val="36"/>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200"/>
        <w:gridCol w:w="196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序号</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center"/>
              <w:rPr>
                <w:rFonts w:ascii="宋体" w:hAnsi="宋体"/>
                <w:szCs w:val="21"/>
              </w:rPr>
            </w:pPr>
            <w:r>
              <w:rPr>
                <w:rFonts w:hint="eastAsia" w:ascii="宋体" w:hAnsi="宋体"/>
                <w:szCs w:val="21"/>
              </w:rPr>
              <w:t>条款内容</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约定内容</w:t>
            </w:r>
          </w:p>
        </w:tc>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1</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项目经理（建造师）</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u w:val="single"/>
              </w:rPr>
            </w:pPr>
            <w:r>
              <w:rPr>
                <w:rFonts w:hint="eastAsia" w:ascii="宋体" w:hAnsi="宋体"/>
                <w:szCs w:val="21"/>
              </w:rPr>
              <w:t>姓名:</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2</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工期</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u w:val="single"/>
                <w:lang w:val="en-US" w:eastAsia="zh-CN"/>
              </w:rPr>
              <w:t>10</w:t>
            </w:r>
            <w:r>
              <w:rPr>
                <w:rFonts w:hint="eastAsia" w:ascii="宋体" w:hAnsi="宋体"/>
                <w:szCs w:val="21"/>
              </w:rPr>
              <w:t>日历天</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3</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承包人履约担保金额</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合同约定</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4</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分包</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不允许</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5</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误期违约金</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1000.00元/天</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6</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误期违约金最高限额</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u w:val="single"/>
              </w:rPr>
            </w:pPr>
            <w:r>
              <w:rPr>
                <w:rFonts w:hint="eastAsia" w:ascii="宋体" w:hAnsi="宋体"/>
                <w:szCs w:val="21"/>
              </w:rPr>
              <w:t>30000.00</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7</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质量标准</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合格</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8</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预付款额度</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合同约定</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9</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预付款保函金额</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合同约定</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10</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质量保证金扣留百分比</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rPr>
                <w:rFonts w:ascii="宋体" w:hAnsi="宋体"/>
                <w:szCs w:val="21"/>
              </w:rPr>
            </w:pPr>
            <w:r>
              <w:rPr>
                <w:rFonts w:hint="eastAsia" w:ascii="宋体" w:hAnsi="宋体"/>
                <w:szCs w:val="21"/>
              </w:rPr>
              <w:t>3%</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11</w:t>
            </w: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r>
              <w:rPr>
                <w:rFonts w:hint="eastAsia" w:ascii="宋体" w:hAnsi="宋体"/>
                <w:szCs w:val="21"/>
              </w:rPr>
              <w:t>质量保证金额度</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rPr>
                <w:rFonts w:ascii="宋体" w:hAnsi="宋体"/>
                <w:szCs w:val="21"/>
              </w:rPr>
            </w:pPr>
            <w:r>
              <w:rPr>
                <w:rFonts w:hint="eastAsia" w:ascii="宋体" w:hAnsi="宋体"/>
                <w:szCs w:val="21"/>
              </w:rPr>
              <w:t>3%的合同价</w:t>
            </w: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c>
          <w:tcPr>
            <w:tcW w:w="42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c>
          <w:tcPr>
            <w:tcW w:w="196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c>
          <w:tcPr>
            <w:tcW w:w="1778"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320" w:lineRule="atLeast"/>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8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atLeast"/>
              <w:ind w:left="0" w:right="0"/>
              <w:rPr>
                <w:rFonts w:ascii="宋体" w:hAnsi="宋体"/>
                <w:szCs w:val="21"/>
              </w:rPr>
            </w:pPr>
            <w:r>
              <w:rPr>
                <w:rFonts w:hint="eastAsia" w:ascii="宋体" w:hAnsi="宋体"/>
                <w:szCs w:val="21"/>
              </w:rPr>
              <w:t>备注：投标人在响应招标文件中规定的实质性要求和条件的基础上，可做出其他有利于招标人的承诺。此类承诺可在本表中予以补充填写。</w:t>
            </w:r>
          </w:p>
        </w:tc>
      </w:tr>
    </w:tbl>
    <w:p>
      <w:pPr>
        <w:snapToGrid w:val="0"/>
        <w:spacing w:line="460" w:lineRule="atLeast"/>
        <w:rPr>
          <w:rFonts w:ascii="宋体" w:hAnsi="宋体"/>
          <w:szCs w:val="21"/>
        </w:rPr>
      </w:pPr>
    </w:p>
    <w:p>
      <w:pPr>
        <w:snapToGrid w:val="0"/>
        <w:spacing w:line="460" w:lineRule="atLeast"/>
        <w:jc w:val="center"/>
        <w:rPr>
          <w:rFonts w:ascii="宋体" w:hAnsi="宋体"/>
          <w:szCs w:val="21"/>
        </w:rPr>
      </w:pPr>
      <w:r>
        <w:rPr>
          <w:rFonts w:hint="eastAsia" w:ascii="宋体" w:hAnsi="宋体"/>
          <w:szCs w:val="21"/>
        </w:rPr>
        <w:t xml:space="preserve">                                        投标人（盖单位章）：</w:t>
      </w:r>
    </w:p>
    <w:p>
      <w:pPr>
        <w:snapToGrid w:val="0"/>
        <w:spacing w:line="460" w:lineRule="atLeast"/>
        <w:jc w:val="right"/>
        <w:rPr>
          <w:rFonts w:ascii="宋体" w:hAnsi="宋体"/>
          <w:szCs w:val="21"/>
        </w:rPr>
      </w:pPr>
      <w:r>
        <w:rPr>
          <w:rFonts w:hint="eastAsia" w:ascii="宋体" w:hAnsi="宋体"/>
          <w:szCs w:val="21"/>
        </w:rPr>
        <w:t>法定代表人或委托代理人（签字或盖章）：</w:t>
      </w:r>
    </w:p>
    <w:p>
      <w:pPr>
        <w:snapToGrid w:val="0"/>
        <w:spacing w:line="460" w:lineRule="atLeast"/>
        <w:jc w:val="right"/>
        <w:rPr>
          <w:rFonts w:ascii="宋体" w:hAnsi="宋体"/>
          <w:szCs w:val="21"/>
        </w:rPr>
      </w:pPr>
      <w:r>
        <w:rPr>
          <w:rFonts w:hint="eastAsia" w:ascii="宋体" w:hAnsi="宋体"/>
          <w:szCs w:val="21"/>
        </w:rPr>
        <w:t>日期：     年      月       日</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pStyle w:val="4"/>
        <w:jc w:val="center"/>
        <w:rPr>
          <w:rFonts w:ascii="宋体" w:hAnsi="宋体" w:eastAsia="宋体"/>
        </w:rPr>
      </w:pPr>
      <w:bookmarkStart w:id="570" w:name="_Toc240449557"/>
      <w:bookmarkStart w:id="571" w:name="_Toc240450149"/>
      <w:bookmarkStart w:id="572" w:name="_Toc286853562"/>
      <w:bookmarkStart w:id="573" w:name="_Toc244003668"/>
      <w:bookmarkStart w:id="574" w:name="_Toc7729"/>
      <w:bookmarkStart w:id="575" w:name="_Toc509493450"/>
      <w:bookmarkStart w:id="576" w:name="_Toc285638698"/>
      <w:bookmarkStart w:id="577" w:name="_Toc244927713"/>
      <w:bookmarkStart w:id="578" w:name="_Toc184635139"/>
      <w:r>
        <w:rPr>
          <w:rFonts w:hint="eastAsia" w:ascii="宋体" w:hAnsi="宋体" w:eastAsia="宋体"/>
        </w:rPr>
        <w:t>二、法定代表人身份证明</w:t>
      </w:r>
      <w:bookmarkEnd w:id="570"/>
      <w:bookmarkEnd w:id="571"/>
      <w:bookmarkEnd w:id="572"/>
      <w:bookmarkEnd w:id="573"/>
      <w:bookmarkEnd w:id="574"/>
      <w:bookmarkEnd w:id="575"/>
      <w:bookmarkEnd w:id="576"/>
      <w:bookmarkEnd w:id="577"/>
      <w:bookmarkEnd w:id="578"/>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投标人名称：</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w:t>
      </w:r>
      <w:r>
        <w:rPr>
          <w:rFonts w:hint="eastAsia" w:ascii="宋体" w:hAnsi="宋体"/>
          <w:szCs w:val="21"/>
        </w:rPr>
        <w:t>　性别：</w:t>
      </w:r>
      <w:r>
        <w:rPr>
          <w:rFonts w:hint="eastAsia" w:ascii="宋体" w:hAnsi="宋体"/>
          <w:szCs w:val="21"/>
          <w:u w:val="single"/>
        </w:rPr>
        <w:t>　　　</w:t>
      </w:r>
      <w:r>
        <w:rPr>
          <w:rFonts w:hint="eastAsia" w:ascii="宋体" w:hAnsi="宋体"/>
          <w:szCs w:val="21"/>
        </w:rPr>
        <w:t>　年龄：</w:t>
      </w:r>
      <w:r>
        <w:rPr>
          <w:rFonts w:hint="eastAsia" w:ascii="宋体" w:hAnsi="宋体"/>
          <w:szCs w:val="21"/>
          <w:u w:val="single"/>
        </w:rPr>
        <w:t>　　</w:t>
      </w:r>
      <w:r>
        <w:rPr>
          <w:rFonts w:hint="eastAsia" w:ascii="宋体" w:hAnsi="宋体"/>
          <w:szCs w:val="21"/>
        </w:rPr>
        <w:t>　职务：</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身份证号码：</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投标人：</w:t>
      </w:r>
      <w:r>
        <w:rPr>
          <w:rFonts w:hint="eastAsia" w:ascii="宋体" w:hAnsi="宋体"/>
          <w:szCs w:val="21"/>
          <w:u w:val="single"/>
        </w:rPr>
        <w:t>　　　　　　　　　</w:t>
      </w:r>
      <w:r>
        <w:rPr>
          <w:rFonts w:hint="eastAsia" w:ascii="宋体" w:hAnsi="宋体"/>
          <w:szCs w:val="21"/>
        </w:rPr>
        <w:t>（盖单位章）</w:t>
      </w:r>
    </w:p>
    <w:p>
      <w:pPr>
        <w:spacing w:line="360" w:lineRule="auto"/>
        <w:ind w:firstLine="3780" w:firstLineChars="1800"/>
        <w:rPr>
          <w:rFonts w:ascii="宋体" w:hAnsi="宋体"/>
          <w:szCs w:val="21"/>
        </w:rPr>
      </w:pP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法定代表人身份证明复印件：</w:t>
      </w:r>
    </w:p>
    <w:p>
      <w:pPr>
        <w:spacing w:line="360" w:lineRule="auto"/>
        <w:jc w:val="center"/>
        <w:rPr>
          <w:rFonts w:ascii="宋体" w:hAnsi="宋体"/>
          <w:szCs w:val="21"/>
        </w:rPr>
      </w:pPr>
    </w:p>
    <w:p>
      <w:pPr>
        <w:spacing w:line="360" w:lineRule="auto"/>
        <w:jc w:val="center"/>
        <w:rPr>
          <w:rFonts w:ascii="宋体" w:hAnsi="宋体"/>
          <w:szCs w:val="21"/>
        </w:rPr>
      </w:pPr>
      <w:r>
        <w:rPr>
          <w:rFonts w:ascii="宋体" w:hAnsi="宋体"/>
          <w:szCs w:val="21"/>
        </w:rPr>
        <mc:AlternateContent>
          <mc:Choice Requires="wps">
            <w:drawing>
              <wp:inline distT="0" distB="0" distL="114300" distR="114300">
                <wp:extent cx="3314700" cy="2278380"/>
                <wp:effectExtent l="4445" t="4445" r="14605" b="22225"/>
                <wp:docPr id="1" name="圆角矩形 6"/>
                <wp:cNvGraphicFramePr/>
                <a:graphic xmlns:a="http://schemas.openxmlformats.org/drawingml/2006/main">
                  <a:graphicData uri="http://schemas.microsoft.com/office/word/2010/wordprocessingShape">
                    <wps:wsp>
                      <wps:cNvSpPr>
                        <a:spLocks noChangeArrowheads="1"/>
                      </wps:cNvSpPr>
                      <wps:spPr bwMode="auto">
                        <a:xfrm>
                          <a:off x="0" y="0"/>
                          <a:ext cx="3314700" cy="2278380"/>
                        </a:xfrm>
                        <a:prstGeom prst="roundRect">
                          <a:avLst>
                            <a:gd name="adj" fmla="val 11093"/>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inline>
            </w:drawing>
          </mc:Choice>
          <mc:Fallback>
            <w:pict>
              <v:roundrect id="圆角矩形 6" o:spid="_x0000_s1026" o:spt="2" style="height:179.4pt;width:261pt;" fillcolor="#FFFFFF" filled="t" stroked="t" coordsize="21600,21600" arcsize="0.110925925925926" o:gfxdata="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Xjc9UAAAAFAQAADwAAAAAAAAABACAAAAAiAAAAZHJz&#10;L2Rvd25yZXYueG1sUEsBAhQAFAAAAAgAh07iQE0STkpAAgAAWgQAAA4AAAAAAAAAAQAgAAAAJAEA&#10;AGRycy9lMm9Eb2MueG1sUEsFBgAAAAAGAAYAWQEAANYFAAAAAA==&#10;">
                <v:fill on="t" focussize="0,0"/>
                <v:stroke color="#000000" joinstyle="round"/>
                <v:imagedata o:title=""/>
                <o:lock v:ext="edit" aspectratio="f"/>
                <w10:wrap type="none"/>
                <w10:anchorlock/>
              </v:roundrect>
            </w:pict>
          </mc:Fallback>
        </mc:AlternateContent>
      </w:r>
    </w:p>
    <w:p>
      <w:pPr>
        <w:spacing w:line="360" w:lineRule="auto"/>
        <w:rPr>
          <w:rFonts w:ascii="宋体" w:hAnsi="宋体"/>
          <w:szCs w:val="21"/>
        </w:rPr>
      </w:pP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pStyle w:val="4"/>
        <w:jc w:val="center"/>
        <w:rPr>
          <w:rFonts w:ascii="宋体" w:hAnsi="宋体" w:eastAsia="宋体"/>
        </w:rPr>
      </w:pPr>
      <w:bookmarkStart w:id="579" w:name="_Toc244003669"/>
      <w:bookmarkStart w:id="580" w:name="_Toc244927714"/>
      <w:bookmarkStart w:id="581" w:name="_Toc509493451"/>
      <w:bookmarkStart w:id="582" w:name="_Toc184635140"/>
      <w:bookmarkStart w:id="583" w:name="_Toc240450150"/>
      <w:bookmarkStart w:id="584" w:name="_Toc285638699"/>
      <w:bookmarkStart w:id="585" w:name="_Toc286853563"/>
      <w:bookmarkStart w:id="586" w:name="_Toc14161"/>
      <w:bookmarkStart w:id="587" w:name="_Toc240449558"/>
      <w:r>
        <w:rPr>
          <w:rFonts w:hint="eastAsia" w:ascii="宋体" w:hAnsi="宋体" w:eastAsia="宋体"/>
        </w:rPr>
        <w:t>三、法定代表人授权委托书</w:t>
      </w:r>
      <w:bookmarkEnd w:id="579"/>
      <w:bookmarkEnd w:id="580"/>
      <w:bookmarkEnd w:id="581"/>
      <w:bookmarkEnd w:id="582"/>
      <w:bookmarkEnd w:id="583"/>
      <w:bookmarkEnd w:id="584"/>
      <w:bookmarkEnd w:id="585"/>
      <w:bookmarkEnd w:id="586"/>
      <w:bookmarkEnd w:id="587"/>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w:t>
      </w:r>
      <w:r>
        <w:rPr>
          <w:rFonts w:hint="eastAsia" w:ascii="宋体" w:hAnsi="宋体"/>
          <w:szCs w:val="21"/>
        </w:rPr>
        <w:t>（姓名）</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w:t>
      </w:r>
      <w:r>
        <w:rPr>
          <w:rFonts w:hint="eastAsia" w:ascii="宋体" w:hAnsi="宋体"/>
          <w:szCs w:val="21"/>
        </w:rPr>
        <w:t>（投标人名称）的法定代表人，现委托</w:t>
      </w:r>
      <w:r>
        <w:rPr>
          <w:rFonts w:hint="eastAsia" w:ascii="宋体" w:hAnsi="宋体"/>
          <w:szCs w:val="21"/>
          <w:u w:val="single"/>
        </w:rPr>
        <w:t>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w:t>
      </w:r>
      <w:r>
        <w:rPr>
          <w:rFonts w:hint="eastAsia" w:ascii="宋体" w:hAnsi="宋体"/>
          <w:szCs w:val="21"/>
        </w:rPr>
        <w:t>（项目名称）施工投标文件、签订合同和处理有关事宜，其法律后果由我方承担。</w:t>
      </w:r>
    </w:p>
    <w:p>
      <w:pPr>
        <w:spacing w:line="360" w:lineRule="auto"/>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w:t>
      </w:r>
    </w:p>
    <w:p>
      <w:pPr>
        <w:spacing w:line="360" w:lineRule="auto"/>
        <w:ind w:firstLine="420" w:firstLineChars="200"/>
        <w:rPr>
          <w:rFonts w:ascii="宋体" w:hAnsi="宋体"/>
          <w:szCs w:val="21"/>
        </w:rPr>
      </w:pPr>
      <w:r>
        <w:rPr>
          <w:rFonts w:hint="eastAsia" w:ascii="宋体" w:hAnsi="宋体"/>
          <w:szCs w:val="21"/>
        </w:rPr>
        <w:t>代理人无转委托权。</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投标人：</w:t>
      </w:r>
      <w:r>
        <w:rPr>
          <w:rFonts w:hint="eastAsia" w:ascii="宋体" w:hAnsi="宋体"/>
          <w:szCs w:val="21"/>
          <w:u w:val="single"/>
        </w:rPr>
        <w:t>　　　　　　　　　</w:t>
      </w:r>
      <w:r>
        <w:rPr>
          <w:rFonts w:hint="eastAsia" w:ascii="宋体" w:hAnsi="宋体"/>
          <w:szCs w:val="21"/>
        </w:rPr>
        <w:t>（盖单位章）</w:t>
      </w:r>
    </w:p>
    <w:p>
      <w:pPr>
        <w:spacing w:line="360" w:lineRule="auto"/>
        <w:ind w:firstLine="3780" w:firstLineChars="1800"/>
        <w:rPr>
          <w:rFonts w:ascii="宋体" w:hAnsi="宋体"/>
          <w:szCs w:val="21"/>
        </w:rPr>
      </w:pPr>
      <w:r>
        <w:rPr>
          <w:rFonts w:hint="eastAsia" w:ascii="宋体" w:hAnsi="宋体"/>
          <w:szCs w:val="21"/>
        </w:rPr>
        <w:t>法定代表人：</w:t>
      </w:r>
      <w:r>
        <w:rPr>
          <w:rFonts w:hint="eastAsia" w:ascii="宋体" w:hAnsi="宋体"/>
          <w:szCs w:val="21"/>
          <w:u w:val="single"/>
        </w:rPr>
        <w:t>　　　　　　</w:t>
      </w:r>
      <w:r>
        <w:rPr>
          <w:rFonts w:hint="eastAsia" w:ascii="宋体" w:hAnsi="宋体"/>
          <w:szCs w:val="21"/>
        </w:rPr>
        <w:t>（签字）</w:t>
      </w:r>
    </w:p>
    <w:p>
      <w:pPr>
        <w:spacing w:line="360" w:lineRule="auto"/>
        <w:ind w:firstLine="3780" w:firstLineChars="1800"/>
        <w:rPr>
          <w:rFonts w:ascii="宋体" w:hAnsi="宋体"/>
          <w:szCs w:val="21"/>
        </w:rPr>
      </w:pPr>
      <w:r>
        <w:rPr>
          <w:rFonts w:hint="eastAsia" w:ascii="宋体" w:hAnsi="宋体"/>
          <w:szCs w:val="21"/>
        </w:rPr>
        <w:t>委托代理人：</w:t>
      </w:r>
      <w:r>
        <w:rPr>
          <w:rFonts w:hint="eastAsia" w:ascii="宋体" w:hAnsi="宋体"/>
          <w:szCs w:val="21"/>
          <w:u w:val="single"/>
        </w:rPr>
        <w:t>　　　　　　</w:t>
      </w:r>
      <w:r>
        <w:rPr>
          <w:rFonts w:hint="eastAsia" w:ascii="宋体" w:hAnsi="宋体"/>
          <w:szCs w:val="21"/>
        </w:rPr>
        <w:t>（签字）</w:t>
      </w:r>
    </w:p>
    <w:p>
      <w:pPr>
        <w:spacing w:line="360" w:lineRule="auto"/>
        <w:ind w:firstLine="3780" w:firstLineChars="1800"/>
        <w:rPr>
          <w:rFonts w:ascii="宋体" w:hAnsi="宋体"/>
          <w:szCs w:val="21"/>
        </w:rPr>
      </w:pPr>
      <w:r>
        <w:rPr>
          <w:rFonts w:hint="eastAsia" w:ascii="宋体" w:hAnsi="宋体"/>
          <w:szCs w:val="21"/>
        </w:rPr>
        <w:t>身份证号码：</w:t>
      </w:r>
      <w:r>
        <w:rPr>
          <w:rFonts w:hint="eastAsia" w:ascii="宋体" w:hAnsi="宋体"/>
          <w:szCs w:val="21"/>
          <w:u w:val="single"/>
        </w:rPr>
        <w:t>　　　　　　　　　</w:t>
      </w:r>
    </w:p>
    <w:p>
      <w:pPr>
        <w:spacing w:line="360" w:lineRule="auto"/>
        <w:ind w:firstLine="3780" w:firstLineChars="1800"/>
        <w:rPr>
          <w:rFonts w:ascii="宋体" w:hAnsi="宋体"/>
          <w:szCs w:val="21"/>
        </w:rPr>
      </w:pP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w:t>
      </w: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委托代理人身份证明复印件：</w:t>
      </w:r>
    </w:p>
    <w:p>
      <w:pPr>
        <w:spacing w:line="360" w:lineRule="auto"/>
        <w:jc w:val="center"/>
        <w:rPr>
          <w:rFonts w:ascii="宋体" w:hAnsi="宋体"/>
          <w:szCs w:val="21"/>
        </w:rPr>
      </w:pPr>
    </w:p>
    <w:p>
      <w:pPr>
        <w:spacing w:line="360" w:lineRule="auto"/>
        <w:rPr>
          <w:rFonts w:ascii="宋体" w:hAnsi="宋体"/>
          <w:szCs w:val="21"/>
        </w:rPr>
      </w:pP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44450</wp:posOffset>
                </wp:positionV>
                <wp:extent cx="3314700" cy="2278380"/>
                <wp:effectExtent l="4445" t="4445" r="14605" b="22225"/>
                <wp:wrapSquare wrapText="bothSides"/>
                <wp:docPr id="5" name="圆角矩形 5"/>
                <wp:cNvGraphicFramePr/>
                <a:graphic xmlns:a="http://schemas.openxmlformats.org/drawingml/2006/main">
                  <a:graphicData uri="http://schemas.microsoft.com/office/word/2010/wordprocessingShape">
                    <wps:wsp>
                      <wps:cNvSpPr>
                        <a:spLocks noChangeArrowheads="1"/>
                      </wps:cNvSpPr>
                      <wps:spPr bwMode="auto">
                        <a:xfrm>
                          <a:off x="0" y="0"/>
                          <a:ext cx="3314700" cy="2278380"/>
                        </a:xfrm>
                        <a:prstGeom prst="roundRect">
                          <a:avLst>
                            <a:gd name="adj" fmla="val 11093"/>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top:3.5pt;height:179.4pt;width:261pt;mso-position-horizontal:center;mso-wrap-distance-bottom:0pt;mso-wrap-distance-left:9pt;mso-wrap-distance-right:9pt;mso-wrap-distance-top:0pt;z-index:251658240;mso-width-relative:page;mso-height-relative:page;" fillcolor="#FFFFFF" filled="t" stroked="t" coordsize="21600,21600" arcsize="0.110925925925926" o:gfxdata="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&#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5vu2DWAAAABgEAAA8AAAAAAAAAAQAgAAAAIgAAAGRy&#10;cy9kb3ducmV2LnhtbFBLAQIUABQAAAAIAIdO4kCJ0Db9QAIAAFoEAAAOAAAAAAAAAAEAIAAAACUB&#10;AABkcnMvZTJvRG9jLnhtbFBLBQYAAAAABgAGAFkBAADXBQAAAAA=&#10;">
                <v:fill on="t" focussize="0,0"/>
                <v:stroke color="#000000" joinstyle="round"/>
                <v:imagedata o:title=""/>
                <o:lock v:ext="edit" aspectratio="f"/>
                <w10:wrap type="square"/>
              </v:roundrect>
            </w:pict>
          </mc:Fallback>
        </mc:AlternateConten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21"/>
      </w:pPr>
      <w:bookmarkStart w:id="588" w:name="_Toc240450152"/>
      <w:bookmarkStart w:id="589" w:name="_Toc286853565"/>
      <w:bookmarkStart w:id="590" w:name="_Toc240449560"/>
      <w:bookmarkStart w:id="591" w:name="_Toc285638701"/>
      <w:bookmarkStart w:id="592" w:name="_Toc244003671"/>
      <w:bookmarkStart w:id="593" w:name="_Toc244927716"/>
    </w:p>
    <w:p/>
    <w:p/>
    <w:p>
      <w:pPr>
        <w:pStyle w:val="4"/>
        <w:jc w:val="center"/>
        <w:rPr>
          <w:rFonts w:ascii="宋体" w:hAnsi="宋体"/>
          <w:szCs w:val="21"/>
        </w:rPr>
      </w:pPr>
      <w:bookmarkStart w:id="594" w:name="_Toc244003670"/>
      <w:bookmarkStart w:id="595" w:name="_Toc240450151"/>
      <w:bookmarkStart w:id="596" w:name="_Toc12554"/>
      <w:bookmarkStart w:id="597" w:name="_Toc244927715"/>
      <w:bookmarkStart w:id="598" w:name="_Toc240449559"/>
      <w:bookmarkStart w:id="599" w:name="gs73"/>
      <w:bookmarkStart w:id="600" w:name="_Toc509493452"/>
      <w:r>
        <w:rPr>
          <w:rFonts w:ascii="宋体" w:hAnsi="宋体" w:eastAsia="宋体"/>
          <w:b w:val="0"/>
          <w:bCs w:val="0"/>
          <w:vanish/>
        </w:rPr>
        <w:object>
          <v:shape id="_x0000_i1046" o:spt="201" type="#_x0000_t201" style="height:18.75pt;width:18pt;" o:ole="t" filled="f" o:preferrelative="t" stroked="f" coordsize="21600,21600">
            <v:path/>
            <v:fill on="f" focussize="0,0"/>
            <v:stroke on="f"/>
            <v:imagedata r:id="rId22" o:title=""/>
            <o:lock v:ext="edit" aspectratio="t"/>
            <w10:wrap type="none"/>
            <w10:anchorlock/>
          </v:shape>
          <w:control r:id="rId62" w:name="CheckBox21" w:shapeid="_x0000_i1046"/>
        </w:object>
      </w:r>
      <w:bookmarkStart w:id="601" w:name="_Toc286853564"/>
      <w:bookmarkStart w:id="602" w:name="_Toc285638700"/>
      <w:r>
        <w:rPr>
          <w:rFonts w:hint="eastAsia" w:ascii="宋体" w:hAnsi="宋体" w:eastAsia="宋体"/>
        </w:rPr>
        <w:t>四、联合体协议书</w:t>
      </w:r>
      <w:bookmarkEnd w:id="594"/>
      <w:bookmarkEnd w:id="595"/>
      <w:bookmarkEnd w:id="596"/>
      <w:bookmarkEnd w:id="597"/>
      <w:bookmarkEnd w:id="598"/>
      <w:bookmarkEnd w:id="601"/>
      <w:bookmarkEnd w:id="602"/>
    </w:p>
    <w:p>
      <w:pPr>
        <w:snapToGrid w:val="0"/>
        <w:spacing w:line="460" w:lineRule="atLeast"/>
        <w:rPr>
          <w:rFonts w:ascii="宋体" w:hAnsi="宋体"/>
          <w:szCs w:val="21"/>
        </w:rPr>
      </w:pPr>
      <w:r>
        <w:rPr>
          <w:rFonts w:hint="eastAsia" w:ascii="宋体" w:hAnsi="宋体"/>
          <w:szCs w:val="21"/>
        </w:rPr>
        <w:t>牵头人名称：</w:t>
      </w:r>
    </w:p>
    <w:p>
      <w:pPr>
        <w:snapToGrid w:val="0"/>
        <w:spacing w:line="460" w:lineRule="atLeast"/>
        <w:rPr>
          <w:rFonts w:ascii="宋体" w:hAnsi="宋体"/>
          <w:szCs w:val="21"/>
        </w:rPr>
      </w:pPr>
      <w:r>
        <w:rPr>
          <w:rFonts w:hint="eastAsia" w:ascii="宋体" w:hAnsi="宋体"/>
          <w:szCs w:val="21"/>
        </w:rPr>
        <w:t>法定代表人：</w:t>
      </w:r>
    </w:p>
    <w:p>
      <w:pPr>
        <w:snapToGrid w:val="0"/>
        <w:spacing w:line="460" w:lineRule="atLeast"/>
        <w:rPr>
          <w:rFonts w:ascii="宋体" w:hAnsi="宋体"/>
          <w:szCs w:val="21"/>
        </w:rPr>
      </w:pPr>
      <w:r>
        <w:rPr>
          <w:rFonts w:hint="eastAsia" w:ascii="宋体" w:hAnsi="宋体"/>
          <w:szCs w:val="21"/>
        </w:rPr>
        <w:t>法定住所：</w:t>
      </w:r>
    </w:p>
    <w:p>
      <w:pPr>
        <w:snapToGrid w:val="0"/>
        <w:spacing w:line="460" w:lineRule="atLeast"/>
        <w:rPr>
          <w:rFonts w:ascii="宋体" w:hAnsi="宋体"/>
          <w:szCs w:val="21"/>
        </w:rPr>
      </w:pPr>
      <w:r>
        <w:rPr>
          <w:rFonts w:hint="eastAsia" w:ascii="宋体" w:hAnsi="宋体"/>
          <w:szCs w:val="21"/>
        </w:rPr>
        <w:t>成员二名称：</w:t>
      </w:r>
    </w:p>
    <w:p>
      <w:pPr>
        <w:snapToGrid w:val="0"/>
        <w:spacing w:line="460" w:lineRule="atLeast"/>
        <w:rPr>
          <w:rFonts w:ascii="宋体" w:hAnsi="宋体"/>
          <w:szCs w:val="21"/>
        </w:rPr>
      </w:pPr>
      <w:r>
        <w:rPr>
          <w:rFonts w:hint="eastAsia" w:ascii="宋体" w:hAnsi="宋体"/>
          <w:szCs w:val="21"/>
        </w:rPr>
        <w:t>法定代表人：</w:t>
      </w:r>
    </w:p>
    <w:p>
      <w:pPr>
        <w:snapToGrid w:val="0"/>
        <w:spacing w:line="460" w:lineRule="atLeast"/>
        <w:rPr>
          <w:rFonts w:ascii="宋体" w:hAnsi="宋体"/>
          <w:szCs w:val="21"/>
        </w:rPr>
      </w:pPr>
      <w:r>
        <w:rPr>
          <w:rFonts w:hint="eastAsia" w:ascii="宋体" w:hAnsi="宋体"/>
          <w:szCs w:val="21"/>
        </w:rPr>
        <w:t>法定住所：</w:t>
      </w:r>
    </w:p>
    <w:p>
      <w:pPr>
        <w:snapToGrid w:val="0"/>
        <w:spacing w:line="460" w:lineRule="atLeast"/>
        <w:rPr>
          <w:rFonts w:ascii="宋体" w:hAnsi="宋体"/>
          <w:szCs w:val="21"/>
        </w:rPr>
      </w:pPr>
      <w:r>
        <w:rPr>
          <w:rFonts w:hint="eastAsia" w:ascii="宋体" w:hAnsi="宋体"/>
          <w:szCs w:val="21"/>
        </w:rPr>
        <w:t xml:space="preserve">    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（项目名称）的施工投标并争取赢得本招标项目施工承包合同（以下简称合同）。现就联合体投标事宜订立如下协议：</w:t>
      </w:r>
    </w:p>
    <w:p>
      <w:pPr>
        <w:numPr>
          <w:ilvl w:val="0"/>
          <w:numId w:val="5"/>
        </w:numPr>
        <w:snapToGrid w:val="0"/>
        <w:spacing w:line="460" w:lineRule="atLeast"/>
        <w:rPr>
          <w:rFonts w:ascii="宋体" w:hAnsi="宋体"/>
          <w:szCs w:val="21"/>
        </w:rPr>
      </w:pP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napToGrid w:val="0"/>
        <w:spacing w:line="460" w:lineRule="atLeast"/>
        <w:rPr>
          <w:rFonts w:ascii="宋体" w:hAnsi="宋体"/>
          <w:szCs w:val="21"/>
        </w:rPr>
      </w:pPr>
      <w:r>
        <w:rPr>
          <w:rFonts w:hint="eastAsia" w:ascii="宋体" w:hAnsi="宋体"/>
          <w:szCs w:val="21"/>
        </w:rPr>
        <w:t xml:space="preserve">    2、在本招标项目投标阶段，联合体牵头人合法代表联合体各成员负责本招标项目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460" w:lineRule="atLeast"/>
        <w:rPr>
          <w:rFonts w:ascii="宋体" w:hAnsi="宋体"/>
          <w:szCs w:val="21"/>
        </w:rPr>
      </w:pPr>
      <w:r>
        <w:rPr>
          <w:rFonts w:hint="eastAsia" w:ascii="宋体" w:hAnsi="宋体"/>
          <w:szCs w:val="21"/>
        </w:rPr>
        <w:t xml:space="preserve">    3、联合体将严格按照招标文件的各项要求，递交投标文件，履行投标义务和中标后的合同，共同承担合同规定的一切义务和责任，联合体各成员单位按照内部职责的划分，承担各自所负的责任和风险，并向招标人承担连带责任。</w:t>
      </w:r>
    </w:p>
    <w:p>
      <w:pPr>
        <w:snapToGrid w:val="0"/>
        <w:spacing w:line="460" w:lineRule="atLeast"/>
        <w:rPr>
          <w:rFonts w:ascii="宋体" w:hAnsi="宋体"/>
          <w:szCs w:val="21"/>
        </w:rPr>
      </w:pPr>
      <w:r>
        <w:rPr>
          <w:rFonts w:hint="eastAsia" w:ascii="宋体" w:hAnsi="宋体"/>
          <w:szCs w:val="21"/>
        </w:rPr>
        <w:t xml:space="preserve">    4、联合体各成员单位内部的职责分工如下：</w:t>
      </w:r>
      <w:r>
        <w:rPr>
          <w:rFonts w:hint="eastAsia" w:ascii="宋体" w:hAnsi="宋体"/>
          <w:szCs w:val="21"/>
          <w:u w:val="single"/>
        </w:rPr>
        <w:t xml:space="preserve">      </w:t>
      </w:r>
      <w:r>
        <w:rPr>
          <w:rFonts w:hint="eastAsia" w:ascii="宋体" w:hAnsi="宋体"/>
          <w:szCs w:val="21"/>
        </w:rPr>
        <w:t>。</w:t>
      </w:r>
    </w:p>
    <w:p>
      <w:pPr>
        <w:snapToGrid w:val="0"/>
        <w:spacing w:line="460" w:lineRule="atLeast"/>
        <w:rPr>
          <w:rFonts w:ascii="宋体" w:hAnsi="宋体"/>
          <w:szCs w:val="21"/>
        </w:rPr>
      </w:pPr>
      <w:r>
        <w:rPr>
          <w:rFonts w:hint="eastAsia" w:ascii="宋体" w:hAnsi="宋体"/>
          <w:szCs w:val="21"/>
        </w:rPr>
        <w:t xml:space="preserve">    5、投标工作和联合体在中标后工程实施过程中的有关费用按各自承担的工作量分摊。</w:t>
      </w:r>
    </w:p>
    <w:p>
      <w:pPr>
        <w:snapToGrid w:val="0"/>
        <w:spacing w:line="460" w:lineRule="atLeast"/>
        <w:rPr>
          <w:rFonts w:ascii="宋体" w:hAnsi="宋体"/>
          <w:szCs w:val="21"/>
        </w:rPr>
      </w:pPr>
      <w:r>
        <w:rPr>
          <w:rFonts w:hint="eastAsia" w:ascii="宋体" w:hAnsi="宋体"/>
          <w:szCs w:val="21"/>
        </w:rPr>
        <w:t xml:space="preserve">    6、联合体中标后，本联合体协议是合同的附件，对联合体各成员单位有合同约束力。</w:t>
      </w:r>
    </w:p>
    <w:p>
      <w:pPr>
        <w:snapToGrid w:val="0"/>
        <w:spacing w:line="460" w:lineRule="atLeast"/>
        <w:rPr>
          <w:rFonts w:ascii="宋体" w:hAnsi="宋体"/>
          <w:szCs w:val="21"/>
        </w:rPr>
      </w:pPr>
      <w:r>
        <w:rPr>
          <w:rFonts w:hint="eastAsia" w:ascii="宋体" w:hAnsi="宋体"/>
          <w:szCs w:val="21"/>
        </w:rPr>
        <w:t xml:space="preserve">    7、本协议书自签署之日起生效，联合体未中标或者中标时合同履行完毕后自动失效。</w:t>
      </w:r>
    </w:p>
    <w:p>
      <w:pPr>
        <w:snapToGrid w:val="0"/>
        <w:spacing w:line="460" w:lineRule="atLeast"/>
        <w:rPr>
          <w:rFonts w:ascii="宋体" w:hAnsi="宋体"/>
          <w:szCs w:val="21"/>
        </w:rPr>
      </w:pPr>
      <w:r>
        <w:rPr>
          <w:rFonts w:hint="eastAsia" w:ascii="宋体" w:hAnsi="宋体"/>
          <w:szCs w:val="21"/>
        </w:rPr>
        <w:t xml:space="preserve">    8、本协议书一式份，联合体成员和招标人各执一份。</w:t>
      </w:r>
    </w:p>
    <w:p>
      <w:pPr>
        <w:snapToGrid w:val="0"/>
        <w:spacing w:line="460" w:lineRule="atLeast"/>
        <w:rPr>
          <w:rFonts w:ascii="宋体" w:hAnsi="宋体"/>
          <w:szCs w:val="21"/>
        </w:rPr>
      </w:pPr>
      <w:r>
        <w:rPr>
          <w:rFonts w:hint="eastAsia" w:ascii="宋体" w:hAnsi="宋体"/>
          <w:szCs w:val="21"/>
        </w:rPr>
        <w:t>注：本协议书由委托代理人签字的，应附法定代表人签字的授权委托书。</w:t>
      </w:r>
    </w:p>
    <w:p>
      <w:pPr>
        <w:snapToGrid w:val="0"/>
        <w:spacing w:line="460" w:lineRule="atLeast"/>
        <w:rPr>
          <w:rFonts w:ascii="宋体" w:hAnsi="宋体"/>
          <w:szCs w:val="21"/>
        </w:rPr>
      </w:pPr>
      <w:r>
        <w:rPr>
          <w:rFonts w:hint="eastAsia" w:ascii="宋体" w:hAnsi="宋体"/>
          <w:szCs w:val="21"/>
        </w:rPr>
        <w:t xml:space="preserve">                        牵头人名称：（盖单位章）</w:t>
      </w:r>
    </w:p>
    <w:p>
      <w:pPr>
        <w:snapToGrid w:val="0"/>
        <w:spacing w:line="460" w:lineRule="atLeast"/>
        <w:rPr>
          <w:rFonts w:ascii="宋体" w:hAnsi="宋体"/>
          <w:szCs w:val="21"/>
        </w:rPr>
      </w:pPr>
      <w:r>
        <w:rPr>
          <w:rFonts w:hint="eastAsia" w:ascii="宋体" w:hAnsi="宋体"/>
          <w:szCs w:val="21"/>
        </w:rPr>
        <w:t xml:space="preserve">                      法定代表人或其委托代理人：（签字或盖章）</w:t>
      </w:r>
    </w:p>
    <w:p>
      <w:pPr>
        <w:snapToGrid w:val="0"/>
        <w:spacing w:line="460" w:lineRule="atLeast"/>
        <w:rPr>
          <w:rFonts w:ascii="宋体" w:hAnsi="宋体"/>
          <w:szCs w:val="21"/>
        </w:rPr>
      </w:pPr>
      <w:r>
        <w:rPr>
          <w:rFonts w:hint="eastAsia" w:ascii="宋体" w:hAnsi="宋体"/>
          <w:szCs w:val="21"/>
        </w:rPr>
        <w:t xml:space="preserve">                      成员二名称：（盖单位章）</w:t>
      </w:r>
    </w:p>
    <w:p>
      <w:pPr>
        <w:snapToGrid w:val="0"/>
        <w:spacing w:line="460" w:lineRule="atLeast"/>
        <w:rPr>
          <w:rFonts w:ascii="宋体" w:hAnsi="宋体"/>
          <w:szCs w:val="21"/>
        </w:rPr>
      </w:pPr>
      <w:r>
        <w:rPr>
          <w:rFonts w:hint="eastAsia" w:ascii="宋体" w:hAnsi="宋体"/>
          <w:szCs w:val="21"/>
        </w:rPr>
        <w:t xml:space="preserve">                      法定代表人或其委托代理人：（签字或盖章）</w:t>
      </w:r>
    </w:p>
    <w:p>
      <w:pPr>
        <w:snapToGrid w:val="0"/>
        <w:spacing w:line="460" w:lineRule="atLeast"/>
        <w:ind w:firstLine="4830" w:firstLineChars="2300"/>
        <w:rPr>
          <w:rFonts w:ascii="宋体" w:hAnsi="宋体"/>
          <w:szCs w:val="21"/>
        </w:rPr>
      </w:pPr>
      <w:r>
        <w:rPr>
          <w:rFonts w:hint="eastAsia" w:ascii="宋体" w:hAnsi="宋体"/>
          <w:szCs w:val="21"/>
        </w:rPr>
        <w:t>年    月    日</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bookmarkEnd w:id="599"/>
    <w:p>
      <w:pPr>
        <w:pStyle w:val="4"/>
        <w:jc w:val="center"/>
        <w:rPr>
          <w:rFonts w:ascii="宋体" w:hAnsi="宋体" w:eastAsia="宋体"/>
        </w:rPr>
      </w:pPr>
      <w:bookmarkStart w:id="603" w:name="_Toc10309"/>
      <w:r>
        <w:rPr>
          <w:rFonts w:hint="eastAsia" w:ascii="宋体" w:hAnsi="宋体" w:eastAsia="宋体"/>
        </w:rPr>
        <w:t>五、投标保证金</w:t>
      </w:r>
      <w:bookmarkEnd w:id="588"/>
      <w:bookmarkEnd w:id="589"/>
      <w:bookmarkEnd w:id="590"/>
      <w:bookmarkEnd w:id="591"/>
      <w:bookmarkEnd w:id="592"/>
      <w:bookmarkEnd w:id="593"/>
      <w:bookmarkEnd w:id="600"/>
      <w:bookmarkEnd w:id="603"/>
    </w:p>
    <w:p>
      <w:pPr>
        <w:widowControl/>
        <w:spacing w:line="360" w:lineRule="auto"/>
        <w:jc w:val="left"/>
        <w:rPr>
          <w:rFonts w:ascii="宋体" w:hAnsi="宋体"/>
          <w:szCs w:val="21"/>
        </w:rPr>
      </w:pPr>
    </w:p>
    <w:p>
      <w:pPr>
        <w:widowControl/>
        <w:jc w:val="left"/>
        <w:rPr>
          <w:rFonts w:ascii="宋体" w:hAnsi="宋体"/>
          <w:szCs w:val="21"/>
        </w:rPr>
      </w:pPr>
      <w:r>
        <w:rPr>
          <w:rFonts w:ascii="宋体" w:hAnsi="宋体"/>
          <w:szCs w:val="21"/>
        </w:rPr>
        <w:br w:type="page"/>
      </w:r>
    </w:p>
    <w:p>
      <w:pPr>
        <w:pStyle w:val="4"/>
        <w:jc w:val="center"/>
        <w:rPr>
          <w:rFonts w:ascii="宋体" w:hAnsi="宋体" w:eastAsia="宋体"/>
        </w:rPr>
      </w:pPr>
      <w:bookmarkStart w:id="604" w:name="_Toc240449561"/>
      <w:bookmarkStart w:id="605" w:name="_Toc244003672"/>
      <w:bookmarkStart w:id="606" w:name="_Toc184635143"/>
      <w:bookmarkStart w:id="607" w:name="_Toc240450153"/>
      <w:bookmarkStart w:id="608" w:name="_Toc244927717"/>
      <w:bookmarkStart w:id="609" w:name="_Toc285638702"/>
      <w:bookmarkStart w:id="610" w:name="_Toc509493456"/>
      <w:bookmarkStart w:id="611" w:name="_Toc14934"/>
      <w:bookmarkStart w:id="612" w:name="_Toc286853566"/>
      <w:r>
        <w:rPr>
          <w:rFonts w:hint="eastAsia" w:ascii="宋体" w:hAnsi="宋体" w:eastAsia="宋体"/>
        </w:rPr>
        <w:t>六、</w:t>
      </w:r>
      <w:bookmarkEnd w:id="604"/>
      <w:bookmarkEnd w:id="605"/>
      <w:bookmarkEnd w:id="606"/>
      <w:bookmarkEnd w:id="607"/>
      <w:bookmarkEnd w:id="608"/>
      <w:r>
        <w:rPr>
          <w:rFonts w:hint="eastAsia" w:ascii="宋体" w:hAnsi="宋体" w:eastAsia="宋体"/>
        </w:rPr>
        <w:t>已标价工程量清单</w:t>
      </w:r>
      <w:bookmarkEnd w:id="609"/>
      <w:bookmarkEnd w:id="610"/>
      <w:bookmarkEnd w:id="611"/>
      <w:bookmarkEnd w:id="612"/>
    </w:p>
    <w:p>
      <w:pPr>
        <w:widowControl/>
        <w:spacing w:line="360" w:lineRule="auto"/>
        <w:jc w:val="center"/>
        <w:rPr>
          <w:rFonts w:ascii="宋体" w:hAnsi="宋体"/>
          <w:szCs w:val="21"/>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03"/>
        </w:tabs>
        <w:bidi w:val="0"/>
        <w:jc w:val="left"/>
        <w:rPr>
          <w:lang w:val="en-US" w:eastAsia="zh-CN"/>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1"/>
        <w:rPr>
          <w:rFonts w:ascii="宋体" w:hAnsi="宋体"/>
          <w:b/>
          <w:bCs/>
          <w:sz w:val="32"/>
          <w:szCs w:val="32"/>
        </w:rPr>
      </w:pPr>
      <w:bookmarkStart w:id="613" w:name="_Toc28170"/>
      <w:r>
        <w:rPr>
          <w:rFonts w:hint="eastAsia" w:ascii="宋体" w:hAnsi="宋体"/>
          <w:b/>
          <w:bCs/>
          <w:sz w:val="32"/>
          <w:szCs w:val="32"/>
          <w:u w:val="single"/>
        </w:rPr>
        <w:t>七</w:t>
      </w:r>
      <w:r>
        <w:rPr>
          <w:rFonts w:hint="eastAsia" w:ascii="宋体" w:hAnsi="宋体"/>
          <w:b/>
          <w:bCs/>
          <w:sz w:val="32"/>
          <w:szCs w:val="32"/>
        </w:rPr>
        <w:t>、施工组织设计</w:t>
      </w:r>
      <w:bookmarkEnd w:id="613"/>
    </w:p>
    <w:p>
      <w:pPr>
        <w:keepNext/>
        <w:topLinePunct/>
        <w:adjustRightInd w:val="0"/>
        <w:spacing w:line="440" w:lineRule="exact"/>
        <w:textAlignment w:val="baseline"/>
        <w:outlineLvl w:val="1"/>
        <w:rPr>
          <w:sz w:val="24"/>
        </w:rPr>
      </w:pPr>
      <w:r>
        <w:rPr>
          <w:rFonts w:hint="eastAsia" w:ascii="宋体" w:hAnsi="宋体"/>
          <w:szCs w:val="21"/>
        </w:rPr>
        <w:t xml:space="preserve">   </w:t>
      </w:r>
      <w:r>
        <w:rPr>
          <w:rFonts w:hint="eastAsia" w:eastAsia="黑体"/>
          <w:kern w:val="0"/>
          <w:sz w:val="28"/>
          <w:szCs w:val="20"/>
        </w:rPr>
        <w:t>1.投标人应按以下要点编制施工组织设计（文字宜精炼、内容具有针对性）：</w:t>
      </w:r>
    </w:p>
    <w:p>
      <w:pPr>
        <w:pStyle w:val="68"/>
        <w:tabs>
          <w:tab w:val="left" w:pos="1306"/>
        </w:tabs>
        <w:spacing w:before="132"/>
        <w:ind w:left="420" w:leftChars="200" w:firstLine="0" w:firstLineChars="0"/>
        <w:rPr>
          <w:sz w:val="24"/>
        </w:rPr>
      </w:pPr>
      <w:r>
        <w:rPr>
          <w:rFonts w:hint="eastAsia"/>
          <w:sz w:val="24"/>
        </w:rPr>
        <w:t>（1）</w:t>
      </w:r>
      <w:r>
        <w:rPr>
          <w:sz w:val="24"/>
        </w:rPr>
        <w:t>总体施工组织布置及规划</w:t>
      </w:r>
    </w:p>
    <w:p>
      <w:pPr>
        <w:pStyle w:val="68"/>
        <w:tabs>
          <w:tab w:val="left" w:pos="1306"/>
        </w:tabs>
        <w:spacing w:before="131" w:line="345" w:lineRule="auto"/>
        <w:ind w:left="420" w:leftChars="200" w:right="285" w:firstLine="0" w:firstLineChars="0"/>
        <w:rPr>
          <w:sz w:val="24"/>
        </w:rPr>
      </w:pPr>
      <w:r>
        <w:rPr>
          <w:rFonts w:hint="eastAsia"/>
          <w:spacing w:val="-4"/>
          <w:sz w:val="24"/>
        </w:rPr>
        <w:t>（2）</w:t>
      </w:r>
      <w:r>
        <w:rPr>
          <w:spacing w:val="-4"/>
          <w:sz w:val="24"/>
        </w:rPr>
        <w:t>主要工程项目的施工方案、方法与技术措施</w:t>
      </w:r>
      <w:r>
        <w:rPr>
          <w:sz w:val="24"/>
        </w:rPr>
        <w:t>（</w:t>
      </w:r>
      <w:r>
        <w:rPr>
          <w:spacing w:val="-5"/>
          <w:sz w:val="24"/>
        </w:rPr>
        <w:t>尤其对重点、关键和难点工</w:t>
      </w:r>
      <w:r>
        <w:rPr>
          <w:sz w:val="24"/>
        </w:rPr>
        <w:t>程施工方案、方法及措施）</w:t>
      </w:r>
    </w:p>
    <w:p>
      <w:pPr>
        <w:pStyle w:val="68"/>
        <w:tabs>
          <w:tab w:val="left" w:pos="1306"/>
        </w:tabs>
        <w:spacing w:line="303" w:lineRule="exact"/>
        <w:ind w:left="420" w:leftChars="200" w:firstLine="0" w:firstLineChars="0"/>
        <w:rPr>
          <w:sz w:val="24"/>
        </w:rPr>
      </w:pPr>
      <w:r>
        <w:rPr>
          <w:rFonts w:hint="eastAsia"/>
          <w:sz w:val="24"/>
        </w:rPr>
        <w:t>（3）</w:t>
      </w:r>
      <w:r>
        <w:rPr>
          <w:sz w:val="24"/>
        </w:rPr>
        <w:t>工期保证体系及保证措施</w:t>
      </w:r>
    </w:p>
    <w:p>
      <w:pPr>
        <w:pStyle w:val="68"/>
        <w:tabs>
          <w:tab w:val="left" w:pos="1306"/>
        </w:tabs>
        <w:spacing w:before="132"/>
        <w:ind w:left="420" w:leftChars="200" w:firstLine="0" w:firstLineChars="0"/>
        <w:rPr>
          <w:sz w:val="24"/>
        </w:rPr>
      </w:pPr>
      <w:r>
        <w:rPr>
          <w:rFonts w:hint="eastAsia"/>
          <w:sz w:val="24"/>
        </w:rPr>
        <w:t>（4）</w:t>
      </w:r>
      <w:r>
        <w:rPr>
          <w:sz w:val="24"/>
        </w:rPr>
        <w:t>工程质量管理体系及保证措施</w:t>
      </w:r>
    </w:p>
    <w:p>
      <w:pPr>
        <w:pStyle w:val="68"/>
        <w:tabs>
          <w:tab w:val="left" w:pos="1306"/>
        </w:tabs>
        <w:spacing w:before="134"/>
        <w:ind w:left="420" w:leftChars="200" w:firstLine="0" w:firstLineChars="0"/>
        <w:rPr>
          <w:sz w:val="24"/>
        </w:rPr>
      </w:pPr>
      <w:r>
        <w:rPr>
          <w:rFonts w:hint="eastAsia"/>
          <w:sz w:val="24"/>
        </w:rPr>
        <w:t>（5）</w:t>
      </w:r>
      <w:r>
        <w:rPr>
          <w:sz w:val="24"/>
        </w:rPr>
        <w:t>安全生产管理体系及保证措施</w:t>
      </w:r>
    </w:p>
    <w:p>
      <w:pPr>
        <w:pStyle w:val="68"/>
        <w:tabs>
          <w:tab w:val="left" w:pos="1306"/>
        </w:tabs>
        <w:spacing w:before="132"/>
        <w:ind w:left="420" w:leftChars="200" w:firstLine="0" w:firstLineChars="0"/>
        <w:rPr>
          <w:sz w:val="24"/>
        </w:rPr>
      </w:pPr>
      <w:r>
        <w:rPr>
          <w:rFonts w:hint="eastAsia"/>
          <w:sz w:val="24"/>
        </w:rPr>
        <w:t>（6）</w:t>
      </w:r>
      <w:r>
        <w:rPr>
          <w:sz w:val="24"/>
        </w:rPr>
        <w:t>环境保护、水土保持保证体系及保证措施</w:t>
      </w:r>
    </w:p>
    <w:p>
      <w:pPr>
        <w:pStyle w:val="68"/>
        <w:tabs>
          <w:tab w:val="left" w:pos="1306"/>
        </w:tabs>
        <w:spacing w:before="131"/>
        <w:ind w:left="420" w:leftChars="200" w:firstLine="0" w:firstLineChars="0"/>
        <w:rPr>
          <w:sz w:val="24"/>
        </w:rPr>
      </w:pPr>
      <w:r>
        <w:rPr>
          <w:rFonts w:hint="eastAsia"/>
          <w:sz w:val="24"/>
        </w:rPr>
        <w:t>（7）</w:t>
      </w:r>
      <w:r>
        <w:rPr>
          <w:sz w:val="24"/>
        </w:rPr>
        <w:t>文明施工、文物保护保证体系及保证措施</w:t>
      </w:r>
    </w:p>
    <w:p>
      <w:pPr>
        <w:pStyle w:val="68"/>
        <w:tabs>
          <w:tab w:val="left" w:pos="1306"/>
        </w:tabs>
        <w:spacing w:before="135"/>
        <w:ind w:left="420" w:leftChars="200" w:firstLine="0" w:firstLineChars="0"/>
        <w:rPr>
          <w:sz w:val="24"/>
        </w:rPr>
      </w:pPr>
      <w:r>
        <w:rPr>
          <w:rFonts w:hint="eastAsia"/>
          <w:sz w:val="24"/>
        </w:rPr>
        <w:t>（8）</w:t>
      </w:r>
      <w:r>
        <w:rPr>
          <w:sz w:val="24"/>
        </w:rPr>
        <w:t>项目风险预测与防范，事故应急预案</w:t>
      </w:r>
    </w:p>
    <w:p>
      <w:pPr>
        <w:pStyle w:val="68"/>
        <w:tabs>
          <w:tab w:val="left" w:pos="1306"/>
        </w:tabs>
        <w:spacing w:before="132"/>
        <w:ind w:left="420" w:leftChars="200" w:firstLine="0" w:firstLineChars="0"/>
        <w:rPr>
          <w:sz w:val="24"/>
        </w:rPr>
      </w:pPr>
      <w:r>
        <w:rPr>
          <w:rFonts w:hint="eastAsia"/>
          <w:sz w:val="24"/>
        </w:rPr>
        <w:t>（9）</w:t>
      </w:r>
      <w:r>
        <w:rPr>
          <w:sz w:val="24"/>
        </w:rPr>
        <w:t>其他应说明的事项</w:t>
      </w:r>
    </w:p>
    <w:p>
      <w:pPr>
        <w:pStyle w:val="68"/>
        <w:tabs>
          <w:tab w:val="left" w:pos="1005"/>
          <w:tab w:val="left" w:pos="2084"/>
        </w:tabs>
        <w:spacing w:before="131" w:line="345" w:lineRule="auto"/>
        <w:ind w:right="741" w:firstLine="0" w:firstLineChars="0"/>
        <w:rPr>
          <w:rFonts w:hint="eastAsia" w:eastAsia="黑体"/>
          <w:kern w:val="0"/>
          <w:sz w:val="28"/>
          <w:szCs w:val="20"/>
        </w:rPr>
      </w:pPr>
      <w:r>
        <w:rPr>
          <w:rFonts w:hint="eastAsia" w:eastAsia="黑体"/>
          <w:kern w:val="0"/>
          <w:sz w:val="28"/>
          <w:szCs w:val="20"/>
        </w:rPr>
        <w:t>2.施工组织设计除采用文字表述外可附下列图表，图表及格式要求参见《公路工程标准施工招标文件》(2018年版)对应部分。</w:t>
      </w:r>
    </w:p>
    <w:p>
      <w:pPr>
        <w:pStyle w:val="68"/>
        <w:tabs>
          <w:tab w:val="left" w:pos="1306"/>
        </w:tabs>
        <w:spacing w:before="134"/>
        <w:ind w:left="420" w:leftChars="200" w:firstLine="480"/>
        <w:rPr>
          <w:sz w:val="24"/>
          <w:szCs w:val="22"/>
        </w:rPr>
      </w:pPr>
      <w:r>
        <w:rPr>
          <w:rFonts w:hint="eastAsia"/>
          <w:sz w:val="24"/>
          <w:szCs w:val="22"/>
        </w:rPr>
        <w:t>附表</w:t>
      </w:r>
      <w:r>
        <w:rPr>
          <w:sz w:val="24"/>
          <w:szCs w:val="22"/>
        </w:rPr>
        <w:t>一</w:t>
      </w:r>
      <w:r>
        <w:rPr>
          <w:rFonts w:hint="eastAsia"/>
          <w:sz w:val="24"/>
          <w:szCs w:val="22"/>
        </w:rPr>
        <w:t xml:space="preserve">    </w:t>
      </w:r>
      <w:r>
        <w:rPr>
          <w:sz w:val="24"/>
          <w:szCs w:val="22"/>
        </w:rPr>
        <w:t>施工总体计划表</w:t>
      </w:r>
    </w:p>
    <w:p>
      <w:pPr>
        <w:pStyle w:val="68"/>
        <w:tabs>
          <w:tab w:val="left" w:pos="1306"/>
        </w:tabs>
        <w:spacing w:before="134"/>
        <w:ind w:left="420" w:leftChars="200" w:firstLine="480"/>
        <w:rPr>
          <w:sz w:val="24"/>
          <w:szCs w:val="22"/>
        </w:rPr>
      </w:pPr>
      <w:r>
        <w:rPr>
          <w:sz w:val="24"/>
          <w:szCs w:val="22"/>
        </w:rPr>
        <w:t>附表二</w:t>
      </w:r>
      <w:r>
        <w:rPr>
          <w:rFonts w:hint="eastAsia"/>
          <w:sz w:val="24"/>
          <w:szCs w:val="22"/>
        </w:rPr>
        <w:t xml:space="preserve">    </w:t>
      </w:r>
      <w:r>
        <w:rPr>
          <w:sz w:val="24"/>
          <w:szCs w:val="22"/>
        </w:rPr>
        <w:t>分项工程进度率计划（斜率图）</w:t>
      </w:r>
    </w:p>
    <w:p>
      <w:pPr>
        <w:pStyle w:val="68"/>
        <w:tabs>
          <w:tab w:val="left" w:pos="1306"/>
        </w:tabs>
        <w:spacing w:before="134"/>
        <w:ind w:left="420" w:leftChars="200" w:firstLine="480"/>
        <w:rPr>
          <w:sz w:val="24"/>
          <w:szCs w:val="22"/>
        </w:rPr>
      </w:pPr>
      <w:r>
        <w:rPr>
          <w:sz w:val="24"/>
          <w:szCs w:val="22"/>
        </w:rPr>
        <w:t>附表三</w:t>
      </w:r>
      <w:r>
        <w:rPr>
          <w:sz w:val="24"/>
          <w:szCs w:val="22"/>
        </w:rPr>
        <w:tab/>
      </w:r>
      <w:r>
        <w:rPr>
          <w:rFonts w:hint="eastAsia"/>
          <w:sz w:val="24"/>
          <w:szCs w:val="22"/>
        </w:rPr>
        <w:t xml:space="preserve">   </w:t>
      </w:r>
      <w:r>
        <w:rPr>
          <w:sz w:val="24"/>
          <w:szCs w:val="22"/>
        </w:rPr>
        <w:t>工程管理曲线</w:t>
      </w:r>
    </w:p>
    <w:p>
      <w:pPr>
        <w:pStyle w:val="68"/>
        <w:tabs>
          <w:tab w:val="left" w:pos="1306"/>
        </w:tabs>
        <w:spacing w:before="134"/>
        <w:ind w:left="420" w:leftChars="200" w:firstLine="480"/>
        <w:rPr>
          <w:sz w:val="24"/>
          <w:szCs w:val="22"/>
        </w:rPr>
      </w:pPr>
      <w:r>
        <w:rPr>
          <w:sz w:val="24"/>
          <w:szCs w:val="22"/>
        </w:rPr>
        <w:t>附表四</w:t>
      </w:r>
      <w:r>
        <w:rPr>
          <w:rFonts w:hint="eastAsia"/>
          <w:sz w:val="24"/>
          <w:szCs w:val="22"/>
        </w:rPr>
        <w:t xml:space="preserve">   </w:t>
      </w:r>
      <w:r>
        <w:rPr>
          <w:sz w:val="24"/>
          <w:szCs w:val="22"/>
        </w:rPr>
        <w:tab/>
      </w:r>
      <w:r>
        <w:rPr>
          <w:sz w:val="24"/>
          <w:szCs w:val="22"/>
        </w:rPr>
        <w:t>分项工程生产率和施工周期表</w:t>
      </w:r>
    </w:p>
    <w:p>
      <w:pPr>
        <w:pStyle w:val="68"/>
        <w:tabs>
          <w:tab w:val="left" w:pos="1306"/>
        </w:tabs>
        <w:spacing w:before="134"/>
        <w:ind w:left="420" w:leftChars="200" w:firstLine="480"/>
        <w:rPr>
          <w:sz w:val="24"/>
          <w:szCs w:val="22"/>
        </w:rPr>
      </w:pPr>
      <w:r>
        <w:rPr>
          <w:sz w:val="24"/>
          <w:szCs w:val="22"/>
        </w:rPr>
        <w:t>附表五</w:t>
      </w:r>
      <w:r>
        <w:rPr>
          <w:rFonts w:hint="eastAsia"/>
          <w:sz w:val="24"/>
          <w:szCs w:val="22"/>
        </w:rPr>
        <w:t xml:space="preserve">  </w:t>
      </w:r>
      <w:r>
        <w:rPr>
          <w:sz w:val="24"/>
          <w:szCs w:val="22"/>
        </w:rPr>
        <w:tab/>
      </w:r>
      <w:r>
        <w:rPr>
          <w:sz w:val="24"/>
          <w:szCs w:val="22"/>
        </w:rPr>
        <w:t>施工总平面图</w:t>
      </w:r>
    </w:p>
    <w:p>
      <w:pPr>
        <w:pStyle w:val="68"/>
        <w:tabs>
          <w:tab w:val="left" w:pos="1306"/>
        </w:tabs>
        <w:spacing w:before="134"/>
        <w:ind w:left="420" w:leftChars="200" w:firstLine="480"/>
        <w:rPr>
          <w:sz w:val="24"/>
          <w:szCs w:val="22"/>
        </w:rPr>
      </w:pPr>
      <w:r>
        <w:rPr>
          <w:sz w:val="24"/>
          <w:szCs w:val="22"/>
        </w:rPr>
        <w:t>附表六</w:t>
      </w:r>
      <w:r>
        <w:rPr>
          <w:rFonts w:hint="eastAsia"/>
          <w:sz w:val="24"/>
          <w:szCs w:val="22"/>
        </w:rPr>
        <w:t xml:space="preserve">   </w:t>
      </w:r>
      <w:r>
        <w:rPr>
          <w:sz w:val="24"/>
          <w:szCs w:val="22"/>
        </w:rPr>
        <w:tab/>
      </w:r>
      <w:r>
        <w:rPr>
          <w:sz w:val="24"/>
          <w:szCs w:val="22"/>
        </w:rPr>
        <w:t xml:space="preserve">劳动力计划表 </w:t>
      </w:r>
    </w:p>
    <w:p>
      <w:pPr>
        <w:pStyle w:val="68"/>
        <w:tabs>
          <w:tab w:val="left" w:pos="1306"/>
        </w:tabs>
        <w:spacing w:before="134"/>
        <w:ind w:left="420" w:leftChars="200" w:firstLine="480"/>
        <w:rPr>
          <w:sz w:val="24"/>
          <w:szCs w:val="22"/>
        </w:rPr>
      </w:pPr>
      <w:r>
        <w:rPr>
          <w:sz w:val="24"/>
          <w:szCs w:val="22"/>
        </w:rPr>
        <w:t>附表七</w:t>
      </w:r>
      <w:r>
        <w:rPr>
          <w:rFonts w:hint="eastAsia"/>
          <w:sz w:val="24"/>
          <w:szCs w:val="22"/>
        </w:rPr>
        <w:t xml:space="preserve">  </w:t>
      </w:r>
      <w:r>
        <w:rPr>
          <w:sz w:val="24"/>
          <w:szCs w:val="22"/>
        </w:rPr>
        <w:tab/>
      </w:r>
      <w:r>
        <w:rPr>
          <w:sz w:val="24"/>
          <w:szCs w:val="22"/>
        </w:rPr>
        <w:t>临时占地计划表</w:t>
      </w:r>
    </w:p>
    <w:p>
      <w:pPr>
        <w:pStyle w:val="68"/>
        <w:tabs>
          <w:tab w:val="left" w:pos="1306"/>
        </w:tabs>
        <w:spacing w:before="134"/>
        <w:ind w:left="420" w:leftChars="200" w:firstLine="480"/>
        <w:rPr>
          <w:sz w:val="24"/>
          <w:szCs w:val="22"/>
        </w:rPr>
      </w:pPr>
      <w:r>
        <w:rPr>
          <w:sz w:val="24"/>
          <w:szCs w:val="22"/>
        </w:rPr>
        <w:t>附表八</w:t>
      </w:r>
      <w:r>
        <w:rPr>
          <w:rFonts w:hint="eastAsia"/>
          <w:sz w:val="24"/>
          <w:szCs w:val="22"/>
        </w:rPr>
        <w:t xml:space="preserve">   </w:t>
      </w:r>
      <w:r>
        <w:rPr>
          <w:sz w:val="24"/>
          <w:szCs w:val="22"/>
        </w:rPr>
        <w:tab/>
      </w:r>
      <w:r>
        <w:rPr>
          <w:sz w:val="24"/>
          <w:szCs w:val="22"/>
        </w:rPr>
        <w:t>外供电力需求计划表</w:t>
      </w:r>
    </w:p>
    <w:p>
      <w:r>
        <w:rPr>
          <w:rFonts w:hint="eastAsia"/>
        </w:rPr>
        <w:t>附表一</w:t>
      </w:r>
    </w:p>
    <w:p>
      <w:pPr>
        <w:jc w:val="center"/>
        <w:rPr>
          <w:b/>
          <w:sz w:val="28"/>
          <w:szCs w:val="28"/>
        </w:rPr>
      </w:pPr>
      <w:r>
        <w:rPr>
          <w:rFonts w:hint="eastAsia"/>
          <w:b/>
          <w:sz w:val="28"/>
          <w:szCs w:val="28"/>
        </w:rPr>
        <w:t>拟投入本工程的主要施工设备表</w:t>
      </w:r>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94"/>
        <w:gridCol w:w="1080"/>
        <w:gridCol w:w="720"/>
        <w:gridCol w:w="720"/>
        <w:gridCol w:w="72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序号</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型号规格</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数量</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国别</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产地</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制造</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年份</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额定功率</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(KW)</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生产</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能力</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用于施</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工部位</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19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bl>
    <w:p>
      <w:pPr>
        <w:widowControl/>
        <w:spacing w:line="360" w:lineRule="auto"/>
        <w:jc w:val="left"/>
        <w:rPr>
          <w:rFonts w:ascii="宋体" w:hAnsi="宋体"/>
          <w:szCs w:val="21"/>
        </w:rPr>
        <w:sectPr>
          <w:footerReference r:id="rId11" w:type="default"/>
          <w:pgSz w:w="11906" w:h="16838"/>
          <w:pgMar w:top="1701" w:right="1701" w:bottom="1418" w:left="1418" w:header="851" w:footer="992" w:gutter="0"/>
          <w:cols w:space="720" w:num="1"/>
          <w:docGrid w:type="linesAndChars" w:linePitch="312" w:charSpace="0"/>
        </w:sectPr>
      </w:pPr>
    </w:p>
    <w:p>
      <w:r>
        <w:rPr>
          <w:rFonts w:hint="eastAsia"/>
        </w:rPr>
        <w:t>附表二</w:t>
      </w:r>
    </w:p>
    <w:p>
      <w:pPr>
        <w:jc w:val="center"/>
        <w:rPr>
          <w:b/>
          <w:sz w:val="28"/>
          <w:szCs w:val="28"/>
        </w:rPr>
      </w:pPr>
      <w:r>
        <w:rPr>
          <w:rFonts w:hint="eastAsia"/>
          <w:b/>
          <w:sz w:val="28"/>
          <w:szCs w:val="28"/>
        </w:rPr>
        <w:t>拟配备本工程的试验和检测仪器设备表</w:t>
      </w:r>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6"/>
        <w:gridCol w:w="1056"/>
        <w:gridCol w:w="636"/>
        <w:gridCol w:w="1056"/>
        <w:gridCol w:w="1056"/>
        <w:gridCol w:w="852"/>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序号</w:t>
            </w: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仪器设备名称</w:t>
            </w: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型号规格</w:t>
            </w: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数量</w:t>
            </w: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国别产地</w:t>
            </w: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制造年份</w:t>
            </w: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已使用台时数</w:t>
            </w: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用途</w:t>
            </w: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85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26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90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bl>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r>
        <w:rPr>
          <w:rFonts w:hint="eastAsia"/>
        </w:rPr>
        <w:t>附表三</w:t>
      </w:r>
    </w:p>
    <w:p>
      <w:pPr>
        <w:jc w:val="center"/>
        <w:rPr>
          <w:b/>
          <w:sz w:val="28"/>
          <w:szCs w:val="28"/>
        </w:rPr>
      </w:pPr>
      <w:r>
        <w:rPr>
          <w:rFonts w:hint="eastAsia"/>
          <w:b/>
          <w:sz w:val="28"/>
          <w:szCs w:val="28"/>
        </w:rPr>
        <w:t>劳动力计划表</w:t>
      </w:r>
    </w:p>
    <w:p>
      <w:pPr>
        <w:spacing w:line="360" w:lineRule="auto"/>
        <w:ind w:firstLine="7560" w:firstLineChars="3600"/>
        <w:jc w:val="right"/>
        <w:rPr>
          <w:rFonts w:ascii="宋体" w:hAnsi="宋体"/>
          <w:szCs w:val="21"/>
        </w:rPr>
      </w:pPr>
      <w:r>
        <w:rPr>
          <w:rFonts w:hint="eastAsia" w:ascii="宋体" w:hAnsi="宋体"/>
          <w:szCs w:val="21"/>
        </w:rPr>
        <w:t>单位：人</w:t>
      </w:r>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50"/>
        <w:gridCol w:w="1150"/>
        <w:gridCol w:w="1149"/>
        <w:gridCol w:w="1149"/>
        <w:gridCol w:w="1149"/>
        <w:gridCol w:w="114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工种</w:t>
            </w:r>
          </w:p>
        </w:tc>
        <w:tc>
          <w:tcPr>
            <w:tcW w:w="7970" w:type="dxa"/>
            <w:gridSpan w:val="7"/>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50"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14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c>
          <w:tcPr>
            <w:tcW w:w="107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bl>
    <w:p>
      <w:pPr>
        <w:spacing w:line="360" w:lineRule="auto"/>
        <w:rPr>
          <w:rFonts w:ascii="宋体" w:hAnsi="宋体"/>
          <w:szCs w:val="21"/>
        </w:rPr>
      </w:pP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r>
        <w:rPr>
          <w:rFonts w:hint="eastAsia"/>
        </w:rPr>
        <w:t>附表四</w:t>
      </w:r>
    </w:p>
    <w:p>
      <w:pPr>
        <w:jc w:val="center"/>
        <w:rPr>
          <w:b/>
          <w:sz w:val="28"/>
          <w:szCs w:val="28"/>
        </w:rPr>
      </w:pPr>
      <w:r>
        <w:rPr>
          <w:rFonts w:hint="eastAsia"/>
          <w:b/>
          <w:sz w:val="28"/>
          <w:szCs w:val="28"/>
        </w:rPr>
        <w:t>计划开、竣工日期和施工进度网络图</w:t>
      </w:r>
    </w:p>
    <w:p>
      <w:pPr>
        <w:spacing w:line="360" w:lineRule="auto"/>
        <w:ind w:firstLine="420" w:firstLineChars="200"/>
        <w:rPr>
          <w:rFonts w:ascii="宋体" w:hAnsi="宋体"/>
          <w:szCs w:val="21"/>
        </w:rPr>
      </w:pPr>
      <w:r>
        <w:rPr>
          <w:rFonts w:hint="eastAsia" w:ascii="宋体" w:hAnsi="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szCs w:val="21"/>
        </w:rPr>
      </w:pPr>
      <w:r>
        <w:rPr>
          <w:rFonts w:hint="eastAsia" w:ascii="宋体" w:hAnsi="宋体"/>
          <w:szCs w:val="21"/>
        </w:rPr>
        <w:t>2．施工进度表可采用网络图（或横道图）表示。</w:t>
      </w:r>
    </w:p>
    <w:p>
      <w:pPr>
        <w:spacing w:line="360" w:lineRule="auto"/>
        <w:rPr>
          <w:rFonts w:ascii="宋体" w:hAnsi="宋体"/>
          <w:szCs w:val="21"/>
        </w:rPr>
      </w:pP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r>
        <w:rPr>
          <w:rFonts w:hint="eastAsia"/>
        </w:rPr>
        <w:t>附表五</w:t>
      </w:r>
    </w:p>
    <w:p>
      <w:pPr>
        <w:jc w:val="center"/>
        <w:rPr>
          <w:b/>
          <w:sz w:val="28"/>
          <w:szCs w:val="28"/>
        </w:rPr>
      </w:pPr>
      <w:r>
        <w:rPr>
          <w:rFonts w:hint="eastAsia"/>
          <w:b/>
          <w:sz w:val="28"/>
          <w:szCs w:val="28"/>
        </w:rPr>
        <w:t>施工总平面图</w:t>
      </w:r>
    </w:p>
    <w:p>
      <w:pPr>
        <w:spacing w:line="360" w:lineRule="auto"/>
        <w:ind w:firstLine="420" w:firstLineChars="200"/>
        <w:rPr>
          <w:rFonts w:ascii="宋体" w:hAnsi="宋体"/>
          <w:szCs w:val="21"/>
        </w:rPr>
      </w:pPr>
      <w:r>
        <w:rPr>
          <w:rFonts w:hint="eastAsia" w:ascii="宋体" w:hAnsi="宋体"/>
          <w:szCs w:val="21"/>
        </w:rPr>
        <w:t>投标人应递交一份施工总平面图，绘出现场临时设施布置图表并附文字说明，说明临时设施、加工车间、现场办公、设备及仓储、供电、供水、卫生、生活、道路、消防等设施的情况和布置。</w:t>
      </w:r>
    </w:p>
    <w:p>
      <w:pPr>
        <w:spacing w:line="360" w:lineRule="auto"/>
        <w:rPr>
          <w:rFonts w:ascii="宋体" w:hAnsi="宋体"/>
          <w:szCs w:val="21"/>
        </w:rPr>
      </w:pP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r>
        <w:rPr>
          <w:rFonts w:hint="eastAsia"/>
        </w:rPr>
        <w:t>附表六</w:t>
      </w:r>
    </w:p>
    <w:p>
      <w:pPr>
        <w:jc w:val="center"/>
        <w:rPr>
          <w:b/>
          <w:sz w:val="28"/>
          <w:szCs w:val="28"/>
        </w:rPr>
      </w:pPr>
      <w:r>
        <w:rPr>
          <w:rFonts w:hint="eastAsia"/>
          <w:b/>
          <w:sz w:val="28"/>
          <w:szCs w:val="28"/>
        </w:rPr>
        <w:t>临时用地表</w:t>
      </w:r>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1833"/>
        <w:gridCol w:w="2786"/>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rPr>
            </w:pPr>
            <w:r>
              <w:rPr>
                <w:rFonts w:hint="eastAsia" w:ascii="宋体" w:hAnsi="宋体"/>
                <w:szCs w:val="21"/>
              </w:rPr>
              <w:t>用　　途</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rPr>
            </w:pPr>
            <w:r>
              <w:rPr>
                <w:rFonts w:hint="eastAsia" w:ascii="宋体" w:hAnsi="宋体"/>
                <w:szCs w:val="21"/>
              </w:rPr>
              <w:t>面积（平方米）</w:t>
            </w:r>
          </w:p>
        </w:tc>
        <w:tc>
          <w:tcPr>
            <w:tcW w:w="27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rPr>
            </w:pPr>
            <w:r>
              <w:rPr>
                <w:rFonts w:hint="eastAsia" w:ascii="宋体" w:hAnsi="宋体"/>
                <w:szCs w:val="21"/>
              </w:rPr>
              <w:t>位置</w:t>
            </w:r>
          </w:p>
        </w:tc>
        <w:tc>
          <w:tcPr>
            <w:tcW w:w="19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2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27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c>
          <w:tcPr>
            <w:tcW w:w="19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rPr>
            </w:pPr>
          </w:p>
        </w:tc>
      </w:tr>
    </w:tbl>
    <w:p>
      <w:pPr>
        <w:widowControl/>
        <w:spacing w:line="360" w:lineRule="auto"/>
        <w:jc w:val="left"/>
        <w:rPr>
          <w:rFonts w:ascii="宋体" w:hAnsi="宋体"/>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1"/>
        <w:rPr>
          <w:rFonts w:ascii="宋体" w:hAnsi="宋体"/>
          <w:b/>
          <w:bCs/>
          <w:sz w:val="32"/>
          <w:szCs w:val="32"/>
        </w:rPr>
      </w:pPr>
      <w:bookmarkStart w:id="614" w:name="_Toc24996"/>
      <w:r>
        <w:rPr>
          <w:rFonts w:hint="eastAsia" w:ascii="宋体" w:hAnsi="宋体"/>
          <w:b/>
          <w:bCs/>
          <w:sz w:val="32"/>
          <w:szCs w:val="32"/>
          <w:u w:val="single"/>
        </w:rPr>
        <w:t>八</w:t>
      </w:r>
      <w:r>
        <w:rPr>
          <w:rFonts w:hint="eastAsia" w:ascii="宋体" w:hAnsi="宋体"/>
          <w:b/>
          <w:bCs/>
          <w:sz w:val="32"/>
          <w:szCs w:val="32"/>
        </w:rPr>
        <w:t>、</w:t>
      </w:r>
      <w:r>
        <w:rPr>
          <w:rFonts w:hint="eastAsia" w:ascii="宋体" w:hAnsi="宋体"/>
          <w:bCs/>
          <w:sz w:val="32"/>
          <w:szCs w:val="32"/>
        </w:rPr>
        <w:t>投标人施工现场管理机构</w:t>
      </w:r>
      <w:bookmarkEnd w:id="614"/>
    </w:p>
    <w:p>
      <w:pPr>
        <w:keepNext/>
        <w:keepLines/>
        <w:spacing w:before="260" w:after="260" w:line="416" w:lineRule="auto"/>
        <w:jc w:val="center"/>
        <w:outlineLvl w:val="2"/>
        <w:rPr>
          <w:b/>
          <w:bCs/>
          <w:sz w:val="28"/>
          <w:szCs w:val="28"/>
          <w:lang w:val="zh-CN"/>
        </w:rPr>
      </w:pPr>
      <w:bookmarkStart w:id="615" w:name="_Toc13667"/>
      <w:r>
        <w:rPr>
          <w:rFonts w:hint="eastAsia"/>
          <w:b/>
          <w:bCs/>
          <w:sz w:val="28"/>
          <w:szCs w:val="28"/>
          <w:lang w:val="zh-CN"/>
        </w:rPr>
        <w:t>（一）</w:t>
      </w:r>
      <w:r>
        <w:rPr>
          <w:rFonts w:hint="eastAsia" w:ascii="宋体" w:hAnsi="宋体"/>
          <w:bCs/>
          <w:sz w:val="28"/>
          <w:szCs w:val="28"/>
          <w:lang w:val="zh-CN"/>
        </w:rPr>
        <w:t>投标人施工现场管理机构人员配备表</w:t>
      </w:r>
      <w:bookmarkEnd w:id="615"/>
    </w:p>
    <w:p>
      <w:pPr>
        <w:widowControl/>
        <w:spacing w:line="360" w:lineRule="auto"/>
        <w:jc w:val="left"/>
        <w:rPr>
          <w:rFonts w:ascii="宋体" w:hAnsi="宋体"/>
          <w:szCs w:val="21"/>
        </w:rPr>
      </w:pPr>
    </w:p>
    <w:tbl>
      <w:tblPr>
        <w:tblStyle w:val="3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134"/>
        <w:gridCol w:w="1319"/>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项目名称</w:t>
            </w:r>
          </w:p>
        </w:tc>
        <w:tc>
          <w:tcPr>
            <w:tcW w:w="6713" w:type="dxa"/>
            <w:gridSpan w:val="5"/>
            <w:shd w:val="clear" w:color="auto" w:fill="auto"/>
            <w:vAlign w:val="center"/>
          </w:tcPr>
          <w:p>
            <w:pPr>
              <w:keepNext w:val="0"/>
              <w:keepLines w:val="0"/>
              <w:suppressLineNumbers w:val="0"/>
              <w:spacing w:before="0" w:beforeAutospacing="0" w:after="0" w:afterAutospacing="0"/>
              <w:ind w:left="0" w:right="0"/>
              <w:rPr>
                <w:rFonts w:ascii="宋体" w:hAnsi="宋体"/>
                <w:u w:val="single" w:color="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投标单位名称</w:t>
            </w:r>
          </w:p>
        </w:tc>
        <w:tc>
          <w:tcPr>
            <w:tcW w:w="6713" w:type="dxa"/>
            <w:gridSpan w:val="5"/>
            <w:shd w:val="clear" w:color="auto" w:fill="auto"/>
            <w:vAlign w:val="center"/>
          </w:tcPr>
          <w:p>
            <w:pPr>
              <w:keepNext w:val="0"/>
              <w:keepLines w:val="0"/>
              <w:suppressLineNumbers w:val="0"/>
              <w:spacing w:before="0" w:beforeAutospacing="0" w:after="0" w:afterAutospacing="0"/>
              <w:ind w:left="0" w:right="0"/>
              <w:rPr>
                <w:rFonts w:ascii="宋体" w:hAnsi="宋体"/>
                <w:u w:val="single" w:color="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法定委托代理人</w:t>
            </w:r>
          </w:p>
        </w:tc>
        <w:tc>
          <w:tcPr>
            <w:tcW w:w="2552" w:type="dxa"/>
            <w:gridSpan w:val="2"/>
            <w:shd w:val="clear" w:color="auto" w:fill="auto"/>
            <w:vAlign w:val="center"/>
          </w:tcPr>
          <w:p>
            <w:pPr>
              <w:keepNext w:val="0"/>
              <w:keepLines w:val="0"/>
              <w:suppressLineNumbers w:val="0"/>
              <w:spacing w:before="0" w:beforeAutospacing="0" w:after="0" w:afterAutospacing="0"/>
              <w:ind w:left="0" w:right="0"/>
              <w:rPr>
                <w:rFonts w:ascii="宋体" w:hAnsi="宋体"/>
                <w:u w:val="single" w:color="0000FF"/>
              </w:rPr>
            </w:pPr>
          </w:p>
        </w:tc>
        <w:tc>
          <w:tcPr>
            <w:tcW w:w="131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身份证号</w:t>
            </w:r>
          </w:p>
        </w:tc>
        <w:tc>
          <w:tcPr>
            <w:tcW w:w="2842" w:type="dxa"/>
            <w:gridSpan w:val="2"/>
            <w:shd w:val="clear" w:color="auto" w:fill="auto"/>
            <w:vAlign w:val="center"/>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项目负责人</w:t>
            </w:r>
          </w:p>
        </w:tc>
        <w:tc>
          <w:tcPr>
            <w:tcW w:w="1418" w:type="dxa"/>
            <w:shd w:val="clear" w:color="auto" w:fill="auto"/>
            <w:vAlign w:val="center"/>
          </w:tcPr>
          <w:p>
            <w:pPr>
              <w:keepNext w:val="0"/>
              <w:keepLines w:val="0"/>
              <w:suppressLineNumbers w:val="0"/>
              <w:spacing w:before="0" w:beforeAutospacing="0" w:after="0" w:afterAutospacing="0"/>
              <w:ind w:left="0" w:right="0"/>
            </w:pPr>
          </w:p>
        </w:tc>
        <w:tc>
          <w:tcPr>
            <w:tcW w:w="1134"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资质等级</w:t>
            </w:r>
          </w:p>
        </w:tc>
        <w:tc>
          <w:tcPr>
            <w:tcW w:w="1319" w:type="dxa"/>
            <w:shd w:val="clear" w:color="auto" w:fill="auto"/>
            <w:vAlign w:val="center"/>
          </w:tcPr>
          <w:p>
            <w:pPr>
              <w:keepNext w:val="0"/>
              <w:keepLines w:val="0"/>
              <w:suppressLineNumbers w:val="0"/>
              <w:spacing w:before="0" w:beforeAutospacing="0" w:after="0" w:afterAutospacing="0"/>
              <w:ind w:left="0" w:right="0"/>
            </w:pPr>
          </w:p>
        </w:tc>
        <w:tc>
          <w:tcPr>
            <w:tcW w:w="1421" w:type="dxa"/>
            <w:shd w:val="clear" w:color="auto" w:fill="auto"/>
            <w:vAlign w:val="center"/>
          </w:tcPr>
          <w:p>
            <w:pPr>
              <w:keepNext w:val="0"/>
              <w:keepLines w:val="0"/>
              <w:suppressLineNumbers w:val="0"/>
              <w:spacing w:before="0" w:beforeAutospacing="0" w:after="0" w:afterAutospacing="0"/>
              <w:ind w:left="0" w:right="0" w:firstLine="210" w:firstLineChars="100"/>
            </w:pPr>
            <w:r>
              <w:rPr>
                <w:rFonts w:hint="eastAsia"/>
              </w:rPr>
              <w:t>注册证号</w:t>
            </w:r>
          </w:p>
        </w:tc>
        <w:tc>
          <w:tcPr>
            <w:tcW w:w="1421" w:type="dxa"/>
            <w:shd w:val="clear" w:color="auto" w:fill="auto"/>
          </w:tcPr>
          <w:p>
            <w:pPr>
              <w:keepNext w:val="0"/>
              <w:keepLines w:val="0"/>
              <w:suppressLineNumbers w:val="0"/>
              <w:spacing w:before="0" w:beforeAutospacing="0" w:after="0" w:afterAutospacing="0"/>
              <w:ind w:left="0" w:right="0"/>
              <w:jc w:val="left"/>
            </w:pPr>
          </w:p>
          <w:p>
            <w:pPr>
              <w:keepNext w:val="0"/>
              <w:keepLines w:val="0"/>
              <w:suppressLineNumbers w:val="0"/>
              <w:spacing w:before="0" w:beforeAutospacing="0" w:after="0" w:afterAutospacing="0"/>
              <w:ind w:left="0" w:right="0"/>
              <w:rPr>
                <w:rFonts w:ascii="宋体" w:hAnsi="宋体"/>
                <w:u w:val="single" w:color="0000FF"/>
              </w:rPr>
            </w:pPr>
          </w:p>
          <w:p>
            <w:pPr>
              <w:keepNext w:val="0"/>
              <w:keepLines w:val="0"/>
              <w:suppressLineNumbers w:val="0"/>
              <w:spacing w:before="0" w:beforeAutospacing="0" w:after="0" w:afterAutospacing="0"/>
              <w:ind w:left="0" w:right="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技术负责人</w:t>
            </w:r>
          </w:p>
        </w:tc>
        <w:tc>
          <w:tcPr>
            <w:tcW w:w="1418" w:type="dxa"/>
            <w:shd w:val="clear" w:color="auto" w:fill="auto"/>
            <w:vAlign w:val="center"/>
          </w:tcPr>
          <w:p>
            <w:pPr>
              <w:keepNext w:val="0"/>
              <w:keepLines w:val="0"/>
              <w:suppressLineNumbers w:val="0"/>
              <w:spacing w:before="0" w:beforeAutospacing="0" w:after="0" w:afterAutospacing="0"/>
              <w:ind w:left="0" w:right="0"/>
            </w:pPr>
          </w:p>
        </w:tc>
        <w:tc>
          <w:tcPr>
            <w:tcW w:w="1134"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职称</w:t>
            </w:r>
          </w:p>
        </w:tc>
        <w:tc>
          <w:tcPr>
            <w:tcW w:w="1319" w:type="dxa"/>
            <w:shd w:val="clear" w:color="auto" w:fill="auto"/>
            <w:vAlign w:val="center"/>
          </w:tcPr>
          <w:p>
            <w:pPr>
              <w:keepNext w:val="0"/>
              <w:keepLines w:val="0"/>
              <w:suppressLineNumbers w:val="0"/>
              <w:spacing w:before="0" w:beforeAutospacing="0" w:after="0" w:afterAutospacing="0"/>
              <w:ind w:left="0" w:right="0"/>
            </w:pPr>
          </w:p>
        </w:tc>
        <w:tc>
          <w:tcPr>
            <w:tcW w:w="1421"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职称证号</w:t>
            </w:r>
          </w:p>
        </w:tc>
        <w:tc>
          <w:tcPr>
            <w:tcW w:w="1421" w:type="dxa"/>
            <w:shd w:val="clear" w:color="auto" w:fill="auto"/>
            <w:vAlign w:val="center"/>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809"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安全生产负责人</w:t>
            </w:r>
          </w:p>
        </w:tc>
        <w:tc>
          <w:tcPr>
            <w:tcW w:w="1418" w:type="dxa"/>
            <w:shd w:val="clear" w:color="auto" w:fill="auto"/>
            <w:vAlign w:val="center"/>
          </w:tcPr>
          <w:p>
            <w:pPr>
              <w:keepNext w:val="0"/>
              <w:keepLines w:val="0"/>
              <w:suppressLineNumbers w:val="0"/>
              <w:spacing w:before="0" w:beforeAutospacing="0" w:after="0" w:afterAutospacing="0"/>
              <w:ind w:left="0" w:right="0"/>
            </w:pPr>
          </w:p>
        </w:tc>
        <w:tc>
          <w:tcPr>
            <w:tcW w:w="1134" w:type="dxa"/>
            <w:shd w:val="clear" w:color="auto" w:fill="auto"/>
            <w:vAlign w:val="center"/>
          </w:tcPr>
          <w:p>
            <w:pPr>
              <w:keepNext w:val="0"/>
              <w:keepLines w:val="0"/>
              <w:suppressLineNumbers w:val="0"/>
              <w:spacing w:before="0" w:beforeAutospacing="0" w:after="0" w:afterAutospacing="0"/>
              <w:ind w:left="0" w:right="0"/>
              <w:jc w:val="center"/>
            </w:pPr>
            <w:r>
              <w:rPr>
                <w:rFonts w:hint="eastAsia"/>
              </w:rPr>
              <w:t>职称</w:t>
            </w:r>
          </w:p>
        </w:tc>
        <w:tc>
          <w:tcPr>
            <w:tcW w:w="1319" w:type="dxa"/>
            <w:shd w:val="clear" w:color="auto" w:fill="auto"/>
            <w:vAlign w:val="center"/>
          </w:tcPr>
          <w:p>
            <w:pPr>
              <w:keepNext w:val="0"/>
              <w:keepLines w:val="0"/>
              <w:suppressLineNumbers w:val="0"/>
              <w:spacing w:before="0" w:beforeAutospacing="0" w:after="0" w:afterAutospacing="0"/>
              <w:ind w:left="0" w:right="0"/>
            </w:pPr>
          </w:p>
        </w:tc>
        <w:tc>
          <w:tcPr>
            <w:tcW w:w="1421" w:type="dxa"/>
            <w:shd w:val="clear" w:color="auto" w:fill="auto"/>
            <w:vAlign w:val="center"/>
          </w:tcPr>
          <w:p>
            <w:pPr>
              <w:keepNext w:val="0"/>
              <w:keepLines w:val="0"/>
              <w:suppressLineNumbers w:val="0"/>
              <w:spacing w:before="0" w:beforeAutospacing="0" w:after="0" w:afterAutospacing="0"/>
              <w:ind w:left="0" w:right="0"/>
              <w:jc w:val="center"/>
              <w:rPr>
                <w:rFonts w:ascii="宋体" w:hAnsi="宋体"/>
              </w:rPr>
            </w:pPr>
            <w:r>
              <w:rPr>
                <w:rFonts w:hint="eastAsia" w:ascii="宋体" w:hAnsi="宋体"/>
              </w:rPr>
              <w:t>C证号</w:t>
            </w:r>
          </w:p>
        </w:tc>
        <w:tc>
          <w:tcPr>
            <w:tcW w:w="1421" w:type="dxa"/>
            <w:shd w:val="clear" w:color="auto" w:fill="auto"/>
            <w:vAlign w:val="center"/>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jc w:val="center"/>
          <w:hidden/>
        </w:trPr>
        <w:tc>
          <w:tcPr>
            <w:tcW w:w="8522" w:type="dxa"/>
            <w:gridSpan w:val="6"/>
            <w:shd w:val="clear" w:color="auto" w:fill="auto"/>
            <w:vAlign w:val="center"/>
          </w:tcPr>
          <w:p>
            <w:pPr>
              <w:keepNext w:val="0"/>
              <w:keepLines w:val="0"/>
              <w:suppressLineNumbers w:val="0"/>
              <w:spacing w:before="0" w:beforeAutospacing="0" w:after="0" w:afterAutospacing="0"/>
              <w:ind w:left="0" w:right="0" w:firstLine="210" w:firstLineChars="100"/>
            </w:pPr>
            <w:bookmarkStart w:id="616" w:name="gansu9"/>
            <w:r>
              <w:rPr>
                <w:vanish/>
                <w:szCs w:val="21"/>
              </w:rPr>
              <w:object>
                <v:shape id="_x0000_i1047" o:spt="201" type="#_x0000_t201" style="height:14.25pt;width:11.25pt;" o:ole="t" filled="f" o:preferrelative="t" stroked="f" coordsize="21600,21600">
                  <v:path/>
                  <v:fill on="f" focussize="0,0"/>
                  <v:stroke on="f"/>
                  <v:imagedata r:id="rId64" o:title=""/>
                  <o:lock v:ext="edit" aspectratio="t"/>
                  <w10:wrap type="none"/>
                  <w10:anchorlock/>
                </v:shape>
                <w:control r:id="rId63" w:name="CheckBox22" w:shapeid="_x0000_i1047"/>
              </w:object>
            </w:r>
            <w:r>
              <w:rPr>
                <w:rFonts w:hint="eastAsia"/>
              </w:rPr>
              <w:t>施工员：</w:t>
            </w:r>
            <w:r>
              <w:rPr>
                <w:rFonts w:hint="eastAsia" w:ascii="宋体" w:hAnsi="宋体"/>
                <w:u w:val="single"/>
              </w:rPr>
              <w:t xml:space="preserve"> (姓名)  </w:t>
            </w:r>
            <w:r>
              <w:rPr>
                <w:rFonts w:hint="eastAsia"/>
              </w:rPr>
              <w:t xml:space="preserve">         证号：</w:t>
            </w:r>
          </w:p>
          <w:p>
            <w:pPr>
              <w:keepNext w:val="0"/>
              <w:keepLines w:val="0"/>
              <w:suppressLineNumbers w:val="0"/>
              <w:spacing w:before="0" w:beforeAutospacing="0" w:after="0" w:afterAutospacing="0"/>
              <w:ind w:left="0" w:right="0"/>
            </w:pPr>
          </w:p>
          <w:bookmarkEnd w:id="616"/>
          <w:p>
            <w:pPr>
              <w:keepNext w:val="0"/>
              <w:keepLines w:val="0"/>
              <w:suppressLineNumbers w:val="0"/>
              <w:spacing w:before="0" w:beforeAutospacing="0" w:after="0" w:afterAutospacing="0"/>
              <w:ind w:left="0" w:right="0" w:firstLine="210" w:firstLineChars="100"/>
            </w:pPr>
            <w:bookmarkStart w:id="617" w:name="gansu10"/>
            <w:r>
              <w:rPr>
                <w:vanish/>
                <w:szCs w:val="21"/>
              </w:rPr>
              <w:object>
                <v:shape id="_x0000_i1048" o:spt="201" type="#_x0000_t201" style="height:14.25pt;width:11.25pt;" o:ole="t" filled="f" o:preferrelative="t" stroked="f" coordsize="21600,21600">
                  <v:path/>
                  <v:fill on="f" focussize="0,0"/>
                  <v:stroke on="f"/>
                  <v:imagedata r:id="rId64" o:title=""/>
                  <o:lock v:ext="edit" aspectratio="t"/>
                  <w10:wrap type="none"/>
                  <w10:anchorlock/>
                </v:shape>
                <w:control r:id="rId65" w:name="CheckBox23" w:shapeid="_x0000_i1048"/>
              </w:object>
            </w:r>
            <w:r>
              <w:rPr>
                <w:rFonts w:hint="eastAsia"/>
              </w:rPr>
              <w:t>质量员：</w:t>
            </w:r>
            <w:r>
              <w:rPr>
                <w:rFonts w:hint="eastAsia" w:ascii="宋体" w:hAnsi="宋体"/>
                <w:u w:val="single"/>
              </w:rPr>
              <w:t xml:space="preserve"> (姓名)  </w:t>
            </w:r>
            <w:r>
              <w:rPr>
                <w:rFonts w:hint="eastAsia"/>
              </w:rPr>
              <w:t xml:space="preserve">         证号：</w:t>
            </w:r>
          </w:p>
          <w:bookmarkEnd w:id="617"/>
          <w:p>
            <w:pPr>
              <w:keepNext w:val="0"/>
              <w:keepLines w:val="0"/>
              <w:suppressLineNumbers w:val="0"/>
              <w:spacing w:before="0" w:beforeAutospacing="0" w:after="0" w:afterAutospacing="0"/>
              <w:ind w:left="0" w:right="0" w:firstLine="210" w:firstLineChars="100"/>
            </w:pPr>
            <w:bookmarkStart w:id="618" w:name="gansu13"/>
          </w:p>
          <w:p>
            <w:pPr>
              <w:keepNext w:val="0"/>
              <w:keepLines w:val="0"/>
              <w:suppressLineNumbers w:val="0"/>
              <w:spacing w:before="0" w:beforeAutospacing="0" w:after="0" w:afterAutospacing="0"/>
              <w:ind w:left="0" w:right="0" w:firstLine="210" w:firstLineChars="100"/>
            </w:pPr>
            <w:r>
              <w:rPr>
                <w:vanish/>
                <w:szCs w:val="21"/>
              </w:rPr>
              <w:object>
                <v:shape id="_x0000_i1049" o:spt="201" type="#_x0000_t201" style="height:14.25pt;width:11.25pt;" o:ole="t" filled="f" o:preferrelative="t" stroked="f" coordsize="21600,21600">
                  <v:path/>
                  <v:fill on="f" focussize="0,0"/>
                  <v:stroke on="f"/>
                  <v:imagedata r:id="rId64" o:title=""/>
                  <o:lock v:ext="edit" aspectratio="t"/>
                  <w10:wrap type="none"/>
                  <w10:anchorlock/>
                </v:shape>
                <w:control r:id="rId66" w:name="CheckBox24" w:shapeid="_x0000_i1049"/>
              </w:object>
            </w:r>
            <w:r>
              <w:rPr>
                <w:rFonts w:hint="eastAsia"/>
              </w:rPr>
              <w:t>资料员：</w:t>
            </w:r>
            <w:r>
              <w:rPr>
                <w:rFonts w:hint="eastAsia" w:ascii="宋体" w:hAnsi="宋体"/>
                <w:u w:val="single"/>
              </w:rPr>
              <w:t xml:space="preserve"> (姓名)  </w:t>
            </w:r>
            <w:r>
              <w:rPr>
                <w:rFonts w:hint="eastAsia"/>
              </w:rPr>
              <w:t xml:space="preserve">         证号：</w:t>
            </w:r>
          </w:p>
          <w:p>
            <w:pPr>
              <w:keepNext w:val="0"/>
              <w:keepLines w:val="0"/>
              <w:suppressLineNumbers w:val="0"/>
              <w:spacing w:before="0" w:beforeAutospacing="0" w:after="0" w:afterAutospacing="0"/>
              <w:ind w:left="0" w:right="0" w:firstLine="210" w:firstLineChars="100"/>
              <w:rPr>
                <w:vanish/>
              </w:rPr>
            </w:pPr>
          </w:p>
          <w:p>
            <w:pPr>
              <w:keepNext w:val="0"/>
              <w:keepLines w:val="0"/>
              <w:suppressLineNumbers w:val="0"/>
              <w:spacing w:before="0" w:beforeAutospacing="0" w:after="0" w:afterAutospacing="0"/>
              <w:ind w:left="0" w:right="0" w:firstLine="420" w:firstLineChars="200"/>
            </w:pPr>
            <w:r>
              <w:rPr>
                <w:rFonts w:hint="eastAsia"/>
              </w:rPr>
              <w:t xml:space="preserve">安全员： </w:t>
            </w:r>
            <w:bookmarkEnd w:id="618"/>
          </w:p>
          <w:p>
            <w:pPr>
              <w:keepNext w:val="0"/>
              <w:keepLines w:val="0"/>
              <w:suppressLineNumbers w:val="0"/>
              <w:spacing w:before="0" w:beforeAutospacing="0" w:after="0" w:afterAutospacing="0"/>
              <w:ind w:left="0" w:right="0" w:firstLine="1274" w:firstLineChars="607"/>
            </w:pPr>
            <w:r>
              <w:rPr>
                <w:rFonts w:hint="eastAsia" w:ascii="宋体" w:hAnsi="宋体"/>
                <w:u w:val="single"/>
              </w:rPr>
              <w:t xml:space="preserve">(姓名)        </w:t>
            </w:r>
            <w:r>
              <w:rPr>
                <w:rFonts w:hint="eastAsia"/>
              </w:rPr>
              <w:t xml:space="preserve">   证号：</w:t>
            </w:r>
          </w:p>
          <w:p>
            <w:pPr>
              <w:keepNext w:val="0"/>
              <w:keepLines w:val="0"/>
              <w:suppressLineNumbers w:val="0"/>
              <w:spacing w:before="0" w:beforeAutospacing="0" w:after="0" w:afterAutospacing="0"/>
              <w:ind w:left="0" w:right="0" w:firstLine="1274" w:firstLineChars="607"/>
            </w:pPr>
            <w:r>
              <w:rPr>
                <w:rFonts w:hint="eastAsia" w:ascii="宋体" w:hAnsi="宋体"/>
                <w:u w:val="single"/>
              </w:rPr>
              <w:t xml:space="preserve">(姓名)        </w:t>
            </w:r>
            <w:r>
              <w:rPr>
                <w:rFonts w:hint="eastAsia"/>
              </w:rPr>
              <w:t xml:space="preserve">   证号：</w:t>
            </w:r>
          </w:p>
          <w:p>
            <w:pPr>
              <w:keepNext w:val="0"/>
              <w:keepLines w:val="0"/>
              <w:suppressLineNumbers w:val="0"/>
              <w:spacing w:before="0" w:beforeAutospacing="0" w:after="0" w:afterAutospacing="0"/>
              <w:ind w:left="0" w:right="0" w:firstLine="1274" w:firstLineChars="607"/>
            </w:pPr>
            <w:r>
              <w:rPr>
                <w:rFonts w:hint="eastAsia" w:ascii="宋体" w:hAnsi="宋体"/>
                <w:u w:val="single"/>
              </w:rPr>
              <w:t xml:space="preserve">(姓名)        </w:t>
            </w:r>
            <w:r>
              <w:rPr>
                <w:rFonts w:hint="eastAsia"/>
              </w:rPr>
              <w:t xml:space="preserve">   证号：</w:t>
            </w:r>
          </w:p>
          <w:p>
            <w:pPr>
              <w:keepNext w:val="0"/>
              <w:keepLines w:val="0"/>
              <w:suppressLineNumbers w:val="0"/>
              <w:spacing w:before="0" w:beforeAutospacing="0" w:after="0" w:afterAutospacing="0"/>
              <w:ind w:left="0" w:right="0" w:firstLine="420" w:firstLineChars="200"/>
            </w:pPr>
          </w:p>
          <w:p>
            <w:pPr>
              <w:keepNext w:val="0"/>
              <w:keepLines w:val="0"/>
              <w:suppressLineNumbers w:val="0"/>
              <w:spacing w:before="0" w:beforeAutospacing="0" w:after="0" w:afterAutospacing="0"/>
              <w:ind w:left="0" w:right="0" w:firstLine="420" w:firstLineChars="200"/>
            </w:pPr>
          </w:p>
          <w:p>
            <w:pPr>
              <w:keepNext w:val="0"/>
              <w:keepLines w:val="0"/>
              <w:suppressLineNumbers w:val="0"/>
              <w:spacing w:before="0" w:beforeAutospacing="0" w:after="0" w:afterAutospacing="0"/>
              <w:ind w:left="0" w:right="0"/>
              <w:rPr>
                <w:rFonts w:ascii="宋体" w:hAnsi="宋体"/>
                <w:u w:val="single"/>
              </w:rPr>
            </w:pPr>
          </w:p>
        </w:tc>
      </w:tr>
    </w:tbl>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2"/>
        <w:rPr>
          <w:b/>
          <w:bCs/>
          <w:sz w:val="28"/>
          <w:szCs w:val="28"/>
          <w:lang w:val="zh-CN"/>
        </w:rPr>
      </w:pPr>
      <w:bookmarkStart w:id="619" w:name="_Toc24179"/>
      <w:r>
        <w:rPr>
          <w:rFonts w:hint="eastAsia"/>
          <w:b/>
          <w:bCs/>
          <w:sz w:val="28"/>
          <w:szCs w:val="28"/>
          <w:lang w:val="zh-CN"/>
        </w:rPr>
        <w:t>（二）主要人员简历表</w:t>
      </w:r>
      <w:bookmarkEnd w:id="619"/>
    </w:p>
    <w:p>
      <w:pPr>
        <w:spacing w:line="360" w:lineRule="auto"/>
        <w:ind w:firstLine="420" w:firstLineChars="200"/>
        <w:rPr>
          <w:rFonts w:ascii="宋体" w:hAnsi="宋体"/>
          <w:szCs w:val="21"/>
        </w:rPr>
      </w:pPr>
      <w:r>
        <w:rPr>
          <w:rFonts w:hint="eastAsia" w:ascii="宋体" w:hAnsi="宋体"/>
          <w:szCs w:val="21"/>
        </w:rPr>
        <w:t>“主要人员简历表”中的项目经理应附项目经理证（或建造师资格证）、身份证、职称证等复印件，管理过的项目业绩须附合同协议书复印件；技术质量负责人应附身份证、职称证等复印件，管理过的项目业绩须附证明其所任技术职务的企业文件或用户证明；其他主要人员应附职称证、执业证或上岗证等复印件。</w:t>
      </w:r>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17"/>
        <w:gridCol w:w="1475"/>
        <w:gridCol w:w="1009"/>
        <w:gridCol w:w="818"/>
        <w:gridCol w:w="494"/>
        <w:gridCol w:w="1151"/>
        <w:gridCol w:w="667"/>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姓名</w:t>
            </w:r>
          </w:p>
        </w:tc>
        <w:tc>
          <w:tcPr>
            <w:tcW w:w="14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年龄</w:t>
            </w:r>
          </w:p>
        </w:tc>
        <w:tc>
          <w:tcPr>
            <w:tcW w:w="1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8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学　　　　　历</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职称</w:t>
            </w:r>
          </w:p>
        </w:tc>
        <w:tc>
          <w:tcPr>
            <w:tcW w:w="14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职务</w:t>
            </w:r>
          </w:p>
        </w:tc>
        <w:tc>
          <w:tcPr>
            <w:tcW w:w="1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8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拟在本合同任职</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毕业学校</w:t>
            </w:r>
          </w:p>
        </w:tc>
        <w:tc>
          <w:tcPr>
            <w:tcW w:w="73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525" w:firstLineChars="250"/>
              <w:jc w:val="center"/>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8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时间</w:t>
            </w: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参加过的类似项目</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担任职务</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61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bl>
    <w:p>
      <w:pPr>
        <w:spacing w:line="360" w:lineRule="auto"/>
        <w:rPr>
          <w:rFonts w:ascii="宋体" w:hAnsi="宋体"/>
          <w:szCs w:val="21"/>
        </w:rPr>
      </w:pP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1"/>
        <w:rPr>
          <w:rFonts w:ascii="宋体" w:hAnsi="宋体"/>
          <w:b/>
          <w:bCs/>
          <w:sz w:val="32"/>
          <w:szCs w:val="32"/>
        </w:rPr>
      </w:pPr>
      <w:bookmarkStart w:id="620" w:name="_Toc9863"/>
      <w:r>
        <w:rPr>
          <w:rFonts w:hint="eastAsia" w:ascii="宋体" w:hAnsi="宋体"/>
          <w:b/>
          <w:bCs/>
          <w:sz w:val="32"/>
          <w:szCs w:val="32"/>
          <w:u w:val="single"/>
        </w:rPr>
        <w:t>九</w:t>
      </w:r>
      <w:r>
        <w:rPr>
          <w:rFonts w:hint="eastAsia" w:ascii="宋体" w:hAnsi="宋体"/>
          <w:b/>
          <w:bCs/>
          <w:sz w:val="32"/>
          <w:szCs w:val="32"/>
        </w:rPr>
        <w:t>、拟分包项目情况表</w:t>
      </w:r>
      <w:bookmarkEnd w:id="620"/>
    </w:p>
    <w:tbl>
      <w:tblPr>
        <w:tblStyle w:val="3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971"/>
        <w:gridCol w:w="2486"/>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分包人名称</w:t>
            </w:r>
          </w:p>
        </w:tc>
        <w:tc>
          <w:tcPr>
            <w:tcW w:w="1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地址</w:t>
            </w:r>
          </w:p>
        </w:tc>
        <w:tc>
          <w:tcPr>
            <w:tcW w:w="2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法定代表人</w:t>
            </w:r>
          </w:p>
        </w:tc>
        <w:tc>
          <w:tcPr>
            <w:tcW w:w="1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电话</w:t>
            </w:r>
          </w:p>
        </w:tc>
        <w:tc>
          <w:tcPr>
            <w:tcW w:w="2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营业执照号</w:t>
            </w:r>
          </w:p>
        </w:tc>
        <w:tc>
          <w:tcPr>
            <w:tcW w:w="1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资质等级</w:t>
            </w:r>
          </w:p>
        </w:tc>
        <w:tc>
          <w:tcPr>
            <w:tcW w:w="2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拟分包的</w:t>
            </w:r>
          </w:p>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工程项目</w:t>
            </w:r>
          </w:p>
        </w:tc>
        <w:tc>
          <w:tcPr>
            <w:tcW w:w="19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主要内容</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预计造价（万元）</w:t>
            </w:r>
          </w:p>
        </w:tc>
        <w:tc>
          <w:tcPr>
            <w:tcW w:w="25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4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ascii="宋体" w:hAnsi="宋体"/>
                <w:szCs w:val="21"/>
              </w:rPr>
            </w:pPr>
          </w:p>
        </w:tc>
        <w:tc>
          <w:tcPr>
            <w:tcW w:w="2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r>
    </w:tbl>
    <w:p>
      <w:pPr>
        <w:keepNext/>
        <w:keepLines/>
        <w:spacing w:before="260" w:after="260" w:line="416" w:lineRule="auto"/>
        <w:jc w:val="center"/>
        <w:outlineLvl w:val="1"/>
        <w:rPr>
          <w:rFonts w:ascii="宋体" w:hAnsi="宋体"/>
          <w:b/>
          <w:bCs/>
          <w:sz w:val="32"/>
          <w:szCs w:val="32"/>
        </w:rPr>
      </w:pPr>
      <w:bookmarkStart w:id="621" w:name="_Toc13293"/>
      <w:r>
        <w:rPr>
          <w:rFonts w:hint="eastAsia" w:ascii="宋体" w:hAnsi="宋体"/>
          <w:b/>
          <w:bCs/>
          <w:sz w:val="32"/>
          <w:szCs w:val="32"/>
        </w:rPr>
        <w:t>十、资格审查资料（资格后审）</w:t>
      </w:r>
      <w:bookmarkEnd w:id="621"/>
    </w:p>
    <w:p>
      <w:pPr>
        <w:keepNext/>
        <w:keepLines/>
        <w:spacing w:before="260" w:after="260" w:line="416" w:lineRule="auto"/>
        <w:jc w:val="center"/>
        <w:outlineLvl w:val="2"/>
        <w:rPr>
          <w:b/>
          <w:bCs/>
          <w:sz w:val="28"/>
          <w:szCs w:val="28"/>
          <w:lang w:val="zh-CN"/>
        </w:rPr>
      </w:pPr>
      <w:bookmarkStart w:id="622" w:name="_Toc3210"/>
      <w:r>
        <w:rPr>
          <w:rFonts w:hint="eastAsia"/>
          <w:b/>
          <w:bCs/>
          <w:sz w:val="28"/>
          <w:szCs w:val="28"/>
          <w:lang w:val="zh-CN"/>
        </w:rPr>
        <w:t>（一）投标人基本情况表</w:t>
      </w:r>
      <w:bookmarkEnd w:id="622"/>
    </w:p>
    <w:tbl>
      <w:tblPr>
        <w:tblStyle w:val="36"/>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09"/>
        <w:gridCol w:w="1336"/>
        <w:gridCol w:w="720"/>
        <w:gridCol w:w="540"/>
        <w:gridCol w:w="1080"/>
        <w:gridCol w:w="99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投标人名称</w:t>
            </w:r>
          </w:p>
        </w:tc>
        <w:tc>
          <w:tcPr>
            <w:tcW w:w="702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注册地址</w:t>
            </w:r>
          </w:p>
        </w:tc>
        <w:tc>
          <w:tcPr>
            <w:tcW w:w="360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邮政编码</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8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联系方式</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联系人</w:t>
            </w:r>
          </w:p>
        </w:tc>
        <w:tc>
          <w:tcPr>
            <w:tcW w:w="25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电　话</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传　真</w:t>
            </w:r>
          </w:p>
        </w:tc>
        <w:tc>
          <w:tcPr>
            <w:tcW w:w="25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网　址</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组织结构</w:t>
            </w:r>
          </w:p>
        </w:tc>
        <w:tc>
          <w:tcPr>
            <w:tcW w:w="702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法定代表人</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姓　名</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技术职称</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电　话</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技术负责人</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姓　名</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技术职称</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电　话</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成立时间</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23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员工总人数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企业资质等级</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其中</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项目经理</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营业执照号</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高级职称人员</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注册资金</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中级职称人员</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开户银行</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初级职称人员</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账号</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技工</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经营范围备注</w:t>
            </w:r>
          </w:p>
        </w:tc>
        <w:tc>
          <w:tcPr>
            <w:tcW w:w="702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bl>
    <w:p>
      <w:pPr>
        <w:spacing w:line="360" w:lineRule="auto"/>
        <w:rPr>
          <w:rFonts w:ascii="宋体" w:hAnsi="宋体"/>
          <w:szCs w:val="21"/>
        </w:rPr>
      </w:pPr>
      <w:r>
        <w:rPr>
          <w:rFonts w:hint="eastAsia" w:ascii="宋体" w:hAnsi="宋体"/>
          <w:szCs w:val="21"/>
        </w:rPr>
        <w:t>注：附投标人营业执照副本及其年检合格的证明材料、资质证书副本和安全生产许可证、费用标准证书等材料的复印件。</w:t>
      </w:r>
    </w:p>
    <w:p>
      <w:pPr>
        <w:keepNext/>
        <w:keepLines/>
        <w:spacing w:before="260" w:after="260" w:line="416" w:lineRule="auto"/>
        <w:jc w:val="center"/>
        <w:outlineLvl w:val="2"/>
        <w:rPr>
          <w:b/>
          <w:bCs/>
          <w:sz w:val="28"/>
          <w:szCs w:val="28"/>
          <w:lang w:val="zh-CN"/>
        </w:rPr>
      </w:pPr>
      <w:r>
        <w:rPr>
          <w:rFonts w:hint="eastAsia" w:ascii="宋体" w:hAnsi="宋体"/>
          <w:b/>
          <w:bCs/>
          <w:sz w:val="32"/>
          <w:szCs w:val="21"/>
          <w:lang w:val="zh-CN"/>
        </w:rPr>
        <w:br w:type="page"/>
      </w:r>
      <w:bookmarkStart w:id="623" w:name="_Toc11064"/>
      <w:r>
        <w:rPr>
          <w:rFonts w:hint="eastAsia"/>
          <w:b/>
          <w:bCs/>
          <w:sz w:val="28"/>
          <w:szCs w:val="28"/>
          <w:lang w:val="zh-CN"/>
        </w:rPr>
        <w:t>（二）近年财务状况表</w:t>
      </w:r>
      <w:bookmarkEnd w:id="623"/>
    </w:p>
    <w:p>
      <w:pPr>
        <w:spacing w:line="360" w:lineRule="auto"/>
        <w:ind w:firstLine="420" w:firstLineChars="200"/>
        <w:rPr>
          <w:rFonts w:ascii="宋体" w:hAnsi="宋体"/>
          <w:szCs w:val="21"/>
        </w:rPr>
      </w:pPr>
      <w:r>
        <w:rPr>
          <w:rFonts w:hint="eastAsia" w:ascii="宋体" w:hAnsi="宋体"/>
          <w:szCs w:val="21"/>
        </w:rPr>
        <w:t>本表后应财务会计报表，包括资产负债表、现金流量表、利润表和财务情况说明书的复印件，具体年份要求见投标人须知前附表。</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2"/>
        <w:rPr>
          <w:b/>
          <w:bCs/>
          <w:sz w:val="28"/>
          <w:szCs w:val="28"/>
          <w:lang w:val="zh-CN"/>
        </w:rPr>
      </w:pPr>
      <w:bookmarkStart w:id="624" w:name="_Toc5325"/>
      <w:r>
        <w:rPr>
          <w:rFonts w:hint="eastAsia"/>
          <w:b/>
          <w:bCs/>
          <w:sz w:val="28"/>
          <w:szCs w:val="28"/>
          <w:lang w:val="zh-CN"/>
        </w:rPr>
        <w:t>（三）近年完成的类似项目情况表</w:t>
      </w:r>
      <w:bookmarkEnd w:id="624"/>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项目名称</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项目所在地</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发包人名称</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发包人地址</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发包人电话</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合同价格</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开工日期</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竣工日期</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承担的工作</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工程质量</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项目经理</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技术质量负责人</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总监理工程师及电话</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trPr>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项目描述</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228"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备注</w:t>
            </w:r>
          </w:p>
        </w:tc>
        <w:tc>
          <w:tcPr>
            <w:tcW w:w="6592"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p>
            <w:pPr>
              <w:keepNext w:val="0"/>
              <w:keepLines w:val="0"/>
              <w:suppressLineNumbers w:val="0"/>
              <w:spacing w:before="0" w:beforeAutospacing="0" w:after="0" w:afterAutospacing="0" w:line="360" w:lineRule="auto"/>
              <w:ind w:left="0" w:right="0" w:firstLine="420" w:firstLineChars="200"/>
              <w:jc w:val="center"/>
              <w:rPr>
                <w:rFonts w:ascii="宋体" w:hAnsi="宋体"/>
                <w:szCs w:val="21"/>
              </w:rPr>
            </w:pPr>
          </w:p>
        </w:tc>
      </w:tr>
    </w:tbl>
    <w:p>
      <w:pPr>
        <w:spacing w:line="360" w:lineRule="auto"/>
        <w:rPr>
          <w:rFonts w:ascii="宋体" w:hAnsi="宋体"/>
          <w:szCs w:val="21"/>
        </w:rPr>
      </w:pPr>
      <w:r>
        <w:rPr>
          <w:rFonts w:hint="eastAsia" w:ascii="宋体" w:hAnsi="宋体"/>
          <w:szCs w:val="21"/>
        </w:rPr>
        <w:t>注：附中标通知书和合同协议书、工程接收证书（工程竣工验收证书）的复印件，具体年份要求见投标人须知前附表。每张表格只填写一个项目，并标明序号。</w:t>
      </w:r>
    </w:p>
    <w:p>
      <w:pPr>
        <w:widowControl/>
        <w:spacing w:line="360" w:lineRule="auto"/>
        <w:jc w:val="left"/>
        <w:rPr>
          <w:rFonts w:ascii="宋体" w:hAnsi="宋体"/>
          <w:szCs w:val="21"/>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2"/>
        <w:rPr>
          <w:b/>
          <w:bCs/>
          <w:sz w:val="28"/>
          <w:szCs w:val="28"/>
          <w:lang w:val="zh-CN"/>
        </w:rPr>
      </w:pPr>
      <w:bookmarkStart w:id="625" w:name="_Toc2469"/>
      <w:r>
        <w:rPr>
          <w:rFonts w:hint="eastAsia"/>
          <w:b/>
          <w:bCs/>
          <w:sz w:val="28"/>
          <w:szCs w:val="28"/>
          <w:lang w:val="zh-CN"/>
        </w:rPr>
        <w:t>（四）正在施工的和新承接的项目情况表</w:t>
      </w:r>
      <w:bookmarkEnd w:id="625"/>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项目名称</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项目所在地</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发包人名称</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发包人地址</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发包人电话</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签约合同价</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开工日期</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计划竣工日期</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承担的工作</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工程质量</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项目经理</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技术质量负责人</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总监理工程师及电话</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项目描述</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420" w:firstLineChars="200"/>
              <w:rPr>
                <w:rFonts w:ascii="宋体" w:hAnsi="宋体"/>
                <w:szCs w:val="21"/>
              </w:rPr>
            </w:pPr>
          </w:p>
          <w:p>
            <w:pPr>
              <w:keepNext w:val="0"/>
              <w:keepLines w:val="0"/>
              <w:suppressLineNumbers w:val="0"/>
              <w:spacing w:before="0" w:beforeAutospacing="0" w:after="0" w:afterAutospacing="0" w:line="360" w:lineRule="auto"/>
              <w:ind w:left="0" w:right="0" w:firstLine="420" w:firstLineChars="200"/>
              <w:rPr>
                <w:rFonts w:ascii="宋体" w:hAnsi="宋体"/>
                <w:szCs w:val="21"/>
              </w:rPr>
            </w:pPr>
          </w:p>
          <w:p>
            <w:pPr>
              <w:keepNext w:val="0"/>
              <w:keepLines w:val="0"/>
              <w:suppressLineNumbers w:val="0"/>
              <w:spacing w:before="0" w:beforeAutospacing="0" w:after="0" w:afterAutospacing="0" w:line="360" w:lineRule="auto"/>
              <w:ind w:left="0" w:right="0" w:firstLine="420" w:firstLineChars="200"/>
              <w:rPr>
                <w:rFonts w:ascii="宋体" w:hAnsi="宋体"/>
                <w:szCs w:val="21"/>
              </w:rPr>
            </w:pPr>
          </w:p>
          <w:p>
            <w:pPr>
              <w:keepNext w:val="0"/>
              <w:keepLines w:val="0"/>
              <w:suppressLineNumbers w:val="0"/>
              <w:spacing w:before="0" w:beforeAutospacing="0" w:after="0" w:afterAutospacing="0" w:line="360" w:lineRule="auto"/>
              <w:ind w:left="0" w:right="0" w:firstLine="420" w:firstLineChars="200"/>
              <w:rPr>
                <w:rFonts w:ascii="宋体" w:hAnsi="宋体"/>
                <w:szCs w:val="21"/>
              </w:rPr>
            </w:pPr>
          </w:p>
          <w:p>
            <w:pPr>
              <w:keepNext w:val="0"/>
              <w:keepLines w:val="0"/>
              <w:suppressLineNumbers w:val="0"/>
              <w:spacing w:before="0" w:beforeAutospacing="0" w:after="0" w:afterAutospacing="0" w:line="360" w:lineRule="auto"/>
              <w:ind w:left="0" w:right="0"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r>
              <w:rPr>
                <w:rFonts w:hint="eastAsia" w:ascii="宋体" w:hAnsi="宋体"/>
                <w:szCs w:val="21"/>
              </w:rPr>
              <w:t>备注</w:t>
            </w:r>
          </w:p>
        </w:tc>
        <w:tc>
          <w:tcPr>
            <w:tcW w:w="6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Cs w:val="21"/>
              </w:rPr>
            </w:pPr>
          </w:p>
          <w:p>
            <w:pPr>
              <w:keepNext w:val="0"/>
              <w:keepLines w:val="0"/>
              <w:suppressLineNumbers w:val="0"/>
              <w:spacing w:before="0" w:beforeAutospacing="0" w:after="0" w:afterAutospacing="0" w:line="360" w:lineRule="auto"/>
              <w:ind w:left="0" w:right="0"/>
              <w:rPr>
                <w:rFonts w:ascii="宋体" w:hAnsi="宋体"/>
                <w:szCs w:val="21"/>
              </w:rPr>
            </w:pPr>
          </w:p>
        </w:tc>
      </w:tr>
    </w:tbl>
    <w:p>
      <w:pPr>
        <w:spacing w:line="360" w:lineRule="auto"/>
        <w:rPr>
          <w:rFonts w:ascii="宋体" w:hAnsi="宋体"/>
          <w:szCs w:val="21"/>
        </w:rPr>
      </w:pPr>
      <w:r>
        <w:rPr>
          <w:rFonts w:hint="eastAsia" w:ascii="宋体" w:hAnsi="宋体"/>
          <w:szCs w:val="21"/>
        </w:rPr>
        <w:t>注：附中标通知书和合同协议书复印件。每张表格只填写一个项目，并标明序号。</w:t>
      </w:r>
    </w:p>
    <w:p>
      <w:pPr>
        <w:pStyle w:val="5"/>
        <w:jc w:val="center"/>
        <w:rPr>
          <w:lang w:val="zh-CN"/>
        </w:rPr>
      </w:pPr>
      <w:bookmarkStart w:id="626" w:name="_Toc20233"/>
      <w:r>
        <w:rPr>
          <w:rFonts w:hint="eastAsia"/>
          <w:lang w:val="zh-CN"/>
        </w:rPr>
        <w:t>（五）近年发生的诉讼及仲裁情况</w:t>
      </w:r>
      <w:bookmarkEnd w:id="626"/>
    </w:p>
    <w:p>
      <w:pPr>
        <w:spacing w:line="360" w:lineRule="auto"/>
        <w:ind w:firstLine="420" w:firstLineChars="200"/>
        <w:rPr>
          <w:rFonts w:ascii="宋体" w:hAnsi="宋体"/>
          <w:szCs w:val="21"/>
        </w:rPr>
      </w:pPr>
      <w:r>
        <w:rPr>
          <w:rFonts w:hint="eastAsia" w:ascii="宋体" w:hAnsi="宋体"/>
          <w:szCs w:val="21"/>
        </w:rPr>
        <w:t>应说明相关情况，并附法院或仲裁机构作出的判决、裁决等有关法律文书复印件。</w:t>
      </w:r>
    </w:p>
    <w:p>
      <w:pPr>
        <w:spacing w:line="360" w:lineRule="auto"/>
        <w:rPr>
          <w:rFonts w:ascii="宋体" w:hAnsi="宋体"/>
        </w:rPr>
      </w:pPr>
    </w:p>
    <w:p>
      <w:pPr>
        <w:spacing w:line="360" w:lineRule="auto"/>
        <w:rPr>
          <w:rFonts w:ascii="宋体" w:hAnsi="宋体"/>
        </w:rPr>
        <w:sectPr>
          <w:pgSz w:w="11906" w:h="16838"/>
          <w:pgMar w:top="1701" w:right="1701" w:bottom="1418" w:left="1418" w:header="851" w:footer="992" w:gutter="0"/>
          <w:cols w:space="720" w:num="1"/>
          <w:docGrid w:type="linesAndChars" w:linePitch="312" w:charSpace="0"/>
        </w:sectPr>
      </w:pPr>
    </w:p>
    <w:p>
      <w:pPr>
        <w:pStyle w:val="5"/>
        <w:jc w:val="center"/>
      </w:pPr>
      <w:bookmarkStart w:id="627" w:name="_Toc10503"/>
      <w:r>
        <w:rPr>
          <w:rFonts w:hint="eastAsia"/>
        </w:rPr>
        <w:t>（六）白银市劳动保障监察无拖欠工资诚信证明</w:t>
      </w:r>
      <w:bookmarkEnd w:id="627"/>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招投标企业名称</w:t>
            </w:r>
          </w:p>
        </w:tc>
        <w:tc>
          <w:tcPr>
            <w:tcW w:w="6146" w:type="dxa"/>
            <w:gridSpan w:val="3"/>
          </w:tcPr>
          <w:p>
            <w:pPr>
              <w:keepNext w:val="0"/>
              <w:keepLines w:val="0"/>
              <w:suppressLineNumbers w:val="0"/>
              <w:spacing w:before="0" w:beforeAutospacing="0" w:after="0" w:afterAutospacing="0" w:line="360" w:lineRule="auto"/>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招投标项目名称</w:t>
            </w:r>
          </w:p>
        </w:tc>
        <w:tc>
          <w:tcPr>
            <w:tcW w:w="6146" w:type="dxa"/>
            <w:gridSpan w:val="3"/>
          </w:tcPr>
          <w:p>
            <w:pPr>
              <w:keepNext w:val="0"/>
              <w:keepLines w:val="0"/>
              <w:suppressLineNumbers w:val="0"/>
              <w:spacing w:before="0" w:beforeAutospacing="0" w:after="0" w:afterAutospacing="0" w:line="360" w:lineRule="auto"/>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招投标企业</w:t>
            </w:r>
          </w:p>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法定代表人</w:t>
            </w:r>
          </w:p>
        </w:tc>
        <w:tc>
          <w:tcPr>
            <w:tcW w:w="1884" w:type="dxa"/>
          </w:tcPr>
          <w:p>
            <w:pPr>
              <w:keepNext w:val="0"/>
              <w:keepLines w:val="0"/>
              <w:suppressLineNumbers w:val="0"/>
              <w:spacing w:before="0" w:beforeAutospacing="0" w:after="0" w:afterAutospacing="0" w:line="360" w:lineRule="auto"/>
              <w:ind w:left="0" w:right="0"/>
              <w:jc w:val="center"/>
              <w:rPr>
                <w:rFonts w:ascii="宋体" w:hAnsi="宋体"/>
                <w:bCs/>
                <w:szCs w:val="21"/>
              </w:rPr>
            </w:pPr>
          </w:p>
        </w:tc>
        <w:tc>
          <w:tcPr>
            <w:tcW w:w="2131"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联系电话（办）</w:t>
            </w:r>
          </w:p>
        </w:tc>
        <w:tc>
          <w:tcPr>
            <w:tcW w:w="2131"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营业执照编号或</w:t>
            </w:r>
          </w:p>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统一社会信用代码</w:t>
            </w:r>
          </w:p>
        </w:tc>
        <w:tc>
          <w:tcPr>
            <w:tcW w:w="6146" w:type="dxa"/>
            <w:gridSpan w:val="3"/>
          </w:tcPr>
          <w:p>
            <w:pPr>
              <w:keepNext w:val="0"/>
              <w:keepLines w:val="0"/>
              <w:suppressLineNumbers w:val="0"/>
              <w:spacing w:before="0" w:beforeAutospacing="0" w:after="0" w:afterAutospacing="0" w:line="360" w:lineRule="auto"/>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公司委托办理人</w:t>
            </w:r>
          </w:p>
        </w:tc>
        <w:tc>
          <w:tcPr>
            <w:tcW w:w="1884" w:type="dxa"/>
          </w:tcPr>
          <w:p>
            <w:pPr>
              <w:keepNext w:val="0"/>
              <w:keepLines w:val="0"/>
              <w:suppressLineNumbers w:val="0"/>
              <w:spacing w:before="0" w:beforeAutospacing="0" w:after="0" w:afterAutospacing="0" w:line="360" w:lineRule="auto"/>
              <w:ind w:left="0" w:right="0"/>
              <w:jc w:val="center"/>
              <w:rPr>
                <w:rFonts w:ascii="宋体" w:hAnsi="宋体"/>
                <w:bCs/>
                <w:szCs w:val="21"/>
              </w:rPr>
            </w:pPr>
          </w:p>
        </w:tc>
        <w:tc>
          <w:tcPr>
            <w:tcW w:w="2131"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联系电话（办）</w:t>
            </w:r>
          </w:p>
        </w:tc>
        <w:tc>
          <w:tcPr>
            <w:tcW w:w="2131"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营业执照登记机关</w:t>
            </w:r>
          </w:p>
        </w:tc>
        <w:tc>
          <w:tcPr>
            <w:tcW w:w="6146" w:type="dxa"/>
            <w:gridSpan w:val="3"/>
          </w:tcPr>
          <w:p>
            <w:pPr>
              <w:keepNext w:val="0"/>
              <w:keepLines w:val="0"/>
              <w:suppressLineNumbers w:val="0"/>
              <w:spacing w:before="0" w:beforeAutospacing="0" w:after="0" w:afterAutospacing="0" w:line="360" w:lineRule="auto"/>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8522" w:type="dxa"/>
            <w:gridSpan w:val="4"/>
          </w:tcPr>
          <w:p>
            <w:pPr>
              <w:keepNext w:val="0"/>
              <w:keepLines w:val="0"/>
              <w:suppressLineNumbers w:val="0"/>
              <w:spacing w:before="0" w:beforeAutospacing="0" w:after="0" w:afterAutospacing="0" w:line="360" w:lineRule="auto"/>
              <w:ind w:left="0" w:right="0" w:firstLine="210" w:firstLineChars="100"/>
              <w:jc w:val="left"/>
              <w:rPr>
                <w:rFonts w:ascii="宋体" w:hAnsi="宋体"/>
                <w:bCs/>
                <w:szCs w:val="21"/>
              </w:rPr>
            </w:pPr>
            <w:r>
              <w:rPr>
                <w:rFonts w:hint="eastAsia" w:ascii="宋体" w:hAnsi="宋体"/>
                <w:bCs/>
                <w:szCs w:val="21"/>
              </w:rPr>
              <w:t xml:space="preserve">本证明仅用于 </w:t>
            </w:r>
            <w:r>
              <w:rPr>
                <w:rFonts w:hint="eastAsia" w:ascii="宋体" w:hAnsi="宋体"/>
                <w:bCs/>
                <w:szCs w:val="21"/>
                <w:u w:val="single"/>
              </w:rPr>
              <w:t xml:space="preserve">                                           </w:t>
            </w:r>
            <w:r>
              <w:rPr>
                <w:rFonts w:hint="eastAsia" w:ascii="宋体" w:hAnsi="宋体"/>
                <w:bCs/>
                <w:szCs w:val="21"/>
              </w:rPr>
              <w:t>工程项目的招投标。</w:t>
            </w:r>
          </w:p>
          <w:p>
            <w:pPr>
              <w:keepNext w:val="0"/>
              <w:keepLines w:val="0"/>
              <w:suppressLineNumbers w:val="0"/>
              <w:spacing w:before="0" w:beforeAutospacing="0" w:after="0" w:afterAutospacing="0" w:line="360" w:lineRule="auto"/>
              <w:ind w:left="0" w:right="0" w:firstLine="4725" w:firstLineChars="2250"/>
              <w:jc w:val="center"/>
              <w:rPr>
                <w:rFonts w:ascii="宋体" w:hAnsi="宋体"/>
                <w:bCs/>
                <w:szCs w:val="21"/>
              </w:rPr>
            </w:pPr>
          </w:p>
          <w:p>
            <w:pPr>
              <w:keepNext w:val="0"/>
              <w:keepLines w:val="0"/>
              <w:suppressLineNumbers w:val="0"/>
              <w:spacing w:before="0" w:beforeAutospacing="0" w:after="0" w:afterAutospacing="0" w:line="360" w:lineRule="auto"/>
              <w:ind w:left="0" w:right="0" w:firstLine="4725" w:firstLineChars="2250"/>
              <w:jc w:val="center"/>
              <w:rPr>
                <w:rFonts w:ascii="宋体" w:hAnsi="宋体"/>
                <w:bCs/>
                <w:szCs w:val="21"/>
              </w:rPr>
            </w:pPr>
            <w:r>
              <w:rPr>
                <w:rFonts w:hint="eastAsia" w:ascii="宋体" w:hAnsi="宋体"/>
                <w:bCs/>
                <w:szCs w:val="21"/>
              </w:rPr>
              <w:t>招投标企业（盖章）</w:t>
            </w:r>
          </w:p>
          <w:p>
            <w:pPr>
              <w:keepNext w:val="0"/>
              <w:keepLines w:val="0"/>
              <w:suppressLineNumbers w:val="0"/>
              <w:spacing w:before="0" w:beforeAutospacing="0" w:after="0" w:afterAutospacing="0" w:line="360" w:lineRule="auto"/>
              <w:ind w:left="0" w:right="0" w:firstLine="5212" w:firstLineChars="2482"/>
              <w:jc w:val="center"/>
              <w:rPr>
                <w:rFonts w:ascii="宋体" w:hAnsi="宋体"/>
                <w:bCs/>
                <w:szCs w:val="21"/>
              </w:rPr>
            </w:pPr>
            <w:r>
              <w:rPr>
                <w:rFonts w:hint="eastAsia" w:ascii="宋体" w:hAnsi="宋体"/>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4260" w:type="dxa"/>
            <w:gridSpan w:val="2"/>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县（区）劳动保障监察机构审核签章栏：</w:t>
            </w: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 xml:space="preserve">                    年  月  日</w:t>
            </w:r>
          </w:p>
        </w:tc>
        <w:tc>
          <w:tcPr>
            <w:tcW w:w="4262" w:type="dxa"/>
            <w:gridSpan w:val="2"/>
          </w:tcPr>
          <w:p>
            <w:pPr>
              <w:keepNext w:val="0"/>
              <w:keepLines w:val="0"/>
              <w:suppressLineNumbers w:val="0"/>
              <w:spacing w:before="0" w:beforeAutospacing="0" w:after="0" w:afterAutospacing="0" w:line="360" w:lineRule="auto"/>
              <w:ind w:left="0" w:right="0"/>
              <w:rPr>
                <w:rFonts w:ascii="宋体" w:hAnsi="宋体"/>
                <w:bCs/>
                <w:szCs w:val="21"/>
              </w:rPr>
            </w:pPr>
            <w:r>
              <w:rPr>
                <w:rFonts w:hint="eastAsia" w:ascii="宋体" w:hAnsi="宋体"/>
                <w:bCs/>
                <w:szCs w:val="21"/>
              </w:rPr>
              <w:t>外埠企业注册地市级劳动保障监察机构审核签章栏：</w:t>
            </w:r>
          </w:p>
          <w:p>
            <w:pPr>
              <w:keepNext w:val="0"/>
              <w:keepLines w:val="0"/>
              <w:suppressLineNumbers w:val="0"/>
              <w:spacing w:before="0" w:beforeAutospacing="0" w:after="0" w:afterAutospacing="0" w:line="360" w:lineRule="auto"/>
              <w:ind w:left="0" w:right="0" w:firstLine="4725" w:firstLineChars="2250"/>
              <w:jc w:val="center"/>
              <w:rPr>
                <w:rFonts w:ascii="宋体" w:hAnsi="宋体"/>
                <w:bCs/>
                <w:szCs w:val="21"/>
              </w:rPr>
            </w:pPr>
            <w:r>
              <w:rPr>
                <w:rFonts w:hint="eastAsia" w:ascii="宋体" w:hAnsi="宋体"/>
                <w:bCs/>
                <w:szCs w:val="21"/>
              </w:rPr>
              <w:t>年</w:t>
            </w:r>
          </w:p>
          <w:p>
            <w:pPr>
              <w:keepNext w:val="0"/>
              <w:keepLines w:val="0"/>
              <w:suppressLineNumbers w:val="0"/>
              <w:spacing w:before="0" w:beforeAutospacing="0" w:after="0" w:afterAutospacing="0" w:line="360" w:lineRule="auto"/>
              <w:ind w:left="2633" w:leftChars="1254" w:right="0" w:firstLine="2415" w:firstLineChars="1150"/>
              <w:jc w:val="center"/>
              <w:rPr>
                <w:rFonts w:ascii="宋体" w:hAnsi="宋体"/>
                <w:bCs/>
                <w:szCs w:val="21"/>
              </w:rPr>
            </w:pPr>
          </w:p>
          <w:p>
            <w:pPr>
              <w:keepNext w:val="0"/>
              <w:keepLines w:val="0"/>
              <w:suppressLineNumbers w:val="0"/>
              <w:spacing w:before="0" w:beforeAutospacing="0" w:after="0" w:afterAutospacing="0" w:line="360" w:lineRule="auto"/>
              <w:ind w:left="2633" w:leftChars="1254" w:right="0"/>
              <w:rPr>
                <w:rFonts w:ascii="宋体" w:hAnsi="宋体"/>
                <w:bCs/>
                <w:szCs w:val="21"/>
              </w:rPr>
            </w:pPr>
          </w:p>
          <w:p>
            <w:pPr>
              <w:keepNext w:val="0"/>
              <w:keepLines w:val="0"/>
              <w:suppressLineNumbers w:val="0"/>
              <w:spacing w:before="0" w:beforeAutospacing="0" w:after="0" w:afterAutospacing="0" w:line="360" w:lineRule="auto"/>
              <w:ind w:left="2633" w:leftChars="1254" w:right="0"/>
              <w:rPr>
                <w:rFonts w:ascii="宋体" w:hAnsi="宋体"/>
                <w:bCs/>
                <w:szCs w:val="21"/>
              </w:rPr>
            </w:pPr>
            <w:r>
              <w:rPr>
                <w:rFonts w:hint="eastAsia" w:ascii="宋体" w:hAnsi="宋体"/>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8522" w:type="dxa"/>
            <w:gridSpan w:val="4"/>
          </w:tcPr>
          <w:p>
            <w:pPr>
              <w:keepNext w:val="0"/>
              <w:keepLines w:val="0"/>
              <w:suppressLineNumbers w:val="0"/>
              <w:spacing w:before="0" w:beforeAutospacing="0" w:after="0" w:afterAutospacing="0" w:line="360" w:lineRule="auto"/>
              <w:ind w:left="0" w:right="0"/>
              <w:rPr>
                <w:rFonts w:ascii="宋体" w:hAnsi="宋体"/>
                <w:bCs/>
                <w:szCs w:val="21"/>
              </w:rPr>
            </w:pPr>
            <w:r>
              <w:rPr>
                <w:rFonts w:hint="eastAsia" w:ascii="宋体" w:hAnsi="宋体"/>
                <w:bCs/>
                <w:szCs w:val="21"/>
              </w:rPr>
              <w:t>市级劳动保障监察机构审核签章栏：</w:t>
            </w: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p>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 xml:space="preserve">                                                        年 月 日</w:t>
            </w:r>
          </w:p>
        </w:tc>
      </w:tr>
    </w:tbl>
    <w:p>
      <w:pPr>
        <w:spacing w:line="320" w:lineRule="exact"/>
        <w:rPr>
          <w:rFonts w:ascii="仿宋_GB2312" w:eastAsia="仿宋_GB2312"/>
          <w:color w:val="000000"/>
          <w:sz w:val="24"/>
        </w:rPr>
      </w:pPr>
      <w:r>
        <w:rPr>
          <w:rFonts w:hint="eastAsia" w:ascii="宋体" w:hAnsi="宋体"/>
          <w:bCs/>
          <w:szCs w:val="21"/>
        </w:rPr>
        <w:t>注：此表一式两份，一份交招投标企业，一份监察机构留存。证明有限期15天。</w:t>
      </w:r>
    </w:p>
    <w:p>
      <w:p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b/>
          <w:bCs/>
          <w:szCs w:val="21"/>
        </w:rPr>
      </w:pPr>
      <w:r>
        <w:rPr>
          <w:rFonts w:hint="eastAsia" w:ascii="宋体" w:hAnsi="宋体"/>
          <w:b/>
          <w:bCs/>
          <w:szCs w:val="21"/>
        </w:rPr>
        <w:t>白银市劳动保障监察无拖欠工资诚信证明办理指南：</w:t>
      </w:r>
    </w:p>
    <w:p>
      <w:pPr>
        <w:spacing w:line="360" w:lineRule="auto"/>
        <w:ind w:firstLine="308" w:firstLineChars="147"/>
        <w:rPr>
          <w:rFonts w:ascii="宋体" w:hAnsi="宋体"/>
          <w:bCs/>
          <w:szCs w:val="21"/>
        </w:rPr>
      </w:pPr>
      <w:r>
        <w:rPr>
          <w:rFonts w:hint="eastAsia" w:ascii="宋体" w:hAnsi="宋体"/>
          <w:bCs/>
          <w:szCs w:val="21"/>
        </w:rPr>
        <w:t>1、投标人在本市各县区工商行政管理部门注册的，由本县区劳动保障监察机构审核、市劳动保障监察机构复核后出具“无拖欠工资诚信证明”。</w:t>
      </w:r>
    </w:p>
    <w:p>
      <w:pPr>
        <w:spacing w:line="360" w:lineRule="auto"/>
        <w:ind w:firstLine="308" w:firstLineChars="147"/>
        <w:rPr>
          <w:rFonts w:ascii="宋体" w:hAnsi="宋体"/>
          <w:bCs/>
          <w:szCs w:val="21"/>
        </w:rPr>
      </w:pPr>
      <w:r>
        <w:rPr>
          <w:rFonts w:hint="eastAsia" w:ascii="宋体" w:hAnsi="宋体"/>
          <w:bCs/>
          <w:szCs w:val="21"/>
        </w:rPr>
        <w:t>2、投标人在本市工商行政管理部门注册的，由市劳动保障监察机构审核并出具“无拖欠工资诚信证明”。</w:t>
      </w:r>
    </w:p>
    <w:p>
      <w:pPr>
        <w:spacing w:line="360" w:lineRule="auto"/>
        <w:ind w:firstLine="420" w:firstLineChars="200"/>
        <w:rPr>
          <w:rFonts w:ascii="宋体" w:hAnsi="宋体"/>
        </w:rPr>
      </w:pPr>
      <w:r>
        <w:rPr>
          <w:rFonts w:hint="eastAsia" w:ascii="宋体" w:hAnsi="宋体"/>
          <w:bCs/>
          <w:szCs w:val="21"/>
        </w:rPr>
        <w:t>3、外埠企业持注册地市级劳动保障监察机构出具的无欠薪证明原件（格式不限），由白银市劳动保障监察机构在《劳动保障监察无拖欠工资诚信证明》市级劳动保障监察机构审核签章栏签注意见并加盖公章后（如需要复印件可加盖白银市劳动保障监察机构印章）即可参与投标，无欠薪证明原件由白银市人力资源和社会保障局予以保留。</w:t>
      </w:r>
    </w:p>
    <w:p>
      <w:pPr>
        <w:widowControl/>
        <w:spacing w:line="360" w:lineRule="auto"/>
        <w:jc w:val="left"/>
        <w:rPr>
          <w:rFonts w:ascii="宋体" w:hAnsi="宋体"/>
        </w:rPr>
        <w:sectPr>
          <w:pgSz w:w="11906" w:h="16838"/>
          <w:pgMar w:top="1701" w:right="1701" w:bottom="1418" w:left="1418" w:header="851" w:footer="992" w:gutter="0"/>
          <w:cols w:space="720" w:num="1"/>
          <w:docGrid w:type="linesAndChars" w:linePitch="312" w:charSpace="0"/>
        </w:sectPr>
      </w:pPr>
    </w:p>
    <w:p>
      <w:pPr>
        <w:keepNext/>
        <w:keepLines/>
        <w:spacing w:before="260" w:after="260" w:line="416" w:lineRule="auto"/>
        <w:jc w:val="center"/>
        <w:outlineLvl w:val="1"/>
        <w:rPr>
          <w:rFonts w:ascii="宋体" w:hAnsi="宋体"/>
          <w:b/>
          <w:bCs/>
          <w:sz w:val="32"/>
          <w:szCs w:val="32"/>
        </w:rPr>
      </w:pPr>
      <w:bookmarkStart w:id="628" w:name="_Toc244003688"/>
      <w:bookmarkStart w:id="629" w:name="_Toc244927733"/>
      <w:bookmarkStart w:id="630" w:name="_Toc240449583"/>
      <w:bookmarkStart w:id="631" w:name="_Toc184635148"/>
      <w:bookmarkStart w:id="632" w:name="_Toc240450175"/>
      <w:bookmarkStart w:id="633" w:name="_Toc285640812"/>
      <w:bookmarkStart w:id="634" w:name="_Toc285638720"/>
      <w:bookmarkStart w:id="635" w:name="_Toc374552210"/>
      <w:bookmarkStart w:id="636" w:name="_Toc6848"/>
      <w:r>
        <w:rPr>
          <w:rFonts w:hint="eastAsia" w:ascii="宋体" w:hAnsi="宋体"/>
          <w:b/>
          <w:bCs/>
          <w:sz w:val="32"/>
          <w:szCs w:val="32"/>
          <w:u w:val="single"/>
        </w:rPr>
        <w:t>十一</w:t>
      </w:r>
      <w:r>
        <w:rPr>
          <w:rFonts w:hint="eastAsia" w:ascii="宋体" w:hAnsi="宋体"/>
          <w:b/>
          <w:bCs/>
          <w:sz w:val="32"/>
          <w:szCs w:val="32"/>
        </w:rPr>
        <w:t>、其他</w:t>
      </w:r>
      <w:bookmarkEnd w:id="628"/>
      <w:bookmarkEnd w:id="629"/>
      <w:bookmarkEnd w:id="630"/>
      <w:bookmarkEnd w:id="631"/>
      <w:bookmarkEnd w:id="632"/>
      <w:r>
        <w:rPr>
          <w:rFonts w:hint="eastAsia" w:ascii="宋体" w:hAnsi="宋体"/>
          <w:b/>
          <w:bCs/>
          <w:sz w:val="32"/>
          <w:szCs w:val="32"/>
        </w:rPr>
        <w:t>材料</w:t>
      </w:r>
      <w:bookmarkEnd w:id="633"/>
      <w:bookmarkEnd w:id="634"/>
      <w:bookmarkEnd w:id="635"/>
      <w:bookmarkEnd w:id="636"/>
    </w:p>
    <w:p>
      <w:r>
        <w:rPr>
          <w:rFonts w:hint="eastAsia"/>
        </w:rPr>
        <w:t>见投标人须知</w:t>
      </w:r>
      <w:r>
        <w:t>3.1</w:t>
      </w:r>
    </w:p>
    <w:p>
      <w:pPr>
        <w:keepNext/>
        <w:keepLines/>
        <w:spacing w:line="360" w:lineRule="auto"/>
        <w:jc w:val="center"/>
        <w:outlineLvl w:val="0"/>
        <w:rPr>
          <w:b/>
          <w:bCs/>
          <w:kern w:val="44"/>
          <w:sz w:val="32"/>
          <w:szCs w:val="44"/>
          <w:lang w:val="zh-CN"/>
        </w:rPr>
      </w:pPr>
      <w:r>
        <w:rPr>
          <w:b/>
          <w:bCs/>
          <w:kern w:val="44"/>
          <w:sz w:val="32"/>
          <w:szCs w:val="44"/>
          <w:lang w:val="zh-CN"/>
        </w:rPr>
        <w:br w:type="page"/>
      </w:r>
      <w:bookmarkStart w:id="637" w:name="_Toc3052"/>
      <w:r>
        <w:rPr>
          <w:rFonts w:hint="eastAsia" w:ascii="宋体" w:hAnsi="宋体"/>
          <w:b/>
          <w:bCs/>
          <w:kern w:val="44"/>
          <w:sz w:val="44"/>
          <w:szCs w:val="44"/>
          <w:lang w:val="zh-CN"/>
        </w:rPr>
        <w:t>第九章  其他材料</w:t>
      </w:r>
      <w:bookmarkEnd w:id="637"/>
    </w:p>
    <w:p>
      <w:pPr>
        <w:jc w:val="center"/>
        <w:rPr>
          <w:b/>
          <w:sz w:val="36"/>
          <w:szCs w:val="36"/>
        </w:rPr>
      </w:pPr>
      <w:r>
        <w:rPr>
          <w:rFonts w:hint="eastAsia"/>
          <w:b/>
          <w:sz w:val="36"/>
          <w:szCs w:val="36"/>
        </w:rPr>
        <w:t>开标一览表</w:t>
      </w:r>
    </w:p>
    <w:tbl>
      <w:tblPr>
        <w:tblStyle w:val="36"/>
        <w:tblW w:w="8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2002"/>
        <w:gridCol w:w="1113"/>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工程名称：</w:t>
            </w:r>
          </w:p>
        </w:tc>
        <w:tc>
          <w:tcPr>
            <w:tcW w:w="62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总工期</w:t>
            </w:r>
            <w:r>
              <w:rPr>
                <w:szCs w:val="21"/>
              </w:rPr>
              <w:br w:type="textWrapping"/>
            </w:r>
            <w:r>
              <w:rPr>
                <w:rFonts w:hint="eastAsia"/>
                <w:szCs w:val="21"/>
              </w:rPr>
              <w:t>（日历天）</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开工日期</w:t>
            </w:r>
          </w:p>
        </w:tc>
        <w:tc>
          <w:tcPr>
            <w:tcW w:w="31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u w:val="single"/>
              </w:rPr>
            </w:pPr>
          </w:p>
        </w:tc>
        <w:tc>
          <w:tcPr>
            <w:tcW w:w="31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u w:val="single"/>
              </w:rPr>
            </w:pPr>
          </w:p>
        </w:tc>
        <w:tc>
          <w:tcPr>
            <w:tcW w:w="31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质量等级</w:t>
            </w:r>
          </w:p>
        </w:tc>
        <w:tc>
          <w:tcPr>
            <w:tcW w:w="62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2255"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投标报价</w:t>
            </w:r>
          </w:p>
          <w:p>
            <w:pPr>
              <w:keepNext w:val="0"/>
              <w:keepLines w:val="0"/>
              <w:suppressLineNumbers w:val="0"/>
              <w:spacing w:before="0" w:beforeAutospacing="0" w:after="0" w:afterAutospacing="0"/>
              <w:ind w:left="0" w:right="0"/>
              <w:jc w:val="center"/>
              <w:rPr>
                <w:szCs w:val="21"/>
              </w:rPr>
            </w:pPr>
            <w:r>
              <w:rPr>
                <w:rFonts w:hint="eastAsia"/>
                <w:szCs w:val="21"/>
              </w:rPr>
              <w:t>（元）</w:t>
            </w:r>
          </w:p>
        </w:tc>
        <w:tc>
          <w:tcPr>
            <w:tcW w:w="6231"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szCs w:val="21"/>
              </w:rPr>
            </w:pPr>
            <w:r>
              <w:rPr>
                <w:rFonts w:hint="eastAsia"/>
                <w:szCs w:val="21"/>
              </w:rPr>
              <w:t>大写：</w:t>
            </w:r>
          </w:p>
          <w:p>
            <w:pPr>
              <w:keepNext w:val="0"/>
              <w:keepLines w:val="0"/>
              <w:suppressLineNumbers w:val="0"/>
              <w:spacing w:before="0" w:beforeAutospacing="0" w:after="0" w:afterAutospacing="0"/>
              <w:ind w:left="0" w:right="0" w:firstLine="210" w:firstLineChars="100"/>
              <w:rPr>
                <w:szCs w:val="21"/>
              </w:rPr>
            </w:pPr>
            <w:r>
              <w:rPr>
                <w:rFonts w:hint="eastAsia"/>
                <w:szCs w:val="21"/>
              </w:rPr>
              <w:t>￥：</w:t>
            </w:r>
          </w:p>
          <w:p>
            <w:pPr>
              <w:keepNext w:val="0"/>
              <w:keepLines w:val="0"/>
              <w:suppressLineNumbers w:val="0"/>
              <w:spacing w:before="0" w:beforeAutospacing="0" w:after="0" w:afterAutospacing="0"/>
              <w:ind w:left="0" w:right="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9" w:hRule="atLeast"/>
        </w:trPr>
        <w:tc>
          <w:tcPr>
            <w:tcW w:w="42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p>
          <w:p>
            <w:pPr>
              <w:keepNext w:val="0"/>
              <w:keepLines w:val="0"/>
              <w:suppressLineNumbers w:val="0"/>
              <w:spacing w:before="0" w:beforeAutospacing="0" w:after="0" w:afterAutospacing="0"/>
              <w:ind w:left="0" w:right="0"/>
              <w:jc w:val="center"/>
              <w:rPr>
                <w:szCs w:val="21"/>
              </w:rPr>
            </w:pPr>
          </w:p>
          <w:p>
            <w:pPr>
              <w:keepNext w:val="0"/>
              <w:keepLines w:val="0"/>
              <w:suppressLineNumbers w:val="0"/>
              <w:spacing w:before="0" w:beforeAutospacing="0" w:after="0" w:afterAutospacing="0"/>
              <w:ind w:left="0" w:right="0"/>
              <w:jc w:val="center"/>
              <w:rPr>
                <w:szCs w:val="21"/>
              </w:rPr>
            </w:pPr>
          </w:p>
          <w:p>
            <w:pPr>
              <w:keepNext w:val="0"/>
              <w:keepLines w:val="0"/>
              <w:suppressLineNumbers w:val="0"/>
              <w:spacing w:before="0" w:beforeAutospacing="0" w:after="0" w:afterAutospacing="0"/>
              <w:ind w:left="0" w:right="0"/>
              <w:jc w:val="center"/>
              <w:rPr>
                <w:szCs w:val="21"/>
              </w:rPr>
            </w:pPr>
          </w:p>
          <w:p>
            <w:pPr>
              <w:keepNext w:val="0"/>
              <w:keepLines w:val="0"/>
              <w:suppressLineNumbers w:val="0"/>
              <w:spacing w:before="0" w:beforeAutospacing="0" w:after="0" w:afterAutospacing="0"/>
              <w:ind w:left="0" w:right="0"/>
              <w:jc w:val="center"/>
              <w:rPr>
                <w:szCs w:val="21"/>
              </w:rPr>
            </w:pPr>
            <w:r>
              <w:rPr>
                <w:rFonts w:hint="eastAsia"/>
                <w:szCs w:val="21"/>
              </w:rPr>
              <w:t>投标人：（盖章）</w:t>
            </w:r>
          </w:p>
          <w:p>
            <w:pPr>
              <w:keepNext w:val="0"/>
              <w:keepLines w:val="0"/>
              <w:suppressLineNumbers w:val="0"/>
              <w:spacing w:before="0" w:beforeAutospacing="0" w:after="0" w:afterAutospacing="0"/>
              <w:ind w:left="0" w:right="0"/>
              <w:jc w:val="center"/>
              <w:rPr>
                <w:szCs w:val="21"/>
              </w:rPr>
            </w:pPr>
          </w:p>
          <w:p>
            <w:pPr>
              <w:keepNext w:val="0"/>
              <w:keepLines w:val="0"/>
              <w:suppressLineNumbers w:val="0"/>
              <w:spacing w:before="0" w:beforeAutospacing="0" w:after="0" w:afterAutospacing="0"/>
              <w:ind w:left="0" w:right="0"/>
              <w:jc w:val="center"/>
              <w:rPr>
                <w:szCs w:val="21"/>
              </w:rPr>
            </w:pPr>
          </w:p>
        </w:tc>
        <w:tc>
          <w:tcPr>
            <w:tcW w:w="42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法定代表人或委托代理人：</w:t>
            </w:r>
          </w:p>
          <w:p>
            <w:pPr>
              <w:keepNext w:val="0"/>
              <w:keepLines w:val="0"/>
              <w:suppressLineNumbers w:val="0"/>
              <w:spacing w:before="0" w:beforeAutospacing="0" w:after="0" w:afterAutospacing="0"/>
              <w:ind w:left="0" w:right="0"/>
              <w:jc w:val="center"/>
              <w:rPr>
                <w:szCs w:val="21"/>
              </w:rPr>
            </w:pPr>
            <w:r>
              <w:rPr>
                <w:rFonts w:hint="eastAsia"/>
                <w:szCs w:val="21"/>
              </w:rPr>
              <w:t>（签字或盖章）</w:t>
            </w:r>
          </w:p>
        </w:tc>
      </w:tr>
    </w:tbl>
    <w:p>
      <w:pPr>
        <w:rPr>
          <w:u w:val="single"/>
        </w:rPr>
      </w:pPr>
    </w:p>
    <w:p>
      <w:pPr>
        <w:rPr>
          <w:u w:val="single"/>
        </w:rPr>
      </w:pPr>
      <w:r>
        <w:rPr>
          <w:rFonts w:hint="eastAsia"/>
          <w:szCs w:val="21"/>
        </w:rPr>
        <w:t>注：开标一览表一式两份，请与投标保证金缴纳凭证统一装在单独的投标函信封中，开标一览表同时装订在投标书内。密封要求同投标文件。</w:t>
      </w:r>
    </w:p>
    <w:p>
      <w:pPr>
        <w:pStyle w:val="5"/>
        <w:jc w:val="center"/>
        <w:rPr>
          <w:sz w:val="36"/>
          <w:szCs w:val="36"/>
        </w:rPr>
      </w:pPr>
      <w:bookmarkStart w:id="638" w:name="_Toc509493469"/>
      <w:bookmarkStart w:id="639" w:name="_Toc21776"/>
      <w:r>
        <w:rPr>
          <w:rFonts w:hint="eastAsia"/>
          <w:sz w:val="36"/>
          <w:szCs w:val="36"/>
        </w:rPr>
        <w:t>同意招标文件条款声明</w:t>
      </w:r>
      <w:bookmarkEnd w:id="638"/>
      <w:bookmarkEnd w:id="639"/>
    </w:p>
    <w:p>
      <w:pPr>
        <w:spacing w:line="320" w:lineRule="exact"/>
        <w:jc w:val="center"/>
        <w:rPr>
          <w:rFonts w:ascii="宋体" w:hAnsi="宋体"/>
          <w:b/>
          <w:sz w:val="28"/>
          <w:szCs w:val="28"/>
        </w:rPr>
      </w:pPr>
    </w:p>
    <w:p>
      <w:pPr>
        <w:spacing w:line="360" w:lineRule="auto"/>
        <w:jc w:val="left"/>
        <w:rPr>
          <w:rFonts w:ascii="宋体" w:hAnsi="宋体" w:cs="宋体"/>
          <w:szCs w:val="21"/>
        </w:rPr>
      </w:pPr>
      <w:r>
        <w:rPr>
          <w:rFonts w:hint="eastAsia" w:ascii="宋体" w:hAnsi="宋体" w:cs="宋体"/>
          <w:szCs w:val="21"/>
        </w:rPr>
        <w:t>致(采购人)：</w:t>
      </w:r>
    </w:p>
    <w:p>
      <w:pPr>
        <w:spacing w:line="360" w:lineRule="auto"/>
        <w:ind w:firstLine="525" w:firstLineChars="250"/>
        <w:jc w:val="left"/>
        <w:rPr>
          <w:rFonts w:ascii="宋体" w:hAnsi="宋体" w:cs="宋体"/>
          <w:szCs w:val="21"/>
        </w:rPr>
      </w:pPr>
      <w:r>
        <w:rPr>
          <w:rFonts w:hint="eastAsia" w:ascii="宋体" w:hAnsi="宋体" w:cs="宋体"/>
          <w:szCs w:val="21"/>
        </w:rPr>
        <w:t>为响应你方组织的_____________采购项目，项目编号为：，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w:t>
      </w:r>
    </w:p>
    <w:p>
      <w:pPr>
        <w:spacing w:line="360" w:lineRule="auto"/>
        <w:jc w:val="left"/>
        <w:rPr>
          <w:rFonts w:ascii="宋体" w:hAnsi="宋体" w:cs="宋体"/>
          <w:szCs w:val="21"/>
        </w:rPr>
      </w:pPr>
      <w:r>
        <w:rPr>
          <w:rFonts w:hint="eastAsia" w:ascii="宋体" w:hAnsi="宋体" w:cs="宋体"/>
          <w:szCs w:val="21"/>
        </w:rPr>
        <w:t>投标后不再对招标文件的任何条款提出质疑或异议。</w:t>
      </w:r>
    </w:p>
    <w:p>
      <w:pPr>
        <w:spacing w:line="360" w:lineRule="auto"/>
        <w:ind w:firstLine="420" w:firstLineChars="200"/>
        <w:jc w:val="left"/>
        <w:rPr>
          <w:rFonts w:ascii="宋体" w:hAnsi="宋体" w:cs="宋体"/>
          <w:szCs w:val="21"/>
        </w:rPr>
      </w:pPr>
      <w:r>
        <w:rPr>
          <w:rFonts w:hint="eastAsia" w:ascii="宋体" w:hAnsi="宋体" w:cs="宋体"/>
          <w:szCs w:val="21"/>
        </w:rPr>
        <w:t>特此声明。</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投标人(公章)：___________________________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法定地址：______________________________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邮编：__________________________________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授权代表（签字或盖章）：_________________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姓名（印刷体）：_________________________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电话：__________________________________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传真：__________________________________</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年    月    日</w:t>
      </w:r>
    </w:p>
    <w:p>
      <w:pPr>
        <w:spacing w:line="360" w:lineRule="auto"/>
        <w:jc w:val="left"/>
        <w:rPr>
          <w:rFonts w:ascii="宋体" w:hAnsi="宋体" w:cs="宋体"/>
          <w:sz w:val="24"/>
        </w:rPr>
      </w:pPr>
    </w:p>
    <w:p>
      <w:pPr>
        <w:snapToGrid w:val="0"/>
        <w:spacing w:line="300" w:lineRule="auto"/>
        <w:rPr>
          <w:sz w:val="36"/>
          <w:szCs w:val="36"/>
        </w:rPr>
      </w:pPr>
      <w:bookmarkStart w:id="640" w:name="_Toc509493470"/>
    </w:p>
    <w:p>
      <w:pPr>
        <w:snapToGrid w:val="0"/>
        <w:spacing w:line="300" w:lineRule="auto"/>
        <w:rPr>
          <w:b/>
          <w:sz w:val="36"/>
          <w:szCs w:val="36"/>
        </w:rPr>
      </w:pPr>
    </w:p>
    <w:p>
      <w:pPr>
        <w:snapToGrid w:val="0"/>
        <w:spacing w:line="300" w:lineRule="auto"/>
        <w:rPr>
          <w:rFonts w:ascii="宋体" w:hAnsi="宋体"/>
          <w:b/>
          <w:sz w:val="28"/>
          <w:szCs w:val="28"/>
        </w:rPr>
      </w:pPr>
      <w:r>
        <w:rPr>
          <w:rFonts w:hint="eastAsia"/>
          <w:b/>
          <w:sz w:val="36"/>
          <w:szCs w:val="36"/>
        </w:rPr>
        <w:t>附</w:t>
      </w:r>
      <w:r>
        <w:rPr>
          <w:b/>
          <w:sz w:val="36"/>
          <w:szCs w:val="36"/>
        </w:rPr>
        <w:t>件</w:t>
      </w:r>
      <w:bookmarkEnd w:id="640"/>
      <w:r>
        <w:rPr>
          <w:rFonts w:hint="eastAsia" w:ascii="宋体" w:hAnsi="宋体"/>
          <w:b/>
          <w:sz w:val="28"/>
          <w:szCs w:val="28"/>
        </w:rPr>
        <w:t xml:space="preserve"> ：            </w:t>
      </w:r>
    </w:p>
    <w:p>
      <w:pPr>
        <w:snapToGrid w:val="0"/>
        <w:spacing w:line="300" w:lineRule="auto"/>
        <w:jc w:val="center"/>
        <w:rPr>
          <w:rFonts w:ascii="Calibri" w:hAnsi="Calibri"/>
          <w:bCs/>
          <w:szCs w:val="21"/>
        </w:rPr>
      </w:pPr>
      <w:r>
        <w:rPr>
          <w:rFonts w:hint="eastAsia" w:ascii="宋体" w:hAnsi="宋体"/>
          <w:b/>
          <w:sz w:val="28"/>
          <w:szCs w:val="28"/>
        </w:rPr>
        <w:t>财政部工业和信息化部文件</w:t>
      </w:r>
    </w:p>
    <w:p>
      <w:pPr>
        <w:spacing w:line="480" w:lineRule="exact"/>
        <w:ind w:firstLine="422" w:firstLineChars="200"/>
        <w:jc w:val="center"/>
        <w:rPr>
          <w:rFonts w:ascii="宋体" w:hAnsi="宋体"/>
          <w:b/>
          <w:szCs w:val="21"/>
        </w:rPr>
      </w:pPr>
      <w:r>
        <w:rPr>
          <w:rFonts w:hint="eastAsia" w:ascii="宋体" w:hAnsi="宋体"/>
          <w:b/>
          <w:szCs w:val="21"/>
        </w:rPr>
        <w:t>财库〔2011〕181号</w:t>
      </w:r>
    </w:p>
    <w:p>
      <w:pPr>
        <w:spacing w:line="500" w:lineRule="exact"/>
        <w:ind w:firstLine="420" w:firstLineChars="200"/>
        <w:rPr>
          <w:rFonts w:ascii="宋体" w:hAnsi="宋体"/>
          <w:szCs w:val="21"/>
        </w:rPr>
      </w:pPr>
      <w:r>
        <w:rPr>
          <w:rFonts w:hint="eastAsia" w:ascii="宋体" w:hAnsi="宋体"/>
          <w:szCs w:val="21"/>
        </w:rPr>
        <w:t>关于印发《政府采购促进中小企业发展暂行办法》的通知</w:t>
      </w:r>
    </w:p>
    <w:p>
      <w:pPr>
        <w:spacing w:line="500" w:lineRule="exact"/>
        <w:ind w:firstLine="420" w:firstLineChars="200"/>
        <w:rPr>
          <w:rFonts w:ascii="宋体" w:hAnsi="宋体"/>
          <w:szCs w:val="21"/>
        </w:rPr>
      </w:pPr>
      <w:r>
        <w:rPr>
          <w:rFonts w:hint="eastAsia" w:ascii="宋体" w:hAnsi="宋体"/>
          <w:szCs w:val="21"/>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p>
    <w:p>
      <w:pPr>
        <w:spacing w:line="500" w:lineRule="exact"/>
        <w:ind w:firstLine="420" w:firstLineChars="200"/>
        <w:rPr>
          <w:rFonts w:ascii="宋体" w:hAnsi="宋体"/>
          <w:szCs w:val="21"/>
        </w:rPr>
      </w:pPr>
      <w:r>
        <w:rPr>
          <w:rFonts w:hint="eastAsia" w:ascii="宋体" w:hAnsi="宋体"/>
          <w:szCs w:val="21"/>
        </w:rPr>
        <w:t>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p>
    <w:p>
      <w:pPr>
        <w:spacing w:line="500" w:lineRule="exact"/>
        <w:ind w:firstLine="420" w:firstLineChars="200"/>
        <w:rPr>
          <w:rFonts w:ascii="宋体" w:hAnsi="宋体"/>
          <w:szCs w:val="21"/>
        </w:rPr>
      </w:pPr>
      <w:r>
        <w:rPr>
          <w:rFonts w:hint="eastAsia" w:ascii="宋体" w:hAnsi="宋体"/>
          <w:szCs w:val="21"/>
        </w:rPr>
        <w:t>附件：政府采购促进中小企业发展暂行办法</w:t>
      </w:r>
    </w:p>
    <w:p>
      <w:pPr>
        <w:spacing w:line="500" w:lineRule="exact"/>
        <w:ind w:firstLine="420" w:firstLineChars="200"/>
        <w:rPr>
          <w:rFonts w:ascii="宋体" w:hAnsi="宋体"/>
          <w:szCs w:val="21"/>
        </w:rPr>
      </w:pPr>
      <w:r>
        <w:rPr>
          <w:rFonts w:hint="eastAsia" w:ascii="宋体" w:hAnsi="宋体"/>
          <w:szCs w:val="21"/>
        </w:rPr>
        <w:t>　　　　</w:t>
      </w:r>
    </w:p>
    <w:p>
      <w:pPr>
        <w:spacing w:line="500" w:lineRule="exact"/>
        <w:ind w:firstLine="420" w:firstLineChars="200"/>
        <w:rPr>
          <w:rFonts w:ascii="宋体" w:hAnsi="宋体"/>
          <w:szCs w:val="21"/>
        </w:rPr>
      </w:pPr>
      <w:r>
        <w:rPr>
          <w:rFonts w:hint="eastAsia" w:ascii="宋体" w:hAnsi="宋体"/>
          <w:szCs w:val="21"/>
        </w:rPr>
        <w:t xml:space="preserve">   财政部</w:t>
      </w:r>
    </w:p>
    <w:p>
      <w:pPr>
        <w:spacing w:line="500" w:lineRule="exact"/>
        <w:ind w:firstLine="420" w:firstLineChars="200"/>
        <w:rPr>
          <w:rFonts w:ascii="宋体" w:hAnsi="宋体"/>
          <w:szCs w:val="21"/>
        </w:rPr>
      </w:pPr>
      <w:r>
        <w:rPr>
          <w:rFonts w:hint="eastAsia" w:ascii="宋体" w:hAnsi="宋体"/>
          <w:szCs w:val="21"/>
        </w:rPr>
        <w:t xml:space="preserve">   工业和信息化部</w:t>
      </w:r>
    </w:p>
    <w:p>
      <w:pPr>
        <w:spacing w:line="500" w:lineRule="exact"/>
        <w:ind w:firstLine="420" w:firstLineChars="200"/>
        <w:rPr>
          <w:rFonts w:ascii="宋体" w:hAnsi="宋体"/>
          <w:sz w:val="24"/>
          <w:szCs w:val="22"/>
        </w:rPr>
      </w:pPr>
      <w:r>
        <w:rPr>
          <w:rFonts w:hint="eastAsia" w:ascii="宋体" w:hAnsi="宋体"/>
          <w:szCs w:val="21"/>
        </w:rPr>
        <w:t xml:space="preserve">   二〇一一年十二月二十九日</w:t>
      </w: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p>
    <w:p>
      <w:pPr>
        <w:spacing w:line="500" w:lineRule="exact"/>
        <w:ind w:firstLine="480" w:firstLineChars="200"/>
        <w:rPr>
          <w:rFonts w:ascii="宋体" w:hAnsi="宋体"/>
          <w:sz w:val="24"/>
          <w:szCs w:val="22"/>
        </w:rPr>
      </w:pPr>
      <w:r>
        <w:rPr>
          <w:rFonts w:hint="eastAsia" w:ascii="宋体" w:hAnsi="宋体"/>
          <w:sz w:val="24"/>
          <w:szCs w:val="22"/>
        </w:rPr>
        <w:t>附件：</w:t>
      </w:r>
    </w:p>
    <w:p>
      <w:pPr>
        <w:spacing w:line="500" w:lineRule="exact"/>
        <w:ind w:firstLine="420" w:firstLineChars="200"/>
        <w:jc w:val="center"/>
        <w:rPr>
          <w:rFonts w:ascii="方正小标宋简体" w:hAnsi="宋体" w:eastAsia="方正小标宋简体"/>
          <w:szCs w:val="21"/>
        </w:rPr>
      </w:pPr>
      <w:r>
        <w:rPr>
          <w:rFonts w:hint="eastAsia" w:ascii="方正小标宋简体" w:hAnsi="宋体" w:eastAsia="方正小标宋简体"/>
          <w:szCs w:val="21"/>
        </w:rPr>
        <w:t>政府采购促进中小企业发展暂行办法</w:t>
      </w:r>
    </w:p>
    <w:p>
      <w:pPr>
        <w:spacing w:line="500" w:lineRule="exact"/>
        <w:ind w:firstLine="420" w:firstLineChars="200"/>
        <w:rPr>
          <w:rFonts w:ascii="宋体" w:hAnsi="宋体"/>
          <w:szCs w:val="21"/>
        </w:rPr>
      </w:pPr>
      <w:r>
        <w:rPr>
          <w:rFonts w:hint="eastAsia" w:ascii="宋体" w:hAnsi="宋体"/>
          <w:szCs w:val="21"/>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spacing w:line="500" w:lineRule="exact"/>
        <w:ind w:firstLine="420" w:firstLineChars="200"/>
        <w:rPr>
          <w:rFonts w:ascii="宋体" w:hAnsi="宋体"/>
          <w:szCs w:val="21"/>
        </w:rPr>
      </w:pPr>
      <w:r>
        <w:rPr>
          <w:rFonts w:hint="eastAsia" w:ascii="宋体" w:hAnsi="宋体"/>
          <w:szCs w:val="21"/>
        </w:rPr>
        <w:t>第二条 本办法所称中小企业（含中型、小型、微型企业，下同）应当同时符合以下条件：</w:t>
      </w:r>
    </w:p>
    <w:p>
      <w:pPr>
        <w:spacing w:line="500" w:lineRule="exact"/>
        <w:ind w:firstLine="420" w:firstLineChars="200"/>
        <w:rPr>
          <w:rFonts w:ascii="宋体" w:hAnsi="宋体"/>
          <w:szCs w:val="21"/>
        </w:rPr>
      </w:pPr>
      <w:r>
        <w:rPr>
          <w:rFonts w:hint="eastAsia" w:ascii="宋体" w:hAnsi="宋体"/>
          <w:szCs w:val="21"/>
        </w:rPr>
        <w:t>（一）符合中小企业划分标准；</w:t>
      </w:r>
    </w:p>
    <w:p>
      <w:pPr>
        <w:spacing w:line="500" w:lineRule="exact"/>
        <w:ind w:firstLine="420" w:firstLineChars="200"/>
        <w:rPr>
          <w:rFonts w:ascii="宋体" w:hAnsi="宋体"/>
          <w:szCs w:val="21"/>
        </w:rPr>
      </w:pPr>
      <w:r>
        <w:rPr>
          <w:rFonts w:hint="eastAsia" w:ascii="宋体" w:hAnsi="宋体"/>
          <w:szCs w:val="21"/>
        </w:rPr>
        <w:t>（二）提供本企业制造的货物、承担的工程或者服务，或者提供其他中小企业制造的货物。本项所称货物不包括使用大型企业注册商标的货物。</w:t>
      </w:r>
    </w:p>
    <w:p>
      <w:pPr>
        <w:spacing w:line="500" w:lineRule="exact"/>
        <w:ind w:firstLine="420" w:firstLineChars="200"/>
        <w:rPr>
          <w:rFonts w:ascii="宋体" w:hAnsi="宋体"/>
          <w:szCs w:val="21"/>
        </w:rPr>
      </w:pPr>
      <w:r>
        <w:rPr>
          <w:rFonts w:hint="eastAsia" w:ascii="宋体" w:hAnsi="宋体"/>
          <w:szCs w:val="21"/>
        </w:rPr>
        <w:t>本办法所称中小企业划分标准，是指国务院有关部门根据企业从业人员、营业收入、资产总额等指标制定的中小企业划型标准。</w:t>
      </w:r>
    </w:p>
    <w:p>
      <w:pPr>
        <w:spacing w:line="500" w:lineRule="exact"/>
        <w:ind w:firstLine="420" w:firstLineChars="200"/>
        <w:rPr>
          <w:rFonts w:ascii="宋体" w:hAnsi="宋体"/>
          <w:szCs w:val="21"/>
        </w:rPr>
      </w:pPr>
      <w:r>
        <w:rPr>
          <w:rFonts w:hint="eastAsia" w:ascii="宋体" w:hAnsi="宋体"/>
          <w:szCs w:val="21"/>
        </w:rPr>
        <w:t>小型、微型企业提供中型企业制造的货物的，视同为中型企业。</w:t>
      </w:r>
    </w:p>
    <w:p>
      <w:pPr>
        <w:spacing w:line="500" w:lineRule="exact"/>
        <w:ind w:firstLine="420" w:firstLineChars="200"/>
        <w:rPr>
          <w:rFonts w:ascii="宋体" w:hAnsi="宋体"/>
          <w:szCs w:val="21"/>
        </w:rPr>
      </w:pPr>
      <w:r>
        <w:rPr>
          <w:rFonts w:hint="eastAsia" w:ascii="宋体" w:hAnsi="宋体"/>
          <w:szCs w:val="21"/>
        </w:rPr>
        <w:t>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spacing w:line="500" w:lineRule="exact"/>
        <w:ind w:firstLine="420" w:firstLineChars="200"/>
        <w:rPr>
          <w:rFonts w:ascii="宋体" w:hAnsi="宋体"/>
          <w:szCs w:val="21"/>
        </w:rPr>
      </w:pPr>
      <w:r>
        <w:rPr>
          <w:rFonts w:hint="eastAsia" w:ascii="宋体" w:hAnsi="宋体"/>
          <w:szCs w:val="21"/>
        </w:rPr>
        <w:t>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500" w:lineRule="exact"/>
        <w:ind w:firstLine="420" w:firstLineChars="200"/>
        <w:rPr>
          <w:rFonts w:ascii="宋体" w:hAnsi="宋体"/>
          <w:szCs w:val="21"/>
        </w:rPr>
      </w:pPr>
      <w:r>
        <w:rPr>
          <w:rFonts w:hint="eastAsia" w:ascii="宋体" w:hAnsi="宋体"/>
          <w:szCs w:val="21"/>
        </w:rPr>
        <w:t>采购人或者采购代理机构在组织采购活动时，应当在招标文件或谈判文件、询价文件中注明该项目专门面向中小企业或小型、微型企业采购。</w:t>
      </w:r>
    </w:p>
    <w:p>
      <w:pPr>
        <w:spacing w:line="500" w:lineRule="exact"/>
        <w:ind w:firstLine="420" w:firstLineChars="200"/>
        <w:rPr>
          <w:rFonts w:ascii="宋体" w:hAnsi="宋体"/>
          <w:szCs w:val="21"/>
        </w:rPr>
      </w:pPr>
      <w:r>
        <w:rPr>
          <w:rFonts w:hint="eastAsia" w:ascii="宋体" w:hAnsi="宋体"/>
          <w:szCs w:val="21"/>
        </w:rPr>
        <w:t>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spacing w:line="500" w:lineRule="exact"/>
        <w:ind w:firstLine="420" w:firstLineChars="200"/>
        <w:rPr>
          <w:rFonts w:ascii="宋体" w:hAnsi="宋体"/>
          <w:szCs w:val="21"/>
        </w:rPr>
      </w:pPr>
      <w:r>
        <w:rPr>
          <w:rFonts w:hint="eastAsia" w:ascii="宋体" w:hAnsi="宋体"/>
          <w:szCs w:val="21"/>
        </w:rPr>
        <w:t>参加政府采购活动的中小企业应当提供本办法规定的《中小企业声明函》（见附件）。</w:t>
      </w:r>
    </w:p>
    <w:p>
      <w:pPr>
        <w:spacing w:line="500" w:lineRule="exact"/>
        <w:ind w:firstLine="420" w:firstLineChars="200"/>
        <w:rPr>
          <w:rFonts w:ascii="宋体" w:hAnsi="宋体"/>
          <w:szCs w:val="21"/>
        </w:rPr>
      </w:pPr>
      <w:r>
        <w:rPr>
          <w:rFonts w:hint="eastAsia" w:ascii="宋体" w:hAnsi="宋体"/>
          <w:szCs w:val="21"/>
        </w:rPr>
        <w:t>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500" w:lineRule="exact"/>
        <w:ind w:firstLine="420" w:firstLineChars="200"/>
        <w:rPr>
          <w:rFonts w:ascii="宋体" w:hAnsi="宋体"/>
          <w:szCs w:val="21"/>
        </w:rPr>
      </w:pPr>
      <w:r>
        <w:rPr>
          <w:rFonts w:hint="eastAsia" w:ascii="宋体" w:hAnsi="宋体"/>
          <w:szCs w:val="21"/>
        </w:rPr>
        <w:t>联合体各方均为小型、微型企业的，联合体视同为小型、微型企业享受本办法第四条、第五条规定的扶持政策。</w:t>
      </w:r>
    </w:p>
    <w:p>
      <w:pPr>
        <w:spacing w:line="500" w:lineRule="exact"/>
        <w:ind w:firstLine="420" w:firstLineChars="200"/>
        <w:rPr>
          <w:rFonts w:ascii="宋体" w:hAnsi="宋体"/>
          <w:szCs w:val="21"/>
        </w:rPr>
      </w:pPr>
      <w:r>
        <w:rPr>
          <w:rFonts w:hint="eastAsia" w:ascii="宋体" w:hAnsi="宋体"/>
          <w:szCs w:val="21"/>
        </w:rPr>
        <w:t xml:space="preserve">组成联合体的大中型企业和其他自然人、法人或者其他组织，与小型、微型企业之间不得存在投资关系。 </w:t>
      </w:r>
    </w:p>
    <w:p>
      <w:pPr>
        <w:spacing w:line="500" w:lineRule="exact"/>
        <w:ind w:firstLine="420" w:firstLineChars="200"/>
        <w:rPr>
          <w:rFonts w:ascii="宋体" w:hAnsi="宋体"/>
          <w:szCs w:val="21"/>
        </w:rPr>
      </w:pPr>
      <w:r>
        <w:rPr>
          <w:rFonts w:hint="eastAsia" w:ascii="宋体" w:hAnsi="宋体"/>
          <w:szCs w:val="21"/>
        </w:rPr>
        <w:t>第七条 中小企业依据本办法第四条、第五条、第六条规定的政策获取政府采购合同后，小型、微型企业不得分包或转包给大型、中型企业，中型企业不得分包或转包给大型企业。</w:t>
      </w:r>
    </w:p>
    <w:p>
      <w:pPr>
        <w:spacing w:line="500" w:lineRule="exact"/>
        <w:ind w:firstLine="420" w:firstLineChars="200"/>
        <w:rPr>
          <w:rFonts w:ascii="宋体" w:hAnsi="宋体"/>
          <w:szCs w:val="21"/>
        </w:rPr>
      </w:pPr>
      <w:r>
        <w:rPr>
          <w:rFonts w:hint="eastAsia" w:ascii="宋体" w:hAnsi="宋体"/>
          <w:szCs w:val="21"/>
        </w:rPr>
        <w:t>第八条 鼓励采购人允许获得政府采购合同的大型企业依法向中小企业分包。</w:t>
      </w:r>
    </w:p>
    <w:p>
      <w:pPr>
        <w:spacing w:line="500" w:lineRule="exact"/>
        <w:ind w:firstLine="420" w:firstLineChars="200"/>
        <w:rPr>
          <w:rFonts w:ascii="宋体" w:hAnsi="宋体"/>
          <w:szCs w:val="21"/>
        </w:rPr>
      </w:pPr>
      <w:r>
        <w:rPr>
          <w:rFonts w:hint="eastAsia" w:ascii="宋体" w:hAnsi="宋体"/>
          <w:szCs w:val="21"/>
        </w:rPr>
        <w:t>大型企业向中小企业分包的金额，计入面向中小企业采购的统计数额。</w:t>
      </w:r>
    </w:p>
    <w:p>
      <w:pPr>
        <w:spacing w:line="500" w:lineRule="exact"/>
        <w:ind w:firstLine="420" w:firstLineChars="200"/>
        <w:rPr>
          <w:rFonts w:ascii="宋体" w:hAnsi="宋体"/>
          <w:szCs w:val="21"/>
        </w:rPr>
      </w:pPr>
      <w:r>
        <w:rPr>
          <w:rFonts w:hint="eastAsia" w:ascii="宋体" w:hAnsi="宋体"/>
          <w:szCs w:val="21"/>
        </w:rPr>
        <w:t>第九条 鼓励采购人在与中小企业签订政府采购合同时，在履约保证金、付款期限、付款方式等方面给予中小企业适当支持。采购人应当按照合同约定按时足额支付采购资金。</w:t>
      </w:r>
    </w:p>
    <w:p>
      <w:pPr>
        <w:spacing w:line="500" w:lineRule="exact"/>
        <w:ind w:firstLine="420" w:firstLineChars="200"/>
        <w:rPr>
          <w:rFonts w:ascii="宋体" w:hAnsi="宋体"/>
          <w:szCs w:val="21"/>
        </w:rPr>
      </w:pPr>
      <w:r>
        <w:rPr>
          <w:rFonts w:hint="eastAsia" w:ascii="宋体" w:hAnsi="宋体"/>
          <w:szCs w:val="21"/>
        </w:rPr>
        <w:t>第十条 鼓励在政府采购活动中引入信用担保手段，为中小企业在融资、投标保证、履约保证等方面提供专业化的担保服务。</w:t>
      </w:r>
    </w:p>
    <w:p>
      <w:pPr>
        <w:spacing w:line="500" w:lineRule="exact"/>
        <w:ind w:firstLine="420" w:firstLineChars="200"/>
        <w:rPr>
          <w:rFonts w:ascii="宋体" w:hAnsi="宋体"/>
          <w:szCs w:val="21"/>
        </w:rPr>
      </w:pPr>
      <w:r>
        <w:rPr>
          <w:rFonts w:hint="eastAsia" w:ascii="宋体" w:hAnsi="宋体"/>
          <w:szCs w:val="21"/>
        </w:rPr>
        <w:t>第十一条 各级财政部门和有关部门应当加大对中小企业参与政府采购的培训指导及专业化咨询服务力度，提高中小企业参与政府采购活动的能力。</w:t>
      </w:r>
    </w:p>
    <w:p>
      <w:pPr>
        <w:spacing w:line="500" w:lineRule="exact"/>
        <w:ind w:firstLine="420" w:firstLineChars="200"/>
        <w:rPr>
          <w:rFonts w:ascii="宋体" w:hAnsi="宋体"/>
          <w:szCs w:val="21"/>
        </w:rPr>
      </w:pPr>
      <w:r>
        <w:rPr>
          <w:rFonts w:hint="eastAsia" w:ascii="宋体" w:hAnsi="宋体"/>
          <w:szCs w:val="21"/>
        </w:rPr>
        <w:t>第十二条 各部门应当每年第一季度向同级财政部门报告本部门上一年度面向中小企业采购的具体情况，并在财政部指定的政府采购发布媒体公开预留项目执行情况以及本部门其他项目面向中小企业采购的情况。</w:t>
      </w:r>
    </w:p>
    <w:p>
      <w:pPr>
        <w:spacing w:line="500" w:lineRule="exact"/>
        <w:ind w:firstLine="420" w:firstLineChars="200"/>
        <w:rPr>
          <w:rFonts w:ascii="宋体" w:hAnsi="宋体"/>
          <w:szCs w:val="21"/>
        </w:rPr>
      </w:pPr>
      <w:r>
        <w:rPr>
          <w:rFonts w:hint="eastAsia" w:ascii="宋体" w:hAnsi="宋体"/>
          <w:szCs w:val="21"/>
        </w:rPr>
        <w:t>第十三条 各级财政部门应当积极推进政府采购信息化建设，提高政府采购信息发布透明度，提供便于中小企业获取政府采购信息的稳定渠道。</w:t>
      </w:r>
    </w:p>
    <w:p>
      <w:pPr>
        <w:spacing w:line="500" w:lineRule="exact"/>
        <w:ind w:firstLine="420" w:firstLineChars="200"/>
        <w:rPr>
          <w:rFonts w:ascii="宋体" w:hAnsi="宋体"/>
          <w:szCs w:val="21"/>
        </w:rPr>
      </w:pPr>
      <w:r>
        <w:rPr>
          <w:rFonts w:hint="eastAsia" w:ascii="宋体" w:hAnsi="宋体"/>
          <w:szCs w:val="21"/>
        </w:rPr>
        <w:t>第十四条 各级财政部门会同中小企业主管部门建立健全政府采购促进中小企业发展的有关制度，加强有关政策执行情况的监督检查。</w:t>
      </w:r>
    </w:p>
    <w:p>
      <w:pPr>
        <w:spacing w:line="500" w:lineRule="exact"/>
        <w:ind w:firstLine="420" w:firstLineChars="200"/>
        <w:rPr>
          <w:rFonts w:ascii="宋体" w:hAnsi="宋体"/>
          <w:szCs w:val="21"/>
        </w:rPr>
      </w:pPr>
      <w:r>
        <w:rPr>
          <w:rFonts w:hint="eastAsia" w:ascii="宋体" w:hAnsi="宋体"/>
          <w:szCs w:val="21"/>
        </w:rPr>
        <w:t>各部门负责对本部门政府采购促进中小企业发展各项工作的执行和管理。</w:t>
      </w:r>
    </w:p>
    <w:p>
      <w:pPr>
        <w:spacing w:line="500" w:lineRule="exact"/>
        <w:ind w:firstLine="420" w:firstLineChars="200"/>
        <w:rPr>
          <w:rFonts w:ascii="宋体" w:hAnsi="宋体"/>
          <w:szCs w:val="21"/>
        </w:rPr>
      </w:pPr>
      <w:r>
        <w:rPr>
          <w:rFonts w:hint="eastAsia" w:ascii="宋体" w:hAnsi="宋体"/>
          <w:szCs w:val="21"/>
        </w:rPr>
        <w:t>第十五条 政府采购监督检查和投诉处理中对中小企业的认定，由企业所在地的县级以上中小企业主管部门负责。</w:t>
      </w:r>
    </w:p>
    <w:p>
      <w:pPr>
        <w:spacing w:line="500" w:lineRule="exact"/>
        <w:ind w:firstLine="420" w:firstLineChars="200"/>
        <w:rPr>
          <w:rFonts w:ascii="宋体" w:hAnsi="宋体"/>
          <w:szCs w:val="21"/>
        </w:rPr>
      </w:pPr>
      <w:r>
        <w:rPr>
          <w:rFonts w:hint="eastAsia" w:ascii="宋体" w:hAnsi="宋体"/>
          <w:szCs w:val="21"/>
        </w:rPr>
        <w:t>第十六条 采购人、采购代理机构或者中小企业在政府采购活动中有违法违规行为的，依照政府采购法及有关法律法规处理。</w:t>
      </w:r>
    </w:p>
    <w:p>
      <w:pPr>
        <w:spacing w:line="500" w:lineRule="exact"/>
        <w:ind w:firstLine="420" w:firstLineChars="200"/>
        <w:rPr>
          <w:rFonts w:ascii="宋体" w:hAnsi="宋体"/>
          <w:szCs w:val="21"/>
        </w:rPr>
      </w:pPr>
      <w:r>
        <w:rPr>
          <w:rFonts w:hint="eastAsia" w:ascii="宋体" w:hAnsi="宋体"/>
          <w:szCs w:val="21"/>
        </w:rPr>
        <w:t>第十七条 本办法由财政部、工业和信息化部负责解释。</w:t>
      </w:r>
    </w:p>
    <w:p>
      <w:pPr>
        <w:spacing w:line="500" w:lineRule="exact"/>
        <w:ind w:firstLine="420" w:firstLineChars="200"/>
        <w:rPr>
          <w:rFonts w:ascii="宋体" w:hAnsi="宋体"/>
          <w:szCs w:val="21"/>
        </w:rPr>
      </w:pPr>
      <w:r>
        <w:rPr>
          <w:rFonts w:hint="eastAsia" w:ascii="宋体" w:hAnsi="宋体"/>
          <w:szCs w:val="21"/>
        </w:rPr>
        <w:t>第十八条 本办法自2012年1月1日起施行。</w:t>
      </w:r>
    </w:p>
    <w:p>
      <w:pPr>
        <w:spacing w:line="500" w:lineRule="exact"/>
        <w:ind w:firstLine="420" w:firstLineChars="200"/>
        <w:rPr>
          <w:rFonts w:ascii="宋体" w:hAnsi="宋体"/>
          <w:szCs w:val="21"/>
        </w:rPr>
      </w:pPr>
      <w:r>
        <w:rPr>
          <w:rFonts w:hint="eastAsia" w:ascii="宋体" w:hAnsi="宋体"/>
          <w:szCs w:val="21"/>
        </w:rPr>
        <w:t>　</w:t>
      </w:r>
    </w:p>
    <w:p>
      <w:pPr>
        <w:spacing w:line="500" w:lineRule="exact"/>
        <w:ind w:firstLine="420" w:firstLineChars="200"/>
        <w:rPr>
          <w:rFonts w:ascii="宋体" w:hAnsi="宋体"/>
          <w:szCs w:val="21"/>
        </w:rPr>
      </w:pPr>
      <w:r>
        <w:rPr>
          <w:rFonts w:hint="eastAsia" w:ascii="宋体" w:hAnsi="宋体"/>
          <w:szCs w:val="21"/>
        </w:rPr>
        <w:t>附：中小企业声明函</w:t>
      </w:r>
    </w:p>
    <w:p>
      <w:pPr>
        <w:spacing w:line="500" w:lineRule="exact"/>
        <w:ind w:firstLine="480" w:firstLineChars="200"/>
        <w:rPr>
          <w:rFonts w:ascii="宋体" w:hAnsi="宋体"/>
          <w:sz w:val="24"/>
          <w:szCs w:val="22"/>
        </w:rPr>
      </w:pPr>
      <w:r>
        <w:rPr>
          <w:rFonts w:hint="eastAsia" w:ascii="宋体" w:hAnsi="宋体"/>
          <w:sz w:val="24"/>
          <w:szCs w:val="22"/>
        </w:rPr>
        <w:t>　</w:t>
      </w:r>
    </w:p>
    <w:p>
      <w:pPr>
        <w:spacing w:line="500" w:lineRule="exact"/>
        <w:ind w:firstLine="480" w:firstLineChars="200"/>
        <w:jc w:val="center"/>
        <w:rPr>
          <w:rFonts w:ascii="方正小标宋简体" w:hAnsi="宋体" w:eastAsia="方正小标宋简体"/>
          <w:bCs/>
          <w:sz w:val="32"/>
          <w:szCs w:val="32"/>
        </w:rPr>
      </w:pPr>
      <w:r>
        <w:rPr>
          <w:rFonts w:ascii="方正小标宋简体" w:hAnsi="宋体" w:eastAsia="方正小标宋简体"/>
          <w:sz w:val="24"/>
          <w:szCs w:val="22"/>
        </w:rPr>
        <w:br w:type="page"/>
      </w:r>
      <w:r>
        <w:rPr>
          <w:rFonts w:hint="eastAsia" w:ascii="方正小标宋简体" w:hAnsi="宋体" w:eastAsia="方正小标宋简体"/>
          <w:bCs/>
          <w:sz w:val="32"/>
          <w:szCs w:val="32"/>
        </w:rPr>
        <w:t>中小企业声明函</w:t>
      </w:r>
    </w:p>
    <w:p>
      <w:pPr>
        <w:spacing w:line="500" w:lineRule="exact"/>
        <w:ind w:firstLine="480" w:firstLineChars="200"/>
        <w:rPr>
          <w:rFonts w:ascii="宋体" w:hAnsi="宋体"/>
          <w:sz w:val="24"/>
          <w:szCs w:val="22"/>
        </w:rPr>
      </w:pPr>
    </w:p>
    <w:p>
      <w:pPr>
        <w:spacing w:line="500" w:lineRule="exact"/>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spacing w:line="50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20" w:firstLineChars="200"/>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20" w:firstLineChars="200"/>
        <w:rPr>
          <w:rFonts w:ascii="宋体" w:hAnsi="宋体"/>
          <w:szCs w:val="21"/>
        </w:rPr>
      </w:pPr>
      <w:r>
        <w:rPr>
          <w:rFonts w:hint="eastAsia" w:ascii="宋体" w:hAnsi="宋体"/>
          <w:szCs w:val="21"/>
        </w:rPr>
        <w:t>本公司对上述声明的真实性负责。如有虚假，将依法承担相应责任。</w:t>
      </w:r>
    </w:p>
    <w:p>
      <w:pPr>
        <w:spacing w:line="500" w:lineRule="exact"/>
        <w:ind w:firstLine="420" w:firstLineChars="200"/>
        <w:rPr>
          <w:rFonts w:ascii="宋体" w:hAnsi="宋体"/>
          <w:szCs w:val="21"/>
        </w:rPr>
      </w:pPr>
      <w:r>
        <w:rPr>
          <w:rFonts w:hint="eastAsia" w:ascii="宋体" w:hAnsi="宋体"/>
          <w:szCs w:val="21"/>
        </w:rPr>
        <w:t>　　　　　　 　　　　　　　　　　　　　　 　</w:t>
      </w:r>
    </w:p>
    <w:p>
      <w:pPr>
        <w:spacing w:line="500" w:lineRule="exact"/>
        <w:ind w:firstLine="3885" w:firstLineChars="1850"/>
        <w:rPr>
          <w:rFonts w:ascii="宋体" w:hAnsi="宋体"/>
          <w:szCs w:val="21"/>
        </w:rPr>
      </w:pPr>
      <w:r>
        <w:rPr>
          <w:rFonts w:hint="eastAsia" w:ascii="宋体" w:hAnsi="宋体"/>
          <w:szCs w:val="21"/>
        </w:rPr>
        <w:t xml:space="preserve">企业名称（盖章）： </w:t>
      </w:r>
    </w:p>
    <w:p>
      <w:pPr>
        <w:spacing w:line="500" w:lineRule="exact"/>
        <w:ind w:firstLine="420" w:firstLineChars="200"/>
        <w:rPr>
          <w:rFonts w:ascii="宋体" w:hAnsi="宋体"/>
          <w:sz w:val="24"/>
          <w:szCs w:val="22"/>
        </w:rPr>
      </w:pPr>
      <w:r>
        <w:rPr>
          <w:rFonts w:hint="eastAsia" w:ascii="宋体" w:hAnsi="宋体"/>
          <w:szCs w:val="21"/>
        </w:rPr>
        <w:t>　　　　　　　　　　　　　　　　 日 期：</w:t>
      </w:r>
      <w:r>
        <w:rPr>
          <w:rFonts w:hint="eastAsia" w:ascii="宋体" w:hAnsi="宋体"/>
          <w:sz w:val="24"/>
          <w:szCs w:val="22"/>
        </w:rPr>
        <w:t>　</w:t>
      </w:r>
    </w:p>
    <w:p>
      <w:pPr>
        <w:spacing w:line="500" w:lineRule="exact"/>
        <w:ind w:firstLine="480" w:firstLineChars="200"/>
        <w:rPr>
          <w:rFonts w:ascii="宋体" w:hAnsi="宋体"/>
          <w:sz w:val="24"/>
          <w:szCs w:val="22"/>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kern w:val="0"/>
          <w:szCs w:val="21"/>
        </w:rPr>
      </w:pPr>
      <w:r>
        <w:rPr>
          <w:rFonts w:ascii="宋体" w:hAnsi="宋体" w:cs="宋体"/>
          <w:b/>
          <w:bCs/>
          <w:kern w:val="0"/>
          <w:sz w:val="24"/>
        </w:rPr>
        <w:br w:type="page"/>
      </w:r>
      <w:r>
        <w:rPr>
          <w:rFonts w:hint="eastAsia" w:ascii="宋体" w:hAnsi="宋体" w:cs="宋体"/>
          <w:b/>
          <w:bCs/>
          <w:kern w:val="0"/>
          <w:szCs w:val="21"/>
        </w:rPr>
        <w:t>关于印发中小企业划型标准规定的通知</w:t>
      </w:r>
    </w:p>
    <w:p>
      <w:pPr>
        <w:widowControl/>
        <w:spacing w:before="100" w:beforeAutospacing="1" w:after="100" w:afterAutospacing="1" w:line="480" w:lineRule="exact"/>
        <w:ind w:firstLine="422" w:firstLineChars="200"/>
        <w:jc w:val="center"/>
        <w:rPr>
          <w:rFonts w:ascii="宋体" w:hAnsi="宋体" w:cs="宋体"/>
          <w:kern w:val="0"/>
          <w:szCs w:val="21"/>
        </w:rPr>
      </w:pPr>
      <w:r>
        <w:rPr>
          <w:rFonts w:hint="eastAsia" w:ascii="宋体" w:hAnsi="宋体" w:cs="宋体"/>
          <w:b/>
          <w:kern w:val="0"/>
          <w:szCs w:val="21"/>
        </w:rPr>
        <w:t>工信部联企业〔2011〕300号</w:t>
      </w:r>
    </w:p>
    <w:p>
      <w:pPr>
        <w:widowControl/>
        <w:spacing w:before="100" w:beforeAutospacing="1" w:after="100" w:afterAutospacing="1" w:line="480" w:lineRule="exact"/>
        <w:ind w:firstLine="420" w:firstLineChars="200"/>
        <w:jc w:val="left"/>
        <w:rPr>
          <w:rFonts w:ascii="宋体" w:hAnsi="宋体"/>
          <w:szCs w:val="21"/>
        </w:rPr>
      </w:pPr>
      <w:r>
        <w:rPr>
          <w:rFonts w:hint="eastAsia" w:ascii="宋体" w:hAnsi="宋体"/>
          <w:szCs w:val="21"/>
        </w:rPr>
        <w:t>各省、自治区、直辖市人民政府，国务院各部委、各直属机构及有关单位：</w:t>
      </w:r>
    </w:p>
    <w:p>
      <w:pPr>
        <w:widowControl/>
        <w:spacing w:before="100" w:beforeAutospacing="1" w:after="100" w:afterAutospacing="1" w:line="480" w:lineRule="exact"/>
        <w:ind w:firstLine="420" w:firstLineChars="200"/>
        <w:jc w:val="left"/>
        <w:rPr>
          <w:rFonts w:ascii="宋体" w:hAnsi="宋体"/>
          <w:szCs w:val="21"/>
        </w:rPr>
      </w:pPr>
      <w:r>
        <w:rPr>
          <w:rFonts w:hint="eastAsia" w:ascii="宋体" w:hAnsi="宋体"/>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ind w:firstLine="420" w:firstLineChars="200"/>
        <w:jc w:val="right"/>
        <w:rPr>
          <w:rFonts w:ascii="宋体" w:hAnsi="宋体"/>
          <w:szCs w:val="21"/>
        </w:rPr>
      </w:pPr>
      <w:r>
        <w:rPr>
          <w:rFonts w:hint="eastAsia" w:ascii="宋体" w:hAnsi="宋体"/>
          <w:szCs w:val="21"/>
        </w:rPr>
        <w:t>　　　　　　　 工业和信息化部        国家统计局</w:t>
      </w:r>
    </w:p>
    <w:p>
      <w:pPr>
        <w:widowControl/>
        <w:snapToGrid w:val="0"/>
        <w:spacing w:before="100" w:beforeAutospacing="1" w:after="100" w:afterAutospacing="1" w:line="480" w:lineRule="exact"/>
        <w:ind w:firstLine="420" w:firstLineChars="200"/>
        <w:jc w:val="right"/>
        <w:rPr>
          <w:rFonts w:ascii="宋体" w:hAnsi="宋体"/>
          <w:szCs w:val="21"/>
        </w:rPr>
      </w:pPr>
      <w:r>
        <w:rPr>
          <w:rFonts w:hint="eastAsia" w:ascii="宋体" w:hAnsi="宋体"/>
          <w:szCs w:val="21"/>
        </w:rPr>
        <w:t>　　           国家发展和改革委员会       财政部</w:t>
      </w:r>
    </w:p>
    <w:p>
      <w:pPr>
        <w:widowControl/>
        <w:snapToGrid w:val="0"/>
        <w:spacing w:before="100" w:beforeAutospacing="1" w:after="100" w:afterAutospacing="1" w:line="480" w:lineRule="exact"/>
        <w:ind w:firstLine="420" w:firstLineChars="200"/>
        <w:jc w:val="right"/>
        <w:rPr>
          <w:rFonts w:ascii="宋体" w:hAnsi="宋体"/>
          <w:sz w:val="24"/>
          <w:szCs w:val="22"/>
        </w:rPr>
      </w:pPr>
      <w:r>
        <w:rPr>
          <w:rFonts w:hint="eastAsia" w:ascii="宋体" w:hAnsi="宋体"/>
          <w:szCs w:val="21"/>
        </w:rPr>
        <w:t>二○一一年六月十八日</w:t>
      </w:r>
    </w:p>
    <w:p>
      <w:pPr>
        <w:widowControl/>
        <w:spacing w:before="100" w:beforeAutospacing="1" w:after="100" w:afterAutospacing="1" w:line="480" w:lineRule="exact"/>
        <w:ind w:firstLine="480" w:firstLineChars="200"/>
        <w:jc w:val="left"/>
        <w:rPr>
          <w:rFonts w:ascii="宋体" w:hAnsi="宋体" w:cs="宋体"/>
          <w:kern w:val="0"/>
          <w:sz w:val="24"/>
        </w:rPr>
      </w:pPr>
      <w:r>
        <w:rPr>
          <w:rFonts w:hint="eastAsia" w:ascii="宋体" w:hAnsi="宋体" w:cs="宋体"/>
          <w:kern w:val="0"/>
          <w:sz w:val="24"/>
        </w:rPr>
        <w:t>　　　　</w:t>
      </w: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480" w:lineRule="exact"/>
        <w:ind w:firstLine="482" w:firstLineChars="200"/>
        <w:jc w:val="center"/>
        <w:rPr>
          <w:rFonts w:ascii="宋体" w:hAnsi="宋体" w:cs="宋体"/>
          <w:b/>
          <w:bCs/>
          <w:kern w:val="0"/>
          <w:sz w:val="24"/>
        </w:rPr>
      </w:pPr>
    </w:p>
    <w:p>
      <w:pPr>
        <w:widowControl/>
        <w:spacing w:before="100" w:beforeAutospacing="1" w:after="100" w:afterAutospacing="1" w:line="360" w:lineRule="auto"/>
        <w:ind w:firstLine="422" w:firstLineChars="200"/>
        <w:jc w:val="center"/>
        <w:rPr>
          <w:rFonts w:ascii="宋体" w:hAnsi="宋体" w:cs="宋体"/>
          <w:kern w:val="0"/>
          <w:szCs w:val="21"/>
        </w:rPr>
      </w:pPr>
      <w:r>
        <w:rPr>
          <w:rFonts w:hint="eastAsia" w:ascii="宋体" w:hAnsi="宋体" w:cs="宋体"/>
          <w:b/>
          <w:bCs/>
          <w:kern w:val="0"/>
          <w:szCs w:val="21"/>
        </w:rPr>
        <w:t>中小企业划型标准规定</w:t>
      </w:r>
    </w:p>
    <w:p>
      <w:pPr>
        <w:spacing w:line="360" w:lineRule="auto"/>
        <w:ind w:firstLine="420" w:firstLineChars="200"/>
        <w:rPr>
          <w:szCs w:val="21"/>
        </w:rPr>
      </w:pPr>
      <w:r>
        <w:rPr>
          <w:rFonts w:hint="eastAsia"/>
          <w:szCs w:val="21"/>
        </w:rPr>
        <w:t>一、根据《中华人民共和国中小企业促进法》和《国务院关于进一步促进中小企业发展的若干意见》(国发〔2009〕36号)，制定本规定。</w:t>
      </w:r>
    </w:p>
    <w:p>
      <w:pPr>
        <w:spacing w:line="360" w:lineRule="auto"/>
        <w:ind w:firstLine="420" w:firstLineChars="200"/>
        <w:rPr>
          <w:szCs w:val="21"/>
        </w:rPr>
      </w:pPr>
      <w:r>
        <w:rPr>
          <w:rFonts w:hint="eastAsia"/>
          <w:szCs w:val="21"/>
        </w:rPr>
        <w:t>二、中小企业划分为中型、小型、微型三种类型，具体标准根据企业从业人员、营业收入、资产总额等指标，结合行业特点制定。</w:t>
      </w:r>
    </w:p>
    <w:p>
      <w:pPr>
        <w:spacing w:line="360" w:lineRule="auto"/>
        <w:ind w:firstLine="420" w:firstLineChars="200"/>
        <w:rPr>
          <w:szCs w:val="21"/>
        </w:rPr>
      </w:pPr>
      <w:r>
        <w:rPr>
          <w:rFonts w:hint="eastAsia"/>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420" w:firstLineChars="200"/>
        <w:rPr>
          <w:szCs w:val="21"/>
        </w:rPr>
      </w:pPr>
      <w:r>
        <w:rPr>
          <w:rFonts w:hint="eastAsia"/>
          <w:szCs w:val="21"/>
        </w:rPr>
        <w:t>四、各行业划型标准为：</w:t>
      </w:r>
    </w:p>
    <w:p>
      <w:pPr>
        <w:spacing w:line="360" w:lineRule="auto"/>
        <w:ind w:firstLine="420" w:firstLineChars="200"/>
        <w:rPr>
          <w:szCs w:val="21"/>
        </w:rPr>
      </w:pPr>
      <w:r>
        <w:rPr>
          <w:rFonts w:hint="eastAsia"/>
          <w:szCs w:val="21"/>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20" w:firstLineChars="200"/>
        <w:rPr>
          <w:szCs w:val="21"/>
        </w:rPr>
      </w:pPr>
      <w:r>
        <w:rPr>
          <w:rFonts w:hint="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20" w:firstLineChars="200"/>
        <w:rPr>
          <w:szCs w:val="21"/>
        </w:rPr>
      </w:pPr>
      <w:r>
        <w:rPr>
          <w:rFonts w:hint="eastAsia"/>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20" w:firstLineChars="200"/>
        <w:rPr>
          <w:szCs w:val="21"/>
        </w:rPr>
      </w:pPr>
      <w:r>
        <w:rPr>
          <w:rFonts w:hint="eastAsia"/>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420" w:firstLineChars="200"/>
        <w:rPr>
          <w:szCs w:val="21"/>
        </w:rPr>
      </w:pPr>
      <w:r>
        <w:rPr>
          <w:rFonts w:hint="eastAsia"/>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420" w:firstLineChars="200"/>
        <w:rPr>
          <w:szCs w:val="21"/>
        </w:rPr>
      </w:pPr>
      <w:r>
        <w:rPr>
          <w:rFonts w:hint="eastAsia"/>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20" w:firstLineChars="200"/>
        <w:rPr>
          <w:szCs w:val="21"/>
        </w:rPr>
      </w:pPr>
      <w:r>
        <w:rPr>
          <w:rFonts w:hint="eastAsia"/>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20" w:firstLineChars="200"/>
        <w:rPr>
          <w:szCs w:val="21"/>
        </w:rPr>
      </w:pPr>
      <w:r>
        <w:rPr>
          <w:rFonts w:hint="eastAsia"/>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420" w:firstLineChars="200"/>
        <w:rPr>
          <w:szCs w:val="21"/>
        </w:rPr>
      </w:pPr>
      <w:r>
        <w:rPr>
          <w:rFonts w:hint="eastAsia"/>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firstLineChars="200"/>
        <w:rPr>
          <w:szCs w:val="21"/>
        </w:rPr>
      </w:pPr>
      <w:r>
        <w:rPr>
          <w:rFonts w:hint="eastAsia"/>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firstLineChars="200"/>
        <w:rPr>
          <w:szCs w:val="21"/>
        </w:rPr>
      </w:pPr>
      <w:r>
        <w:rPr>
          <w:rFonts w:hint="eastAsia"/>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420" w:firstLineChars="200"/>
        <w:rPr>
          <w:szCs w:val="21"/>
        </w:rPr>
      </w:pPr>
      <w:r>
        <w:rPr>
          <w:rFonts w:hint="eastAsia"/>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420" w:firstLineChars="200"/>
        <w:rPr>
          <w:szCs w:val="21"/>
        </w:rPr>
      </w:pPr>
      <w:r>
        <w:rPr>
          <w:rFonts w:hint="eastAsia"/>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420" w:firstLineChars="200"/>
        <w:rPr>
          <w:szCs w:val="21"/>
        </w:rPr>
      </w:pPr>
      <w:r>
        <w:rPr>
          <w:rFonts w:hint="eastAsia"/>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20" w:firstLineChars="200"/>
        <w:rPr>
          <w:szCs w:val="21"/>
        </w:rPr>
      </w:pPr>
      <w:r>
        <w:rPr>
          <w:rFonts w:hint="eastAsia"/>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420" w:firstLineChars="200"/>
        <w:rPr>
          <w:szCs w:val="21"/>
        </w:rPr>
      </w:pPr>
      <w:r>
        <w:rPr>
          <w:rFonts w:hint="eastAsia"/>
          <w:szCs w:val="21"/>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420" w:firstLineChars="200"/>
        <w:rPr>
          <w:szCs w:val="21"/>
        </w:rPr>
      </w:pPr>
      <w:r>
        <w:rPr>
          <w:rFonts w:hint="eastAsia"/>
          <w:szCs w:val="21"/>
        </w:rPr>
        <w:t>五、企业类型的划分以统计部门的统计数据为依据。</w:t>
      </w:r>
    </w:p>
    <w:p>
      <w:pPr>
        <w:spacing w:line="360" w:lineRule="auto"/>
        <w:ind w:firstLine="420" w:firstLineChars="200"/>
        <w:rPr>
          <w:szCs w:val="21"/>
        </w:rPr>
      </w:pPr>
      <w:r>
        <w:rPr>
          <w:rFonts w:hint="eastAsia"/>
          <w:szCs w:val="21"/>
        </w:rPr>
        <w:t>六、本规定适用于在中华人民共和国境内依法设立的各类所有制和各种组织形式的企业。个体工商户和本规定以外的行业，参照本规定进行划型。</w:t>
      </w:r>
    </w:p>
    <w:p>
      <w:pPr>
        <w:spacing w:line="360" w:lineRule="auto"/>
        <w:ind w:firstLine="420" w:firstLineChars="200"/>
        <w:rPr>
          <w:szCs w:val="21"/>
        </w:rPr>
      </w:pPr>
      <w:r>
        <w:rPr>
          <w:rFonts w:hint="eastAsia"/>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420" w:firstLineChars="200"/>
        <w:rPr>
          <w:szCs w:val="21"/>
        </w:rPr>
      </w:pPr>
      <w:r>
        <w:rPr>
          <w:rFonts w:hint="eastAsia"/>
          <w:szCs w:val="21"/>
        </w:rPr>
        <w:t>八、本规定由工业和信息化部、国家统计局会同有关部门根据《国民经济行业分类》修订情况和企业发展变化情况适时修订。</w:t>
      </w:r>
    </w:p>
    <w:p>
      <w:pPr>
        <w:spacing w:line="360" w:lineRule="auto"/>
        <w:ind w:firstLine="420" w:firstLineChars="200"/>
        <w:rPr>
          <w:szCs w:val="21"/>
        </w:rPr>
      </w:pPr>
      <w:r>
        <w:rPr>
          <w:rFonts w:hint="eastAsia"/>
          <w:szCs w:val="21"/>
        </w:rPr>
        <w:t>九、本规定由工业和信息化部、国家统计局会同有关部门负责解释。</w:t>
      </w:r>
    </w:p>
    <w:p>
      <w:pPr>
        <w:spacing w:line="360" w:lineRule="auto"/>
        <w:ind w:firstLine="420" w:firstLineChars="200"/>
        <w:rPr>
          <w:rFonts w:ascii="宋体" w:hAnsi="宋体" w:cs="宋体"/>
          <w:kern w:val="1"/>
          <w:sz w:val="24"/>
        </w:rPr>
      </w:pPr>
      <w:r>
        <w:rPr>
          <w:rFonts w:hint="eastAsia"/>
          <w:szCs w:val="21"/>
        </w:rPr>
        <w:t>十、本规定自发布之日起执行，原国家经贸委、原国家计委、财政部和国家统计局2003年颁布的《中小企业标准暂行规定》同时废止。</w:t>
      </w:r>
    </w:p>
    <w:p>
      <w:pPr>
        <w:adjustRightInd w:val="0"/>
        <w:snapToGrid w:val="0"/>
        <w:spacing w:line="360" w:lineRule="auto"/>
        <w:ind w:firstLine="200"/>
        <w:rPr>
          <w:rFonts w:ascii="宋体" w:hAnsi="宋体" w:cs="宋体"/>
          <w:kern w:val="1"/>
          <w:sz w:val="24"/>
        </w:rPr>
      </w:pPr>
    </w:p>
    <w:p>
      <w:pPr>
        <w:adjustRightInd w:val="0"/>
        <w:snapToGrid w:val="0"/>
        <w:spacing w:line="360" w:lineRule="auto"/>
        <w:ind w:firstLine="200"/>
        <w:rPr>
          <w:rFonts w:ascii="宋体" w:hAnsi="宋体" w:cs="宋体"/>
          <w:kern w:val="1"/>
          <w:sz w:val="24"/>
        </w:rPr>
      </w:pPr>
    </w:p>
    <w:p>
      <w:pPr>
        <w:adjustRightInd w:val="0"/>
        <w:snapToGrid w:val="0"/>
        <w:spacing w:line="360" w:lineRule="auto"/>
        <w:rPr>
          <w:rFonts w:ascii="宋体" w:hAnsi="宋体" w:cs="宋体"/>
          <w:kern w:val="1"/>
          <w:sz w:val="24"/>
        </w:rPr>
      </w:pPr>
    </w:p>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方正大标宋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369027600"/>
                          </w:sdtPr>
                          <w:sdtContent>
                            <w:p>
                              <w:pPr>
                                <w:pStyle w:val="25"/>
                                <w:jc w:val="center"/>
                              </w:pPr>
                              <w:r>
                                <w:fldChar w:fldCharType="begin"/>
                              </w:r>
                              <w:r>
                                <w:instrText xml:space="preserve">PAGE   \* MERGEFORMAT</w:instrText>
                              </w:r>
                              <w:r>
                                <w:fldChar w:fldCharType="separate"/>
                              </w:r>
                              <w:r>
                                <w:rPr>
                                  <w:lang w:val="zh-CN"/>
                                </w:rPr>
                                <w:t>9</w:t>
                              </w:r>
                              <w:r>
                                <w:rPr>
                                  <w:lang w:val="zh-CN"/>
                                </w:rPr>
                                <w:fldChar w:fldCharType="end"/>
                              </w:r>
                            </w:p>
                          </w:sdtContent>
                        </w:sdt>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1dmPQsQEA&#10;AEgDAAAOAAAAAAAAAAEAIAAAAB4BAABkcnMvZTJvRG9jLnhtbFBLBQYAAAAABgAGAFkBAABBBQAA&#10;AAA=&#10;">
              <v:fill on="f" focussize="0,0"/>
              <v:stroke on="f"/>
              <v:imagedata o:title=""/>
              <o:lock v:ext="edit" aspectratio="f"/>
              <v:textbox inset="0mm,0mm,0mm,0mm" style="mso-fit-shape-to-text:t;">
                <w:txbxContent>
                  <w:sdt>
                    <w:sdtPr>
                      <w:id w:val="1369027600"/>
                    </w:sdtPr>
                    <w:sdtContent>
                      <w:p>
                        <w:pPr>
                          <w:pStyle w:val="25"/>
                          <w:jc w:val="center"/>
                        </w:pPr>
                        <w:r>
                          <w:fldChar w:fldCharType="begin"/>
                        </w:r>
                        <w:r>
                          <w:instrText xml:space="preserve">PAGE   \* MERGEFORMAT</w:instrText>
                        </w:r>
                        <w:r>
                          <w:fldChar w:fldCharType="separate"/>
                        </w:r>
                        <w:r>
                          <w:rPr>
                            <w:lang w:val="zh-CN"/>
                          </w:rPr>
                          <w:t>9</w:t>
                        </w:r>
                        <w:r>
                          <w:rPr>
                            <w:lang w:val="zh-CN"/>
                          </w:rPr>
                          <w:fldChar w:fldCharType="end"/>
                        </w:r>
                      </w:p>
                    </w:sdtContent>
                  </w:sdt>
                  <w:p/>
                </w:txbxContent>
              </v:textbox>
            </v:shape>
          </w:pict>
        </mc:Fallback>
      </mc:AlternateContent>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3Vi+XsQEA&#10;AEgDAAAOAAAAAAAAAAEAIAAAAB4BAABkcnMvZTJvRG9jLnhtbFBLBQYAAAAABgAGAFkBAABBBQAA&#10;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56</w:t>
                    </w:r>
                    <w:r>
                      <w:rPr>
                        <w:rFonts w:hint="eastAsia"/>
                      </w:rPr>
                      <w:fldChar w:fldCharType="end"/>
                    </w:r>
                  </w:p>
                </w:txbxContent>
              </v:textbox>
            </v:shape>
          </w:pict>
        </mc:Fallback>
      </mc:AlternateContent>
    </w:r>
  </w:p>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enter" w:pos="4231"/>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6z/UsQEA&#10;AEgDAAAOAAAAAAAAAAEAIAAAAB4BAABkcnMvZTJvRG9jLnhtbFBLBQYAAAAABgAGAFkBAABBBQAA&#10;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LHAcpGwAQAA&#10;SAMAAA4AAAAAAAAAAQAgAAAAHgEAAGRycy9lMm9Eb2MueG1sUEsFBgAAAAAGAAYAWQEAAEAFAAAA&#10;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81</w:t>
                    </w:r>
                    <w:r>
                      <w:rPr>
                        <w:rFonts w:hint="eastAsia"/>
                      </w:rPr>
                      <w:fldChar w:fldCharType="end"/>
                    </w:r>
                  </w:p>
                </w:txbxContent>
              </v:textbox>
            </v:shape>
          </w:pict>
        </mc:Fallback>
      </mc:AlternateContent>
    </w:r>
  </w:p>
  <w:p>
    <w:pPr>
      <w:pStyle w:val="2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TxKaywAQAA&#10;SQMAAA4AAAAAAAAAAQAgAAAAHgEAAGRycy9lMm9Eb2MueG1sUEsFBgAAAAAGAAYAWQEAAEAFAAAA&#10;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D3018"/>
    <w:multiLevelType w:val="singleLevel"/>
    <w:tmpl w:val="D73D3018"/>
    <w:lvl w:ilvl="0" w:tentative="0">
      <w:start w:val="1"/>
      <w:numFmt w:val="chineseCounting"/>
      <w:suff w:val="nothing"/>
      <w:lvlText w:val="（%1）"/>
      <w:lvlJc w:val="left"/>
      <w:rPr>
        <w:rFonts w:hint="eastAsia"/>
      </w:rPr>
    </w:lvl>
  </w:abstractNum>
  <w:abstractNum w:abstractNumId="1">
    <w:nsid w:val="1F5EE279"/>
    <w:multiLevelType w:val="singleLevel"/>
    <w:tmpl w:val="1F5EE279"/>
    <w:lvl w:ilvl="0" w:tentative="0">
      <w:start w:val="2"/>
      <w:numFmt w:val="chineseCounting"/>
      <w:suff w:val="nothing"/>
      <w:lvlText w:val="（%1）"/>
      <w:lvlJc w:val="left"/>
      <w:rPr>
        <w:rFonts w:hint="eastAsia"/>
      </w:rPr>
    </w:lvl>
  </w:abstractNum>
  <w:abstractNum w:abstractNumId="2">
    <w:nsid w:val="3AE908BB"/>
    <w:multiLevelType w:val="singleLevel"/>
    <w:tmpl w:val="3AE908BB"/>
    <w:lvl w:ilvl="0" w:tentative="0">
      <w:start w:val="1"/>
      <w:numFmt w:val="decimal"/>
      <w:suff w:val="space"/>
      <w:lvlText w:val="%1、"/>
      <w:lvlJc w:val="left"/>
      <w:pPr>
        <w:ind w:left="420" w:firstLine="0"/>
      </w:pPr>
    </w:lvl>
  </w:abstractNum>
  <w:abstractNum w:abstractNumId="3">
    <w:nsid w:val="493D5F4D"/>
    <w:multiLevelType w:val="multilevel"/>
    <w:tmpl w:val="493D5F4D"/>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046DD3"/>
    <w:multiLevelType w:val="singleLevel"/>
    <w:tmpl w:val="74046DD3"/>
    <w:lvl w:ilvl="0" w:tentative="0">
      <w:start w:val="5"/>
      <w:numFmt w:val="chineseCounting"/>
      <w:suff w:val="space"/>
      <w:lvlText w:val="第%1章"/>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BE"/>
    <w:rsid w:val="000009C5"/>
    <w:rsid w:val="00002BC9"/>
    <w:rsid w:val="000040FD"/>
    <w:rsid w:val="000047E7"/>
    <w:rsid w:val="0000483A"/>
    <w:rsid w:val="00004C51"/>
    <w:rsid w:val="000052B6"/>
    <w:rsid w:val="000061FA"/>
    <w:rsid w:val="00010097"/>
    <w:rsid w:val="00016B9A"/>
    <w:rsid w:val="00022275"/>
    <w:rsid w:val="00024793"/>
    <w:rsid w:val="00033E08"/>
    <w:rsid w:val="0003567C"/>
    <w:rsid w:val="00041433"/>
    <w:rsid w:val="00044A1A"/>
    <w:rsid w:val="00045FDD"/>
    <w:rsid w:val="00050BDF"/>
    <w:rsid w:val="00052CC6"/>
    <w:rsid w:val="00053C13"/>
    <w:rsid w:val="00056CE7"/>
    <w:rsid w:val="00057A9C"/>
    <w:rsid w:val="00063F99"/>
    <w:rsid w:val="000647BD"/>
    <w:rsid w:val="00066D20"/>
    <w:rsid w:val="000703E9"/>
    <w:rsid w:val="000722D6"/>
    <w:rsid w:val="000736EC"/>
    <w:rsid w:val="00075235"/>
    <w:rsid w:val="00080863"/>
    <w:rsid w:val="000822AE"/>
    <w:rsid w:val="00083862"/>
    <w:rsid w:val="00083F9A"/>
    <w:rsid w:val="000871C3"/>
    <w:rsid w:val="00087521"/>
    <w:rsid w:val="00090DA7"/>
    <w:rsid w:val="00093F01"/>
    <w:rsid w:val="0009693E"/>
    <w:rsid w:val="000A2771"/>
    <w:rsid w:val="000A2CC6"/>
    <w:rsid w:val="000A7455"/>
    <w:rsid w:val="000B1828"/>
    <w:rsid w:val="000B4681"/>
    <w:rsid w:val="000B64BC"/>
    <w:rsid w:val="000B7EE2"/>
    <w:rsid w:val="000C0736"/>
    <w:rsid w:val="000C3079"/>
    <w:rsid w:val="000C51C3"/>
    <w:rsid w:val="000C5ED9"/>
    <w:rsid w:val="000C6B84"/>
    <w:rsid w:val="000D1BE8"/>
    <w:rsid w:val="000D1E7E"/>
    <w:rsid w:val="000D2943"/>
    <w:rsid w:val="000D385C"/>
    <w:rsid w:val="000D50F6"/>
    <w:rsid w:val="000D7C04"/>
    <w:rsid w:val="000E1473"/>
    <w:rsid w:val="000E3C4E"/>
    <w:rsid w:val="000F2B4C"/>
    <w:rsid w:val="000F6E38"/>
    <w:rsid w:val="000F6ED6"/>
    <w:rsid w:val="000F7CB9"/>
    <w:rsid w:val="00104E8C"/>
    <w:rsid w:val="001070D1"/>
    <w:rsid w:val="00110B6A"/>
    <w:rsid w:val="001110F2"/>
    <w:rsid w:val="001141C3"/>
    <w:rsid w:val="001145D2"/>
    <w:rsid w:val="00114651"/>
    <w:rsid w:val="00115B31"/>
    <w:rsid w:val="00115B81"/>
    <w:rsid w:val="00116CC1"/>
    <w:rsid w:val="00123BD6"/>
    <w:rsid w:val="00130753"/>
    <w:rsid w:val="00131184"/>
    <w:rsid w:val="0014633B"/>
    <w:rsid w:val="0014648D"/>
    <w:rsid w:val="001467A3"/>
    <w:rsid w:val="0015031C"/>
    <w:rsid w:val="00151DC6"/>
    <w:rsid w:val="0015230E"/>
    <w:rsid w:val="00154809"/>
    <w:rsid w:val="001562AB"/>
    <w:rsid w:val="001616C6"/>
    <w:rsid w:val="001627D1"/>
    <w:rsid w:val="00166AA7"/>
    <w:rsid w:val="00166F50"/>
    <w:rsid w:val="001738B3"/>
    <w:rsid w:val="00173BB8"/>
    <w:rsid w:val="0017451E"/>
    <w:rsid w:val="00174ECE"/>
    <w:rsid w:val="001757B0"/>
    <w:rsid w:val="001801E8"/>
    <w:rsid w:val="0018698F"/>
    <w:rsid w:val="001911C9"/>
    <w:rsid w:val="00194861"/>
    <w:rsid w:val="001954BE"/>
    <w:rsid w:val="00195F5A"/>
    <w:rsid w:val="0019652C"/>
    <w:rsid w:val="00196CCE"/>
    <w:rsid w:val="00196EFE"/>
    <w:rsid w:val="001A02E4"/>
    <w:rsid w:val="001A2A7E"/>
    <w:rsid w:val="001A2C69"/>
    <w:rsid w:val="001A3B81"/>
    <w:rsid w:val="001A4413"/>
    <w:rsid w:val="001A5FAB"/>
    <w:rsid w:val="001A7577"/>
    <w:rsid w:val="001B621F"/>
    <w:rsid w:val="001B77E9"/>
    <w:rsid w:val="001C21FC"/>
    <w:rsid w:val="001C34D2"/>
    <w:rsid w:val="001C374A"/>
    <w:rsid w:val="001C46EA"/>
    <w:rsid w:val="001C7DC6"/>
    <w:rsid w:val="001D145C"/>
    <w:rsid w:val="001D17F9"/>
    <w:rsid w:val="001D2F55"/>
    <w:rsid w:val="001D4D26"/>
    <w:rsid w:val="001D6126"/>
    <w:rsid w:val="001D6209"/>
    <w:rsid w:val="001E0B34"/>
    <w:rsid w:val="001E2EF9"/>
    <w:rsid w:val="001E32B0"/>
    <w:rsid w:val="001E5D68"/>
    <w:rsid w:val="00210D9D"/>
    <w:rsid w:val="00213FBA"/>
    <w:rsid w:val="00214D17"/>
    <w:rsid w:val="00214D27"/>
    <w:rsid w:val="00217301"/>
    <w:rsid w:val="00217856"/>
    <w:rsid w:val="00217F75"/>
    <w:rsid w:val="0022141C"/>
    <w:rsid w:val="002230D6"/>
    <w:rsid w:val="0022387D"/>
    <w:rsid w:val="00224234"/>
    <w:rsid w:val="0022627F"/>
    <w:rsid w:val="00226DF9"/>
    <w:rsid w:val="00226F52"/>
    <w:rsid w:val="00227017"/>
    <w:rsid w:val="002278FD"/>
    <w:rsid w:val="00232803"/>
    <w:rsid w:val="00237343"/>
    <w:rsid w:val="002424F9"/>
    <w:rsid w:val="00242F9A"/>
    <w:rsid w:val="0024389C"/>
    <w:rsid w:val="00244AD0"/>
    <w:rsid w:val="002465AC"/>
    <w:rsid w:val="00246C4F"/>
    <w:rsid w:val="00250624"/>
    <w:rsid w:val="002531EA"/>
    <w:rsid w:val="002539DA"/>
    <w:rsid w:val="00253E0B"/>
    <w:rsid w:val="00257FCA"/>
    <w:rsid w:val="00260970"/>
    <w:rsid w:val="002610AB"/>
    <w:rsid w:val="00263272"/>
    <w:rsid w:val="002634C4"/>
    <w:rsid w:val="002674AF"/>
    <w:rsid w:val="00270700"/>
    <w:rsid w:val="0027255F"/>
    <w:rsid w:val="002733DE"/>
    <w:rsid w:val="002739C2"/>
    <w:rsid w:val="00273AF4"/>
    <w:rsid w:val="002759DD"/>
    <w:rsid w:val="00286352"/>
    <w:rsid w:val="00293AE0"/>
    <w:rsid w:val="002A4239"/>
    <w:rsid w:val="002A5066"/>
    <w:rsid w:val="002A6C56"/>
    <w:rsid w:val="002B1588"/>
    <w:rsid w:val="002B1662"/>
    <w:rsid w:val="002C0269"/>
    <w:rsid w:val="002C0977"/>
    <w:rsid w:val="002C25A2"/>
    <w:rsid w:val="002C39BB"/>
    <w:rsid w:val="002C3E73"/>
    <w:rsid w:val="002C431F"/>
    <w:rsid w:val="002C51E1"/>
    <w:rsid w:val="002C5237"/>
    <w:rsid w:val="002C5FD1"/>
    <w:rsid w:val="002C6CFC"/>
    <w:rsid w:val="002C7CC0"/>
    <w:rsid w:val="002D21D9"/>
    <w:rsid w:val="002E06F5"/>
    <w:rsid w:val="002E0A92"/>
    <w:rsid w:val="002E13F6"/>
    <w:rsid w:val="002E7E30"/>
    <w:rsid w:val="002F161A"/>
    <w:rsid w:val="002F5507"/>
    <w:rsid w:val="003020C7"/>
    <w:rsid w:val="003031A5"/>
    <w:rsid w:val="00305974"/>
    <w:rsid w:val="00306CD6"/>
    <w:rsid w:val="00314D8A"/>
    <w:rsid w:val="003204B2"/>
    <w:rsid w:val="003216CB"/>
    <w:rsid w:val="00322395"/>
    <w:rsid w:val="00336685"/>
    <w:rsid w:val="003441B8"/>
    <w:rsid w:val="0034470B"/>
    <w:rsid w:val="00345CB6"/>
    <w:rsid w:val="00350597"/>
    <w:rsid w:val="00361596"/>
    <w:rsid w:val="003619B6"/>
    <w:rsid w:val="00362BA3"/>
    <w:rsid w:val="003673DF"/>
    <w:rsid w:val="00371877"/>
    <w:rsid w:val="003721B4"/>
    <w:rsid w:val="00372DA2"/>
    <w:rsid w:val="003778FC"/>
    <w:rsid w:val="00383A00"/>
    <w:rsid w:val="00383CEE"/>
    <w:rsid w:val="00384E8E"/>
    <w:rsid w:val="00387E95"/>
    <w:rsid w:val="00390714"/>
    <w:rsid w:val="003916FE"/>
    <w:rsid w:val="003972CC"/>
    <w:rsid w:val="00397A3C"/>
    <w:rsid w:val="003A0143"/>
    <w:rsid w:val="003A06BF"/>
    <w:rsid w:val="003A5F7D"/>
    <w:rsid w:val="003B017A"/>
    <w:rsid w:val="003B1683"/>
    <w:rsid w:val="003B5BA2"/>
    <w:rsid w:val="003B5CA5"/>
    <w:rsid w:val="003C02BF"/>
    <w:rsid w:val="003C2121"/>
    <w:rsid w:val="003C2999"/>
    <w:rsid w:val="003C29D8"/>
    <w:rsid w:val="003C3737"/>
    <w:rsid w:val="003C38A9"/>
    <w:rsid w:val="003C52E4"/>
    <w:rsid w:val="003D00E6"/>
    <w:rsid w:val="003D15D2"/>
    <w:rsid w:val="003D174D"/>
    <w:rsid w:val="003D1D8F"/>
    <w:rsid w:val="003D1EBC"/>
    <w:rsid w:val="003D32C6"/>
    <w:rsid w:val="003D3569"/>
    <w:rsid w:val="003D3A61"/>
    <w:rsid w:val="003D3BD0"/>
    <w:rsid w:val="003D55F4"/>
    <w:rsid w:val="003D6653"/>
    <w:rsid w:val="003D6DB6"/>
    <w:rsid w:val="003E1068"/>
    <w:rsid w:val="003E23A2"/>
    <w:rsid w:val="003E2443"/>
    <w:rsid w:val="003E515E"/>
    <w:rsid w:val="003E62E6"/>
    <w:rsid w:val="003E654F"/>
    <w:rsid w:val="003E65F9"/>
    <w:rsid w:val="003E7A24"/>
    <w:rsid w:val="003F0466"/>
    <w:rsid w:val="003F0A1C"/>
    <w:rsid w:val="003F47FA"/>
    <w:rsid w:val="003F7C61"/>
    <w:rsid w:val="00400CF2"/>
    <w:rsid w:val="00402059"/>
    <w:rsid w:val="00403585"/>
    <w:rsid w:val="004065C7"/>
    <w:rsid w:val="00407D00"/>
    <w:rsid w:val="00407D1E"/>
    <w:rsid w:val="004153D6"/>
    <w:rsid w:val="00416BD5"/>
    <w:rsid w:val="004205FD"/>
    <w:rsid w:val="00421B54"/>
    <w:rsid w:val="004259F6"/>
    <w:rsid w:val="004267DC"/>
    <w:rsid w:val="004277B4"/>
    <w:rsid w:val="004278F3"/>
    <w:rsid w:val="0043748E"/>
    <w:rsid w:val="00437E5E"/>
    <w:rsid w:val="00440A20"/>
    <w:rsid w:val="00441FE1"/>
    <w:rsid w:val="004441C5"/>
    <w:rsid w:val="00447FA7"/>
    <w:rsid w:val="0045106F"/>
    <w:rsid w:val="00454423"/>
    <w:rsid w:val="0045566F"/>
    <w:rsid w:val="00455C88"/>
    <w:rsid w:val="0046610C"/>
    <w:rsid w:val="0046755D"/>
    <w:rsid w:val="00470A72"/>
    <w:rsid w:val="00473039"/>
    <w:rsid w:val="004740E9"/>
    <w:rsid w:val="00475BA5"/>
    <w:rsid w:val="00484AC0"/>
    <w:rsid w:val="004878AE"/>
    <w:rsid w:val="00490158"/>
    <w:rsid w:val="00491CEC"/>
    <w:rsid w:val="004A1447"/>
    <w:rsid w:val="004A2DC6"/>
    <w:rsid w:val="004A5566"/>
    <w:rsid w:val="004B0939"/>
    <w:rsid w:val="004B379D"/>
    <w:rsid w:val="004B54F9"/>
    <w:rsid w:val="004B566C"/>
    <w:rsid w:val="004B6859"/>
    <w:rsid w:val="004C1593"/>
    <w:rsid w:val="004C36AB"/>
    <w:rsid w:val="004C7D4E"/>
    <w:rsid w:val="004C7E8B"/>
    <w:rsid w:val="004D3D5B"/>
    <w:rsid w:val="004D3D78"/>
    <w:rsid w:val="004D576A"/>
    <w:rsid w:val="004D6C7D"/>
    <w:rsid w:val="004E75E5"/>
    <w:rsid w:val="004F17AB"/>
    <w:rsid w:val="004F328B"/>
    <w:rsid w:val="004F4421"/>
    <w:rsid w:val="004F7EA9"/>
    <w:rsid w:val="005011C8"/>
    <w:rsid w:val="00501332"/>
    <w:rsid w:val="00501B4A"/>
    <w:rsid w:val="00501EC9"/>
    <w:rsid w:val="00502491"/>
    <w:rsid w:val="00503DE0"/>
    <w:rsid w:val="00504A13"/>
    <w:rsid w:val="00505249"/>
    <w:rsid w:val="00505AE3"/>
    <w:rsid w:val="00506373"/>
    <w:rsid w:val="00507402"/>
    <w:rsid w:val="0051114C"/>
    <w:rsid w:val="00512C4F"/>
    <w:rsid w:val="00512D7F"/>
    <w:rsid w:val="00513B60"/>
    <w:rsid w:val="00513EC0"/>
    <w:rsid w:val="00516B70"/>
    <w:rsid w:val="0052104D"/>
    <w:rsid w:val="00522F4D"/>
    <w:rsid w:val="005239F5"/>
    <w:rsid w:val="00524ECE"/>
    <w:rsid w:val="005264A7"/>
    <w:rsid w:val="005275C3"/>
    <w:rsid w:val="00532C33"/>
    <w:rsid w:val="00536687"/>
    <w:rsid w:val="005372F9"/>
    <w:rsid w:val="0054185C"/>
    <w:rsid w:val="005429BE"/>
    <w:rsid w:val="00543AA1"/>
    <w:rsid w:val="005448EC"/>
    <w:rsid w:val="00544EBE"/>
    <w:rsid w:val="005458D7"/>
    <w:rsid w:val="00546E41"/>
    <w:rsid w:val="00550E8C"/>
    <w:rsid w:val="0055243E"/>
    <w:rsid w:val="00552463"/>
    <w:rsid w:val="005525B0"/>
    <w:rsid w:val="00553E95"/>
    <w:rsid w:val="005552F1"/>
    <w:rsid w:val="00555702"/>
    <w:rsid w:val="0055658E"/>
    <w:rsid w:val="005629CF"/>
    <w:rsid w:val="005639EA"/>
    <w:rsid w:val="00563C7C"/>
    <w:rsid w:val="00565B94"/>
    <w:rsid w:val="00566739"/>
    <w:rsid w:val="00573B07"/>
    <w:rsid w:val="00574130"/>
    <w:rsid w:val="005743CD"/>
    <w:rsid w:val="00576A3E"/>
    <w:rsid w:val="00580719"/>
    <w:rsid w:val="00580721"/>
    <w:rsid w:val="00583459"/>
    <w:rsid w:val="00585A10"/>
    <w:rsid w:val="00590886"/>
    <w:rsid w:val="00592A6D"/>
    <w:rsid w:val="00593491"/>
    <w:rsid w:val="005951D7"/>
    <w:rsid w:val="005A0EF4"/>
    <w:rsid w:val="005A1256"/>
    <w:rsid w:val="005A2587"/>
    <w:rsid w:val="005A328D"/>
    <w:rsid w:val="005A4775"/>
    <w:rsid w:val="005B19A6"/>
    <w:rsid w:val="005B3D4F"/>
    <w:rsid w:val="005B6087"/>
    <w:rsid w:val="005C4F59"/>
    <w:rsid w:val="005C511A"/>
    <w:rsid w:val="005C5A27"/>
    <w:rsid w:val="005D0C49"/>
    <w:rsid w:val="005D1A0A"/>
    <w:rsid w:val="005D4162"/>
    <w:rsid w:val="005D5448"/>
    <w:rsid w:val="005D7798"/>
    <w:rsid w:val="005E1463"/>
    <w:rsid w:val="005E7B66"/>
    <w:rsid w:val="005F0274"/>
    <w:rsid w:val="005F5CFE"/>
    <w:rsid w:val="005F7492"/>
    <w:rsid w:val="00600277"/>
    <w:rsid w:val="00600E96"/>
    <w:rsid w:val="00601C0F"/>
    <w:rsid w:val="006040F8"/>
    <w:rsid w:val="00604EFF"/>
    <w:rsid w:val="00605958"/>
    <w:rsid w:val="00606A6E"/>
    <w:rsid w:val="00606F51"/>
    <w:rsid w:val="00611F16"/>
    <w:rsid w:val="00612D36"/>
    <w:rsid w:val="00613371"/>
    <w:rsid w:val="00615269"/>
    <w:rsid w:val="006200C0"/>
    <w:rsid w:val="00620879"/>
    <w:rsid w:val="00623B49"/>
    <w:rsid w:val="00624BC1"/>
    <w:rsid w:val="00630493"/>
    <w:rsid w:val="006464AF"/>
    <w:rsid w:val="00647B20"/>
    <w:rsid w:val="00647C0B"/>
    <w:rsid w:val="006508CB"/>
    <w:rsid w:val="00650A40"/>
    <w:rsid w:val="00652B11"/>
    <w:rsid w:val="00653513"/>
    <w:rsid w:val="00653CF9"/>
    <w:rsid w:val="00654238"/>
    <w:rsid w:val="0065459E"/>
    <w:rsid w:val="00661075"/>
    <w:rsid w:val="0066402E"/>
    <w:rsid w:val="00664053"/>
    <w:rsid w:val="0066491E"/>
    <w:rsid w:val="006655E5"/>
    <w:rsid w:val="00673C6E"/>
    <w:rsid w:val="00674428"/>
    <w:rsid w:val="0067657C"/>
    <w:rsid w:val="00690F99"/>
    <w:rsid w:val="006955D5"/>
    <w:rsid w:val="00695990"/>
    <w:rsid w:val="00697920"/>
    <w:rsid w:val="006A3F18"/>
    <w:rsid w:val="006A51DE"/>
    <w:rsid w:val="006A5D73"/>
    <w:rsid w:val="006A6516"/>
    <w:rsid w:val="006B0BCA"/>
    <w:rsid w:val="006B3454"/>
    <w:rsid w:val="006B3E1E"/>
    <w:rsid w:val="006C0C0A"/>
    <w:rsid w:val="006C2BBC"/>
    <w:rsid w:val="006C5990"/>
    <w:rsid w:val="006C6C1C"/>
    <w:rsid w:val="006D0C8E"/>
    <w:rsid w:val="006D1E55"/>
    <w:rsid w:val="006D5046"/>
    <w:rsid w:val="006D57F1"/>
    <w:rsid w:val="006E2F79"/>
    <w:rsid w:val="006E4699"/>
    <w:rsid w:val="006E6303"/>
    <w:rsid w:val="006F02B8"/>
    <w:rsid w:val="006F4105"/>
    <w:rsid w:val="007016B3"/>
    <w:rsid w:val="00701C21"/>
    <w:rsid w:val="007030C9"/>
    <w:rsid w:val="00703E46"/>
    <w:rsid w:val="00704DF8"/>
    <w:rsid w:val="00705739"/>
    <w:rsid w:val="0071085B"/>
    <w:rsid w:val="007108A4"/>
    <w:rsid w:val="007131B8"/>
    <w:rsid w:val="00714B8D"/>
    <w:rsid w:val="00715330"/>
    <w:rsid w:val="00716396"/>
    <w:rsid w:val="00721E6F"/>
    <w:rsid w:val="007242A5"/>
    <w:rsid w:val="00725644"/>
    <w:rsid w:val="00726C5F"/>
    <w:rsid w:val="00730789"/>
    <w:rsid w:val="00730B14"/>
    <w:rsid w:val="00730B7B"/>
    <w:rsid w:val="00731382"/>
    <w:rsid w:val="00731AD0"/>
    <w:rsid w:val="00733009"/>
    <w:rsid w:val="00734058"/>
    <w:rsid w:val="00734E7D"/>
    <w:rsid w:val="007366B7"/>
    <w:rsid w:val="00736AEE"/>
    <w:rsid w:val="00741077"/>
    <w:rsid w:val="0075044F"/>
    <w:rsid w:val="00750781"/>
    <w:rsid w:val="00751698"/>
    <w:rsid w:val="00755A62"/>
    <w:rsid w:val="00756279"/>
    <w:rsid w:val="00756409"/>
    <w:rsid w:val="00757FDA"/>
    <w:rsid w:val="007609BA"/>
    <w:rsid w:val="007705DD"/>
    <w:rsid w:val="007749F7"/>
    <w:rsid w:val="0077728B"/>
    <w:rsid w:val="00783635"/>
    <w:rsid w:val="00785580"/>
    <w:rsid w:val="0078569F"/>
    <w:rsid w:val="0079495D"/>
    <w:rsid w:val="00794B6C"/>
    <w:rsid w:val="00794E12"/>
    <w:rsid w:val="00795305"/>
    <w:rsid w:val="007A3DB2"/>
    <w:rsid w:val="007A7202"/>
    <w:rsid w:val="007A76A2"/>
    <w:rsid w:val="007B0364"/>
    <w:rsid w:val="007B26E0"/>
    <w:rsid w:val="007B31DF"/>
    <w:rsid w:val="007B6FFB"/>
    <w:rsid w:val="007B7DDB"/>
    <w:rsid w:val="007C192D"/>
    <w:rsid w:val="007C1DFB"/>
    <w:rsid w:val="007C4E83"/>
    <w:rsid w:val="007C4E89"/>
    <w:rsid w:val="007C77B0"/>
    <w:rsid w:val="007D2CFB"/>
    <w:rsid w:val="007D3C62"/>
    <w:rsid w:val="007E0F94"/>
    <w:rsid w:val="007E46B1"/>
    <w:rsid w:val="007E5197"/>
    <w:rsid w:val="007E5C91"/>
    <w:rsid w:val="007E62F9"/>
    <w:rsid w:val="007E7273"/>
    <w:rsid w:val="007F21C5"/>
    <w:rsid w:val="007F403E"/>
    <w:rsid w:val="007F778E"/>
    <w:rsid w:val="00803916"/>
    <w:rsid w:val="0080535D"/>
    <w:rsid w:val="00805ED7"/>
    <w:rsid w:val="00806324"/>
    <w:rsid w:val="00806A3E"/>
    <w:rsid w:val="00811684"/>
    <w:rsid w:val="00812D2D"/>
    <w:rsid w:val="00812EC4"/>
    <w:rsid w:val="00817C30"/>
    <w:rsid w:val="0082279E"/>
    <w:rsid w:val="008245B3"/>
    <w:rsid w:val="008249FB"/>
    <w:rsid w:val="00825671"/>
    <w:rsid w:val="008262E0"/>
    <w:rsid w:val="00826D29"/>
    <w:rsid w:val="00827A86"/>
    <w:rsid w:val="00827C1A"/>
    <w:rsid w:val="00830051"/>
    <w:rsid w:val="00832605"/>
    <w:rsid w:val="008346B6"/>
    <w:rsid w:val="00835903"/>
    <w:rsid w:val="008375C8"/>
    <w:rsid w:val="00840D21"/>
    <w:rsid w:val="00840F97"/>
    <w:rsid w:val="0084351D"/>
    <w:rsid w:val="00843EF1"/>
    <w:rsid w:val="00844145"/>
    <w:rsid w:val="00845B37"/>
    <w:rsid w:val="00846548"/>
    <w:rsid w:val="00847324"/>
    <w:rsid w:val="008473DF"/>
    <w:rsid w:val="0085439D"/>
    <w:rsid w:val="008558BE"/>
    <w:rsid w:val="00855EF6"/>
    <w:rsid w:val="00861396"/>
    <w:rsid w:val="00862C48"/>
    <w:rsid w:val="00864C5B"/>
    <w:rsid w:val="00866019"/>
    <w:rsid w:val="00866EB3"/>
    <w:rsid w:val="00872232"/>
    <w:rsid w:val="00872735"/>
    <w:rsid w:val="00874716"/>
    <w:rsid w:val="00877592"/>
    <w:rsid w:val="008804D5"/>
    <w:rsid w:val="00883BCF"/>
    <w:rsid w:val="00883DD7"/>
    <w:rsid w:val="00885EA1"/>
    <w:rsid w:val="008865CF"/>
    <w:rsid w:val="00887D80"/>
    <w:rsid w:val="00887F0D"/>
    <w:rsid w:val="00891037"/>
    <w:rsid w:val="008930CC"/>
    <w:rsid w:val="008935B1"/>
    <w:rsid w:val="00893707"/>
    <w:rsid w:val="008A2549"/>
    <w:rsid w:val="008A3752"/>
    <w:rsid w:val="008A6EAB"/>
    <w:rsid w:val="008B0132"/>
    <w:rsid w:val="008B28E7"/>
    <w:rsid w:val="008B2B11"/>
    <w:rsid w:val="008B2BDC"/>
    <w:rsid w:val="008C0A6A"/>
    <w:rsid w:val="008C0C84"/>
    <w:rsid w:val="008C0D93"/>
    <w:rsid w:val="008C1394"/>
    <w:rsid w:val="008D2DA1"/>
    <w:rsid w:val="008D4BBA"/>
    <w:rsid w:val="008D56B4"/>
    <w:rsid w:val="008E6B08"/>
    <w:rsid w:val="008F0D59"/>
    <w:rsid w:val="008F2785"/>
    <w:rsid w:val="008F5C0D"/>
    <w:rsid w:val="009049AD"/>
    <w:rsid w:val="0090701F"/>
    <w:rsid w:val="00910FEE"/>
    <w:rsid w:val="009169D3"/>
    <w:rsid w:val="00917687"/>
    <w:rsid w:val="00922465"/>
    <w:rsid w:val="009231E0"/>
    <w:rsid w:val="00924A21"/>
    <w:rsid w:val="00926EBB"/>
    <w:rsid w:val="00927068"/>
    <w:rsid w:val="0092717E"/>
    <w:rsid w:val="00933287"/>
    <w:rsid w:val="00935525"/>
    <w:rsid w:val="009377C8"/>
    <w:rsid w:val="00945DAD"/>
    <w:rsid w:val="009461E0"/>
    <w:rsid w:val="00946DFE"/>
    <w:rsid w:val="00947770"/>
    <w:rsid w:val="009538C6"/>
    <w:rsid w:val="00953F12"/>
    <w:rsid w:val="0095420A"/>
    <w:rsid w:val="00954E5B"/>
    <w:rsid w:val="00955C44"/>
    <w:rsid w:val="00956481"/>
    <w:rsid w:val="00956743"/>
    <w:rsid w:val="009568EA"/>
    <w:rsid w:val="00956A6D"/>
    <w:rsid w:val="00961560"/>
    <w:rsid w:val="0096563F"/>
    <w:rsid w:val="0097214D"/>
    <w:rsid w:val="00976261"/>
    <w:rsid w:val="0097731D"/>
    <w:rsid w:val="00977C6B"/>
    <w:rsid w:val="00980213"/>
    <w:rsid w:val="00981303"/>
    <w:rsid w:val="00983885"/>
    <w:rsid w:val="00983BE9"/>
    <w:rsid w:val="009849DF"/>
    <w:rsid w:val="009850BA"/>
    <w:rsid w:val="00985A24"/>
    <w:rsid w:val="00990359"/>
    <w:rsid w:val="00994B84"/>
    <w:rsid w:val="0099524E"/>
    <w:rsid w:val="00996F34"/>
    <w:rsid w:val="00996FAD"/>
    <w:rsid w:val="009A2AE4"/>
    <w:rsid w:val="009A3565"/>
    <w:rsid w:val="009A4A89"/>
    <w:rsid w:val="009A5CCD"/>
    <w:rsid w:val="009A694B"/>
    <w:rsid w:val="009A6EA4"/>
    <w:rsid w:val="009B18FA"/>
    <w:rsid w:val="009B58CF"/>
    <w:rsid w:val="009B6A9E"/>
    <w:rsid w:val="009B6F28"/>
    <w:rsid w:val="009C00B0"/>
    <w:rsid w:val="009C06F4"/>
    <w:rsid w:val="009C0FFC"/>
    <w:rsid w:val="009C1468"/>
    <w:rsid w:val="009C377C"/>
    <w:rsid w:val="009C3D7F"/>
    <w:rsid w:val="009C56EC"/>
    <w:rsid w:val="009C5C50"/>
    <w:rsid w:val="009C628B"/>
    <w:rsid w:val="009C67C3"/>
    <w:rsid w:val="009E1F1D"/>
    <w:rsid w:val="009E2B72"/>
    <w:rsid w:val="009E2DB4"/>
    <w:rsid w:val="009E2F68"/>
    <w:rsid w:val="009E484B"/>
    <w:rsid w:val="009E4CA2"/>
    <w:rsid w:val="009E5730"/>
    <w:rsid w:val="009E7663"/>
    <w:rsid w:val="009F0765"/>
    <w:rsid w:val="009F0EFF"/>
    <w:rsid w:val="009F1C2F"/>
    <w:rsid w:val="009F38B6"/>
    <w:rsid w:val="009F51F0"/>
    <w:rsid w:val="009F65B8"/>
    <w:rsid w:val="00A07634"/>
    <w:rsid w:val="00A10E6C"/>
    <w:rsid w:val="00A162F2"/>
    <w:rsid w:val="00A16BF4"/>
    <w:rsid w:val="00A20B44"/>
    <w:rsid w:val="00A20B48"/>
    <w:rsid w:val="00A21D01"/>
    <w:rsid w:val="00A2551E"/>
    <w:rsid w:val="00A27066"/>
    <w:rsid w:val="00A27491"/>
    <w:rsid w:val="00A27A65"/>
    <w:rsid w:val="00A27AFA"/>
    <w:rsid w:val="00A402A6"/>
    <w:rsid w:val="00A40B4B"/>
    <w:rsid w:val="00A43D1F"/>
    <w:rsid w:val="00A44956"/>
    <w:rsid w:val="00A45212"/>
    <w:rsid w:val="00A475E3"/>
    <w:rsid w:val="00A479F3"/>
    <w:rsid w:val="00A53B52"/>
    <w:rsid w:val="00A5439B"/>
    <w:rsid w:val="00A56A71"/>
    <w:rsid w:val="00A57628"/>
    <w:rsid w:val="00A578F0"/>
    <w:rsid w:val="00A61B79"/>
    <w:rsid w:val="00A646B6"/>
    <w:rsid w:val="00A65797"/>
    <w:rsid w:val="00A666F4"/>
    <w:rsid w:val="00A66C27"/>
    <w:rsid w:val="00A70005"/>
    <w:rsid w:val="00A75782"/>
    <w:rsid w:val="00A778EB"/>
    <w:rsid w:val="00A81D3A"/>
    <w:rsid w:val="00A82309"/>
    <w:rsid w:val="00A84031"/>
    <w:rsid w:val="00A876F7"/>
    <w:rsid w:val="00A96314"/>
    <w:rsid w:val="00AA17B3"/>
    <w:rsid w:val="00AA2411"/>
    <w:rsid w:val="00AA3F83"/>
    <w:rsid w:val="00AA799D"/>
    <w:rsid w:val="00AA7BF4"/>
    <w:rsid w:val="00AB022C"/>
    <w:rsid w:val="00AB2A63"/>
    <w:rsid w:val="00AB2DBB"/>
    <w:rsid w:val="00AB58BC"/>
    <w:rsid w:val="00AC0C00"/>
    <w:rsid w:val="00AC1208"/>
    <w:rsid w:val="00AC2706"/>
    <w:rsid w:val="00AC7389"/>
    <w:rsid w:val="00AD268B"/>
    <w:rsid w:val="00AD3AC7"/>
    <w:rsid w:val="00AD4310"/>
    <w:rsid w:val="00AD68C5"/>
    <w:rsid w:val="00AE0BD6"/>
    <w:rsid w:val="00AE276F"/>
    <w:rsid w:val="00AE6F22"/>
    <w:rsid w:val="00AF084B"/>
    <w:rsid w:val="00AF0934"/>
    <w:rsid w:val="00AF58D9"/>
    <w:rsid w:val="00AF5BD2"/>
    <w:rsid w:val="00B07C25"/>
    <w:rsid w:val="00B114F7"/>
    <w:rsid w:val="00B15456"/>
    <w:rsid w:val="00B1593D"/>
    <w:rsid w:val="00B17979"/>
    <w:rsid w:val="00B20CBC"/>
    <w:rsid w:val="00B213A1"/>
    <w:rsid w:val="00B237E0"/>
    <w:rsid w:val="00B253CA"/>
    <w:rsid w:val="00B25A79"/>
    <w:rsid w:val="00B260FC"/>
    <w:rsid w:val="00B302C0"/>
    <w:rsid w:val="00B325C8"/>
    <w:rsid w:val="00B35DDA"/>
    <w:rsid w:val="00B37F8E"/>
    <w:rsid w:val="00B40F98"/>
    <w:rsid w:val="00B41546"/>
    <w:rsid w:val="00B41F93"/>
    <w:rsid w:val="00B43B91"/>
    <w:rsid w:val="00B440D0"/>
    <w:rsid w:val="00B4490D"/>
    <w:rsid w:val="00B47D10"/>
    <w:rsid w:val="00B5659D"/>
    <w:rsid w:val="00B646CE"/>
    <w:rsid w:val="00B663D2"/>
    <w:rsid w:val="00B675D5"/>
    <w:rsid w:val="00B67737"/>
    <w:rsid w:val="00B72211"/>
    <w:rsid w:val="00B72550"/>
    <w:rsid w:val="00B726A2"/>
    <w:rsid w:val="00B74B66"/>
    <w:rsid w:val="00B80093"/>
    <w:rsid w:val="00B83CF8"/>
    <w:rsid w:val="00B83DC2"/>
    <w:rsid w:val="00B9063D"/>
    <w:rsid w:val="00B9208D"/>
    <w:rsid w:val="00B92128"/>
    <w:rsid w:val="00B929C8"/>
    <w:rsid w:val="00B92F7D"/>
    <w:rsid w:val="00B945B7"/>
    <w:rsid w:val="00B96566"/>
    <w:rsid w:val="00B97B20"/>
    <w:rsid w:val="00B97D32"/>
    <w:rsid w:val="00BA0FC2"/>
    <w:rsid w:val="00BA3461"/>
    <w:rsid w:val="00BA46D5"/>
    <w:rsid w:val="00BA5FF0"/>
    <w:rsid w:val="00BB05E4"/>
    <w:rsid w:val="00BB2732"/>
    <w:rsid w:val="00BB57CF"/>
    <w:rsid w:val="00BB6F72"/>
    <w:rsid w:val="00BC0141"/>
    <w:rsid w:val="00BC09FF"/>
    <w:rsid w:val="00BC0EE5"/>
    <w:rsid w:val="00BC114F"/>
    <w:rsid w:val="00BC260E"/>
    <w:rsid w:val="00BC3B81"/>
    <w:rsid w:val="00BC590E"/>
    <w:rsid w:val="00BC70DB"/>
    <w:rsid w:val="00BD2D7C"/>
    <w:rsid w:val="00BD4203"/>
    <w:rsid w:val="00BD4BDA"/>
    <w:rsid w:val="00BE0BBF"/>
    <w:rsid w:val="00BE17FA"/>
    <w:rsid w:val="00BE1932"/>
    <w:rsid w:val="00BE42E7"/>
    <w:rsid w:val="00BE43AF"/>
    <w:rsid w:val="00BE70BB"/>
    <w:rsid w:val="00BF169A"/>
    <w:rsid w:val="00BF25F7"/>
    <w:rsid w:val="00BF2890"/>
    <w:rsid w:val="00BF3CCB"/>
    <w:rsid w:val="00BF46D6"/>
    <w:rsid w:val="00BF4F1E"/>
    <w:rsid w:val="00C0038F"/>
    <w:rsid w:val="00C0088D"/>
    <w:rsid w:val="00C01577"/>
    <w:rsid w:val="00C02CDF"/>
    <w:rsid w:val="00C053E7"/>
    <w:rsid w:val="00C05917"/>
    <w:rsid w:val="00C05919"/>
    <w:rsid w:val="00C10F22"/>
    <w:rsid w:val="00C173DE"/>
    <w:rsid w:val="00C256B5"/>
    <w:rsid w:val="00C26E32"/>
    <w:rsid w:val="00C27292"/>
    <w:rsid w:val="00C3183E"/>
    <w:rsid w:val="00C3419D"/>
    <w:rsid w:val="00C37460"/>
    <w:rsid w:val="00C41FAE"/>
    <w:rsid w:val="00C42119"/>
    <w:rsid w:val="00C427E7"/>
    <w:rsid w:val="00C44B9D"/>
    <w:rsid w:val="00C455F3"/>
    <w:rsid w:val="00C50B8B"/>
    <w:rsid w:val="00C51739"/>
    <w:rsid w:val="00C517D5"/>
    <w:rsid w:val="00C52676"/>
    <w:rsid w:val="00C56038"/>
    <w:rsid w:val="00C5612B"/>
    <w:rsid w:val="00C5664C"/>
    <w:rsid w:val="00C61E93"/>
    <w:rsid w:val="00C62C32"/>
    <w:rsid w:val="00C62FC2"/>
    <w:rsid w:val="00C63050"/>
    <w:rsid w:val="00C65DE8"/>
    <w:rsid w:val="00C671C4"/>
    <w:rsid w:val="00C70A57"/>
    <w:rsid w:val="00C71A95"/>
    <w:rsid w:val="00C72030"/>
    <w:rsid w:val="00C7789C"/>
    <w:rsid w:val="00C861DC"/>
    <w:rsid w:val="00C87D17"/>
    <w:rsid w:val="00C93722"/>
    <w:rsid w:val="00C940D3"/>
    <w:rsid w:val="00C955D3"/>
    <w:rsid w:val="00C966D2"/>
    <w:rsid w:val="00CA0011"/>
    <w:rsid w:val="00CA15C8"/>
    <w:rsid w:val="00CA584D"/>
    <w:rsid w:val="00CB1D44"/>
    <w:rsid w:val="00CB2F59"/>
    <w:rsid w:val="00CB3B17"/>
    <w:rsid w:val="00CB606D"/>
    <w:rsid w:val="00CB7323"/>
    <w:rsid w:val="00CC2AE8"/>
    <w:rsid w:val="00CC4C4D"/>
    <w:rsid w:val="00CC4E45"/>
    <w:rsid w:val="00CC6747"/>
    <w:rsid w:val="00CC7A54"/>
    <w:rsid w:val="00CD0BFE"/>
    <w:rsid w:val="00CD356D"/>
    <w:rsid w:val="00CD4BF8"/>
    <w:rsid w:val="00CD63BE"/>
    <w:rsid w:val="00CE153E"/>
    <w:rsid w:val="00CE29F3"/>
    <w:rsid w:val="00CE37A3"/>
    <w:rsid w:val="00CE4570"/>
    <w:rsid w:val="00CE5B44"/>
    <w:rsid w:val="00CE6F30"/>
    <w:rsid w:val="00CE7DBD"/>
    <w:rsid w:val="00CF1800"/>
    <w:rsid w:val="00CF3160"/>
    <w:rsid w:val="00CF332C"/>
    <w:rsid w:val="00CF40DE"/>
    <w:rsid w:val="00CF5FFD"/>
    <w:rsid w:val="00D001C5"/>
    <w:rsid w:val="00D06AB4"/>
    <w:rsid w:val="00D100F7"/>
    <w:rsid w:val="00D10782"/>
    <w:rsid w:val="00D12415"/>
    <w:rsid w:val="00D13843"/>
    <w:rsid w:val="00D1652E"/>
    <w:rsid w:val="00D16920"/>
    <w:rsid w:val="00D16BB3"/>
    <w:rsid w:val="00D27269"/>
    <w:rsid w:val="00D27433"/>
    <w:rsid w:val="00D30D1F"/>
    <w:rsid w:val="00D312B5"/>
    <w:rsid w:val="00D36480"/>
    <w:rsid w:val="00D40DCC"/>
    <w:rsid w:val="00D43E5F"/>
    <w:rsid w:val="00D44A31"/>
    <w:rsid w:val="00D501BE"/>
    <w:rsid w:val="00D51D55"/>
    <w:rsid w:val="00D53BB3"/>
    <w:rsid w:val="00D5744D"/>
    <w:rsid w:val="00D5790C"/>
    <w:rsid w:val="00D601AF"/>
    <w:rsid w:val="00D730C4"/>
    <w:rsid w:val="00D73EDB"/>
    <w:rsid w:val="00D74439"/>
    <w:rsid w:val="00D751AF"/>
    <w:rsid w:val="00D76049"/>
    <w:rsid w:val="00D76ABC"/>
    <w:rsid w:val="00D813D0"/>
    <w:rsid w:val="00D8153A"/>
    <w:rsid w:val="00D821CF"/>
    <w:rsid w:val="00D8462B"/>
    <w:rsid w:val="00D86806"/>
    <w:rsid w:val="00D918EC"/>
    <w:rsid w:val="00D91EC8"/>
    <w:rsid w:val="00D934AE"/>
    <w:rsid w:val="00D93EFC"/>
    <w:rsid w:val="00D96161"/>
    <w:rsid w:val="00DA2FCD"/>
    <w:rsid w:val="00DA4747"/>
    <w:rsid w:val="00DA595A"/>
    <w:rsid w:val="00DA7A66"/>
    <w:rsid w:val="00DA7F8A"/>
    <w:rsid w:val="00DB360A"/>
    <w:rsid w:val="00DB3F59"/>
    <w:rsid w:val="00DB5B6F"/>
    <w:rsid w:val="00DB61C3"/>
    <w:rsid w:val="00DC00F6"/>
    <w:rsid w:val="00DC2FC1"/>
    <w:rsid w:val="00DC3CD6"/>
    <w:rsid w:val="00DC5809"/>
    <w:rsid w:val="00DC7597"/>
    <w:rsid w:val="00DD2BCC"/>
    <w:rsid w:val="00DD61B4"/>
    <w:rsid w:val="00DD6DC2"/>
    <w:rsid w:val="00DE0A34"/>
    <w:rsid w:val="00DE2C4C"/>
    <w:rsid w:val="00DE3957"/>
    <w:rsid w:val="00DE6930"/>
    <w:rsid w:val="00DE799C"/>
    <w:rsid w:val="00DF122F"/>
    <w:rsid w:val="00DF3818"/>
    <w:rsid w:val="00DF56B6"/>
    <w:rsid w:val="00DF6DCA"/>
    <w:rsid w:val="00DF7D97"/>
    <w:rsid w:val="00E00F0D"/>
    <w:rsid w:val="00E01134"/>
    <w:rsid w:val="00E02635"/>
    <w:rsid w:val="00E0267D"/>
    <w:rsid w:val="00E1069E"/>
    <w:rsid w:val="00E121A1"/>
    <w:rsid w:val="00E128C5"/>
    <w:rsid w:val="00E13417"/>
    <w:rsid w:val="00E146C4"/>
    <w:rsid w:val="00E14FFF"/>
    <w:rsid w:val="00E16222"/>
    <w:rsid w:val="00E1799E"/>
    <w:rsid w:val="00E20354"/>
    <w:rsid w:val="00E222DF"/>
    <w:rsid w:val="00E22BD7"/>
    <w:rsid w:val="00E24142"/>
    <w:rsid w:val="00E2568E"/>
    <w:rsid w:val="00E277AB"/>
    <w:rsid w:val="00E30CCF"/>
    <w:rsid w:val="00E33DF3"/>
    <w:rsid w:val="00E347C1"/>
    <w:rsid w:val="00E37A7F"/>
    <w:rsid w:val="00E40DB4"/>
    <w:rsid w:val="00E41D21"/>
    <w:rsid w:val="00E427F0"/>
    <w:rsid w:val="00E42C40"/>
    <w:rsid w:val="00E43B68"/>
    <w:rsid w:val="00E43F1B"/>
    <w:rsid w:val="00E50810"/>
    <w:rsid w:val="00E50E06"/>
    <w:rsid w:val="00E50FC8"/>
    <w:rsid w:val="00E51654"/>
    <w:rsid w:val="00E527E4"/>
    <w:rsid w:val="00E53A0B"/>
    <w:rsid w:val="00E55EA6"/>
    <w:rsid w:val="00E57C7E"/>
    <w:rsid w:val="00E6003C"/>
    <w:rsid w:val="00E61FF3"/>
    <w:rsid w:val="00E6269F"/>
    <w:rsid w:val="00E67355"/>
    <w:rsid w:val="00E67C46"/>
    <w:rsid w:val="00E67E60"/>
    <w:rsid w:val="00E7060F"/>
    <w:rsid w:val="00E76410"/>
    <w:rsid w:val="00E777BE"/>
    <w:rsid w:val="00E77B12"/>
    <w:rsid w:val="00E8492B"/>
    <w:rsid w:val="00E85021"/>
    <w:rsid w:val="00E86243"/>
    <w:rsid w:val="00E86841"/>
    <w:rsid w:val="00E93580"/>
    <w:rsid w:val="00EA0BAA"/>
    <w:rsid w:val="00EA112C"/>
    <w:rsid w:val="00EA2136"/>
    <w:rsid w:val="00EA392B"/>
    <w:rsid w:val="00EA5068"/>
    <w:rsid w:val="00EA50B6"/>
    <w:rsid w:val="00EA6202"/>
    <w:rsid w:val="00EA6EFB"/>
    <w:rsid w:val="00EA7091"/>
    <w:rsid w:val="00EB0BC4"/>
    <w:rsid w:val="00EB6D03"/>
    <w:rsid w:val="00EC0701"/>
    <w:rsid w:val="00EC4FAA"/>
    <w:rsid w:val="00EC72EA"/>
    <w:rsid w:val="00ED105F"/>
    <w:rsid w:val="00ED11E0"/>
    <w:rsid w:val="00ED16EC"/>
    <w:rsid w:val="00ED475C"/>
    <w:rsid w:val="00ED6701"/>
    <w:rsid w:val="00ED6BF5"/>
    <w:rsid w:val="00EE1CA5"/>
    <w:rsid w:val="00EE6822"/>
    <w:rsid w:val="00EE703E"/>
    <w:rsid w:val="00EF24CA"/>
    <w:rsid w:val="00EF3984"/>
    <w:rsid w:val="00F01A23"/>
    <w:rsid w:val="00F07662"/>
    <w:rsid w:val="00F133A9"/>
    <w:rsid w:val="00F14292"/>
    <w:rsid w:val="00F154CB"/>
    <w:rsid w:val="00F20C51"/>
    <w:rsid w:val="00F21307"/>
    <w:rsid w:val="00F221CA"/>
    <w:rsid w:val="00F2248B"/>
    <w:rsid w:val="00F274C8"/>
    <w:rsid w:val="00F27524"/>
    <w:rsid w:val="00F311C4"/>
    <w:rsid w:val="00F315D3"/>
    <w:rsid w:val="00F3655D"/>
    <w:rsid w:val="00F36E54"/>
    <w:rsid w:val="00F40ADF"/>
    <w:rsid w:val="00F41EA0"/>
    <w:rsid w:val="00F421D0"/>
    <w:rsid w:val="00F427DC"/>
    <w:rsid w:val="00F44E21"/>
    <w:rsid w:val="00F45D0E"/>
    <w:rsid w:val="00F5290B"/>
    <w:rsid w:val="00F54980"/>
    <w:rsid w:val="00F70C80"/>
    <w:rsid w:val="00F732C7"/>
    <w:rsid w:val="00F76572"/>
    <w:rsid w:val="00F76DC0"/>
    <w:rsid w:val="00F773DE"/>
    <w:rsid w:val="00F779D8"/>
    <w:rsid w:val="00F85551"/>
    <w:rsid w:val="00F85D41"/>
    <w:rsid w:val="00F87A4D"/>
    <w:rsid w:val="00F95154"/>
    <w:rsid w:val="00F95C49"/>
    <w:rsid w:val="00FA141D"/>
    <w:rsid w:val="00FA1C93"/>
    <w:rsid w:val="00FA1D59"/>
    <w:rsid w:val="00FB0F25"/>
    <w:rsid w:val="00FB124B"/>
    <w:rsid w:val="00FB1EA0"/>
    <w:rsid w:val="00FC0C29"/>
    <w:rsid w:val="00FC446E"/>
    <w:rsid w:val="00FC4803"/>
    <w:rsid w:val="00FC57D1"/>
    <w:rsid w:val="00FC70E2"/>
    <w:rsid w:val="00FD1871"/>
    <w:rsid w:val="00FD3FCE"/>
    <w:rsid w:val="00FD4DB4"/>
    <w:rsid w:val="00FD7C6D"/>
    <w:rsid w:val="00FE0FB5"/>
    <w:rsid w:val="00FE24FB"/>
    <w:rsid w:val="00FE4893"/>
    <w:rsid w:val="00FE698E"/>
    <w:rsid w:val="00FE7678"/>
    <w:rsid w:val="00FF2322"/>
    <w:rsid w:val="00FF53CC"/>
    <w:rsid w:val="00FF5BD1"/>
    <w:rsid w:val="00FF5C43"/>
    <w:rsid w:val="00FF64AD"/>
    <w:rsid w:val="00FF6894"/>
    <w:rsid w:val="00FF74BD"/>
    <w:rsid w:val="010011CC"/>
    <w:rsid w:val="01C10A6E"/>
    <w:rsid w:val="02874442"/>
    <w:rsid w:val="030A44FE"/>
    <w:rsid w:val="033B3E56"/>
    <w:rsid w:val="03434BE8"/>
    <w:rsid w:val="03977CC7"/>
    <w:rsid w:val="03C14DA6"/>
    <w:rsid w:val="044E79F5"/>
    <w:rsid w:val="047A6085"/>
    <w:rsid w:val="057B6E3B"/>
    <w:rsid w:val="058835AF"/>
    <w:rsid w:val="05D775CA"/>
    <w:rsid w:val="06076DAF"/>
    <w:rsid w:val="073547EF"/>
    <w:rsid w:val="07B92DC8"/>
    <w:rsid w:val="08623B8B"/>
    <w:rsid w:val="095E1233"/>
    <w:rsid w:val="0A02074D"/>
    <w:rsid w:val="0A807C63"/>
    <w:rsid w:val="0A98130F"/>
    <w:rsid w:val="0AAB3EDE"/>
    <w:rsid w:val="0CB93232"/>
    <w:rsid w:val="0D5C3DCC"/>
    <w:rsid w:val="0E091F71"/>
    <w:rsid w:val="0EDF4C5A"/>
    <w:rsid w:val="0F441301"/>
    <w:rsid w:val="0F933F45"/>
    <w:rsid w:val="0FE14EB5"/>
    <w:rsid w:val="10281297"/>
    <w:rsid w:val="10796446"/>
    <w:rsid w:val="10871B6B"/>
    <w:rsid w:val="10B17EA6"/>
    <w:rsid w:val="10F44E85"/>
    <w:rsid w:val="116B41C6"/>
    <w:rsid w:val="12193836"/>
    <w:rsid w:val="12D955C5"/>
    <w:rsid w:val="138A0461"/>
    <w:rsid w:val="138E38D7"/>
    <w:rsid w:val="14E339D0"/>
    <w:rsid w:val="156E7DBA"/>
    <w:rsid w:val="15863342"/>
    <w:rsid w:val="15BE1127"/>
    <w:rsid w:val="16FE5004"/>
    <w:rsid w:val="172058D6"/>
    <w:rsid w:val="174B013A"/>
    <w:rsid w:val="17702589"/>
    <w:rsid w:val="17AE07B4"/>
    <w:rsid w:val="17C0264C"/>
    <w:rsid w:val="17DD42F6"/>
    <w:rsid w:val="18044CFC"/>
    <w:rsid w:val="18947BE3"/>
    <w:rsid w:val="18AB20F9"/>
    <w:rsid w:val="18FB170F"/>
    <w:rsid w:val="199450E6"/>
    <w:rsid w:val="19A23B96"/>
    <w:rsid w:val="1A034A8C"/>
    <w:rsid w:val="1A397271"/>
    <w:rsid w:val="1A6464CB"/>
    <w:rsid w:val="1AC348FF"/>
    <w:rsid w:val="1B3540E8"/>
    <w:rsid w:val="1B432057"/>
    <w:rsid w:val="1B687AE3"/>
    <w:rsid w:val="1B8E4C89"/>
    <w:rsid w:val="1B95052B"/>
    <w:rsid w:val="1D193875"/>
    <w:rsid w:val="1D1F196C"/>
    <w:rsid w:val="1D5B743E"/>
    <w:rsid w:val="1D8B0F13"/>
    <w:rsid w:val="1DE452E3"/>
    <w:rsid w:val="1EEA08D5"/>
    <w:rsid w:val="1EFA487F"/>
    <w:rsid w:val="1F2B23B1"/>
    <w:rsid w:val="1F506B15"/>
    <w:rsid w:val="20A667F6"/>
    <w:rsid w:val="20BA30CA"/>
    <w:rsid w:val="20C433AE"/>
    <w:rsid w:val="20FF6224"/>
    <w:rsid w:val="2273512B"/>
    <w:rsid w:val="22F55982"/>
    <w:rsid w:val="233140CF"/>
    <w:rsid w:val="23366995"/>
    <w:rsid w:val="23953F37"/>
    <w:rsid w:val="23FD2BB9"/>
    <w:rsid w:val="243F0E04"/>
    <w:rsid w:val="249D20A5"/>
    <w:rsid w:val="24FF2846"/>
    <w:rsid w:val="252D23ED"/>
    <w:rsid w:val="25B1499C"/>
    <w:rsid w:val="27FA57D2"/>
    <w:rsid w:val="28924AC0"/>
    <w:rsid w:val="28DF355F"/>
    <w:rsid w:val="295824A2"/>
    <w:rsid w:val="2A2B5DEA"/>
    <w:rsid w:val="2A8E4CB2"/>
    <w:rsid w:val="2AEF0D18"/>
    <w:rsid w:val="2AF45964"/>
    <w:rsid w:val="2CDA211C"/>
    <w:rsid w:val="2D003EA4"/>
    <w:rsid w:val="2D1B6384"/>
    <w:rsid w:val="2D1F189B"/>
    <w:rsid w:val="2D3656F1"/>
    <w:rsid w:val="2D3D262C"/>
    <w:rsid w:val="2D75610C"/>
    <w:rsid w:val="2DD5035A"/>
    <w:rsid w:val="2E8E37E7"/>
    <w:rsid w:val="2EA268F3"/>
    <w:rsid w:val="2EC360F0"/>
    <w:rsid w:val="30AA2F33"/>
    <w:rsid w:val="316066DD"/>
    <w:rsid w:val="31EF5BDE"/>
    <w:rsid w:val="32CF36BD"/>
    <w:rsid w:val="332918C1"/>
    <w:rsid w:val="333A6E02"/>
    <w:rsid w:val="336F5266"/>
    <w:rsid w:val="33BC30BE"/>
    <w:rsid w:val="33E6697F"/>
    <w:rsid w:val="348E3101"/>
    <w:rsid w:val="355015A4"/>
    <w:rsid w:val="35E20B91"/>
    <w:rsid w:val="36E56F58"/>
    <w:rsid w:val="371D1EBE"/>
    <w:rsid w:val="37372D0D"/>
    <w:rsid w:val="37947DD2"/>
    <w:rsid w:val="37F17B92"/>
    <w:rsid w:val="38254780"/>
    <w:rsid w:val="38482AC8"/>
    <w:rsid w:val="38A95B74"/>
    <w:rsid w:val="38CC4108"/>
    <w:rsid w:val="397C06A3"/>
    <w:rsid w:val="3ABE56BB"/>
    <w:rsid w:val="3B0600A9"/>
    <w:rsid w:val="3B3225D8"/>
    <w:rsid w:val="3BF429B0"/>
    <w:rsid w:val="3C1E74D3"/>
    <w:rsid w:val="3C4F1791"/>
    <w:rsid w:val="3C6A2149"/>
    <w:rsid w:val="3CAA7FC3"/>
    <w:rsid w:val="3D791B2D"/>
    <w:rsid w:val="3E7662F4"/>
    <w:rsid w:val="3EA77DBB"/>
    <w:rsid w:val="3F35671A"/>
    <w:rsid w:val="3F5142D2"/>
    <w:rsid w:val="40293310"/>
    <w:rsid w:val="406E7142"/>
    <w:rsid w:val="415470A5"/>
    <w:rsid w:val="41F94452"/>
    <w:rsid w:val="426D4452"/>
    <w:rsid w:val="42AC0D23"/>
    <w:rsid w:val="42BE1D67"/>
    <w:rsid w:val="42E84BA3"/>
    <w:rsid w:val="43915066"/>
    <w:rsid w:val="43AB20C9"/>
    <w:rsid w:val="4685447D"/>
    <w:rsid w:val="4690463C"/>
    <w:rsid w:val="46D641DB"/>
    <w:rsid w:val="470808AB"/>
    <w:rsid w:val="471F2670"/>
    <w:rsid w:val="48426080"/>
    <w:rsid w:val="48836E77"/>
    <w:rsid w:val="48956D33"/>
    <w:rsid w:val="48980707"/>
    <w:rsid w:val="492F5315"/>
    <w:rsid w:val="498977B5"/>
    <w:rsid w:val="4B52293D"/>
    <w:rsid w:val="4BC73BC6"/>
    <w:rsid w:val="4CE17E91"/>
    <w:rsid w:val="4D51232C"/>
    <w:rsid w:val="4D7D60D1"/>
    <w:rsid w:val="4DAA40D1"/>
    <w:rsid w:val="4DB6587A"/>
    <w:rsid w:val="4EA53471"/>
    <w:rsid w:val="4F38113C"/>
    <w:rsid w:val="4F504FC3"/>
    <w:rsid w:val="4FB857A9"/>
    <w:rsid w:val="500C2CE8"/>
    <w:rsid w:val="509411F2"/>
    <w:rsid w:val="50C360E7"/>
    <w:rsid w:val="50D64026"/>
    <w:rsid w:val="511B1C0D"/>
    <w:rsid w:val="51C64AA1"/>
    <w:rsid w:val="51FA1D28"/>
    <w:rsid w:val="52465179"/>
    <w:rsid w:val="53A7451F"/>
    <w:rsid w:val="53A845BB"/>
    <w:rsid w:val="543863E9"/>
    <w:rsid w:val="554D3678"/>
    <w:rsid w:val="56EA39C4"/>
    <w:rsid w:val="578A04CF"/>
    <w:rsid w:val="57F45327"/>
    <w:rsid w:val="58067851"/>
    <w:rsid w:val="58233C6F"/>
    <w:rsid w:val="58F250EC"/>
    <w:rsid w:val="590544F0"/>
    <w:rsid w:val="59273BEF"/>
    <w:rsid w:val="59AF6540"/>
    <w:rsid w:val="59C546AF"/>
    <w:rsid w:val="5AFA0380"/>
    <w:rsid w:val="5B6C4776"/>
    <w:rsid w:val="5BA46978"/>
    <w:rsid w:val="5BF9564C"/>
    <w:rsid w:val="5C434F00"/>
    <w:rsid w:val="5C735665"/>
    <w:rsid w:val="5CCC7532"/>
    <w:rsid w:val="5D063B1A"/>
    <w:rsid w:val="5F3F1736"/>
    <w:rsid w:val="5F427276"/>
    <w:rsid w:val="5FAF7373"/>
    <w:rsid w:val="60AA6AC1"/>
    <w:rsid w:val="60F44EA0"/>
    <w:rsid w:val="617D07BD"/>
    <w:rsid w:val="61965614"/>
    <w:rsid w:val="62685FE4"/>
    <w:rsid w:val="62BF08A2"/>
    <w:rsid w:val="636904A4"/>
    <w:rsid w:val="63E00CDD"/>
    <w:rsid w:val="64D143F7"/>
    <w:rsid w:val="653B4742"/>
    <w:rsid w:val="6599313D"/>
    <w:rsid w:val="65DF3771"/>
    <w:rsid w:val="66B855D0"/>
    <w:rsid w:val="66E65FF5"/>
    <w:rsid w:val="66ED39F5"/>
    <w:rsid w:val="67344190"/>
    <w:rsid w:val="673E66D3"/>
    <w:rsid w:val="68340956"/>
    <w:rsid w:val="685866D5"/>
    <w:rsid w:val="686929F4"/>
    <w:rsid w:val="68744702"/>
    <w:rsid w:val="69590816"/>
    <w:rsid w:val="69F63E24"/>
    <w:rsid w:val="6A1106E6"/>
    <w:rsid w:val="6A7C1868"/>
    <w:rsid w:val="6B5B034E"/>
    <w:rsid w:val="6B5B0869"/>
    <w:rsid w:val="6BEC77CE"/>
    <w:rsid w:val="6BFE3E6E"/>
    <w:rsid w:val="6C8806B0"/>
    <w:rsid w:val="6C922EF7"/>
    <w:rsid w:val="6D124D03"/>
    <w:rsid w:val="6D85610B"/>
    <w:rsid w:val="6DD361F9"/>
    <w:rsid w:val="6E210403"/>
    <w:rsid w:val="6E227F63"/>
    <w:rsid w:val="6E751C6B"/>
    <w:rsid w:val="6E80330A"/>
    <w:rsid w:val="6E943B1F"/>
    <w:rsid w:val="700579C0"/>
    <w:rsid w:val="713319D6"/>
    <w:rsid w:val="73364590"/>
    <w:rsid w:val="736B1A72"/>
    <w:rsid w:val="73C932AA"/>
    <w:rsid w:val="741924EF"/>
    <w:rsid w:val="74202183"/>
    <w:rsid w:val="75B11ED5"/>
    <w:rsid w:val="75C40740"/>
    <w:rsid w:val="761269FC"/>
    <w:rsid w:val="765D76C3"/>
    <w:rsid w:val="77092CA3"/>
    <w:rsid w:val="770D1C68"/>
    <w:rsid w:val="773C3B26"/>
    <w:rsid w:val="77982A76"/>
    <w:rsid w:val="78837721"/>
    <w:rsid w:val="78FF4224"/>
    <w:rsid w:val="79A71459"/>
    <w:rsid w:val="79E5221D"/>
    <w:rsid w:val="7A6216B7"/>
    <w:rsid w:val="7A75150A"/>
    <w:rsid w:val="7A7B1287"/>
    <w:rsid w:val="7AA83067"/>
    <w:rsid w:val="7AC76FBB"/>
    <w:rsid w:val="7AEC430E"/>
    <w:rsid w:val="7B10277E"/>
    <w:rsid w:val="7B705C7C"/>
    <w:rsid w:val="7BC46BAD"/>
    <w:rsid w:val="7BDB0DCB"/>
    <w:rsid w:val="7BF10A93"/>
    <w:rsid w:val="7C0371ED"/>
    <w:rsid w:val="7C466C81"/>
    <w:rsid w:val="7C8018A4"/>
    <w:rsid w:val="7D2A31A9"/>
    <w:rsid w:val="7E2156F7"/>
    <w:rsid w:val="7ECF1A51"/>
    <w:rsid w:val="7EDF5F96"/>
    <w:rsid w:val="7EE853BC"/>
    <w:rsid w:val="7F222A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line="360" w:lineRule="auto"/>
      <w:outlineLvl w:val="0"/>
    </w:pPr>
    <w:rPr>
      <w:b/>
      <w:bCs/>
      <w:kern w:val="44"/>
      <w:sz w:val="32"/>
      <w:szCs w:val="44"/>
    </w:rPr>
  </w:style>
  <w:style w:type="paragraph" w:styleId="4">
    <w:name w:val="heading 2"/>
    <w:basedOn w:val="1"/>
    <w:next w:val="1"/>
    <w:link w:val="46"/>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47"/>
    <w:unhideWhenUsed/>
    <w:qFormat/>
    <w:uiPriority w:val="0"/>
    <w:pPr>
      <w:keepNext/>
      <w:keepLines/>
      <w:spacing w:before="260" w:after="260" w:line="415" w:lineRule="auto"/>
      <w:outlineLvl w:val="2"/>
    </w:pPr>
    <w:rPr>
      <w:b/>
      <w:bCs/>
      <w:sz w:val="32"/>
      <w:szCs w:val="32"/>
    </w:rPr>
  </w:style>
  <w:style w:type="paragraph" w:styleId="2">
    <w:name w:val="heading 4"/>
    <w:basedOn w:val="1"/>
    <w:next w:val="1"/>
    <w:link w:val="48"/>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49"/>
    <w:unhideWhenUsed/>
    <w:qFormat/>
    <w:uiPriority w:val="0"/>
    <w:pPr>
      <w:keepNext/>
      <w:keepLines/>
      <w:spacing w:before="280" w:after="290" w:line="374" w:lineRule="auto"/>
      <w:outlineLvl w:val="4"/>
    </w:pPr>
    <w:rPr>
      <w:b/>
      <w:bCs/>
      <w:sz w:val="28"/>
      <w:szCs w:val="28"/>
    </w:rPr>
  </w:style>
  <w:style w:type="paragraph" w:styleId="7">
    <w:name w:val="heading 6"/>
    <w:basedOn w:val="1"/>
    <w:next w:val="1"/>
    <w:link w:val="50"/>
    <w:unhideWhenUsed/>
    <w:qFormat/>
    <w:uiPriority w:val="0"/>
    <w:pPr>
      <w:keepNext/>
      <w:keepLines/>
      <w:widowControl/>
      <w:spacing w:before="240" w:after="64" w:line="316" w:lineRule="auto"/>
      <w:ind w:firstLine="200" w:firstLineChars="200"/>
      <w:outlineLvl w:val="5"/>
    </w:pPr>
    <w:rPr>
      <w:rFonts w:ascii="Cambria" w:hAnsi="Cambria" w:cs="宋体"/>
      <w:b/>
      <w:bCs/>
      <w:sz w:val="24"/>
    </w:rPr>
  </w:style>
  <w:style w:type="paragraph" w:styleId="8">
    <w:name w:val="heading 7"/>
    <w:basedOn w:val="1"/>
    <w:next w:val="1"/>
    <w:link w:val="51"/>
    <w:unhideWhenUsed/>
    <w:qFormat/>
    <w:uiPriority w:val="0"/>
    <w:pPr>
      <w:keepNext/>
      <w:keepLines/>
      <w:widowControl/>
      <w:spacing w:before="240" w:after="64" w:line="316" w:lineRule="auto"/>
      <w:ind w:firstLine="200" w:firstLineChars="200"/>
      <w:outlineLvl w:val="6"/>
    </w:pPr>
    <w:rPr>
      <w:rFonts w:ascii="Calibri" w:hAnsi="Calibri"/>
      <w:b/>
      <w:bCs/>
      <w:sz w:val="24"/>
    </w:rPr>
  </w:style>
  <w:style w:type="paragraph" w:styleId="9">
    <w:name w:val="heading 8"/>
    <w:basedOn w:val="1"/>
    <w:next w:val="1"/>
    <w:link w:val="52"/>
    <w:unhideWhenUsed/>
    <w:qFormat/>
    <w:uiPriority w:val="0"/>
    <w:pPr>
      <w:keepNext/>
      <w:keepLines/>
      <w:widowControl/>
      <w:spacing w:before="240" w:after="64" w:line="316" w:lineRule="auto"/>
      <w:ind w:firstLine="200" w:firstLineChars="200"/>
      <w:outlineLvl w:val="7"/>
    </w:pPr>
    <w:rPr>
      <w:rFonts w:ascii="Cambria" w:hAnsi="Cambria"/>
      <w:sz w:val="24"/>
    </w:rPr>
  </w:style>
  <w:style w:type="paragraph" w:styleId="10">
    <w:name w:val="heading 9"/>
    <w:basedOn w:val="1"/>
    <w:next w:val="1"/>
    <w:link w:val="53"/>
    <w:unhideWhenUsed/>
    <w:qFormat/>
    <w:uiPriority w:val="0"/>
    <w:pPr>
      <w:keepNext/>
      <w:keepLines/>
      <w:widowControl/>
      <w:spacing w:before="240" w:after="64" w:line="316" w:lineRule="auto"/>
      <w:ind w:firstLine="200" w:firstLineChars="200"/>
      <w:outlineLvl w:val="8"/>
    </w:pPr>
    <w:rPr>
      <w:rFonts w:ascii="Cambria" w:hAnsi="Cambria"/>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sz w:val="18"/>
      <w:szCs w:val="18"/>
    </w:rPr>
  </w:style>
  <w:style w:type="paragraph" w:styleId="12">
    <w:name w:val="Normal Indent"/>
    <w:basedOn w:val="1"/>
    <w:unhideWhenUsed/>
    <w:qFormat/>
    <w:uiPriority w:val="0"/>
    <w:pPr>
      <w:ind w:firstLine="420" w:firstLineChars="200"/>
    </w:pPr>
  </w:style>
  <w:style w:type="paragraph" w:styleId="13">
    <w:name w:val="caption"/>
    <w:basedOn w:val="1"/>
    <w:next w:val="1"/>
    <w:unhideWhenUsed/>
    <w:qFormat/>
    <w:uiPriority w:val="0"/>
    <w:pPr>
      <w:widowControl/>
      <w:spacing w:line="360" w:lineRule="auto"/>
      <w:ind w:firstLine="200" w:firstLineChars="200"/>
    </w:pPr>
    <w:rPr>
      <w:rFonts w:ascii="Cambria" w:hAnsi="Cambria" w:eastAsia="黑体"/>
      <w:sz w:val="20"/>
      <w:szCs w:val="20"/>
    </w:rPr>
  </w:style>
  <w:style w:type="paragraph" w:styleId="14">
    <w:name w:val="Document Map"/>
    <w:basedOn w:val="1"/>
    <w:link w:val="62"/>
    <w:unhideWhenUsed/>
    <w:qFormat/>
    <w:uiPriority w:val="0"/>
    <w:pPr>
      <w:shd w:val="clear" w:color="auto" w:fill="000080"/>
    </w:pPr>
  </w:style>
  <w:style w:type="paragraph" w:styleId="15">
    <w:name w:val="annotation text"/>
    <w:basedOn w:val="1"/>
    <w:link w:val="56"/>
    <w:unhideWhenUsed/>
    <w:qFormat/>
    <w:uiPriority w:val="0"/>
    <w:pPr>
      <w:widowControl/>
      <w:spacing w:line="360" w:lineRule="auto"/>
      <w:ind w:firstLine="200" w:firstLineChars="200"/>
      <w:jc w:val="left"/>
    </w:pPr>
    <w:rPr>
      <w:szCs w:val="22"/>
    </w:rPr>
  </w:style>
  <w:style w:type="paragraph" w:styleId="16">
    <w:name w:val="Body Text"/>
    <w:basedOn w:val="1"/>
    <w:link w:val="5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styleId="17">
    <w:name w:val="Body Text Indent"/>
    <w:basedOn w:val="1"/>
    <w:link w:val="5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18">
    <w:name w:val="index 4"/>
    <w:basedOn w:val="1"/>
    <w:next w:val="1"/>
    <w:unhideWhenUsed/>
    <w:qFormat/>
    <w:uiPriority w:val="0"/>
    <w:pPr>
      <w:widowControl/>
      <w:spacing w:line="360" w:lineRule="auto"/>
      <w:ind w:left="600" w:leftChars="600" w:firstLine="200" w:firstLineChars="200"/>
    </w:pPr>
  </w:style>
  <w:style w:type="paragraph" w:styleId="19">
    <w:name w:val="toc 5"/>
    <w:basedOn w:val="1"/>
    <w:next w:val="1"/>
    <w:unhideWhenUsed/>
    <w:qFormat/>
    <w:uiPriority w:val="39"/>
    <w:pPr>
      <w:ind w:left="840"/>
      <w:jc w:val="left"/>
    </w:pPr>
    <w:rPr>
      <w:sz w:val="18"/>
      <w:szCs w:val="18"/>
    </w:rPr>
  </w:style>
  <w:style w:type="paragraph" w:styleId="20">
    <w:name w:val="toc 3"/>
    <w:basedOn w:val="1"/>
    <w:next w:val="1"/>
    <w:unhideWhenUsed/>
    <w:qFormat/>
    <w:uiPriority w:val="39"/>
    <w:pPr>
      <w:ind w:left="420"/>
      <w:jc w:val="left"/>
    </w:pPr>
    <w:rPr>
      <w:iCs/>
      <w:szCs w:val="20"/>
    </w:rPr>
  </w:style>
  <w:style w:type="paragraph" w:styleId="21">
    <w:name w:val="Plain Text"/>
    <w:basedOn w:val="1"/>
    <w:link w:val="63"/>
    <w:unhideWhenUsed/>
    <w:qFormat/>
    <w:uiPriority w:val="0"/>
    <w:rPr>
      <w:rFonts w:ascii="宋体" w:hAnsi="Courier New"/>
      <w:bCs/>
    </w:rPr>
  </w:style>
  <w:style w:type="paragraph" w:styleId="22">
    <w:name w:val="toc 8"/>
    <w:basedOn w:val="1"/>
    <w:next w:val="1"/>
    <w:unhideWhenUsed/>
    <w:qFormat/>
    <w:uiPriority w:val="39"/>
    <w:pPr>
      <w:ind w:left="1470"/>
      <w:jc w:val="left"/>
    </w:pPr>
    <w:rPr>
      <w:sz w:val="18"/>
      <w:szCs w:val="18"/>
    </w:rPr>
  </w:style>
  <w:style w:type="paragraph" w:styleId="23">
    <w:name w:val="Date"/>
    <w:basedOn w:val="1"/>
    <w:next w:val="1"/>
    <w:link w:val="61"/>
    <w:unhideWhenUsed/>
    <w:qFormat/>
    <w:uiPriority w:val="0"/>
    <w:pPr>
      <w:ind w:left="100" w:leftChars="2500"/>
    </w:pPr>
  </w:style>
  <w:style w:type="paragraph" w:styleId="24">
    <w:name w:val="Balloon Text"/>
    <w:basedOn w:val="1"/>
    <w:link w:val="65"/>
    <w:unhideWhenUsed/>
    <w:qFormat/>
    <w:uiPriority w:val="0"/>
    <w:pPr>
      <w:widowControl/>
      <w:spacing w:line="360" w:lineRule="auto"/>
      <w:ind w:firstLine="200" w:firstLineChars="200"/>
    </w:pPr>
    <w:rPr>
      <w:rFonts w:ascii="宋体"/>
      <w:kern w:val="0"/>
      <w:sz w:val="18"/>
      <w:szCs w:val="18"/>
    </w:rPr>
  </w:style>
  <w:style w:type="paragraph" w:styleId="25">
    <w:name w:val="footer"/>
    <w:basedOn w:val="1"/>
    <w:link w:val="55"/>
    <w:unhideWhenUsed/>
    <w:qFormat/>
    <w:uiPriority w:val="99"/>
    <w:pPr>
      <w:tabs>
        <w:tab w:val="center" w:pos="4153"/>
        <w:tab w:val="right" w:pos="8306"/>
      </w:tabs>
      <w:snapToGrid w:val="0"/>
      <w:jc w:val="left"/>
    </w:pPr>
    <w:rPr>
      <w:sz w:val="18"/>
      <w:szCs w:val="18"/>
    </w:rPr>
  </w:style>
  <w:style w:type="paragraph" w:styleId="26">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unhideWhenUsed/>
    <w:qFormat/>
    <w:uiPriority w:val="39"/>
    <w:pPr>
      <w:spacing w:before="120" w:after="120"/>
      <w:jc w:val="left"/>
    </w:pPr>
    <w:rPr>
      <w:bCs/>
      <w:caps/>
      <w:szCs w:val="20"/>
    </w:rPr>
  </w:style>
  <w:style w:type="paragraph" w:styleId="28">
    <w:name w:val="toc 4"/>
    <w:basedOn w:val="1"/>
    <w:next w:val="1"/>
    <w:unhideWhenUsed/>
    <w:qFormat/>
    <w:uiPriority w:val="39"/>
    <w:pPr>
      <w:ind w:left="630"/>
      <w:jc w:val="left"/>
    </w:pPr>
    <w:rPr>
      <w:sz w:val="18"/>
      <w:szCs w:val="18"/>
    </w:rPr>
  </w:style>
  <w:style w:type="paragraph" w:styleId="29">
    <w:name w:val="Subtitle"/>
    <w:basedOn w:val="1"/>
    <w:next w:val="1"/>
    <w:link w:val="60"/>
    <w:qFormat/>
    <w:uiPriority w:val="0"/>
    <w:pPr>
      <w:widowControl/>
      <w:spacing w:before="240" w:after="60" w:line="312" w:lineRule="auto"/>
      <w:ind w:firstLine="200" w:firstLineChars="200"/>
      <w:jc w:val="center"/>
      <w:outlineLvl w:val="1"/>
    </w:pPr>
    <w:rPr>
      <w:rFonts w:ascii="Cambria" w:hAnsi="Cambria"/>
      <w:b/>
      <w:bCs/>
      <w:kern w:val="28"/>
      <w:sz w:val="32"/>
      <w:szCs w:val="32"/>
    </w:rPr>
  </w:style>
  <w:style w:type="paragraph" w:styleId="30">
    <w:name w:val="toc 6"/>
    <w:basedOn w:val="1"/>
    <w:next w:val="1"/>
    <w:unhideWhenUsed/>
    <w:qFormat/>
    <w:uiPriority w:val="39"/>
    <w:pPr>
      <w:ind w:left="1050"/>
      <w:jc w:val="left"/>
    </w:pPr>
    <w:rPr>
      <w:sz w:val="18"/>
      <w:szCs w:val="18"/>
    </w:rPr>
  </w:style>
  <w:style w:type="paragraph" w:styleId="31">
    <w:name w:val="toc 2"/>
    <w:basedOn w:val="1"/>
    <w:next w:val="1"/>
    <w:unhideWhenUsed/>
    <w:qFormat/>
    <w:uiPriority w:val="39"/>
    <w:pPr>
      <w:ind w:left="210"/>
      <w:jc w:val="left"/>
    </w:pPr>
    <w:rPr>
      <w:smallCaps/>
      <w:szCs w:val="20"/>
    </w:rPr>
  </w:style>
  <w:style w:type="paragraph" w:styleId="32">
    <w:name w:val="toc 9"/>
    <w:basedOn w:val="1"/>
    <w:next w:val="1"/>
    <w:unhideWhenUsed/>
    <w:qFormat/>
    <w:uiPriority w:val="39"/>
    <w:pPr>
      <w:ind w:left="1680"/>
      <w:jc w:val="left"/>
    </w:pPr>
    <w:rPr>
      <w:sz w:val="18"/>
      <w:szCs w:val="18"/>
    </w:rPr>
  </w:style>
  <w:style w:type="paragraph" w:styleId="33">
    <w:name w:val="Normal (Web)"/>
    <w:basedOn w:val="1"/>
    <w:unhideWhenUsed/>
    <w:qFormat/>
    <w:uiPriority w:val="0"/>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styleId="34">
    <w:name w:val="Title"/>
    <w:basedOn w:val="1"/>
    <w:next w:val="1"/>
    <w:link w:val="57"/>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styleId="35">
    <w:name w:val="annotation subject"/>
    <w:basedOn w:val="15"/>
    <w:next w:val="15"/>
    <w:link w:val="64"/>
    <w:unhideWhenUsed/>
    <w:qFormat/>
    <w:uiPriority w:val="0"/>
    <w:rPr>
      <w:rFonts w:ascii="宋体"/>
      <w:b/>
      <w:bCs/>
      <w:kern w:val="0"/>
      <w:sz w:val="28"/>
      <w:szCs w:val="20"/>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rPr>
  </w:style>
  <w:style w:type="character" w:styleId="40">
    <w:name w:val="page number"/>
    <w:basedOn w:val="38"/>
    <w:qFormat/>
    <w:uiPriority w:val="0"/>
  </w:style>
  <w:style w:type="character" w:styleId="41">
    <w:name w:val="FollowedHyperlink"/>
    <w:basedOn w:val="38"/>
    <w:unhideWhenUsed/>
    <w:qFormat/>
    <w:uiPriority w:val="99"/>
    <w:rPr>
      <w:color w:val="800080" w:themeColor="followedHyperlink"/>
      <w:u w:val="single"/>
      <w14:textFill>
        <w14:solidFill>
          <w14:schemeClr w14:val="folHlink"/>
        </w14:solidFill>
      </w14:textFill>
    </w:rPr>
  </w:style>
  <w:style w:type="character" w:styleId="42">
    <w:name w:val="Emphasis"/>
    <w:qFormat/>
    <w:uiPriority w:val="0"/>
    <w:rPr>
      <w:i/>
      <w:iCs/>
    </w:rPr>
  </w:style>
  <w:style w:type="character" w:styleId="43">
    <w:name w:val="Hyperlink"/>
    <w:unhideWhenUsed/>
    <w:qFormat/>
    <w:uiPriority w:val="99"/>
    <w:rPr>
      <w:color w:val="0000FF"/>
      <w:u w:val="single"/>
    </w:rPr>
  </w:style>
  <w:style w:type="character" w:styleId="44">
    <w:name w:val="annotation reference"/>
    <w:unhideWhenUsed/>
    <w:qFormat/>
    <w:uiPriority w:val="0"/>
    <w:rPr>
      <w:rFonts w:hint="default" w:ascii="Times New Roman" w:hAnsi="Times New Roman" w:cs="Times New Roman"/>
      <w:sz w:val="21"/>
      <w:szCs w:val="21"/>
    </w:rPr>
  </w:style>
  <w:style w:type="character" w:customStyle="1" w:styleId="45">
    <w:name w:val="标题 1 Char"/>
    <w:basedOn w:val="38"/>
    <w:link w:val="3"/>
    <w:qFormat/>
    <w:uiPriority w:val="0"/>
    <w:rPr>
      <w:rFonts w:ascii="Times New Roman" w:hAnsi="Times New Roman" w:eastAsia="宋体" w:cs="Times New Roman"/>
      <w:b/>
      <w:bCs/>
      <w:kern w:val="44"/>
      <w:sz w:val="32"/>
      <w:szCs w:val="44"/>
    </w:rPr>
  </w:style>
  <w:style w:type="character" w:customStyle="1" w:styleId="46">
    <w:name w:val="标题 2 Char"/>
    <w:basedOn w:val="38"/>
    <w:link w:val="4"/>
    <w:qFormat/>
    <w:uiPriority w:val="0"/>
    <w:rPr>
      <w:rFonts w:ascii="Arial" w:hAnsi="Arial" w:eastAsia="黑体" w:cs="Times New Roman"/>
      <w:b/>
      <w:bCs/>
      <w:sz w:val="32"/>
      <w:szCs w:val="32"/>
    </w:rPr>
  </w:style>
  <w:style w:type="character" w:customStyle="1" w:styleId="47">
    <w:name w:val="标题 3 Char"/>
    <w:basedOn w:val="38"/>
    <w:link w:val="5"/>
    <w:qFormat/>
    <w:uiPriority w:val="0"/>
    <w:rPr>
      <w:rFonts w:ascii="Times New Roman" w:hAnsi="Times New Roman" w:eastAsia="宋体" w:cs="Times New Roman"/>
      <w:b/>
      <w:bCs/>
      <w:sz w:val="32"/>
      <w:szCs w:val="32"/>
    </w:rPr>
  </w:style>
  <w:style w:type="character" w:customStyle="1" w:styleId="48">
    <w:name w:val="标题 4 Char"/>
    <w:basedOn w:val="38"/>
    <w:link w:val="2"/>
    <w:qFormat/>
    <w:uiPriority w:val="0"/>
    <w:rPr>
      <w:rFonts w:ascii="Arial" w:hAnsi="Arial" w:eastAsia="黑体" w:cs="Times New Roman"/>
      <w:b/>
      <w:bCs/>
      <w:sz w:val="28"/>
      <w:szCs w:val="28"/>
    </w:rPr>
  </w:style>
  <w:style w:type="character" w:customStyle="1" w:styleId="49">
    <w:name w:val="标题 5 Char"/>
    <w:basedOn w:val="38"/>
    <w:link w:val="6"/>
    <w:qFormat/>
    <w:uiPriority w:val="0"/>
    <w:rPr>
      <w:rFonts w:ascii="Times New Roman" w:hAnsi="Times New Roman" w:eastAsia="宋体" w:cs="Times New Roman"/>
      <w:b/>
      <w:bCs/>
      <w:sz w:val="28"/>
      <w:szCs w:val="28"/>
    </w:rPr>
  </w:style>
  <w:style w:type="character" w:customStyle="1" w:styleId="50">
    <w:name w:val="标题 6 Char"/>
    <w:basedOn w:val="38"/>
    <w:link w:val="7"/>
    <w:qFormat/>
    <w:uiPriority w:val="0"/>
    <w:rPr>
      <w:rFonts w:ascii="Cambria" w:hAnsi="Cambria" w:eastAsia="宋体" w:cs="宋体"/>
      <w:b/>
      <w:bCs/>
      <w:sz w:val="24"/>
      <w:szCs w:val="24"/>
    </w:rPr>
  </w:style>
  <w:style w:type="character" w:customStyle="1" w:styleId="51">
    <w:name w:val="标题 7 Char"/>
    <w:basedOn w:val="38"/>
    <w:link w:val="8"/>
    <w:qFormat/>
    <w:uiPriority w:val="0"/>
    <w:rPr>
      <w:rFonts w:ascii="Calibri" w:hAnsi="Calibri" w:eastAsia="宋体" w:cs="Times New Roman"/>
      <w:b/>
      <w:bCs/>
      <w:sz w:val="24"/>
      <w:szCs w:val="24"/>
    </w:rPr>
  </w:style>
  <w:style w:type="character" w:customStyle="1" w:styleId="52">
    <w:name w:val="标题 8 Char"/>
    <w:basedOn w:val="38"/>
    <w:link w:val="9"/>
    <w:qFormat/>
    <w:uiPriority w:val="0"/>
    <w:rPr>
      <w:rFonts w:ascii="Cambria" w:hAnsi="Cambria" w:eastAsia="宋体" w:cs="Times New Roman"/>
      <w:sz w:val="24"/>
      <w:szCs w:val="24"/>
    </w:rPr>
  </w:style>
  <w:style w:type="character" w:customStyle="1" w:styleId="53">
    <w:name w:val="标题 9 Char"/>
    <w:basedOn w:val="38"/>
    <w:link w:val="10"/>
    <w:qFormat/>
    <w:uiPriority w:val="0"/>
    <w:rPr>
      <w:rFonts w:ascii="Cambria" w:hAnsi="Cambria" w:eastAsia="宋体" w:cs="Times New Roman"/>
      <w:szCs w:val="21"/>
    </w:rPr>
  </w:style>
  <w:style w:type="character" w:customStyle="1" w:styleId="54">
    <w:name w:val="页眉 Char"/>
    <w:basedOn w:val="38"/>
    <w:link w:val="26"/>
    <w:qFormat/>
    <w:uiPriority w:val="99"/>
    <w:rPr>
      <w:sz w:val="18"/>
      <w:szCs w:val="18"/>
    </w:rPr>
  </w:style>
  <w:style w:type="character" w:customStyle="1" w:styleId="55">
    <w:name w:val="页脚 Char"/>
    <w:basedOn w:val="38"/>
    <w:link w:val="25"/>
    <w:qFormat/>
    <w:uiPriority w:val="99"/>
    <w:rPr>
      <w:sz w:val="18"/>
      <w:szCs w:val="18"/>
    </w:rPr>
  </w:style>
  <w:style w:type="character" w:customStyle="1" w:styleId="56">
    <w:name w:val="批注文字 Char"/>
    <w:basedOn w:val="38"/>
    <w:link w:val="15"/>
    <w:qFormat/>
    <w:uiPriority w:val="0"/>
    <w:rPr>
      <w:rFonts w:ascii="Times New Roman" w:hAnsi="Times New Roman" w:eastAsia="宋体" w:cs="Times New Roman"/>
    </w:rPr>
  </w:style>
  <w:style w:type="character" w:customStyle="1" w:styleId="57">
    <w:name w:val="标题 Char"/>
    <w:basedOn w:val="38"/>
    <w:link w:val="34"/>
    <w:qFormat/>
    <w:uiPriority w:val="0"/>
    <w:rPr>
      <w:rFonts w:ascii="Cambria" w:hAnsi="Cambria" w:eastAsia="宋体" w:cs="Times New Roman"/>
      <w:b/>
      <w:bCs/>
      <w:sz w:val="32"/>
      <w:szCs w:val="32"/>
    </w:rPr>
  </w:style>
  <w:style w:type="character" w:customStyle="1" w:styleId="58">
    <w:name w:val="正文文本 Char"/>
    <w:basedOn w:val="38"/>
    <w:link w:val="16"/>
    <w:qFormat/>
    <w:uiPriority w:val="0"/>
    <w:rPr>
      <w:rFonts w:ascii="Times New Roman" w:hAnsi="Times New Roman" w:eastAsia="宋体" w:cs="Times New Roman"/>
      <w:kern w:val="0"/>
      <w:sz w:val="20"/>
      <w:szCs w:val="20"/>
    </w:rPr>
  </w:style>
  <w:style w:type="character" w:customStyle="1" w:styleId="59">
    <w:name w:val="正文文本缩进 Char"/>
    <w:basedOn w:val="38"/>
    <w:link w:val="17"/>
    <w:qFormat/>
    <w:uiPriority w:val="0"/>
    <w:rPr>
      <w:rFonts w:ascii="宋体" w:hAnsi="MS Sans Serif" w:eastAsia="宋体" w:cs="Times New Roman"/>
      <w:spacing w:val="12"/>
      <w:kern w:val="0"/>
      <w:sz w:val="24"/>
      <w:szCs w:val="20"/>
    </w:rPr>
  </w:style>
  <w:style w:type="character" w:customStyle="1" w:styleId="60">
    <w:name w:val="副标题 Char"/>
    <w:basedOn w:val="38"/>
    <w:link w:val="29"/>
    <w:qFormat/>
    <w:uiPriority w:val="0"/>
    <w:rPr>
      <w:rFonts w:ascii="Cambria" w:hAnsi="Cambria" w:eastAsia="宋体" w:cs="Times New Roman"/>
      <w:b/>
      <w:bCs/>
      <w:kern w:val="28"/>
      <w:sz w:val="32"/>
      <w:szCs w:val="32"/>
    </w:rPr>
  </w:style>
  <w:style w:type="character" w:customStyle="1" w:styleId="61">
    <w:name w:val="日期 Char"/>
    <w:basedOn w:val="38"/>
    <w:link w:val="23"/>
    <w:qFormat/>
    <w:uiPriority w:val="0"/>
    <w:rPr>
      <w:rFonts w:ascii="Times New Roman" w:hAnsi="Times New Roman" w:eastAsia="宋体" w:cs="Times New Roman"/>
      <w:szCs w:val="24"/>
    </w:rPr>
  </w:style>
  <w:style w:type="character" w:customStyle="1" w:styleId="62">
    <w:name w:val="文档结构图 Char"/>
    <w:basedOn w:val="38"/>
    <w:link w:val="14"/>
    <w:qFormat/>
    <w:uiPriority w:val="0"/>
    <w:rPr>
      <w:rFonts w:ascii="Times New Roman" w:hAnsi="Times New Roman" w:eastAsia="宋体" w:cs="Times New Roman"/>
      <w:szCs w:val="24"/>
      <w:shd w:val="clear" w:color="auto" w:fill="000080"/>
    </w:rPr>
  </w:style>
  <w:style w:type="character" w:customStyle="1" w:styleId="63">
    <w:name w:val="纯文本 Char"/>
    <w:basedOn w:val="38"/>
    <w:link w:val="21"/>
    <w:qFormat/>
    <w:uiPriority w:val="0"/>
    <w:rPr>
      <w:rFonts w:ascii="宋体" w:hAnsi="Courier New" w:eastAsia="宋体" w:cs="Times New Roman"/>
      <w:bCs/>
      <w:szCs w:val="24"/>
    </w:rPr>
  </w:style>
  <w:style w:type="character" w:customStyle="1" w:styleId="64">
    <w:name w:val="批注主题 Char"/>
    <w:basedOn w:val="56"/>
    <w:link w:val="35"/>
    <w:qFormat/>
    <w:uiPriority w:val="0"/>
    <w:rPr>
      <w:rFonts w:ascii="宋体" w:hAnsi="Times New Roman" w:eastAsia="宋体" w:cs="Times New Roman"/>
      <w:b/>
      <w:bCs/>
      <w:kern w:val="0"/>
      <w:sz w:val="28"/>
      <w:szCs w:val="20"/>
    </w:rPr>
  </w:style>
  <w:style w:type="character" w:customStyle="1" w:styleId="65">
    <w:name w:val="批注框文本 Char"/>
    <w:basedOn w:val="38"/>
    <w:link w:val="24"/>
    <w:qFormat/>
    <w:uiPriority w:val="0"/>
    <w:rPr>
      <w:rFonts w:ascii="宋体" w:hAnsi="Times New Roman" w:eastAsia="宋体" w:cs="Times New Roman"/>
      <w:kern w:val="0"/>
      <w:sz w:val="18"/>
      <w:szCs w:val="18"/>
    </w:rPr>
  </w:style>
  <w:style w:type="paragraph" w:styleId="66">
    <w:name w:val="No Spacing"/>
    <w:link w:val="118"/>
    <w:qFormat/>
    <w:uiPriority w:val="1"/>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customStyle="1" w:styleId="67">
    <w:name w:val="修订1"/>
    <w:semiHidden/>
    <w:qFormat/>
    <w:uiPriority w:val="0"/>
    <w:pPr>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68">
    <w:name w:val="List Paragraph"/>
    <w:basedOn w:val="1"/>
    <w:qFormat/>
    <w:uiPriority w:val="0"/>
    <w:pPr>
      <w:widowControl/>
      <w:spacing w:line="360" w:lineRule="auto"/>
      <w:ind w:firstLine="420" w:firstLineChars="200"/>
    </w:pPr>
    <w:rPr>
      <w:rFonts w:ascii="Calibri" w:hAnsi="Calibri"/>
      <w:szCs w:val="22"/>
    </w:rPr>
  </w:style>
  <w:style w:type="paragraph" w:styleId="69">
    <w:name w:val="Quote"/>
    <w:basedOn w:val="1"/>
    <w:next w:val="1"/>
    <w:link w:val="70"/>
    <w:qFormat/>
    <w:uiPriority w:val="0"/>
    <w:pPr>
      <w:widowControl/>
      <w:spacing w:line="360" w:lineRule="auto"/>
      <w:ind w:firstLine="200" w:firstLineChars="200"/>
    </w:pPr>
    <w:rPr>
      <w:i/>
      <w:iCs/>
      <w:color w:val="000000"/>
      <w:szCs w:val="22"/>
    </w:rPr>
  </w:style>
  <w:style w:type="character" w:customStyle="1" w:styleId="70">
    <w:name w:val="引用 Char"/>
    <w:basedOn w:val="38"/>
    <w:link w:val="69"/>
    <w:qFormat/>
    <w:uiPriority w:val="0"/>
    <w:rPr>
      <w:rFonts w:ascii="Times New Roman" w:hAnsi="Times New Roman" w:eastAsia="宋体" w:cs="Times New Roman"/>
      <w:i/>
      <w:iCs/>
      <w:color w:val="000000"/>
    </w:rPr>
  </w:style>
  <w:style w:type="paragraph" w:styleId="71">
    <w:name w:val="Intense Quote"/>
    <w:basedOn w:val="1"/>
    <w:next w:val="1"/>
    <w:link w:val="72"/>
    <w:qFormat/>
    <w:uiPriority w:val="0"/>
    <w:pPr>
      <w:widowControl/>
      <w:pBdr>
        <w:bottom w:val="single" w:color="4F81BD" w:sz="4" w:space="4"/>
      </w:pBdr>
      <w:spacing w:before="200" w:after="280" w:line="360" w:lineRule="auto"/>
      <w:ind w:left="936" w:right="936" w:firstLine="200" w:firstLineChars="200"/>
    </w:pPr>
    <w:rPr>
      <w:b/>
      <w:bCs/>
      <w:i/>
      <w:iCs/>
      <w:color w:val="4F81BD"/>
      <w:szCs w:val="22"/>
    </w:rPr>
  </w:style>
  <w:style w:type="character" w:customStyle="1" w:styleId="72">
    <w:name w:val="明显引用 Char"/>
    <w:basedOn w:val="38"/>
    <w:link w:val="71"/>
    <w:qFormat/>
    <w:uiPriority w:val="0"/>
    <w:rPr>
      <w:rFonts w:ascii="Times New Roman" w:hAnsi="Times New Roman" w:eastAsia="宋体" w:cs="Times New Roman"/>
      <w:b/>
      <w:bCs/>
      <w:i/>
      <w:iCs/>
      <w:color w:val="4F81BD"/>
    </w:rPr>
  </w:style>
  <w:style w:type="paragraph" w:customStyle="1" w:styleId="73">
    <w:name w:val="TOC 标题1"/>
    <w:basedOn w:val="3"/>
    <w:next w:val="1"/>
    <w:unhideWhenUsed/>
    <w:qFormat/>
    <w:uiPriority w:val="0"/>
    <w:pPr>
      <w:spacing w:before="340" w:after="330" w:line="576" w:lineRule="auto"/>
      <w:outlineLvl w:val="9"/>
    </w:pPr>
    <w:rPr>
      <w:sz w:val="44"/>
    </w:rPr>
  </w:style>
  <w:style w:type="paragraph" w:customStyle="1" w:styleId="74">
    <w:name w:val="Char Char Char Char"/>
    <w:basedOn w:val="1"/>
    <w:qFormat/>
    <w:uiPriority w:val="0"/>
    <w:pPr>
      <w:widowControl/>
      <w:snapToGrid w:val="0"/>
      <w:spacing w:after="160" w:line="360" w:lineRule="auto"/>
      <w:jc w:val="left"/>
    </w:pPr>
    <w:rPr>
      <w:kern w:val="0"/>
      <w:sz w:val="24"/>
      <w:lang w:eastAsia="en-US"/>
    </w:rPr>
  </w:style>
  <w:style w:type="paragraph" w:customStyle="1" w:styleId="75">
    <w:name w:val="Char Char1 Char Char Char"/>
    <w:basedOn w:val="1"/>
    <w:qFormat/>
    <w:uiPriority w:val="0"/>
    <w:pPr>
      <w:widowControl/>
      <w:spacing w:line="360" w:lineRule="auto"/>
      <w:ind w:firstLine="200" w:firstLineChars="200"/>
    </w:pPr>
    <w:rPr>
      <w:kern w:val="0"/>
      <w:sz w:val="20"/>
      <w:szCs w:val="20"/>
    </w:rPr>
  </w:style>
  <w:style w:type="paragraph" w:customStyle="1" w:styleId="76">
    <w:name w:val="样式 标题 2 + Times New Roman 四号 非加粗 段前: 5 磅 段后: 0 磅 行距: 固定值 20..."/>
    <w:basedOn w:val="4"/>
    <w:qFormat/>
    <w:uiPriority w:val="0"/>
    <w:pPr>
      <w:widowControl/>
      <w:spacing w:before="100" w:after="0" w:line="400" w:lineRule="exact"/>
      <w:ind w:firstLine="200" w:firstLineChars="200"/>
    </w:pPr>
    <w:rPr>
      <w:rFonts w:ascii="Times New Roman" w:hAnsi="Times New Roman" w:cs="宋体"/>
      <w:b w:val="0"/>
      <w:bCs w:val="0"/>
      <w:kern w:val="0"/>
      <w:sz w:val="28"/>
      <w:szCs w:val="20"/>
    </w:rPr>
  </w:style>
  <w:style w:type="paragraph" w:customStyle="1" w:styleId="77">
    <w:name w:val="flNote"/>
    <w:basedOn w:val="1"/>
    <w:qFormat/>
    <w:uiPriority w:val="0"/>
    <w:pPr>
      <w:widowControl/>
      <w:adjustRightInd w:val="0"/>
      <w:spacing w:before="320" w:after="160" w:line="360" w:lineRule="atLeast"/>
      <w:ind w:firstLine="200" w:firstLineChars="200"/>
      <w:jc w:val="center"/>
    </w:pPr>
    <w:rPr>
      <w:rFonts w:ascii="Arial" w:eastAsia="黑体"/>
      <w:kern w:val="0"/>
      <w:sz w:val="30"/>
      <w:szCs w:val="20"/>
    </w:rPr>
  </w:style>
  <w:style w:type="character" w:customStyle="1" w:styleId="78">
    <w:name w:val="标题4 Char Char"/>
    <w:link w:val="79"/>
    <w:qFormat/>
    <w:locked/>
    <w:uiPriority w:val="0"/>
    <w:rPr>
      <w:rFonts w:ascii="Arial" w:hAnsi="Arial" w:cs="Arial"/>
      <w:b/>
      <w:bCs/>
      <w:sz w:val="24"/>
      <w:szCs w:val="32"/>
    </w:rPr>
  </w:style>
  <w:style w:type="paragraph" w:customStyle="1" w:styleId="79">
    <w:name w:val="标题4"/>
    <w:basedOn w:val="4"/>
    <w:next w:val="18"/>
    <w:link w:val="78"/>
    <w:qFormat/>
    <w:uiPriority w:val="0"/>
    <w:pPr>
      <w:widowControl/>
      <w:spacing w:line="412" w:lineRule="auto"/>
      <w:ind w:firstLine="200" w:firstLineChars="200"/>
    </w:pPr>
    <w:rPr>
      <w:rFonts w:cs="Arial" w:eastAsiaTheme="minorEastAsia"/>
      <w:sz w:val="24"/>
    </w:rPr>
  </w:style>
  <w:style w:type="character" w:customStyle="1" w:styleId="80">
    <w:name w:val="标题5 Char Char"/>
    <w:link w:val="81"/>
    <w:qFormat/>
    <w:locked/>
    <w:uiPriority w:val="0"/>
    <w:rPr>
      <w:rFonts w:ascii="Arial" w:hAnsi="Arial" w:cs="Arial"/>
      <w:b/>
      <w:bCs/>
      <w:sz w:val="24"/>
      <w:szCs w:val="32"/>
    </w:rPr>
  </w:style>
  <w:style w:type="paragraph" w:customStyle="1" w:styleId="81">
    <w:name w:val="标题5"/>
    <w:basedOn w:val="5"/>
    <w:link w:val="80"/>
    <w:qFormat/>
    <w:uiPriority w:val="0"/>
    <w:pPr>
      <w:widowControl/>
      <w:spacing w:line="412" w:lineRule="auto"/>
      <w:ind w:firstLine="200" w:firstLineChars="200"/>
    </w:pPr>
    <w:rPr>
      <w:rFonts w:ascii="Arial" w:hAnsi="Arial" w:cs="Arial" w:eastAsiaTheme="minorEastAsia"/>
      <w:sz w:val="24"/>
    </w:rPr>
  </w:style>
  <w:style w:type="paragraph" w:customStyle="1" w:styleId="82">
    <w:name w:val="空半行"/>
    <w:basedOn w:val="1"/>
    <w:qFormat/>
    <w:uiPriority w:val="0"/>
    <w:pPr>
      <w:widowControl/>
      <w:adjustRightInd w:val="0"/>
      <w:spacing w:line="120" w:lineRule="exact"/>
      <w:ind w:firstLine="200" w:firstLineChars="200"/>
    </w:pPr>
    <w:rPr>
      <w:rFonts w:eastAsia="仿宋_GB2312"/>
      <w:color w:val="FFFFFF"/>
      <w:kern w:val="0"/>
      <w:sz w:val="30"/>
      <w:szCs w:val="20"/>
    </w:rPr>
  </w:style>
  <w:style w:type="paragraph" w:customStyle="1" w:styleId="83">
    <w:name w:val="样式 标题 3 + (中文) 黑体 小四 非加粗 段前: 7.8 磅 段后: 0 磅 行距: 固定值 20 磅"/>
    <w:basedOn w:val="5"/>
    <w:qFormat/>
    <w:uiPriority w:val="0"/>
    <w:pPr>
      <w:widowControl/>
      <w:spacing w:before="0" w:after="0" w:line="400" w:lineRule="exact"/>
      <w:ind w:firstLine="200" w:firstLineChars="200"/>
    </w:pPr>
    <w:rPr>
      <w:rFonts w:eastAsia="黑体" w:cs="宋体"/>
      <w:b w:val="0"/>
      <w:bCs w:val="0"/>
      <w:sz w:val="24"/>
      <w:szCs w:val="20"/>
    </w:rPr>
  </w:style>
  <w:style w:type="character" w:customStyle="1" w:styleId="84">
    <w:name w:val="不明显强调1"/>
    <w:qFormat/>
    <w:uiPriority w:val="0"/>
    <w:rPr>
      <w:i/>
      <w:iCs/>
      <w:color w:val="808080"/>
    </w:rPr>
  </w:style>
  <w:style w:type="character" w:customStyle="1" w:styleId="85">
    <w:name w:val="明显强调1"/>
    <w:qFormat/>
    <w:uiPriority w:val="0"/>
    <w:rPr>
      <w:b/>
      <w:bCs/>
      <w:i/>
      <w:iCs/>
      <w:color w:val="4F81BD"/>
    </w:rPr>
  </w:style>
  <w:style w:type="character" w:customStyle="1" w:styleId="86">
    <w:name w:val="不明显参考1"/>
    <w:qFormat/>
    <w:uiPriority w:val="0"/>
    <w:rPr>
      <w:smallCaps/>
      <w:color w:val="C0504D"/>
      <w:u w:val="single"/>
    </w:rPr>
  </w:style>
  <w:style w:type="character" w:customStyle="1" w:styleId="87">
    <w:name w:val="明显参考1"/>
    <w:qFormat/>
    <w:uiPriority w:val="0"/>
    <w:rPr>
      <w:b/>
      <w:bCs/>
      <w:smallCaps/>
      <w:color w:val="C0504D"/>
      <w:spacing w:val="5"/>
      <w:u w:val="single"/>
    </w:rPr>
  </w:style>
  <w:style w:type="character" w:customStyle="1" w:styleId="88">
    <w:name w:val="书籍标题1"/>
    <w:qFormat/>
    <w:uiPriority w:val="0"/>
    <w:rPr>
      <w:b/>
      <w:bCs/>
      <w:smallCaps/>
      <w:spacing w:val="5"/>
    </w:rPr>
  </w:style>
  <w:style w:type="character" w:customStyle="1" w:styleId="89">
    <w:name w:val="Char Char"/>
    <w:qFormat/>
    <w:uiPriority w:val="0"/>
    <w:rPr>
      <w:rFonts w:hint="default" w:ascii="Arial" w:hAnsi="Arial" w:eastAsia="黑体" w:cs="Arial"/>
      <w:b/>
      <w:bCs/>
      <w:kern w:val="2"/>
      <w:sz w:val="32"/>
      <w:szCs w:val="32"/>
    </w:rPr>
  </w:style>
  <w:style w:type="character" w:customStyle="1" w:styleId="90">
    <w:name w:val="textcontents"/>
    <w:qFormat/>
    <w:uiPriority w:val="0"/>
    <w:rPr>
      <w:rFonts w:hint="default" w:ascii="Times New Roman" w:hAnsi="Times New Roman" w:cs="Times New Roman"/>
    </w:rPr>
  </w:style>
  <w:style w:type="character" w:customStyle="1" w:styleId="91">
    <w:name w:val="日期 Char1"/>
    <w:qFormat/>
    <w:uiPriority w:val="0"/>
    <w:rPr>
      <w:kern w:val="2"/>
      <w:sz w:val="21"/>
      <w:szCs w:val="22"/>
    </w:rPr>
  </w:style>
  <w:style w:type="character" w:customStyle="1" w:styleId="92">
    <w:name w:val="正文文本 Char1"/>
    <w:qFormat/>
    <w:uiPriority w:val="0"/>
    <w:rPr>
      <w:kern w:val="2"/>
      <w:sz w:val="21"/>
      <w:szCs w:val="22"/>
    </w:rPr>
  </w:style>
  <w:style w:type="character" w:customStyle="1" w:styleId="93">
    <w:name w:val="批注主题 Char1"/>
    <w:qFormat/>
    <w:uiPriority w:val="0"/>
    <w:rPr>
      <w:b/>
      <w:bCs/>
      <w:kern w:val="2"/>
      <w:sz w:val="21"/>
      <w:szCs w:val="22"/>
    </w:rPr>
  </w:style>
  <w:style w:type="character" w:customStyle="1" w:styleId="94">
    <w:name w:val="批注文字 Char Char"/>
    <w:qFormat/>
    <w:uiPriority w:val="0"/>
    <w:rPr>
      <w:rFonts w:hint="eastAsia" w:ascii="宋体" w:hAnsi="Times New Roman" w:eastAsia="宋体" w:cs="Times New Roman"/>
      <w:sz w:val="28"/>
      <w:szCs w:val="20"/>
    </w:rPr>
  </w:style>
  <w:style w:type="character" w:customStyle="1" w:styleId="95">
    <w:name w:val="批注框文本 Char1"/>
    <w:qFormat/>
    <w:uiPriority w:val="0"/>
    <w:rPr>
      <w:kern w:val="2"/>
      <w:sz w:val="18"/>
      <w:szCs w:val="18"/>
    </w:rPr>
  </w:style>
  <w:style w:type="character" w:customStyle="1" w:styleId="96">
    <w:name w:val="文档结构图 Char1"/>
    <w:qFormat/>
    <w:uiPriority w:val="0"/>
    <w:rPr>
      <w:rFonts w:hint="eastAsia" w:ascii="宋体" w:hAnsi="宋体" w:eastAsia="宋体"/>
      <w:kern w:val="2"/>
      <w:sz w:val="18"/>
      <w:szCs w:val="18"/>
    </w:rPr>
  </w:style>
  <w:style w:type="character" w:customStyle="1" w:styleId="97">
    <w:name w:val="批注文字 Char1"/>
    <w:basedOn w:val="38"/>
    <w:qFormat/>
    <w:uiPriority w:val="0"/>
    <w:rPr>
      <w:kern w:val="2"/>
      <w:sz w:val="21"/>
      <w:szCs w:val="24"/>
    </w:rPr>
  </w:style>
  <w:style w:type="character" w:customStyle="1" w:styleId="98">
    <w:name w:val="副标题 Char1"/>
    <w:basedOn w:val="38"/>
    <w:qFormat/>
    <w:uiPriority w:val="0"/>
    <w:rPr>
      <w:rFonts w:hint="default" w:asciiTheme="majorHAnsi" w:hAnsiTheme="majorHAnsi" w:cstheme="majorBidi"/>
      <w:b/>
      <w:bCs/>
      <w:kern w:val="28"/>
      <w:sz w:val="32"/>
      <w:szCs w:val="32"/>
    </w:rPr>
  </w:style>
  <w:style w:type="character" w:customStyle="1" w:styleId="99">
    <w:name w:val="标题 Char1"/>
    <w:basedOn w:val="38"/>
    <w:qFormat/>
    <w:uiPriority w:val="0"/>
    <w:rPr>
      <w:rFonts w:hint="default" w:asciiTheme="majorHAnsi" w:hAnsiTheme="majorHAnsi" w:cstheme="majorBidi"/>
      <w:b/>
      <w:bCs/>
      <w:kern w:val="2"/>
      <w:sz w:val="32"/>
      <w:szCs w:val="32"/>
    </w:rPr>
  </w:style>
  <w:style w:type="character" w:customStyle="1" w:styleId="100">
    <w:name w:val="明显引用 Char1"/>
    <w:basedOn w:val="38"/>
    <w:qFormat/>
    <w:uiPriority w:val="30"/>
    <w:rPr>
      <w:b/>
      <w:bCs/>
      <w:i/>
      <w:iCs/>
      <w:color w:val="4F81BD" w:themeColor="accent1"/>
      <w:kern w:val="2"/>
      <w:sz w:val="21"/>
      <w:szCs w:val="24"/>
      <w14:textFill>
        <w14:solidFill>
          <w14:schemeClr w14:val="accent1"/>
        </w14:solidFill>
      </w14:textFill>
    </w:rPr>
  </w:style>
  <w:style w:type="character" w:customStyle="1" w:styleId="101">
    <w:name w:val="正文文本 Char2"/>
    <w:basedOn w:val="38"/>
    <w:qFormat/>
    <w:uiPriority w:val="0"/>
    <w:rPr>
      <w:kern w:val="2"/>
      <w:sz w:val="21"/>
      <w:szCs w:val="24"/>
    </w:rPr>
  </w:style>
  <w:style w:type="character" w:customStyle="1" w:styleId="102">
    <w:name w:val="引用 Char1"/>
    <w:basedOn w:val="38"/>
    <w:qFormat/>
    <w:uiPriority w:val="29"/>
    <w:rPr>
      <w:i/>
      <w:iCs/>
      <w:color w:val="000000" w:themeColor="text1"/>
      <w:kern w:val="2"/>
      <w:sz w:val="21"/>
      <w:szCs w:val="24"/>
      <w14:textFill>
        <w14:solidFill>
          <w14:schemeClr w14:val="tx1"/>
        </w14:solidFill>
      </w14:textFill>
    </w:rPr>
  </w:style>
  <w:style w:type="character" w:customStyle="1" w:styleId="103">
    <w:name w:val="批注主题 Char2"/>
    <w:basedOn w:val="97"/>
    <w:qFormat/>
    <w:uiPriority w:val="0"/>
    <w:rPr>
      <w:b/>
      <w:bCs/>
      <w:kern w:val="2"/>
      <w:sz w:val="21"/>
      <w:szCs w:val="24"/>
    </w:rPr>
  </w:style>
  <w:style w:type="character" w:customStyle="1" w:styleId="104">
    <w:name w:val="批注框文本 Char2"/>
    <w:basedOn w:val="38"/>
    <w:qFormat/>
    <w:uiPriority w:val="0"/>
    <w:rPr>
      <w:kern w:val="2"/>
      <w:sz w:val="18"/>
      <w:szCs w:val="18"/>
    </w:rPr>
  </w:style>
  <w:style w:type="character" w:customStyle="1" w:styleId="105">
    <w:name w:val="日期 Char2"/>
    <w:qFormat/>
    <w:uiPriority w:val="0"/>
    <w:rPr>
      <w:rFonts w:hint="default" w:ascii="Times New Roman" w:hAnsi="Times New Roman" w:eastAsia="宋体" w:cs="Times New Roman"/>
      <w:szCs w:val="24"/>
    </w:rPr>
  </w:style>
  <w:style w:type="paragraph" w:customStyle="1" w:styleId="106">
    <w:name w:val="_Style 6"/>
    <w:basedOn w:val="1"/>
    <w:qFormat/>
    <w:uiPriority w:val="0"/>
    <w:pPr>
      <w:widowControl/>
      <w:spacing w:after="160" w:line="240" w:lineRule="exact"/>
      <w:jc w:val="left"/>
    </w:pPr>
  </w:style>
  <w:style w:type="paragraph" w:customStyle="1" w:styleId="107">
    <w:name w:val="没有缩进（为图形使用）"/>
    <w:basedOn w:val="1"/>
    <w:qFormat/>
    <w:uiPriority w:val="0"/>
    <w:pPr>
      <w:spacing w:before="120" w:after="120" w:line="360" w:lineRule="auto"/>
    </w:pPr>
    <w:rPr>
      <w:sz w:val="24"/>
      <w:szCs w:val="20"/>
    </w:rPr>
  </w:style>
  <w:style w:type="paragraph" w:customStyle="1" w:styleId="108">
    <w:name w:val="样式1"/>
    <w:basedOn w:val="1"/>
    <w:qFormat/>
    <w:uiPriority w:val="0"/>
    <w:pPr>
      <w:spacing w:line="580" w:lineRule="exact"/>
    </w:pPr>
    <w:rPr>
      <w:rFonts w:ascii="宋体" w:hAnsi="宋体"/>
      <w:spacing w:val="20"/>
      <w:sz w:val="28"/>
    </w:rPr>
  </w:style>
  <w:style w:type="paragraph" w:customStyle="1" w:styleId="109">
    <w:name w:val="List Paragraph1"/>
    <w:basedOn w:val="1"/>
    <w:qFormat/>
    <w:uiPriority w:val="99"/>
    <w:pPr>
      <w:ind w:firstLine="420" w:firstLineChars="200"/>
    </w:pPr>
  </w:style>
  <w:style w:type="paragraph" w:customStyle="1" w:styleId="1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
    <w:name w:val="TOC 标题2"/>
    <w:basedOn w:val="3"/>
    <w:next w:val="1"/>
    <w:unhideWhenUsed/>
    <w:qFormat/>
    <w:uiPriority w:val="0"/>
    <w:pPr>
      <w:spacing w:before="340" w:after="330" w:line="578" w:lineRule="auto"/>
      <w:outlineLvl w:val="9"/>
    </w:pPr>
    <w:rPr>
      <w:sz w:val="44"/>
      <w:lang w:val="zh-CN"/>
    </w:rPr>
  </w:style>
  <w:style w:type="character" w:customStyle="1" w:styleId="112">
    <w:name w:val="书籍标题2"/>
    <w:qFormat/>
    <w:uiPriority w:val="0"/>
    <w:rPr>
      <w:b/>
      <w:bCs/>
      <w:smallCaps/>
      <w:spacing w:val="5"/>
    </w:rPr>
  </w:style>
  <w:style w:type="character" w:customStyle="1" w:styleId="113">
    <w:name w:val="明显强调2"/>
    <w:qFormat/>
    <w:uiPriority w:val="0"/>
    <w:rPr>
      <w:b/>
      <w:bCs/>
      <w:i/>
      <w:iCs/>
      <w:color w:val="4F81BD"/>
    </w:rPr>
  </w:style>
  <w:style w:type="character" w:customStyle="1" w:styleId="114">
    <w:name w:val="不明显强调2"/>
    <w:qFormat/>
    <w:uiPriority w:val="0"/>
    <w:rPr>
      <w:i/>
      <w:iCs/>
      <w:color w:val="808080"/>
    </w:rPr>
  </w:style>
  <w:style w:type="character" w:customStyle="1" w:styleId="115">
    <w:name w:val="不明显参考2"/>
    <w:qFormat/>
    <w:uiPriority w:val="0"/>
    <w:rPr>
      <w:smallCaps/>
      <w:color w:val="C0504D"/>
      <w:u w:val="single"/>
    </w:rPr>
  </w:style>
  <w:style w:type="character" w:customStyle="1" w:styleId="116">
    <w:name w:val="明显参考2"/>
    <w:qFormat/>
    <w:uiPriority w:val="0"/>
    <w:rPr>
      <w:b/>
      <w:bCs/>
      <w:smallCaps/>
      <w:color w:val="C0504D"/>
      <w:spacing w:val="5"/>
      <w:u w:val="single"/>
    </w:rPr>
  </w:style>
  <w:style w:type="paragraph" w:customStyle="1" w:styleId="117">
    <w:name w:val="修订2"/>
    <w:qFormat/>
    <w:uiPriority w:val="0"/>
    <w:pPr>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118">
    <w:name w:val="无间隔 Char"/>
    <w:link w:val="66"/>
    <w:qFormat/>
    <w:uiPriority w:val="1"/>
    <w:rPr>
      <w:rFonts w:ascii="Calibri" w:hAnsi="Calibri" w:eastAsia="宋体" w:cs="Times New Roman"/>
      <w:kern w:val="2"/>
      <w:sz w:val="21"/>
      <w:szCs w:val="22"/>
    </w:rPr>
  </w:style>
  <w:style w:type="table" w:customStyle="1" w:styleId="119">
    <w:name w:val="网格型1"/>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0">
    <w:name w:val="font51"/>
    <w:basedOn w:val="3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0" Type="http://schemas.openxmlformats.org/officeDocument/2006/relationships/fontTable" Target="fontTable.xml"/><Relationship Id="rId7" Type="http://schemas.openxmlformats.org/officeDocument/2006/relationships/footer" Target="footer4.xml"/><Relationship Id="rId69" Type="http://schemas.openxmlformats.org/officeDocument/2006/relationships/customXml" Target="../customXml/item2.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control" Target="activeX/activeX25.xml"/><Relationship Id="rId65" Type="http://schemas.openxmlformats.org/officeDocument/2006/relationships/control" Target="activeX/activeX24.xml"/><Relationship Id="rId64" Type="http://schemas.openxmlformats.org/officeDocument/2006/relationships/image" Target="media/image23.wmf"/><Relationship Id="rId63" Type="http://schemas.openxmlformats.org/officeDocument/2006/relationships/control" Target="activeX/activeX23.xml"/><Relationship Id="rId62" Type="http://schemas.openxmlformats.org/officeDocument/2006/relationships/control" Target="activeX/activeX22.xml"/><Relationship Id="rId61" Type="http://schemas.openxmlformats.org/officeDocument/2006/relationships/image" Target="media/image22.wmf"/><Relationship Id="rId60" Type="http://schemas.openxmlformats.org/officeDocument/2006/relationships/control" Target="activeX/activeX21.xml"/><Relationship Id="rId6" Type="http://schemas.openxmlformats.org/officeDocument/2006/relationships/footer" Target="footer3.xml"/><Relationship Id="rId59" Type="http://schemas.openxmlformats.org/officeDocument/2006/relationships/image" Target="media/image21.wmf"/><Relationship Id="rId58" Type="http://schemas.openxmlformats.org/officeDocument/2006/relationships/control" Target="activeX/activeX20.xml"/><Relationship Id="rId57" Type="http://schemas.openxmlformats.org/officeDocument/2006/relationships/control" Target="activeX/activeX19.xml"/><Relationship Id="rId56" Type="http://schemas.openxmlformats.org/officeDocument/2006/relationships/image" Target="media/image20.wmf"/><Relationship Id="rId55" Type="http://schemas.openxmlformats.org/officeDocument/2006/relationships/control" Target="activeX/activeX18.xml"/><Relationship Id="rId54" Type="http://schemas.openxmlformats.org/officeDocument/2006/relationships/image" Target="media/image19.wmf"/><Relationship Id="rId53" Type="http://schemas.openxmlformats.org/officeDocument/2006/relationships/control" Target="activeX/activeX17.xml"/><Relationship Id="rId52" Type="http://schemas.openxmlformats.org/officeDocument/2006/relationships/image" Target="media/image18.wmf"/><Relationship Id="rId51" Type="http://schemas.openxmlformats.org/officeDocument/2006/relationships/image" Target="media/image17.wmf"/><Relationship Id="rId50" Type="http://schemas.openxmlformats.org/officeDocument/2006/relationships/image" Target="media/image16.wmf"/><Relationship Id="rId5" Type="http://schemas.openxmlformats.org/officeDocument/2006/relationships/footer" Target="footer2.xml"/><Relationship Id="rId49" Type="http://schemas.openxmlformats.org/officeDocument/2006/relationships/control" Target="activeX/activeX16.xml"/><Relationship Id="rId48" Type="http://schemas.openxmlformats.org/officeDocument/2006/relationships/image" Target="media/image15.wmf"/><Relationship Id="rId47" Type="http://schemas.openxmlformats.org/officeDocument/2006/relationships/control" Target="activeX/activeX15.xml"/><Relationship Id="rId46" Type="http://schemas.openxmlformats.org/officeDocument/2006/relationships/image" Target="media/image14.wmf"/><Relationship Id="rId45" Type="http://schemas.openxmlformats.org/officeDocument/2006/relationships/control" Target="activeX/activeX14.xml"/><Relationship Id="rId44" Type="http://schemas.openxmlformats.org/officeDocument/2006/relationships/image" Target="media/image13.wmf"/><Relationship Id="rId43" Type="http://schemas.openxmlformats.org/officeDocument/2006/relationships/control" Target="activeX/activeX13.xml"/><Relationship Id="rId42" Type="http://schemas.openxmlformats.org/officeDocument/2006/relationships/image" Target="media/image12.wmf"/><Relationship Id="rId41" Type="http://schemas.openxmlformats.org/officeDocument/2006/relationships/control" Target="activeX/activeX12.xml"/><Relationship Id="rId40" Type="http://schemas.openxmlformats.org/officeDocument/2006/relationships/image" Target="media/image11.wmf"/><Relationship Id="rId4" Type="http://schemas.openxmlformats.org/officeDocument/2006/relationships/footer" Target="footer1.xml"/><Relationship Id="rId39" Type="http://schemas.openxmlformats.org/officeDocument/2006/relationships/control" Target="activeX/activeX11.xml"/><Relationship Id="rId38" Type="http://schemas.openxmlformats.org/officeDocument/2006/relationships/image" Target="media/image10.wmf"/><Relationship Id="rId37" Type="http://schemas.openxmlformats.org/officeDocument/2006/relationships/control" Target="activeX/activeX10.xml"/><Relationship Id="rId36" Type="http://schemas.openxmlformats.org/officeDocument/2006/relationships/image" Target="media/image9.wmf"/><Relationship Id="rId35" Type="http://schemas.openxmlformats.org/officeDocument/2006/relationships/control" Target="activeX/activeX9.xml"/><Relationship Id="rId34" Type="http://schemas.openxmlformats.org/officeDocument/2006/relationships/image" Target="media/image8.wmf"/><Relationship Id="rId33" Type="http://schemas.openxmlformats.org/officeDocument/2006/relationships/control" Target="activeX/activeX8.xml"/><Relationship Id="rId32" Type="http://schemas.openxmlformats.org/officeDocument/2006/relationships/image" Target="media/image7.wmf"/><Relationship Id="rId31" Type="http://schemas.openxmlformats.org/officeDocument/2006/relationships/control" Target="activeX/activeX7.xml"/><Relationship Id="rId30" Type="http://schemas.openxmlformats.org/officeDocument/2006/relationships/image" Target="media/image6.wmf"/><Relationship Id="rId3" Type="http://schemas.openxmlformats.org/officeDocument/2006/relationships/header" Target="header1.xml"/><Relationship Id="rId29" Type="http://schemas.openxmlformats.org/officeDocument/2006/relationships/control" Target="activeX/activeX6.xml"/><Relationship Id="rId28" Type="http://schemas.openxmlformats.org/officeDocument/2006/relationships/image" Target="media/image5.wmf"/><Relationship Id="rId27" Type="http://schemas.openxmlformats.org/officeDocument/2006/relationships/control" Target="activeX/activeX5.xml"/><Relationship Id="rId26" Type="http://schemas.openxmlformats.org/officeDocument/2006/relationships/image" Target="media/image4.wmf"/><Relationship Id="rId25" Type="http://schemas.openxmlformats.org/officeDocument/2006/relationships/control" Target="activeX/activeX4.xml"/><Relationship Id="rId24" Type="http://schemas.openxmlformats.org/officeDocument/2006/relationships/image" Target="media/image3.wmf"/><Relationship Id="rId23" Type="http://schemas.openxmlformats.org/officeDocument/2006/relationships/control" Target="activeX/activeX3.xml"/><Relationship Id="rId22" Type="http://schemas.openxmlformats.org/officeDocument/2006/relationships/image" Target="media/image2.wmf"/><Relationship Id="rId21" Type="http://schemas.openxmlformats.org/officeDocument/2006/relationships/control" Target="activeX/activeX2.xml"/><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control" Target="activeX/activeX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40-EC42-11CE-9E0D-00AA006002F3}" r:id="rId1" ax:persistence="persistStorage"/>
</file>

<file path=word/activeX/activeX21.xml><?xml version="1.0" encoding="utf-8"?>
<ax:ocx xmlns:ax="http://schemas.microsoft.com/office/2006/activeX" xmlns:r="http://schemas.openxmlformats.org/officeDocument/2006/relationships" ax:classid="{D7053240-CE69-11CD-A777-00DD01143C57}" r:id="rId1" ax:persistence="persistStorage"/>
</file>

<file path=word/activeX/activeX22.xml><?xml version="1.0" encoding="utf-8"?>
<ax:ocx xmlns:ax="http://schemas.microsoft.com/office/2006/activeX" xmlns:r="http://schemas.openxmlformats.org/officeDocument/2006/relationships" ax:classid="{8BD21D40-EC42-11CE-9E0D-00AA006002F3}" r:id="rId1" ax:persistence="persistStorage"/>
</file>

<file path=word/activeX/activeX23.xml><?xml version="1.0" encoding="utf-8"?>
<ax:ocx xmlns:ax="http://schemas.microsoft.com/office/2006/activeX" xmlns:r="http://schemas.openxmlformats.org/officeDocument/2006/relationships" ax:classid="{8BD21D40-EC42-11CE-9E0D-00AA006002F3}" r:id="rId1" ax:persistence="persistStorage"/>
</file>

<file path=word/activeX/activeX24.xml><?xml version="1.0" encoding="utf-8"?>
<ax:ocx xmlns:ax="http://schemas.microsoft.com/office/2006/activeX" xmlns:r="http://schemas.openxmlformats.org/officeDocument/2006/relationships" ax:classid="{8BD21D40-EC42-11CE-9E0D-00AA006002F3}" r:id="rId1" ax:persistence="persistStorage"/>
</file>

<file path=word/activeX/activeX25.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D7053240-CE69-11CD-A777-00DD01143C57}"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D7053240-CE69-11CD-A777-00DD01143C57}"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7E3C1-DD97-4327-9BE5-3B69C28FAE7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99</Pages>
  <Words>6846</Words>
  <Characters>39026</Characters>
  <Lines>325</Lines>
  <Paragraphs>91</Paragraphs>
  <TotalTime>1</TotalTime>
  <ScaleCrop>false</ScaleCrop>
  <LinksUpToDate>false</LinksUpToDate>
  <CharactersWithSpaces>45781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2018-03-29T07:39:00Z</dcterms:created>
  <dc:creator>Sky123.Org</dc:creator>
  <cp:lastModifiedBy>Administrator</cp:lastModifiedBy>
  <cp:lastPrinted>2019-12-31T08:47:00Z</cp:lastPrinted>
  <dcterms:modified xsi:type="dcterms:W3CDTF">2019-12-31T09:50:40Z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