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CFFCC"/>
  <w:body>
    <w:p>
      <w:pPr>
        <w:widowControl/>
        <w:snapToGrid w:val="0"/>
        <w:spacing w:line="600" w:lineRule="atLeast"/>
        <w:rPr>
          <w:rFonts w:hint="eastAsia" w:ascii="宋体" w:hAnsi="宋体"/>
          <w:b/>
          <w:kern w:val="0"/>
          <w:sz w:val="48"/>
        </w:rPr>
      </w:pPr>
      <w:r>
        <w:rPr>
          <w:rFonts w:hint="eastAsia" w:ascii="宋体" w:hAnsi="宋体"/>
          <w:b/>
          <w:kern w:val="0"/>
          <w:sz w:val="48"/>
        </w:rPr>
        <w:drawing>
          <wp:inline distT="0" distB="0" distL="114300" distR="114300">
            <wp:extent cx="5932170" cy="8401685"/>
            <wp:effectExtent l="0" t="0" r="11430" b="18415"/>
            <wp:docPr id="8" name="图片 8" descr="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封面"/>
                    <pic:cNvPicPr>
                      <a:picLocks noChangeAspect="1"/>
                    </pic:cNvPicPr>
                  </pic:nvPicPr>
                  <pic:blipFill>
                    <a:blip r:embed="rId15"/>
                    <a:stretch>
                      <a:fillRect/>
                    </a:stretch>
                  </pic:blipFill>
                  <pic:spPr>
                    <a:xfrm>
                      <a:off x="0" y="0"/>
                      <a:ext cx="5932170" cy="8401685"/>
                    </a:xfrm>
                    <a:prstGeom prst="rect">
                      <a:avLst/>
                    </a:prstGeom>
                  </pic:spPr>
                </pic:pic>
              </a:graphicData>
            </a:graphic>
          </wp:inline>
        </w:drawing>
      </w:r>
      <w:r>
        <w:rPr>
          <w:rFonts w:hint="eastAsia" w:ascii="宋体" w:hAnsi="宋体"/>
          <w:b/>
          <w:kern w:val="0"/>
          <w:sz w:val="48"/>
        </w:rPr>
        <w:t xml:space="preserve">                                                                              </w:t>
      </w:r>
    </w:p>
    <w:p>
      <w:pPr>
        <w:pStyle w:val="3"/>
        <w:spacing w:before="360" w:after="120"/>
        <w:jc w:val="center"/>
        <w:rPr>
          <w:rFonts w:hint="eastAsia"/>
          <w:sz w:val="48"/>
          <w:szCs w:val="48"/>
        </w:rPr>
      </w:pPr>
      <w:bookmarkStart w:id="0" w:name="_Toc12545369"/>
      <w:bookmarkStart w:id="1" w:name="_Toc26802642"/>
      <w:bookmarkStart w:id="2" w:name="_Toc24731"/>
      <w:bookmarkStart w:id="3" w:name="_Toc31059"/>
      <w:bookmarkStart w:id="4" w:name="_Toc19708"/>
      <w:bookmarkStart w:id="5" w:name="_Toc34034457"/>
      <w:bookmarkStart w:id="6" w:name="_Toc18120"/>
      <w:r>
        <w:rPr>
          <w:rFonts w:hint="eastAsia"/>
          <w:sz w:val="48"/>
          <w:szCs w:val="48"/>
        </w:rPr>
        <w:t>目  录</w:t>
      </w:r>
      <w:bookmarkEnd w:id="0"/>
      <w:bookmarkEnd w:id="1"/>
      <w:bookmarkEnd w:id="2"/>
      <w:bookmarkEnd w:id="3"/>
      <w:bookmarkEnd w:id="4"/>
      <w:bookmarkEnd w:id="5"/>
      <w:bookmarkEnd w:id="6"/>
    </w:p>
    <w:p>
      <w:pPr>
        <w:pStyle w:val="23"/>
        <w:tabs>
          <w:tab w:val="right" w:leader="dot" w:pos="9563"/>
          <w:tab w:val="clear" w:pos="9344"/>
        </w:tabs>
      </w:pPr>
    </w:p>
    <w:p>
      <w:pPr>
        <w:pStyle w:val="23"/>
        <w:tabs>
          <w:tab w:val="right" w:leader="dot" w:pos="9563"/>
          <w:tab w:val="clear" w:pos="9344"/>
        </w:tabs>
      </w:pPr>
    </w:p>
    <w:p>
      <w:pPr>
        <w:pStyle w:val="23"/>
        <w:pageBreakBefore w:val="0"/>
        <w:widowControl w:val="0"/>
        <w:tabs>
          <w:tab w:val="right" w:leader="dot" w:pos="9355"/>
          <w:tab w:val="clear" w:pos="9344"/>
        </w:tabs>
        <w:kinsoku/>
        <w:wordWrap/>
        <w:overflowPunct/>
        <w:topLinePunct w:val="0"/>
        <w:autoSpaceDE/>
        <w:autoSpaceDN/>
        <w:bidi w:val="0"/>
        <w:adjustRightInd/>
        <w:snapToGrid/>
        <w:spacing w:line="520" w:lineRule="exact"/>
        <w:ind w:left="0" w:leftChars="0"/>
        <w:textAlignment w:val="auto"/>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TOC \o "1-3" \h \z \u</w:instrText>
      </w:r>
      <w:r>
        <w:rPr>
          <w:rFonts w:ascii="宋体" w:hAnsi="宋体" w:cs="宋体"/>
          <w:szCs w:val="21"/>
        </w:rPr>
        <w:instrText xml:space="preserve"> </w:instrText>
      </w:r>
      <w:r>
        <w:rPr>
          <w:rFonts w:ascii="宋体" w:hAnsi="宋体" w:cs="宋体"/>
          <w:szCs w:val="21"/>
        </w:rPr>
        <w:fldChar w:fldCharType="separate"/>
      </w:r>
      <w:r>
        <w:rPr>
          <w:rFonts w:ascii="宋体" w:hAnsi="宋体" w:cs="宋体"/>
          <w:szCs w:val="21"/>
        </w:rPr>
        <w:fldChar w:fldCharType="begin"/>
      </w:r>
      <w:r>
        <w:rPr>
          <w:rFonts w:ascii="宋体" w:hAnsi="宋体" w:cs="宋体"/>
          <w:szCs w:val="21"/>
        </w:rPr>
        <w:instrText xml:space="preserve"> HYPERLINK \l _Toc18120 </w:instrText>
      </w:r>
      <w:r>
        <w:rPr>
          <w:rFonts w:ascii="宋体" w:hAnsi="宋体" w:cs="宋体"/>
          <w:szCs w:val="21"/>
        </w:rPr>
        <w:fldChar w:fldCharType="separate"/>
      </w:r>
      <w:r>
        <w:rPr>
          <w:rFonts w:hint="eastAsia"/>
          <w:szCs w:val="48"/>
        </w:rPr>
        <w:t>目  录</w:t>
      </w:r>
      <w:r>
        <w:tab/>
      </w:r>
      <w:r>
        <w:fldChar w:fldCharType="begin"/>
      </w:r>
      <w:r>
        <w:instrText xml:space="preserve"> PAGEREF _Toc18120 </w:instrText>
      </w:r>
      <w:r>
        <w:fldChar w:fldCharType="separate"/>
      </w:r>
      <w:r>
        <w:t>- 2 -</w:t>
      </w:r>
      <w:r>
        <w:fldChar w:fldCharType="end"/>
      </w:r>
      <w:r>
        <w:rPr>
          <w:rFonts w:ascii="宋体" w:hAnsi="宋体" w:cs="宋体"/>
          <w:szCs w:val="21"/>
        </w:rPr>
        <w:fldChar w:fldCharType="end"/>
      </w:r>
    </w:p>
    <w:p>
      <w:pPr>
        <w:pStyle w:val="23"/>
        <w:pageBreakBefore w:val="0"/>
        <w:widowControl w:val="0"/>
        <w:tabs>
          <w:tab w:val="right" w:leader="dot" w:pos="9355"/>
          <w:tab w:val="clear" w:pos="9344"/>
        </w:tabs>
        <w:kinsoku/>
        <w:wordWrap/>
        <w:overflowPunct/>
        <w:topLinePunct w:val="0"/>
        <w:autoSpaceDE/>
        <w:autoSpaceDN/>
        <w:bidi w:val="0"/>
        <w:adjustRightInd/>
        <w:snapToGrid/>
        <w:spacing w:line="520" w:lineRule="exact"/>
        <w:ind w:left="0" w:leftChars="0"/>
        <w:textAlignment w:val="auto"/>
      </w:pPr>
      <w:r>
        <w:rPr>
          <w:rFonts w:ascii="宋体" w:hAnsi="宋体" w:cs="宋体"/>
          <w:szCs w:val="21"/>
        </w:rPr>
        <w:fldChar w:fldCharType="begin"/>
      </w:r>
      <w:r>
        <w:rPr>
          <w:rFonts w:ascii="宋体" w:hAnsi="宋体" w:cs="宋体"/>
          <w:szCs w:val="21"/>
        </w:rPr>
        <w:instrText xml:space="preserve"> HYPERLINK \l _Toc25309 </w:instrText>
      </w:r>
      <w:r>
        <w:rPr>
          <w:rFonts w:ascii="宋体" w:hAnsi="宋体" w:cs="宋体"/>
          <w:szCs w:val="21"/>
        </w:rPr>
        <w:fldChar w:fldCharType="separate"/>
      </w:r>
      <w:r>
        <w:rPr>
          <w:rFonts w:hint="eastAsia"/>
          <w:kern w:val="0"/>
        </w:rPr>
        <w:t>第一章   竞争性谈判采购公告</w:t>
      </w:r>
      <w:r>
        <w:tab/>
      </w:r>
      <w:r>
        <w:fldChar w:fldCharType="begin"/>
      </w:r>
      <w:r>
        <w:instrText xml:space="preserve"> PAGEREF _Toc25309 </w:instrText>
      </w:r>
      <w:r>
        <w:fldChar w:fldCharType="separate"/>
      </w:r>
      <w:r>
        <w:t>- 4 -</w:t>
      </w:r>
      <w:r>
        <w:fldChar w:fldCharType="end"/>
      </w:r>
      <w:r>
        <w:rPr>
          <w:rFonts w:ascii="宋体" w:hAnsi="宋体" w:cs="宋体"/>
          <w:szCs w:val="21"/>
        </w:rPr>
        <w:fldChar w:fldCharType="end"/>
      </w:r>
    </w:p>
    <w:p>
      <w:pPr>
        <w:pStyle w:val="23"/>
        <w:pageBreakBefore w:val="0"/>
        <w:widowControl w:val="0"/>
        <w:tabs>
          <w:tab w:val="right" w:leader="dot" w:pos="9355"/>
          <w:tab w:val="clear" w:pos="9344"/>
        </w:tabs>
        <w:kinsoku/>
        <w:wordWrap/>
        <w:overflowPunct/>
        <w:topLinePunct w:val="0"/>
        <w:autoSpaceDE/>
        <w:autoSpaceDN/>
        <w:bidi w:val="0"/>
        <w:adjustRightInd/>
        <w:snapToGrid/>
        <w:spacing w:line="520" w:lineRule="exact"/>
        <w:ind w:left="0" w:leftChars="0"/>
        <w:textAlignment w:val="auto"/>
      </w:pPr>
      <w:r>
        <w:rPr>
          <w:rFonts w:ascii="宋体" w:hAnsi="宋体" w:cs="宋体"/>
          <w:szCs w:val="21"/>
        </w:rPr>
        <w:fldChar w:fldCharType="begin"/>
      </w:r>
      <w:r>
        <w:rPr>
          <w:rFonts w:ascii="宋体" w:hAnsi="宋体" w:cs="宋体"/>
          <w:szCs w:val="21"/>
        </w:rPr>
        <w:instrText xml:space="preserve"> HYPERLINK \l _Toc10337 </w:instrText>
      </w:r>
      <w:r>
        <w:rPr>
          <w:rFonts w:ascii="宋体" w:hAnsi="宋体" w:cs="宋体"/>
          <w:szCs w:val="21"/>
        </w:rPr>
        <w:fldChar w:fldCharType="separate"/>
      </w:r>
      <w:r>
        <w:rPr>
          <w:rFonts w:hint="eastAsia"/>
          <w:kern w:val="0"/>
        </w:rPr>
        <w:t>第二章   投标邀请函</w:t>
      </w:r>
      <w:r>
        <w:tab/>
      </w:r>
      <w:r>
        <w:fldChar w:fldCharType="begin"/>
      </w:r>
      <w:r>
        <w:instrText xml:space="preserve"> PAGEREF _Toc10337 </w:instrText>
      </w:r>
      <w:r>
        <w:fldChar w:fldCharType="separate"/>
      </w:r>
      <w:r>
        <w:t>- 4 -</w:t>
      </w:r>
      <w:r>
        <w:fldChar w:fldCharType="end"/>
      </w:r>
      <w:r>
        <w:rPr>
          <w:rFonts w:ascii="宋体" w:hAnsi="宋体" w:cs="宋体"/>
          <w:szCs w:val="21"/>
        </w:rPr>
        <w:fldChar w:fldCharType="end"/>
      </w:r>
    </w:p>
    <w:p>
      <w:pPr>
        <w:pStyle w:val="23"/>
        <w:pageBreakBefore w:val="0"/>
        <w:widowControl w:val="0"/>
        <w:tabs>
          <w:tab w:val="right" w:leader="dot" w:pos="9355"/>
          <w:tab w:val="clear" w:pos="9344"/>
        </w:tabs>
        <w:kinsoku/>
        <w:wordWrap/>
        <w:overflowPunct/>
        <w:topLinePunct w:val="0"/>
        <w:autoSpaceDE/>
        <w:autoSpaceDN/>
        <w:bidi w:val="0"/>
        <w:adjustRightInd/>
        <w:snapToGrid/>
        <w:spacing w:line="520" w:lineRule="exact"/>
        <w:ind w:left="0" w:leftChars="0"/>
        <w:textAlignment w:val="auto"/>
      </w:pPr>
      <w:r>
        <w:rPr>
          <w:rFonts w:ascii="宋体" w:hAnsi="宋体" w:cs="宋体"/>
          <w:szCs w:val="21"/>
        </w:rPr>
        <w:fldChar w:fldCharType="begin"/>
      </w:r>
      <w:r>
        <w:rPr>
          <w:rFonts w:ascii="宋体" w:hAnsi="宋体" w:cs="宋体"/>
          <w:szCs w:val="21"/>
        </w:rPr>
        <w:instrText xml:space="preserve"> HYPERLINK \l _Toc22142 </w:instrText>
      </w:r>
      <w:r>
        <w:rPr>
          <w:rFonts w:ascii="宋体" w:hAnsi="宋体" w:cs="宋体"/>
          <w:szCs w:val="21"/>
        </w:rPr>
        <w:fldChar w:fldCharType="separate"/>
      </w:r>
      <w:r>
        <w:rPr>
          <w:rFonts w:hint="eastAsia"/>
          <w:kern w:val="0"/>
        </w:rPr>
        <w:t xml:space="preserve">第三章  </w:t>
      </w:r>
      <w:r>
        <w:rPr>
          <w:rFonts w:hint="eastAsia"/>
        </w:rPr>
        <w:t>投标须知前附表</w:t>
      </w:r>
      <w:r>
        <w:tab/>
      </w:r>
      <w:r>
        <w:fldChar w:fldCharType="begin"/>
      </w:r>
      <w:r>
        <w:instrText xml:space="preserve"> PAGEREF _Toc22142 </w:instrText>
      </w:r>
      <w:r>
        <w:fldChar w:fldCharType="separate"/>
      </w:r>
      <w:r>
        <w:t>- 9 -</w:t>
      </w:r>
      <w:r>
        <w:fldChar w:fldCharType="end"/>
      </w:r>
      <w:r>
        <w:rPr>
          <w:rFonts w:ascii="宋体" w:hAnsi="宋体" w:cs="宋体"/>
          <w:szCs w:val="21"/>
        </w:rPr>
        <w:fldChar w:fldCharType="end"/>
      </w:r>
    </w:p>
    <w:p>
      <w:pPr>
        <w:pStyle w:val="25"/>
        <w:pageBreakBefore w:val="0"/>
        <w:widowControl w:val="0"/>
        <w:tabs>
          <w:tab w:val="right" w:leader="dot" w:pos="9355"/>
        </w:tabs>
        <w:kinsoku/>
        <w:wordWrap/>
        <w:overflowPunct/>
        <w:topLinePunct w:val="0"/>
        <w:autoSpaceDE/>
        <w:autoSpaceDN/>
        <w:bidi w:val="0"/>
        <w:adjustRightInd/>
        <w:snapToGrid/>
        <w:spacing w:line="520" w:lineRule="exact"/>
        <w:ind w:left="0" w:leftChars="0" w:firstLine="424" w:firstLineChars="200"/>
        <w:textAlignment w:val="auto"/>
      </w:pPr>
      <w:r>
        <w:rPr>
          <w:rFonts w:ascii="宋体" w:hAnsi="宋体" w:cs="宋体"/>
          <w:szCs w:val="21"/>
        </w:rPr>
        <w:fldChar w:fldCharType="begin"/>
      </w:r>
      <w:r>
        <w:rPr>
          <w:rFonts w:ascii="宋体" w:hAnsi="宋体" w:cs="宋体"/>
          <w:szCs w:val="21"/>
        </w:rPr>
        <w:instrText xml:space="preserve"> HYPERLINK \l _Toc25058 </w:instrText>
      </w:r>
      <w:r>
        <w:rPr>
          <w:rFonts w:ascii="宋体" w:hAnsi="宋体" w:cs="宋体"/>
          <w:szCs w:val="21"/>
        </w:rPr>
        <w:fldChar w:fldCharType="separate"/>
      </w:r>
      <w:r>
        <w:rPr>
          <w:rFonts w:hint="eastAsia" w:ascii="宋体" w:hAnsi="宋体"/>
          <w:szCs w:val="28"/>
        </w:rPr>
        <w:t>2.1 招标</w:t>
      </w:r>
      <w:r>
        <w:tab/>
      </w:r>
      <w:r>
        <w:fldChar w:fldCharType="begin"/>
      </w:r>
      <w:r>
        <w:instrText xml:space="preserve"> PAGEREF _Toc25058 </w:instrText>
      </w:r>
      <w:r>
        <w:fldChar w:fldCharType="separate"/>
      </w:r>
      <w:r>
        <w:t>- 13 -</w:t>
      </w:r>
      <w:r>
        <w:fldChar w:fldCharType="end"/>
      </w:r>
      <w:r>
        <w:rPr>
          <w:rFonts w:ascii="宋体" w:hAnsi="宋体" w:cs="宋体"/>
          <w:szCs w:val="21"/>
        </w:rPr>
        <w:fldChar w:fldCharType="end"/>
      </w:r>
    </w:p>
    <w:p>
      <w:pPr>
        <w:pStyle w:val="25"/>
        <w:pageBreakBefore w:val="0"/>
        <w:widowControl w:val="0"/>
        <w:tabs>
          <w:tab w:val="right" w:leader="dot" w:pos="9355"/>
        </w:tabs>
        <w:kinsoku/>
        <w:wordWrap/>
        <w:overflowPunct/>
        <w:topLinePunct w:val="0"/>
        <w:autoSpaceDE/>
        <w:autoSpaceDN/>
        <w:bidi w:val="0"/>
        <w:adjustRightInd/>
        <w:snapToGrid/>
        <w:spacing w:line="520" w:lineRule="exact"/>
        <w:ind w:left="0" w:leftChars="0" w:firstLine="424" w:firstLineChars="200"/>
        <w:textAlignment w:val="auto"/>
      </w:pPr>
      <w:r>
        <w:rPr>
          <w:rFonts w:ascii="宋体" w:hAnsi="宋体" w:cs="宋体"/>
          <w:szCs w:val="21"/>
        </w:rPr>
        <w:fldChar w:fldCharType="begin"/>
      </w:r>
      <w:r>
        <w:rPr>
          <w:rFonts w:ascii="宋体" w:hAnsi="宋体" w:cs="宋体"/>
          <w:szCs w:val="21"/>
        </w:rPr>
        <w:instrText xml:space="preserve"> HYPERLINK \l _Toc12063 </w:instrText>
      </w:r>
      <w:r>
        <w:rPr>
          <w:rFonts w:ascii="宋体" w:hAnsi="宋体" w:cs="宋体"/>
          <w:szCs w:val="21"/>
        </w:rPr>
        <w:fldChar w:fldCharType="separate"/>
      </w:r>
      <w:r>
        <w:rPr>
          <w:rFonts w:hint="eastAsia" w:ascii="宋体" w:hAnsi="宋体"/>
          <w:szCs w:val="28"/>
        </w:rPr>
        <w:t>2.2 投标</w:t>
      </w:r>
      <w:r>
        <w:tab/>
      </w:r>
      <w:r>
        <w:fldChar w:fldCharType="begin"/>
      </w:r>
      <w:r>
        <w:instrText xml:space="preserve"> PAGEREF _Toc12063 </w:instrText>
      </w:r>
      <w:r>
        <w:fldChar w:fldCharType="separate"/>
      </w:r>
      <w:r>
        <w:t>- 13 -</w:t>
      </w:r>
      <w:r>
        <w:fldChar w:fldCharType="end"/>
      </w:r>
      <w:r>
        <w:rPr>
          <w:rFonts w:ascii="宋体" w:hAnsi="宋体" w:cs="宋体"/>
          <w:szCs w:val="21"/>
        </w:rPr>
        <w:fldChar w:fldCharType="end"/>
      </w:r>
    </w:p>
    <w:p>
      <w:pPr>
        <w:pStyle w:val="25"/>
        <w:pageBreakBefore w:val="0"/>
        <w:widowControl w:val="0"/>
        <w:tabs>
          <w:tab w:val="right" w:leader="dot" w:pos="9355"/>
        </w:tabs>
        <w:kinsoku/>
        <w:wordWrap/>
        <w:overflowPunct/>
        <w:topLinePunct w:val="0"/>
        <w:autoSpaceDE/>
        <w:autoSpaceDN/>
        <w:bidi w:val="0"/>
        <w:adjustRightInd/>
        <w:snapToGrid/>
        <w:spacing w:line="520" w:lineRule="exact"/>
        <w:ind w:left="0" w:leftChars="0" w:firstLine="424" w:firstLineChars="200"/>
        <w:textAlignment w:val="auto"/>
      </w:pPr>
      <w:r>
        <w:rPr>
          <w:rFonts w:ascii="宋体" w:hAnsi="宋体" w:cs="宋体"/>
          <w:szCs w:val="21"/>
        </w:rPr>
        <w:fldChar w:fldCharType="begin"/>
      </w:r>
      <w:r>
        <w:rPr>
          <w:rFonts w:ascii="宋体" w:hAnsi="宋体" w:cs="宋体"/>
          <w:szCs w:val="21"/>
        </w:rPr>
        <w:instrText xml:space="preserve"> HYPERLINK \l _Toc10293 </w:instrText>
      </w:r>
      <w:r>
        <w:rPr>
          <w:rFonts w:ascii="宋体" w:hAnsi="宋体" w:cs="宋体"/>
          <w:szCs w:val="21"/>
        </w:rPr>
        <w:fldChar w:fldCharType="separate"/>
      </w:r>
      <w:r>
        <w:rPr>
          <w:rFonts w:hint="eastAsia" w:ascii="宋体" w:hAnsi="宋体"/>
          <w:szCs w:val="28"/>
        </w:rPr>
        <w:t>2.3 开标</w:t>
      </w:r>
      <w:r>
        <w:tab/>
      </w:r>
      <w:r>
        <w:fldChar w:fldCharType="begin"/>
      </w:r>
      <w:r>
        <w:instrText xml:space="preserve"> PAGEREF _Toc10293 </w:instrText>
      </w:r>
      <w:r>
        <w:fldChar w:fldCharType="separate"/>
      </w:r>
      <w:r>
        <w:t>- 18 -</w:t>
      </w:r>
      <w:r>
        <w:fldChar w:fldCharType="end"/>
      </w:r>
      <w:r>
        <w:rPr>
          <w:rFonts w:ascii="宋体" w:hAnsi="宋体" w:cs="宋体"/>
          <w:szCs w:val="21"/>
        </w:rPr>
        <w:fldChar w:fldCharType="end"/>
      </w:r>
    </w:p>
    <w:p>
      <w:pPr>
        <w:pStyle w:val="25"/>
        <w:pageBreakBefore w:val="0"/>
        <w:widowControl w:val="0"/>
        <w:tabs>
          <w:tab w:val="right" w:leader="dot" w:pos="9355"/>
        </w:tabs>
        <w:kinsoku/>
        <w:wordWrap/>
        <w:overflowPunct/>
        <w:topLinePunct w:val="0"/>
        <w:autoSpaceDE/>
        <w:autoSpaceDN/>
        <w:bidi w:val="0"/>
        <w:adjustRightInd/>
        <w:snapToGrid/>
        <w:spacing w:line="520" w:lineRule="exact"/>
        <w:ind w:left="0" w:leftChars="0" w:firstLine="424" w:firstLineChars="200"/>
        <w:textAlignment w:val="auto"/>
      </w:pPr>
      <w:r>
        <w:rPr>
          <w:rFonts w:ascii="宋体" w:hAnsi="宋体" w:cs="宋体"/>
          <w:szCs w:val="21"/>
        </w:rPr>
        <w:fldChar w:fldCharType="begin"/>
      </w:r>
      <w:r>
        <w:rPr>
          <w:rFonts w:ascii="宋体" w:hAnsi="宋体" w:cs="宋体"/>
          <w:szCs w:val="21"/>
        </w:rPr>
        <w:instrText xml:space="preserve"> HYPERLINK \l _Toc26697 </w:instrText>
      </w:r>
      <w:r>
        <w:rPr>
          <w:rFonts w:ascii="宋体" w:hAnsi="宋体" w:cs="宋体"/>
          <w:szCs w:val="21"/>
        </w:rPr>
        <w:fldChar w:fldCharType="separate"/>
      </w:r>
      <w:r>
        <w:rPr>
          <w:rFonts w:hint="eastAsia" w:ascii="宋体" w:hAnsi="宋体"/>
          <w:szCs w:val="28"/>
        </w:rPr>
        <w:t>2.4 合同的授予</w:t>
      </w:r>
      <w:r>
        <w:tab/>
      </w:r>
      <w:r>
        <w:fldChar w:fldCharType="begin"/>
      </w:r>
      <w:r>
        <w:instrText xml:space="preserve"> PAGEREF _Toc26697 </w:instrText>
      </w:r>
      <w:r>
        <w:fldChar w:fldCharType="separate"/>
      </w:r>
      <w:r>
        <w:t>- 18 -</w:t>
      </w:r>
      <w:r>
        <w:fldChar w:fldCharType="end"/>
      </w:r>
      <w:r>
        <w:rPr>
          <w:rFonts w:ascii="宋体" w:hAnsi="宋体" w:cs="宋体"/>
          <w:szCs w:val="21"/>
        </w:rPr>
        <w:fldChar w:fldCharType="end"/>
      </w:r>
    </w:p>
    <w:p>
      <w:pPr>
        <w:pStyle w:val="23"/>
        <w:pageBreakBefore w:val="0"/>
        <w:widowControl w:val="0"/>
        <w:tabs>
          <w:tab w:val="right" w:leader="dot" w:pos="9355"/>
          <w:tab w:val="clear" w:pos="9344"/>
        </w:tabs>
        <w:kinsoku/>
        <w:wordWrap/>
        <w:overflowPunct/>
        <w:topLinePunct w:val="0"/>
        <w:autoSpaceDE/>
        <w:autoSpaceDN/>
        <w:bidi w:val="0"/>
        <w:adjustRightInd/>
        <w:snapToGrid/>
        <w:spacing w:line="520" w:lineRule="exact"/>
        <w:textAlignment w:val="auto"/>
      </w:pPr>
      <w:r>
        <w:rPr>
          <w:rFonts w:ascii="宋体" w:hAnsi="宋体" w:cs="宋体"/>
          <w:szCs w:val="21"/>
        </w:rPr>
        <w:fldChar w:fldCharType="begin"/>
      </w:r>
      <w:r>
        <w:rPr>
          <w:rFonts w:ascii="宋体" w:hAnsi="宋体" w:cs="宋体"/>
          <w:szCs w:val="21"/>
        </w:rPr>
        <w:instrText xml:space="preserve"> HYPERLINK \l _Toc17573 </w:instrText>
      </w:r>
      <w:r>
        <w:rPr>
          <w:rFonts w:ascii="宋体" w:hAnsi="宋体" w:cs="宋体"/>
          <w:szCs w:val="21"/>
        </w:rPr>
        <w:fldChar w:fldCharType="separate"/>
      </w:r>
      <w:r>
        <w:rPr>
          <w:rFonts w:hint="eastAsia"/>
          <w:kern w:val="0"/>
        </w:rPr>
        <w:t>3、澄清和质疑</w:t>
      </w:r>
      <w:r>
        <w:tab/>
      </w:r>
      <w:r>
        <w:fldChar w:fldCharType="begin"/>
      </w:r>
      <w:r>
        <w:instrText xml:space="preserve"> PAGEREF _Toc17573 </w:instrText>
      </w:r>
      <w:r>
        <w:fldChar w:fldCharType="separate"/>
      </w:r>
      <w:r>
        <w:t>- 20 -</w:t>
      </w:r>
      <w:r>
        <w:fldChar w:fldCharType="end"/>
      </w:r>
      <w:r>
        <w:rPr>
          <w:rFonts w:ascii="宋体" w:hAnsi="宋体" w:cs="宋体"/>
          <w:szCs w:val="21"/>
        </w:rPr>
        <w:fldChar w:fldCharType="end"/>
      </w:r>
    </w:p>
    <w:p>
      <w:pPr>
        <w:pStyle w:val="25"/>
        <w:pageBreakBefore w:val="0"/>
        <w:widowControl w:val="0"/>
        <w:tabs>
          <w:tab w:val="right" w:leader="dot" w:pos="9355"/>
        </w:tabs>
        <w:kinsoku/>
        <w:wordWrap/>
        <w:overflowPunct/>
        <w:topLinePunct w:val="0"/>
        <w:autoSpaceDE/>
        <w:autoSpaceDN/>
        <w:bidi w:val="0"/>
        <w:adjustRightInd/>
        <w:snapToGrid/>
        <w:spacing w:line="520" w:lineRule="exact"/>
        <w:ind w:left="0" w:leftChars="0" w:firstLine="424" w:firstLineChars="200"/>
        <w:textAlignment w:val="auto"/>
      </w:pPr>
      <w:r>
        <w:rPr>
          <w:rFonts w:ascii="宋体" w:hAnsi="宋体" w:cs="宋体"/>
          <w:szCs w:val="21"/>
        </w:rPr>
        <w:fldChar w:fldCharType="begin"/>
      </w:r>
      <w:r>
        <w:rPr>
          <w:rFonts w:ascii="宋体" w:hAnsi="宋体" w:cs="宋体"/>
          <w:szCs w:val="21"/>
        </w:rPr>
        <w:instrText xml:space="preserve"> HYPERLINK \l _Toc12747 </w:instrText>
      </w:r>
      <w:r>
        <w:rPr>
          <w:rFonts w:ascii="宋体" w:hAnsi="宋体" w:cs="宋体"/>
          <w:szCs w:val="21"/>
        </w:rPr>
        <w:fldChar w:fldCharType="separate"/>
      </w:r>
      <w:r>
        <w:rPr>
          <w:rFonts w:hint="eastAsia" w:ascii="宋体" w:hAnsi="宋体"/>
          <w:szCs w:val="28"/>
        </w:rPr>
        <w:t>3.1综合说明</w:t>
      </w:r>
      <w:r>
        <w:tab/>
      </w:r>
      <w:r>
        <w:fldChar w:fldCharType="begin"/>
      </w:r>
      <w:r>
        <w:instrText xml:space="preserve"> PAGEREF _Toc12747 </w:instrText>
      </w:r>
      <w:r>
        <w:fldChar w:fldCharType="separate"/>
      </w:r>
      <w:r>
        <w:t>- 20 -</w:t>
      </w:r>
      <w:r>
        <w:fldChar w:fldCharType="end"/>
      </w:r>
      <w:r>
        <w:rPr>
          <w:rFonts w:ascii="宋体" w:hAnsi="宋体" w:cs="宋体"/>
          <w:szCs w:val="21"/>
        </w:rPr>
        <w:fldChar w:fldCharType="end"/>
      </w:r>
    </w:p>
    <w:p>
      <w:pPr>
        <w:pStyle w:val="25"/>
        <w:pageBreakBefore w:val="0"/>
        <w:widowControl w:val="0"/>
        <w:tabs>
          <w:tab w:val="right" w:leader="dot" w:pos="9355"/>
        </w:tabs>
        <w:kinsoku/>
        <w:wordWrap/>
        <w:overflowPunct/>
        <w:topLinePunct w:val="0"/>
        <w:autoSpaceDE/>
        <w:autoSpaceDN/>
        <w:bidi w:val="0"/>
        <w:adjustRightInd/>
        <w:snapToGrid/>
        <w:spacing w:line="520" w:lineRule="exact"/>
        <w:ind w:left="0" w:leftChars="0" w:firstLine="424" w:firstLineChars="200"/>
        <w:textAlignment w:val="auto"/>
      </w:pPr>
      <w:r>
        <w:rPr>
          <w:rFonts w:ascii="宋体" w:hAnsi="宋体" w:cs="宋体"/>
          <w:szCs w:val="21"/>
        </w:rPr>
        <w:fldChar w:fldCharType="begin"/>
      </w:r>
      <w:r>
        <w:rPr>
          <w:rFonts w:ascii="宋体" w:hAnsi="宋体" w:cs="宋体"/>
          <w:szCs w:val="21"/>
        </w:rPr>
        <w:instrText xml:space="preserve"> HYPERLINK \l _Toc26550 </w:instrText>
      </w:r>
      <w:r>
        <w:rPr>
          <w:rFonts w:ascii="宋体" w:hAnsi="宋体" w:cs="宋体"/>
          <w:szCs w:val="21"/>
        </w:rPr>
        <w:fldChar w:fldCharType="separate"/>
      </w:r>
      <w:r>
        <w:rPr>
          <w:rFonts w:hint="eastAsia" w:ascii="宋体" w:hAnsi="宋体"/>
          <w:szCs w:val="28"/>
        </w:rPr>
        <w:t>3.2对招标文件的澄清和质疑</w:t>
      </w:r>
      <w:r>
        <w:tab/>
      </w:r>
      <w:r>
        <w:fldChar w:fldCharType="begin"/>
      </w:r>
      <w:r>
        <w:instrText xml:space="preserve"> PAGEREF _Toc26550 </w:instrText>
      </w:r>
      <w:r>
        <w:fldChar w:fldCharType="separate"/>
      </w:r>
      <w:r>
        <w:t>- 20 -</w:t>
      </w:r>
      <w:r>
        <w:fldChar w:fldCharType="end"/>
      </w:r>
      <w:r>
        <w:rPr>
          <w:rFonts w:ascii="宋体" w:hAnsi="宋体" w:cs="宋体"/>
          <w:szCs w:val="21"/>
        </w:rPr>
        <w:fldChar w:fldCharType="end"/>
      </w:r>
    </w:p>
    <w:p>
      <w:pPr>
        <w:pStyle w:val="25"/>
        <w:pageBreakBefore w:val="0"/>
        <w:widowControl w:val="0"/>
        <w:tabs>
          <w:tab w:val="right" w:leader="dot" w:pos="9355"/>
        </w:tabs>
        <w:kinsoku/>
        <w:wordWrap/>
        <w:overflowPunct/>
        <w:topLinePunct w:val="0"/>
        <w:autoSpaceDE/>
        <w:autoSpaceDN/>
        <w:bidi w:val="0"/>
        <w:adjustRightInd/>
        <w:snapToGrid/>
        <w:spacing w:line="520" w:lineRule="exact"/>
        <w:ind w:left="0" w:leftChars="0" w:firstLine="424" w:firstLineChars="200"/>
        <w:textAlignment w:val="auto"/>
      </w:pPr>
      <w:r>
        <w:rPr>
          <w:rFonts w:ascii="宋体" w:hAnsi="宋体" w:cs="宋体"/>
          <w:szCs w:val="21"/>
        </w:rPr>
        <w:fldChar w:fldCharType="begin"/>
      </w:r>
      <w:r>
        <w:rPr>
          <w:rFonts w:ascii="宋体" w:hAnsi="宋体" w:cs="宋体"/>
          <w:szCs w:val="21"/>
        </w:rPr>
        <w:instrText xml:space="preserve"> HYPERLINK \l _Toc17171 </w:instrText>
      </w:r>
      <w:r>
        <w:rPr>
          <w:rFonts w:ascii="宋体" w:hAnsi="宋体" w:cs="宋体"/>
          <w:szCs w:val="21"/>
        </w:rPr>
        <w:fldChar w:fldCharType="separate"/>
      </w:r>
      <w:r>
        <w:rPr>
          <w:rFonts w:hint="eastAsia" w:ascii="宋体" w:hAnsi="宋体"/>
          <w:szCs w:val="28"/>
        </w:rPr>
        <w:t>3.3对招标过程和拟</w:t>
      </w:r>
      <w:r>
        <w:rPr>
          <w:rFonts w:hint="eastAsia" w:ascii="宋体" w:hAnsi="宋体"/>
          <w:szCs w:val="28"/>
          <w:lang w:eastAsia="zh-CN"/>
        </w:rPr>
        <w:t>成交</w:t>
      </w:r>
      <w:r>
        <w:rPr>
          <w:rFonts w:hint="eastAsia" w:ascii="宋体" w:hAnsi="宋体"/>
          <w:szCs w:val="28"/>
        </w:rPr>
        <w:t>结果的质疑</w:t>
      </w:r>
      <w:r>
        <w:tab/>
      </w:r>
      <w:r>
        <w:fldChar w:fldCharType="begin"/>
      </w:r>
      <w:r>
        <w:instrText xml:space="preserve"> PAGEREF _Toc17171 </w:instrText>
      </w:r>
      <w:r>
        <w:fldChar w:fldCharType="separate"/>
      </w:r>
      <w:r>
        <w:t>- 21 -</w:t>
      </w:r>
      <w:r>
        <w:fldChar w:fldCharType="end"/>
      </w:r>
      <w:r>
        <w:rPr>
          <w:rFonts w:ascii="宋体" w:hAnsi="宋体" w:cs="宋体"/>
          <w:szCs w:val="21"/>
        </w:rPr>
        <w:fldChar w:fldCharType="end"/>
      </w:r>
    </w:p>
    <w:p>
      <w:pPr>
        <w:pStyle w:val="25"/>
        <w:pageBreakBefore w:val="0"/>
        <w:widowControl w:val="0"/>
        <w:tabs>
          <w:tab w:val="right" w:leader="dot" w:pos="9355"/>
        </w:tabs>
        <w:kinsoku/>
        <w:wordWrap/>
        <w:overflowPunct/>
        <w:topLinePunct w:val="0"/>
        <w:autoSpaceDE/>
        <w:autoSpaceDN/>
        <w:bidi w:val="0"/>
        <w:adjustRightInd/>
        <w:snapToGrid/>
        <w:spacing w:line="520" w:lineRule="exact"/>
        <w:ind w:left="0" w:leftChars="0" w:firstLine="424" w:firstLineChars="200"/>
        <w:textAlignment w:val="auto"/>
      </w:pPr>
      <w:r>
        <w:rPr>
          <w:rFonts w:ascii="宋体" w:hAnsi="宋体" w:cs="宋体"/>
          <w:szCs w:val="21"/>
        </w:rPr>
        <w:fldChar w:fldCharType="begin"/>
      </w:r>
      <w:r>
        <w:rPr>
          <w:rFonts w:ascii="宋体" w:hAnsi="宋体" w:cs="宋体"/>
          <w:szCs w:val="21"/>
        </w:rPr>
        <w:instrText xml:space="preserve"> HYPERLINK \l _Toc6674 </w:instrText>
      </w:r>
      <w:r>
        <w:rPr>
          <w:rFonts w:ascii="宋体" w:hAnsi="宋体" w:cs="宋体"/>
          <w:szCs w:val="21"/>
        </w:rPr>
        <w:fldChar w:fldCharType="separate"/>
      </w:r>
      <w:r>
        <w:rPr>
          <w:rFonts w:hint="eastAsia" w:ascii="宋体" w:hAnsi="宋体"/>
          <w:szCs w:val="28"/>
        </w:rPr>
        <w:t>3.4澄清或质疑不予受理的情况</w:t>
      </w:r>
      <w:r>
        <w:tab/>
      </w:r>
      <w:r>
        <w:fldChar w:fldCharType="begin"/>
      </w:r>
      <w:r>
        <w:instrText xml:space="preserve"> PAGEREF _Toc6674 </w:instrText>
      </w:r>
      <w:r>
        <w:fldChar w:fldCharType="separate"/>
      </w:r>
      <w:r>
        <w:t>- 22 -</w:t>
      </w:r>
      <w:r>
        <w:fldChar w:fldCharType="end"/>
      </w:r>
      <w:r>
        <w:rPr>
          <w:rFonts w:ascii="宋体" w:hAnsi="宋体" w:cs="宋体"/>
          <w:szCs w:val="21"/>
        </w:rPr>
        <w:fldChar w:fldCharType="end"/>
      </w:r>
    </w:p>
    <w:p>
      <w:pPr>
        <w:pStyle w:val="25"/>
        <w:pageBreakBefore w:val="0"/>
        <w:widowControl w:val="0"/>
        <w:tabs>
          <w:tab w:val="right" w:leader="dot" w:pos="9355"/>
        </w:tabs>
        <w:kinsoku/>
        <w:wordWrap/>
        <w:overflowPunct/>
        <w:topLinePunct w:val="0"/>
        <w:autoSpaceDE/>
        <w:autoSpaceDN/>
        <w:bidi w:val="0"/>
        <w:adjustRightInd/>
        <w:snapToGrid/>
        <w:spacing w:line="520" w:lineRule="exact"/>
        <w:ind w:left="0" w:leftChars="0" w:firstLine="424" w:firstLineChars="200"/>
        <w:textAlignment w:val="auto"/>
      </w:pPr>
      <w:r>
        <w:rPr>
          <w:rFonts w:ascii="宋体" w:hAnsi="宋体" w:cs="宋体"/>
          <w:szCs w:val="21"/>
        </w:rPr>
        <w:fldChar w:fldCharType="begin"/>
      </w:r>
      <w:r>
        <w:rPr>
          <w:rFonts w:ascii="宋体" w:hAnsi="宋体" w:cs="宋体"/>
          <w:szCs w:val="21"/>
        </w:rPr>
        <w:instrText xml:space="preserve"> HYPERLINK \l _Toc30846 </w:instrText>
      </w:r>
      <w:r>
        <w:rPr>
          <w:rFonts w:ascii="宋体" w:hAnsi="宋体" w:cs="宋体"/>
          <w:szCs w:val="21"/>
        </w:rPr>
        <w:fldChar w:fldCharType="separate"/>
      </w:r>
      <w:r>
        <w:rPr>
          <w:rFonts w:hint="eastAsia" w:ascii="宋体" w:hAnsi="宋体"/>
          <w:szCs w:val="28"/>
        </w:rPr>
        <w:t>3.5其他</w:t>
      </w:r>
      <w:r>
        <w:tab/>
      </w:r>
      <w:r>
        <w:fldChar w:fldCharType="begin"/>
      </w:r>
      <w:r>
        <w:instrText xml:space="preserve"> PAGEREF _Toc30846 </w:instrText>
      </w:r>
      <w:r>
        <w:fldChar w:fldCharType="separate"/>
      </w:r>
      <w:r>
        <w:t>- 22 -</w:t>
      </w:r>
      <w:r>
        <w:fldChar w:fldCharType="end"/>
      </w:r>
      <w:r>
        <w:rPr>
          <w:rFonts w:ascii="宋体" w:hAnsi="宋体" w:cs="宋体"/>
          <w:szCs w:val="21"/>
        </w:rPr>
        <w:fldChar w:fldCharType="end"/>
      </w:r>
    </w:p>
    <w:p>
      <w:pPr>
        <w:pStyle w:val="23"/>
        <w:pageBreakBefore w:val="0"/>
        <w:widowControl w:val="0"/>
        <w:tabs>
          <w:tab w:val="right" w:leader="dot" w:pos="9355"/>
          <w:tab w:val="clear" w:pos="9344"/>
        </w:tabs>
        <w:kinsoku/>
        <w:wordWrap/>
        <w:overflowPunct/>
        <w:topLinePunct w:val="0"/>
        <w:autoSpaceDE/>
        <w:autoSpaceDN/>
        <w:bidi w:val="0"/>
        <w:adjustRightInd/>
        <w:snapToGrid/>
        <w:spacing w:line="520" w:lineRule="exact"/>
        <w:textAlignment w:val="auto"/>
      </w:pPr>
      <w:r>
        <w:rPr>
          <w:rFonts w:ascii="宋体" w:hAnsi="宋体" w:cs="宋体"/>
          <w:szCs w:val="21"/>
        </w:rPr>
        <w:fldChar w:fldCharType="begin"/>
      </w:r>
      <w:r>
        <w:rPr>
          <w:rFonts w:ascii="宋体" w:hAnsi="宋体" w:cs="宋体"/>
          <w:szCs w:val="21"/>
        </w:rPr>
        <w:instrText xml:space="preserve"> HYPERLINK \l _Toc5874 </w:instrText>
      </w:r>
      <w:r>
        <w:rPr>
          <w:rFonts w:ascii="宋体" w:hAnsi="宋体" w:cs="宋体"/>
          <w:szCs w:val="21"/>
        </w:rPr>
        <w:fldChar w:fldCharType="separate"/>
      </w:r>
      <w:r>
        <w:rPr>
          <w:rFonts w:hint="eastAsia"/>
          <w:kern w:val="0"/>
        </w:rPr>
        <w:t>4、采购需求</w:t>
      </w:r>
      <w:r>
        <w:tab/>
      </w:r>
      <w:r>
        <w:fldChar w:fldCharType="begin"/>
      </w:r>
      <w:r>
        <w:instrText xml:space="preserve"> PAGEREF _Toc5874 </w:instrText>
      </w:r>
      <w:r>
        <w:fldChar w:fldCharType="separate"/>
      </w:r>
      <w:r>
        <w:t>- 23 -</w:t>
      </w:r>
      <w:r>
        <w:fldChar w:fldCharType="end"/>
      </w:r>
      <w:r>
        <w:rPr>
          <w:rFonts w:ascii="宋体" w:hAnsi="宋体" w:cs="宋体"/>
          <w:szCs w:val="21"/>
        </w:rPr>
        <w:fldChar w:fldCharType="end"/>
      </w:r>
    </w:p>
    <w:p>
      <w:pPr>
        <w:pStyle w:val="23"/>
        <w:pageBreakBefore w:val="0"/>
        <w:widowControl w:val="0"/>
        <w:tabs>
          <w:tab w:val="right" w:leader="dot" w:pos="9355"/>
          <w:tab w:val="clear" w:pos="9344"/>
        </w:tabs>
        <w:kinsoku/>
        <w:wordWrap/>
        <w:overflowPunct/>
        <w:topLinePunct w:val="0"/>
        <w:autoSpaceDE/>
        <w:autoSpaceDN/>
        <w:bidi w:val="0"/>
        <w:adjustRightInd/>
        <w:snapToGrid/>
        <w:spacing w:line="520" w:lineRule="exact"/>
        <w:textAlignment w:val="auto"/>
      </w:pPr>
      <w:r>
        <w:rPr>
          <w:rFonts w:ascii="宋体" w:hAnsi="宋体" w:cs="宋体"/>
          <w:szCs w:val="21"/>
        </w:rPr>
        <w:fldChar w:fldCharType="begin"/>
      </w:r>
      <w:r>
        <w:rPr>
          <w:rFonts w:ascii="宋体" w:hAnsi="宋体" w:cs="宋体"/>
          <w:szCs w:val="21"/>
        </w:rPr>
        <w:instrText xml:space="preserve"> HYPERLINK \l _Toc8862 </w:instrText>
      </w:r>
      <w:r>
        <w:rPr>
          <w:rFonts w:ascii="宋体" w:hAnsi="宋体" w:cs="宋体"/>
          <w:szCs w:val="21"/>
        </w:rPr>
        <w:fldChar w:fldCharType="separate"/>
      </w:r>
      <w:r>
        <w:rPr>
          <w:rFonts w:hint="eastAsia"/>
          <w:kern w:val="0"/>
        </w:rPr>
        <w:t>5、谈判原则及办法</w:t>
      </w:r>
      <w:r>
        <w:tab/>
      </w:r>
      <w:r>
        <w:fldChar w:fldCharType="begin"/>
      </w:r>
      <w:r>
        <w:instrText xml:space="preserve"> PAGEREF _Toc8862 </w:instrText>
      </w:r>
      <w:r>
        <w:fldChar w:fldCharType="separate"/>
      </w:r>
      <w:r>
        <w:t>- 24 -</w:t>
      </w:r>
      <w:r>
        <w:fldChar w:fldCharType="end"/>
      </w:r>
      <w:r>
        <w:rPr>
          <w:rFonts w:ascii="宋体" w:hAnsi="宋体" w:cs="宋体"/>
          <w:szCs w:val="21"/>
        </w:rPr>
        <w:fldChar w:fldCharType="end"/>
      </w:r>
    </w:p>
    <w:p>
      <w:pPr>
        <w:pStyle w:val="25"/>
        <w:pageBreakBefore w:val="0"/>
        <w:widowControl w:val="0"/>
        <w:tabs>
          <w:tab w:val="right" w:leader="dot" w:pos="9355"/>
        </w:tabs>
        <w:kinsoku/>
        <w:wordWrap/>
        <w:overflowPunct/>
        <w:topLinePunct w:val="0"/>
        <w:autoSpaceDE/>
        <w:autoSpaceDN/>
        <w:bidi w:val="0"/>
        <w:adjustRightInd/>
        <w:snapToGrid/>
        <w:spacing w:line="520" w:lineRule="exact"/>
        <w:ind w:left="0" w:leftChars="0" w:firstLine="424" w:firstLineChars="200"/>
        <w:textAlignment w:val="auto"/>
      </w:pPr>
      <w:r>
        <w:rPr>
          <w:rFonts w:ascii="宋体" w:hAnsi="宋体" w:cs="宋体"/>
          <w:szCs w:val="21"/>
        </w:rPr>
        <w:fldChar w:fldCharType="begin"/>
      </w:r>
      <w:r>
        <w:rPr>
          <w:rFonts w:ascii="宋体" w:hAnsi="宋体" w:cs="宋体"/>
          <w:szCs w:val="21"/>
        </w:rPr>
        <w:instrText xml:space="preserve"> HYPERLINK \l _Toc19948 </w:instrText>
      </w:r>
      <w:r>
        <w:rPr>
          <w:rFonts w:ascii="宋体" w:hAnsi="宋体" w:cs="宋体"/>
          <w:szCs w:val="21"/>
        </w:rPr>
        <w:fldChar w:fldCharType="separate"/>
      </w:r>
      <w:r>
        <w:rPr>
          <w:rFonts w:hint="eastAsia" w:ascii="宋体" w:hAnsi="宋体"/>
          <w:szCs w:val="28"/>
        </w:rPr>
        <w:t>5.1 谈判工作中的原则及组织</w:t>
      </w:r>
      <w:r>
        <w:tab/>
      </w:r>
      <w:r>
        <w:fldChar w:fldCharType="begin"/>
      </w:r>
      <w:r>
        <w:instrText xml:space="preserve"> PAGEREF _Toc19948 </w:instrText>
      </w:r>
      <w:r>
        <w:fldChar w:fldCharType="separate"/>
      </w:r>
      <w:r>
        <w:t>- 24 -</w:t>
      </w:r>
      <w:r>
        <w:fldChar w:fldCharType="end"/>
      </w:r>
      <w:r>
        <w:rPr>
          <w:rFonts w:ascii="宋体" w:hAnsi="宋体" w:cs="宋体"/>
          <w:szCs w:val="21"/>
        </w:rPr>
        <w:fldChar w:fldCharType="end"/>
      </w:r>
    </w:p>
    <w:p>
      <w:pPr>
        <w:pStyle w:val="25"/>
        <w:pageBreakBefore w:val="0"/>
        <w:widowControl w:val="0"/>
        <w:tabs>
          <w:tab w:val="right" w:leader="dot" w:pos="9355"/>
        </w:tabs>
        <w:kinsoku/>
        <w:wordWrap/>
        <w:overflowPunct/>
        <w:topLinePunct w:val="0"/>
        <w:autoSpaceDE/>
        <w:autoSpaceDN/>
        <w:bidi w:val="0"/>
        <w:adjustRightInd/>
        <w:snapToGrid/>
        <w:spacing w:line="520" w:lineRule="exact"/>
        <w:ind w:left="0" w:leftChars="0" w:firstLine="424" w:firstLineChars="200"/>
        <w:textAlignment w:val="auto"/>
      </w:pPr>
      <w:r>
        <w:rPr>
          <w:rFonts w:ascii="宋体" w:hAnsi="宋体" w:cs="宋体"/>
          <w:szCs w:val="21"/>
        </w:rPr>
        <w:fldChar w:fldCharType="begin"/>
      </w:r>
      <w:r>
        <w:rPr>
          <w:rFonts w:ascii="宋体" w:hAnsi="宋体" w:cs="宋体"/>
          <w:szCs w:val="21"/>
        </w:rPr>
        <w:instrText xml:space="preserve"> HYPERLINK \l _Toc29994 </w:instrText>
      </w:r>
      <w:r>
        <w:rPr>
          <w:rFonts w:ascii="宋体" w:hAnsi="宋体" w:cs="宋体"/>
          <w:szCs w:val="21"/>
        </w:rPr>
        <w:fldChar w:fldCharType="separate"/>
      </w:r>
      <w:r>
        <w:rPr>
          <w:rFonts w:hint="eastAsia" w:ascii="宋体" w:hAnsi="宋体"/>
          <w:szCs w:val="28"/>
        </w:rPr>
        <w:t>5.2 谈判小组的职责</w:t>
      </w:r>
      <w:r>
        <w:tab/>
      </w:r>
      <w:r>
        <w:fldChar w:fldCharType="begin"/>
      </w:r>
      <w:r>
        <w:instrText xml:space="preserve"> PAGEREF _Toc29994 </w:instrText>
      </w:r>
      <w:r>
        <w:fldChar w:fldCharType="separate"/>
      </w:r>
      <w:r>
        <w:t>- 24 -</w:t>
      </w:r>
      <w:r>
        <w:fldChar w:fldCharType="end"/>
      </w:r>
      <w:r>
        <w:rPr>
          <w:rFonts w:ascii="宋体" w:hAnsi="宋体" w:cs="宋体"/>
          <w:szCs w:val="21"/>
        </w:rPr>
        <w:fldChar w:fldCharType="end"/>
      </w:r>
    </w:p>
    <w:p>
      <w:pPr>
        <w:pStyle w:val="25"/>
        <w:pageBreakBefore w:val="0"/>
        <w:widowControl w:val="0"/>
        <w:tabs>
          <w:tab w:val="right" w:leader="dot" w:pos="9355"/>
        </w:tabs>
        <w:kinsoku/>
        <w:wordWrap/>
        <w:overflowPunct/>
        <w:topLinePunct w:val="0"/>
        <w:autoSpaceDE/>
        <w:autoSpaceDN/>
        <w:bidi w:val="0"/>
        <w:adjustRightInd/>
        <w:snapToGrid/>
        <w:spacing w:line="520" w:lineRule="exact"/>
        <w:ind w:left="0" w:leftChars="0" w:firstLine="424" w:firstLineChars="200"/>
        <w:textAlignment w:val="auto"/>
      </w:pPr>
      <w:r>
        <w:rPr>
          <w:rFonts w:ascii="宋体" w:hAnsi="宋体" w:cs="宋体"/>
          <w:szCs w:val="21"/>
        </w:rPr>
        <w:fldChar w:fldCharType="begin"/>
      </w:r>
      <w:r>
        <w:rPr>
          <w:rFonts w:ascii="宋体" w:hAnsi="宋体" w:cs="宋体"/>
          <w:szCs w:val="21"/>
        </w:rPr>
        <w:instrText xml:space="preserve"> HYPERLINK \l _Toc10317 </w:instrText>
      </w:r>
      <w:r>
        <w:rPr>
          <w:rFonts w:ascii="宋体" w:hAnsi="宋体" w:cs="宋体"/>
          <w:szCs w:val="21"/>
        </w:rPr>
        <w:fldChar w:fldCharType="separate"/>
      </w:r>
      <w:r>
        <w:rPr>
          <w:rFonts w:hint="eastAsia" w:ascii="宋体" w:hAnsi="宋体"/>
          <w:szCs w:val="28"/>
        </w:rPr>
        <w:t>5.3 谈判内容及标准</w:t>
      </w:r>
      <w:r>
        <w:tab/>
      </w:r>
      <w:r>
        <w:fldChar w:fldCharType="begin"/>
      </w:r>
      <w:r>
        <w:instrText xml:space="preserve"> PAGEREF _Toc10317 </w:instrText>
      </w:r>
      <w:r>
        <w:fldChar w:fldCharType="separate"/>
      </w:r>
      <w:r>
        <w:t>- 25 -</w:t>
      </w:r>
      <w:r>
        <w:fldChar w:fldCharType="end"/>
      </w:r>
      <w:r>
        <w:rPr>
          <w:rFonts w:ascii="宋体" w:hAnsi="宋体" w:cs="宋体"/>
          <w:szCs w:val="21"/>
        </w:rPr>
        <w:fldChar w:fldCharType="end"/>
      </w:r>
    </w:p>
    <w:p>
      <w:pPr>
        <w:pStyle w:val="25"/>
        <w:pageBreakBefore w:val="0"/>
        <w:widowControl w:val="0"/>
        <w:tabs>
          <w:tab w:val="right" w:leader="dot" w:pos="9355"/>
        </w:tabs>
        <w:kinsoku/>
        <w:wordWrap/>
        <w:overflowPunct/>
        <w:topLinePunct w:val="0"/>
        <w:autoSpaceDE/>
        <w:autoSpaceDN/>
        <w:bidi w:val="0"/>
        <w:adjustRightInd/>
        <w:snapToGrid/>
        <w:spacing w:line="520" w:lineRule="exact"/>
        <w:ind w:left="0" w:leftChars="0" w:firstLine="424" w:firstLineChars="200"/>
        <w:textAlignment w:val="auto"/>
      </w:pPr>
      <w:r>
        <w:rPr>
          <w:rFonts w:ascii="宋体" w:hAnsi="宋体" w:cs="宋体"/>
          <w:szCs w:val="21"/>
        </w:rPr>
        <w:fldChar w:fldCharType="begin"/>
      </w:r>
      <w:r>
        <w:rPr>
          <w:rFonts w:ascii="宋体" w:hAnsi="宋体" w:cs="宋体"/>
          <w:szCs w:val="21"/>
        </w:rPr>
        <w:instrText xml:space="preserve"> HYPERLINK \l _Toc9934 </w:instrText>
      </w:r>
      <w:r>
        <w:rPr>
          <w:rFonts w:ascii="宋体" w:hAnsi="宋体" w:cs="宋体"/>
          <w:szCs w:val="21"/>
        </w:rPr>
        <w:fldChar w:fldCharType="separate"/>
      </w:r>
      <w:r>
        <w:rPr>
          <w:rFonts w:hint="eastAsia" w:ascii="宋体" w:hAnsi="宋体"/>
          <w:szCs w:val="28"/>
        </w:rPr>
        <w:t>5.4谈判的形式、程序及方法</w:t>
      </w:r>
      <w:r>
        <w:tab/>
      </w:r>
      <w:r>
        <w:fldChar w:fldCharType="begin"/>
      </w:r>
      <w:r>
        <w:instrText xml:space="preserve"> PAGEREF _Toc9934 </w:instrText>
      </w:r>
      <w:r>
        <w:fldChar w:fldCharType="separate"/>
      </w:r>
      <w:r>
        <w:t>- 26 -</w:t>
      </w:r>
      <w:r>
        <w:fldChar w:fldCharType="end"/>
      </w:r>
      <w:r>
        <w:rPr>
          <w:rFonts w:ascii="宋体" w:hAnsi="宋体" w:cs="宋体"/>
          <w:szCs w:val="21"/>
        </w:rPr>
        <w:fldChar w:fldCharType="end"/>
      </w:r>
    </w:p>
    <w:p>
      <w:pPr>
        <w:pStyle w:val="25"/>
        <w:pageBreakBefore w:val="0"/>
        <w:widowControl w:val="0"/>
        <w:tabs>
          <w:tab w:val="right" w:leader="dot" w:pos="9355"/>
        </w:tabs>
        <w:kinsoku/>
        <w:wordWrap/>
        <w:overflowPunct/>
        <w:topLinePunct w:val="0"/>
        <w:autoSpaceDE/>
        <w:autoSpaceDN/>
        <w:bidi w:val="0"/>
        <w:adjustRightInd/>
        <w:snapToGrid/>
        <w:spacing w:line="520" w:lineRule="exact"/>
        <w:ind w:left="0" w:leftChars="0" w:firstLine="424" w:firstLineChars="200"/>
        <w:textAlignment w:val="auto"/>
      </w:pPr>
      <w:r>
        <w:rPr>
          <w:rFonts w:ascii="宋体" w:hAnsi="宋体" w:cs="宋体"/>
          <w:szCs w:val="21"/>
        </w:rPr>
        <w:fldChar w:fldCharType="begin"/>
      </w:r>
      <w:r>
        <w:rPr>
          <w:rFonts w:ascii="宋体" w:hAnsi="宋体" w:cs="宋体"/>
          <w:szCs w:val="21"/>
        </w:rPr>
        <w:instrText xml:space="preserve"> HYPERLINK \l _Toc29817 </w:instrText>
      </w:r>
      <w:r>
        <w:rPr>
          <w:rFonts w:ascii="宋体" w:hAnsi="宋体" w:cs="宋体"/>
          <w:szCs w:val="21"/>
        </w:rPr>
        <w:fldChar w:fldCharType="separate"/>
      </w:r>
      <w:r>
        <w:rPr>
          <w:rFonts w:hint="eastAsia" w:ascii="宋体" w:hAnsi="宋体"/>
          <w:szCs w:val="28"/>
        </w:rPr>
        <w:t>5.5 拟成交供应商的确定</w:t>
      </w:r>
      <w:r>
        <w:tab/>
      </w:r>
      <w:r>
        <w:fldChar w:fldCharType="begin"/>
      </w:r>
      <w:r>
        <w:instrText xml:space="preserve"> PAGEREF _Toc29817 </w:instrText>
      </w:r>
      <w:r>
        <w:fldChar w:fldCharType="separate"/>
      </w:r>
      <w:r>
        <w:t>- 28 -</w:t>
      </w:r>
      <w:r>
        <w:fldChar w:fldCharType="end"/>
      </w:r>
      <w:r>
        <w:rPr>
          <w:rFonts w:ascii="宋体" w:hAnsi="宋体" w:cs="宋体"/>
          <w:szCs w:val="21"/>
        </w:rPr>
        <w:fldChar w:fldCharType="end"/>
      </w:r>
    </w:p>
    <w:p>
      <w:pPr>
        <w:pStyle w:val="25"/>
        <w:pageBreakBefore w:val="0"/>
        <w:widowControl w:val="0"/>
        <w:tabs>
          <w:tab w:val="right" w:leader="dot" w:pos="9355"/>
        </w:tabs>
        <w:kinsoku/>
        <w:wordWrap/>
        <w:overflowPunct/>
        <w:topLinePunct w:val="0"/>
        <w:autoSpaceDE/>
        <w:autoSpaceDN/>
        <w:bidi w:val="0"/>
        <w:adjustRightInd/>
        <w:snapToGrid/>
        <w:spacing w:line="520" w:lineRule="exact"/>
        <w:ind w:left="0" w:leftChars="0" w:firstLine="424" w:firstLineChars="200"/>
        <w:textAlignment w:val="auto"/>
      </w:pPr>
      <w:r>
        <w:rPr>
          <w:rFonts w:ascii="宋体" w:hAnsi="宋体" w:cs="宋体"/>
          <w:szCs w:val="21"/>
        </w:rPr>
        <w:fldChar w:fldCharType="begin"/>
      </w:r>
      <w:r>
        <w:rPr>
          <w:rFonts w:ascii="宋体" w:hAnsi="宋体" w:cs="宋体"/>
          <w:szCs w:val="21"/>
        </w:rPr>
        <w:instrText xml:space="preserve"> HYPERLINK \l _Toc19525 </w:instrText>
      </w:r>
      <w:r>
        <w:rPr>
          <w:rFonts w:ascii="宋体" w:hAnsi="宋体" w:cs="宋体"/>
          <w:szCs w:val="21"/>
        </w:rPr>
        <w:fldChar w:fldCharType="separate"/>
      </w:r>
      <w:r>
        <w:rPr>
          <w:rFonts w:hint="eastAsia" w:ascii="宋体" w:hAnsi="宋体"/>
          <w:szCs w:val="28"/>
        </w:rPr>
        <w:t>5.6 合同的授予</w:t>
      </w:r>
      <w:r>
        <w:tab/>
      </w:r>
      <w:r>
        <w:fldChar w:fldCharType="begin"/>
      </w:r>
      <w:r>
        <w:instrText xml:space="preserve"> PAGEREF _Toc19525 </w:instrText>
      </w:r>
      <w:r>
        <w:fldChar w:fldCharType="separate"/>
      </w:r>
      <w:r>
        <w:t>- 29 -</w:t>
      </w:r>
      <w:r>
        <w:fldChar w:fldCharType="end"/>
      </w:r>
      <w:r>
        <w:rPr>
          <w:rFonts w:ascii="宋体" w:hAnsi="宋体" w:cs="宋体"/>
          <w:szCs w:val="21"/>
        </w:rPr>
        <w:fldChar w:fldCharType="end"/>
      </w:r>
    </w:p>
    <w:p>
      <w:pPr>
        <w:pStyle w:val="25"/>
        <w:pageBreakBefore w:val="0"/>
        <w:widowControl w:val="0"/>
        <w:tabs>
          <w:tab w:val="right" w:leader="dot" w:pos="9355"/>
        </w:tabs>
        <w:kinsoku/>
        <w:wordWrap/>
        <w:overflowPunct/>
        <w:topLinePunct w:val="0"/>
        <w:autoSpaceDE/>
        <w:autoSpaceDN/>
        <w:bidi w:val="0"/>
        <w:adjustRightInd/>
        <w:snapToGrid/>
        <w:spacing w:line="520" w:lineRule="exact"/>
        <w:ind w:left="0" w:leftChars="0" w:firstLine="424" w:firstLineChars="200"/>
        <w:textAlignment w:val="auto"/>
      </w:pPr>
      <w:r>
        <w:rPr>
          <w:rFonts w:ascii="宋体" w:hAnsi="宋体" w:cs="宋体"/>
          <w:szCs w:val="21"/>
        </w:rPr>
        <w:fldChar w:fldCharType="begin"/>
      </w:r>
      <w:r>
        <w:rPr>
          <w:rFonts w:ascii="宋体" w:hAnsi="宋体" w:cs="宋体"/>
          <w:szCs w:val="21"/>
        </w:rPr>
        <w:instrText xml:space="preserve"> HYPERLINK \l _Toc29795 </w:instrText>
      </w:r>
      <w:r>
        <w:rPr>
          <w:rFonts w:ascii="宋体" w:hAnsi="宋体" w:cs="宋体"/>
          <w:szCs w:val="21"/>
        </w:rPr>
        <w:fldChar w:fldCharType="separate"/>
      </w:r>
      <w:r>
        <w:rPr>
          <w:rFonts w:hint="eastAsia" w:ascii="宋体" w:hAnsi="宋体"/>
          <w:szCs w:val="28"/>
        </w:rPr>
        <w:t>5.7 成交未果</w:t>
      </w:r>
      <w:r>
        <w:tab/>
      </w:r>
      <w:r>
        <w:fldChar w:fldCharType="begin"/>
      </w:r>
      <w:r>
        <w:instrText xml:space="preserve"> PAGEREF _Toc29795 </w:instrText>
      </w:r>
      <w:r>
        <w:fldChar w:fldCharType="separate"/>
      </w:r>
      <w:r>
        <w:t>- 30 -</w:t>
      </w:r>
      <w:r>
        <w:fldChar w:fldCharType="end"/>
      </w:r>
      <w:r>
        <w:rPr>
          <w:rFonts w:ascii="宋体" w:hAnsi="宋体" w:cs="宋体"/>
          <w:szCs w:val="21"/>
        </w:rPr>
        <w:fldChar w:fldCharType="end"/>
      </w:r>
    </w:p>
    <w:p>
      <w:pPr>
        <w:pStyle w:val="25"/>
        <w:pageBreakBefore w:val="0"/>
        <w:widowControl w:val="0"/>
        <w:tabs>
          <w:tab w:val="right" w:leader="dot" w:pos="9355"/>
        </w:tabs>
        <w:kinsoku/>
        <w:wordWrap/>
        <w:overflowPunct/>
        <w:topLinePunct w:val="0"/>
        <w:autoSpaceDE/>
        <w:autoSpaceDN/>
        <w:bidi w:val="0"/>
        <w:adjustRightInd/>
        <w:snapToGrid/>
        <w:spacing w:line="520" w:lineRule="exact"/>
        <w:ind w:left="0" w:leftChars="0" w:firstLine="424" w:firstLineChars="200"/>
        <w:textAlignment w:val="auto"/>
      </w:pPr>
      <w:r>
        <w:rPr>
          <w:rFonts w:ascii="宋体" w:hAnsi="宋体" w:cs="宋体"/>
          <w:szCs w:val="21"/>
        </w:rPr>
        <w:fldChar w:fldCharType="begin"/>
      </w:r>
      <w:r>
        <w:rPr>
          <w:rFonts w:ascii="宋体" w:hAnsi="宋体" w:cs="宋体"/>
          <w:szCs w:val="21"/>
        </w:rPr>
        <w:instrText xml:space="preserve"> HYPERLINK \l _Toc19924 </w:instrText>
      </w:r>
      <w:r>
        <w:rPr>
          <w:rFonts w:ascii="宋体" w:hAnsi="宋体" w:cs="宋体"/>
          <w:szCs w:val="21"/>
        </w:rPr>
        <w:fldChar w:fldCharType="separate"/>
      </w:r>
      <w:r>
        <w:rPr>
          <w:rFonts w:hint="eastAsia" w:ascii="宋体" w:hAnsi="宋体"/>
          <w:szCs w:val="28"/>
        </w:rPr>
        <w:t>5.8 谈判无效响应</w:t>
      </w:r>
      <w:r>
        <w:tab/>
      </w:r>
      <w:r>
        <w:fldChar w:fldCharType="begin"/>
      </w:r>
      <w:r>
        <w:instrText xml:space="preserve"> PAGEREF _Toc19924 </w:instrText>
      </w:r>
      <w:r>
        <w:fldChar w:fldCharType="separate"/>
      </w:r>
      <w:r>
        <w:t>- 30 -</w:t>
      </w:r>
      <w:r>
        <w:fldChar w:fldCharType="end"/>
      </w:r>
      <w:r>
        <w:rPr>
          <w:rFonts w:ascii="宋体" w:hAnsi="宋体" w:cs="宋体"/>
          <w:szCs w:val="21"/>
        </w:rPr>
        <w:fldChar w:fldCharType="end"/>
      </w:r>
    </w:p>
    <w:p>
      <w:pPr>
        <w:pStyle w:val="25"/>
        <w:pageBreakBefore w:val="0"/>
        <w:widowControl w:val="0"/>
        <w:tabs>
          <w:tab w:val="right" w:leader="dot" w:pos="9355"/>
        </w:tabs>
        <w:kinsoku/>
        <w:wordWrap/>
        <w:overflowPunct/>
        <w:topLinePunct w:val="0"/>
        <w:autoSpaceDE/>
        <w:autoSpaceDN/>
        <w:bidi w:val="0"/>
        <w:adjustRightInd/>
        <w:snapToGrid/>
        <w:spacing w:line="520" w:lineRule="exact"/>
        <w:ind w:left="0" w:leftChars="0" w:firstLine="424" w:firstLineChars="200"/>
        <w:textAlignment w:val="auto"/>
      </w:pPr>
      <w:r>
        <w:rPr>
          <w:rFonts w:ascii="宋体" w:hAnsi="宋体" w:cs="宋体"/>
          <w:szCs w:val="21"/>
        </w:rPr>
        <w:fldChar w:fldCharType="begin"/>
      </w:r>
      <w:r>
        <w:rPr>
          <w:rFonts w:ascii="宋体" w:hAnsi="宋体" w:cs="宋体"/>
          <w:szCs w:val="21"/>
        </w:rPr>
        <w:instrText xml:space="preserve"> HYPERLINK \l _Toc29361 </w:instrText>
      </w:r>
      <w:r>
        <w:rPr>
          <w:rFonts w:ascii="宋体" w:hAnsi="宋体" w:cs="宋体"/>
          <w:szCs w:val="21"/>
        </w:rPr>
        <w:fldChar w:fldCharType="separate"/>
      </w:r>
      <w:r>
        <w:rPr>
          <w:rFonts w:hint="eastAsia" w:ascii="宋体" w:hAnsi="宋体"/>
          <w:szCs w:val="28"/>
        </w:rPr>
        <w:t>5.9串通投标情形</w:t>
      </w:r>
      <w:r>
        <w:tab/>
      </w:r>
      <w:r>
        <w:fldChar w:fldCharType="begin"/>
      </w:r>
      <w:r>
        <w:instrText xml:space="preserve"> PAGEREF _Toc29361 </w:instrText>
      </w:r>
      <w:r>
        <w:fldChar w:fldCharType="separate"/>
      </w:r>
      <w:r>
        <w:t>- 32 -</w:t>
      </w:r>
      <w:r>
        <w:fldChar w:fldCharType="end"/>
      </w:r>
      <w:r>
        <w:rPr>
          <w:rFonts w:ascii="宋体" w:hAnsi="宋体" w:cs="宋体"/>
          <w:szCs w:val="21"/>
        </w:rPr>
        <w:fldChar w:fldCharType="end"/>
      </w:r>
    </w:p>
    <w:p>
      <w:pPr>
        <w:pStyle w:val="25"/>
        <w:pageBreakBefore w:val="0"/>
        <w:widowControl w:val="0"/>
        <w:tabs>
          <w:tab w:val="right" w:leader="dot" w:pos="9355"/>
        </w:tabs>
        <w:kinsoku/>
        <w:wordWrap/>
        <w:overflowPunct/>
        <w:topLinePunct w:val="0"/>
        <w:autoSpaceDE/>
        <w:autoSpaceDN/>
        <w:bidi w:val="0"/>
        <w:adjustRightInd/>
        <w:snapToGrid/>
        <w:spacing w:line="520" w:lineRule="exact"/>
        <w:ind w:left="0" w:leftChars="0" w:firstLine="424" w:firstLineChars="200"/>
        <w:textAlignment w:val="auto"/>
      </w:pPr>
      <w:r>
        <w:rPr>
          <w:rFonts w:ascii="宋体" w:hAnsi="宋体" w:cs="宋体"/>
          <w:szCs w:val="21"/>
        </w:rPr>
        <w:fldChar w:fldCharType="begin"/>
      </w:r>
      <w:r>
        <w:rPr>
          <w:rFonts w:ascii="宋体" w:hAnsi="宋体" w:cs="宋体"/>
          <w:szCs w:val="21"/>
        </w:rPr>
        <w:instrText xml:space="preserve"> HYPERLINK \l _Toc25145 </w:instrText>
      </w:r>
      <w:r>
        <w:rPr>
          <w:rFonts w:ascii="宋体" w:hAnsi="宋体" w:cs="宋体"/>
          <w:szCs w:val="21"/>
        </w:rPr>
        <w:fldChar w:fldCharType="separate"/>
      </w:r>
      <w:r>
        <w:rPr>
          <w:rFonts w:hint="eastAsia" w:ascii="宋体" w:hAnsi="宋体"/>
          <w:szCs w:val="28"/>
        </w:rPr>
        <w:t>5.10恶意串通投标情形</w:t>
      </w:r>
      <w:r>
        <w:tab/>
      </w:r>
      <w:r>
        <w:fldChar w:fldCharType="begin"/>
      </w:r>
      <w:r>
        <w:instrText xml:space="preserve"> PAGEREF _Toc25145 </w:instrText>
      </w:r>
      <w:r>
        <w:fldChar w:fldCharType="separate"/>
      </w:r>
      <w:r>
        <w:t>- 32 -</w:t>
      </w:r>
      <w:r>
        <w:fldChar w:fldCharType="end"/>
      </w:r>
      <w:r>
        <w:rPr>
          <w:rFonts w:ascii="宋体" w:hAnsi="宋体" w:cs="宋体"/>
          <w:szCs w:val="21"/>
        </w:rPr>
        <w:fldChar w:fldCharType="end"/>
      </w:r>
    </w:p>
    <w:p>
      <w:pPr>
        <w:pStyle w:val="23"/>
        <w:pageBreakBefore w:val="0"/>
        <w:widowControl w:val="0"/>
        <w:tabs>
          <w:tab w:val="right" w:leader="dot" w:pos="9355"/>
          <w:tab w:val="clear" w:pos="9344"/>
        </w:tabs>
        <w:kinsoku/>
        <w:wordWrap/>
        <w:overflowPunct/>
        <w:topLinePunct w:val="0"/>
        <w:autoSpaceDE/>
        <w:autoSpaceDN/>
        <w:bidi w:val="0"/>
        <w:adjustRightInd/>
        <w:snapToGrid/>
        <w:spacing w:line="520" w:lineRule="exact"/>
        <w:textAlignment w:val="auto"/>
      </w:pPr>
      <w:r>
        <w:rPr>
          <w:rFonts w:ascii="宋体" w:hAnsi="宋体" w:cs="宋体"/>
          <w:szCs w:val="21"/>
        </w:rPr>
        <w:fldChar w:fldCharType="begin"/>
      </w:r>
      <w:r>
        <w:rPr>
          <w:rFonts w:ascii="宋体" w:hAnsi="宋体" w:cs="宋体"/>
          <w:szCs w:val="21"/>
        </w:rPr>
        <w:instrText xml:space="preserve"> HYPERLINK \l _Toc25655 </w:instrText>
      </w:r>
      <w:r>
        <w:rPr>
          <w:rFonts w:ascii="宋体" w:hAnsi="宋体" w:cs="宋体"/>
          <w:szCs w:val="21"/>
        </w:rPr>
        <w:fldChar w:fldCharType="separate"/>
      </w:r>
      <w:r>
        <w:rPr>
          <w:rFonts w:hint="eastAsia"/>
          <w:kern w:val="0"/>
        </w:rPr>
        <w:t>6、合同格式（仅供参考）</w:t>
      </w:r>
      <w:r>
        <w:tab/>
      </w:r>
      <w:r>
        <w:fldChar w:fldCharType="begin"/>
      </w:r>
      <w:r>
        <w:instrText xml:space="preserve"> PAGEREF _Toc25655 </w:instrText>
      </w:r>
      <w:r>
        <w:fldChar w:fldCharType="separate"/>
      </w:r>
      <w:r>
        <w:t>- 35 -</w:t>
      </w:r>
      <w:r>
        <w:fldChar w:fldCharType="end"/>
      </w:r>
      <w:r>
        <w:rPr>
          <w:rFonts w:ascii="宋体" w:hAnsi="宋体" w:cs="宋体"/>
          <w:szCs w:val="21"/>
        </w:rPr>
        <w:fldChar w:fldCharType="end"/>
      </w:r>
    </w:p>
    <w:p>
      <w:pPr>
        <w:pStyle w:val="25"/>
        <w:pageBreakBefore w:val="0"/>
        <w:widowControl w:val="0"/>
        <w:tabs>
          <w:tab w:val="right" w:leader="dot" w:pos="9355"/>
        </w:tabs>
        <w:kinsoku/>
        <w:wordWrap/>
        <w:overflowPunct/>
        <w:topLinePunct w:val="0"/>
        <w:autoSpaceDE/>
        <w:autoSpaceDN/>
        <w:bidi w:val="0"/>
        <w:adjustRightInd/>
        <w:snapToGrid/>
        <w:spacing w:line="520" w:lineRule="exact"/>
        <w:ind w:left="0" w:leftChars="0" w:firstLine="424" w:firstLineChars="200"/>
        <w:textAlignment w:val="auto"/>
      </w:pPr>
      <w:r>
        <w:rPr>
          <w:rFonts w:ascii="宋体" w:hAnsi="宋体" w:cs="宋体"/>
          <w:szCs w:val="21"/>
        </w:rPr>
        <w:fldChar w:fldCharType="begin"/>
      </w:r>
      <w:r>
        <w:rPr>
          <w:rFonts w:ascii="宋体" w:hAnsi="宋体" w:cs="宋体"/>
          <w:szCs w:val="21"/>
        </w:rPr>
        <w:instrText xml:space="preserve"> HYPERLINK \l _Toc27564 </w:instrText>
      </w:r>
      <w:r>
        <w:rPr>
          <w:rFonts w:ascii="宋体" w:hAnsi="宋体" w:cs="宋体"/>
          <w:szCs w:val="21"/>
        </w:rPr>
        <w:fldChar w:fldCharType="separate"/>
      </w:r>
      <w:r>
        <w:rPr>
          <w:rFonts w:hint="eastAsia" w:ascii="宋体" w:hAnsi="宋体"/>
          <w:szCs w:val="28"/>
        </w:rPr>
        <w:t>6.1合同封面</w:t>
      </w:r>
      <w:r>
        <w:tab/>
      </w:r>
      <w:r>
        <w:fldChar w:fldCharType="begin"/>
      </w:r>
      <w:r>
        <w:instrText xml:space="preserve"> PAGEREF _Toc27564 </w:instrText>
      </w:r>
      <w:r>
        <w:fldChar w:fldCharType="separate"/>
      </w:r>
      <w:r>
        <w:t>- 35 -</w:t>
      </w:r>
      <w:r>
        <w:fldChar w:fldCharType="end"/>
      </w:r>
      <w:r>
        <w:rPr>
          <w:rFonts w:ascii="宋体" w:hAnsi="宋体" w:cs="宋体"/>
          <w:szCs w:val="21"/>
        </w:rPr>
        <w:fldChar w:fldCharType="end"/>
      </w:r>
    </w:p>
    <w:p>
      <w:pPr>
        <w:pStyle w:val="25"/>
        <w:pageBreakBefore w:val="0"/>
        <w:widowControl w:val="0"/>
        <w:tabs>
          <w:tab w:val="right" w:leader="dot" w:pos="9355"/>
        </w:tabs>
        <w:kinsoku/>
        <w:wordWrap/>
        <w:overflowPunct/>
        <w:topLinePunct w:val="0"/>
        <w:autoSpaceDE/>
        <w:autoSpaceDN/>
        <w:bidi w:val="0"/>
        <w:adjustRightInd/>
        <w:snapToGrid/>
        <w:spacing w:line="520" w:lineRule="exact"/>
        <w:textAlignment w:val="auto"/>
      </w:pPr>
      <w:r>
        <w:rPr>
          <w:rFonts w:ascii="宋体" w:hAnsi="宋体" w:cs="宋体"/>
          <w:szCs w:val="21"/>
        </w:rPr>
        <w:fldChar w:fldCharType="begin"/>
      </w:r>
      <w:r>
        <w:rPr>
          <w:rFonts w:ascii="宋体" w:hAnsi="宋体" w:cs="宋体"/>
          <w:szCs w:val="21"/>
        </w:rPr>
        <w:instrText xml:space="preserve"> HYPERLINK \l _Toc28530 </w:instrText>
      </w:r>
      <w:r>
        <w:rPr>
          <w:rFonts w:ascii="宋体" w:hAnsi="宋体" w:cs="宋体"/>
          <w:szCs w:val="21"/>
        </w:rPr>
        <w:fldChar w:fldCharType="separate"/>
      </w:r>
      <w:r>
        <w:rPr>
          <w:rFonts w:hint="eastAsia" w:ascii="宋体" w:hAnsi="宋体"/>
          <w:szCs w:val="28"/>
        </w:rPr>
        <w:t>6.2政府采购合同协议书</w:t>
      </w:r>
      <w:r>
        <w:tab/>
      </w:r>
      <w:r>
        <w:fldChar w:fldCharType="begin"/>
      </w:r>
      <w:r>
        <w:instrText xml:space="preserve"> PAGEREF _Toc28530 </w:instrText>
      </w:r>
      <w:r>
        <w:fldChar w:fldCharType="separate"/>
      </w:r>
      <w:r>
        <w:t>- 36 -</w:t>
      </w:r>
      <w:r>
        <w:fldChar w:fldCharType="end"/>
      </w:r>
      <w:r>
        <w:rPr>
          <w:rFonts w:ascii="宋体" w:hAnsi="宋体" w:cs="宋体"/>
          <w:szCs w:val="21"/>
        </w:rPr>
        <w:fldChar w:fldCharType="end"/>
      </w:r>
    </w:p>
    <w:p>
      <w:pPr>
        <w:pStyle w:val="25"/>
        <w:pageBreakBefore w:val="0"/>
        <w:widowControl w:val="0"/>
        <w:tabs>
          <w:tab w:val="right" w:leader="dot" w:pos="9355"/>
        </w:tabs>
        <w:kinsoku/>
        <w:wordWrap/>
        <w:overflowPunct/>
        <w:topLinePunct w:val="0"/>
        <w:autoSpaceDE/>
        <w:autoSpaceDN/>
        <w:bidi w:val="0"/>
        <w:adjustRightInd/>
        <w:snapToGrid/>
        <w:spacing w:line="520" w:lineRule="exact"/>
        <w:ind w:left="0" w:leftChars="0" w:firstLine="424" w:firstLineChars="200"/>
        <w:textAlignment w:val="auto"/>
      </w:pPr>
      <w:r>
        <w:rPr>
          <w:rFonts w:ascii="宋体" w:hAnsi="宋体" w:cs="宋体"/>
          <w:szCs w:val="21"/>
        </w:rPr>
        <w:fldChar w:fldCharType="begin"/>
      </w:r>
      <w:r>
        <w:rPr>
          <w:rFonts w:ascii="宋体" w:hAnsi="宋体" w:cs="宋体"/>
          <w:szCs w:val="21"/>
        </w:rPr>
        <w:instrText xml:space="preserve"> HYPERLINK \l _Toc2260 </w:instrText>
      </w:r>
      <w:r>
        <w:rPr>
          <w:rFonts w:ascii="宋体" w:hAnsi="宋体" w:cs="宋体"/>
          <w:szCs w:val="21"/>
        </w:rPr>
        <w:fldChar w:fldCharType="separate"/>
      </w:r>
      <w:r>
        <w:rPr>
          <w:rFonts w:hint="eastAsia" w:ascii="宋体" w:hAnsi="宋体"/>
          <w:szCs w:val="28"/>
        </w:rPr>
        <w:t>6</w:t>
      </w:r>
      <w:r>
        <w:rPr>
          <w:rFonts w:hint="eastAsia" w:ascii="宋体" w:hAnsi="宋体"/>
          <w:szCs w:val="28"/>
          <w:lang w:val="en-US" w:eastAsia="zh-CN"/>
        </w:rPr>
        <w:t>.3</w:t>
      </w:r>
      <w:r>
        <w:rPr>
          <w:rFonts w:hint="eastAsia" w:ascii="宋体" w:hAnsi="宋体"/>
          <w:szCs w:val="28"/>
        </w:rPr>
        <w:t>政府采购合同通用条款</w:t>
      </w:r>
      <w:r>
        <w:tab/>
      </w:r>
      <w:r>
        <w:fldChar w:fldCharType="begin"/>
      </w:r>
      <w:r>
        <w:instrText xml:space="preserve"> PAGEREF _Toc2260 </w:instrText>
      </w:r>
      <w:r>
        <w:fldChar w:fldCharType="separate"/>
      </w:r>
      <w:r>
        <w:t>- 40 -</w:t>
      </w:r>
      <w:r>
        <w:fldChar w:fldCharType="end"/>
      </w:r>
      <w:r>
        <w:rPr>
          <w:rFonts w:ascii="宋体" w:hAnsi="宋体" w:cs="宋体"/>
          <w:szCs w:val="21"/>
        </w:rPr>
        <w:fldChar w:fldCharType="end"/>
      </w:r>
    </w:p>
    <w:p>
      <w:pPr>
        <w:pStyle w:val="23"/>
        <w:pageBreakBefore w:val="0"/>
        <w:widowControl w:val="0"/>
        <w:tabs>
          <w:tab w:val="right" w:leader="dot" w:pos="9355"/>
          <w:tab w:val="clear" w:pos="9344"/>
        </w:tabs>
        <w:kinsoku/>
        <w:wordWrap/>
        <w:overflowPunct/>
        <w:topLinePunct w:val="0"/>
        <w:autoSpaceDE/>
        <w:autoSpaceDN/>
        <w:bidi w:val="0"/>
        <w:adjustRightInd/>
        <w:snapToGrid/>
        <w:spacing w:line="520" w:lineRule="exact"/>
        <w:textAlignment w:val="auto"/>
      </w:pPr>
      <w:r>
        <w:rPr>
          <w:rFonts w:ascii="宋体" w:hAnsi="宋体" w:cs="宋体"/>
          <w:szCs w:val="21"/>
        </w:rPr>
        <w:fldChar w:fldCharType="begin"/>
      </w:r>
      <w:r>
        <w:rPr>
          <w:rFonts w:ascii="宋体" w:hAnsi="宋体" w:cs="宋体"/>
          <w:szCs w:val="21"/>
        </w:rPr>
        <w:instrText xml:space="preserve"> HYPERLINK \l _Toc21112 </w:instrText>
      </w:r>
      <w:r>
        <w:rPr>
          <w:rFonts w:ascii="宋体" w:hAnsi="宋体" w:cs="宋体"/>
          <w:szCs w:val="21"/>
        </w:rPr>
        <w:fldChar w:fldCharType="separate"/>
      </w:r>
      <w:r>
        <w:rPr>
          <w:rFonts w:hint="eastAsia"/>
          <w:kern w:val="0"/>
        </w:rPr>
        <w:t>7、验收</w:t>
      </w:r>
      <w:r>
        <w:tab/>
      </w:r>
      <w:r>
        <w:fldChar w:fldCharType="begin"/>
      </w:r>
      <w:r>
        <w:instrText xml:space="preserve"> PAGEREF _Toc21112 </w:instrText>
      </w:r>
      <w:r>
        <w:fldChar w:fldCharType="separate"/>
      </w:r>
      <w:r>
        <w:t>- 50 -</w:t>
      </w:r>
      <w:r>
        <w:fldChar w:fldCharType="end"/>
      </w:r>
      <w:r>
        <w:rPr>
          <w:rFonts w:ascii="宋体" w:hAnsi="宋体" w:cs="宋体"/>
          <w:szCs w:val="21"/>
        </w:rPr>
        <w:fldChar w:fldCharType="end"/>
      </w:r>
    </w:p>
    <w:p>
      <w:pPr>
        <w:pStyle w:val="23"/>
        <w:pageBreakBefore w:val="0"/>
        <w:widowControl w:val="0"/>
        <w:tabs>
          <w:tab w:val="right" w:leader="dot" w:pos="9355"/>
          <w:tab w:val="clear" w:pos="9344"/>
        </w:tabs>
        <w:kinsoku/>
        <w:wordWrap/>
        <w:overflowPunct/>
        <w:topLinePunct w:val="0"/>
        <w:autoSpaceDE/>
        <w:autoSpaceDN/>
        <w:bidi w:val="0"/>
        <w:adjustRightInd/>
        <w:snapToGrid/>
        <w:spacing w:line="520" w:lineRule="exact"/>
        <w:textAlignment w:val="auto"/>
      </w:pPr>
      <w:r>
        <w:rPr>
          <w:rFonts w:ascii="宋体" w:hAnsi="宋体" w:cs="宋体"/>
          <w:szCs w:val="21"/>
        </w:rPr>
        <w:fldChar w:fldCharType="begin"/>
      </w:r>
      <w:r>
        <w:rPr>
          <w:rFonts w:ascii="宋体" w:hAnsi="宋体" w:cs="宋体"/>
          <w:szCs w:val="21"/>
        </w:rPr>
        <w:instrText xml:space="preserve"> HYPERLINK \l _Toc27878 </w:instrText>
      </w:r>
      <w:r>
        <w:rPr>
          <w:rFonts w:ascii="宋体" w:hAnsi="宋体" w:cs="宋体"/>
          <w:szCs w:val="21"/>
        </w:rPr>
        <w:fldChar w:fldCharType="separate"/>
      </w:r>
      <w:r>
        <w:rPr>
          <w:rFonts w:hint="eastAsia"/>
          <w:kern w:val="0"/>
        </w:rPr>
        <w:t>8、附件</w:t>
      </w:r>
      <w:r>
        <w:tab/>
      </w:r>
      <w:r>
        <w:fldChar w:fldCharType="begin"/>
      </w:r>
      <w:r>
        <w:instrText xml:space="preserve"> PAGEREF _Toc27878 </w:instrText>
      </w:r>
      <w:r>
        <w:fldChar w:fldCharType="separate"/>
      </w:r>
      <w:r>
        <w:t>- 50 -</w:t>
      </w:r>
      <w:r>
        <w:fldChar w:fldCharType="end"/>
      </w:r>
      <w:r>
        <w:rPr>
          <w:rFonts w:ascii="宋体" w:hAnsi="宋体" w:cs="宋体"/>
          <w:szCs w:val="21"/>
        </w:rPr>
        <w:fldChar w:fldCharType="end"/>
      </w:r>
    </w:p>
    <w:p>
      <w:pPr>
        <w:pStyle w:val="25"/>
        <w:pageBreakBefore w:val="0"/>
        <w:widowControl w:val="0"/>
        <w:tabs>
          <w:tab w:val="right" w:leader="dot" w:pos="9355"/>
        </w:tabs>
        <w:kinsoku/>
        <w:wordWrap/>
        <w:overflowPunct/>
        <w:topLinePunct w:val="0"/>
        <w:autoSpaceDE/>
        <w:autoSpaceDN/>
        <w:bidi w:val="0"/>
        <w:adjustRightInd/>
        <w:snapToGrid/>
        <w:spacing w:line="520" w:lineRule="exact"/>
        <w:ind w:left="0" w:leftChars="0" w:firstLine="424" w:firstLineChars="200"/>
        <w:textAlignment w:val="auto"/>
      </w:pPr>
      <w:r>
        <w:rPr>
          <w:rFonts w:ascii="宋体" w:hAnsi="宋体" w:cs="宋体"/>
          <w:szCs w:val="21"/>
        </w:rPr>
        <w:fldChar w:fldCharType="begin"/>
      </w:r>
      <w:r>
        <w:rPr>
          <w:rFonts w:ascii="宋体" w:hAnsi="宋体" w:cs="宋体"/>
          <w:szCs w:val="21"/>
        </w:rPr>
        <w:instrText xml:space="preserve"> HYPERLINK \l _Toc31398 </w:instrText>
      </w:r>
      <w:r>
        <w:rPr>
          <w:rFonts w:ascii="宋体" w:hAnsi="宋体" w:cs="宋体"/>
          <w:szCs w:val="21"/>
        </w:rPr>
        <w:fldChar w:fldCharType="separate"/>
      </w:r>
      <w:r>
        <w:rPr>
          <w:rFonts w:hint="eastAsia" w:ascii="宋体" w:hAnsi="宋体"/>
          <w:szCs w:val="21"/>
        </w:rPr>
        <w:t>投   标   函</w:t>
      </w:r>
      <w:r>
        <w:tab/>
      </w:r>
      <w:r>
        <w:fldChar w:fldCharType="begin"/>
      </w:r>
      <w:r>
        <w:instrText xml:space="preserve"> PAGEREF _Toc31398 </w:instrText>
      </w:r>
      <w:r>
        <w:fldChar w:fldCharType="separate"/>
      </w:r>
      <w:r>
        <w:t>- 51 -</w:t>
      </w:r>
      <w:r>
        <w:fldChar w:fldCharType="end"/>
      </w:r>
      <w:r>
        <w:rPr>
          <w:rFonts w:ascii="宋体" w:hAnsi="宋体" w:cs="宋体"/>
          <w:szCs w:val="21"/>
        </w:rPr>
        <w:fldChar w:fldCharType="end"/>
      </w:r>
    </w:p>
    <w:p>
      <w:pPr>
        <w:pStyle w:val="25"/>
        <w:pageBreakBefore w:val="0"/>
        <w:widowControl w:val="0"/>
        <w:tabs>
          <w:tab w:val="right" w:leader="dot" w:pos="9355"/>
        </w:tabs>
        <w:kinsoku/>
        <w:wordWrap/>
        <w:overflowPunct/>
        <w:topLinePunct w:val="0"/>
        <w:autoSpaceDE/>
        <w:autoSpaceDN/>
        <w:bidi w:val="0"/>
        <w:adjustRightInd/>
        <w:snapToGrid/>
        <w:spacing w:line="520" w:lineRule="exact"/>
        <w:ind w:left="0" w:leftChars="0" w:firstLine="424" w:firstLineChars="200"/>
        <w:textAlignment w:val="auto"/>
      </w:pPr>
      <w:r>
        <w:rPr>
          <w:rFonts w:ascii="宋体" w:hAnsi="宋体" w:cs="宋体"/>
          <w:szCs w:val="21"/>
        </w:rPr>
        <w:fldChar w:fldCharType="begin"/>
      </w:r>
      <w:r>
        <w:rPr>
          <w:rFonts w:ascii="宋体" w:hAnsi="宋体" w:cs="宋体"/>
          <w:szCs w:val="21"/>
        </w:rPr>
        <w:instrText xml:space="preserve"> HYPERLINK \l _Toc26489 </w:instrText>
      </w:r>
      <w:r>
        <w:rPr>
          <w:rFonts w:ascii="宋体" w:hAnsi="宋体" w:cs="宋体"/>
          <w:szCs w:val="21"/>
        </w:rPr>
        <w:fldChar w:fldCharType="separate"/>
      </w:r>
      <w:r>
        <w:rPr>
          <w:rFonts w:hint="eastAsia"/>
          <w:szCs w:val="21"/>
        </w:rPr>
        <w:t>法人授权函</w:t>
      </w:r>
      <w:r>
        <w:tab/>
      </w:r>
      <w:r>
        <w:fldChar w:fldCharType="begin"/>
      </w:r>
      <w:r>
        <w:instrText xml:space="preserve"> PAGEREF _Toc26489 </w:instrText>
      </w:r>
      <w:r>
        <w:fldChar w:fldCharType="separate"/>
      </w:r>
      <w:r>
        <w:t>- 52 -</w:t>
      </w:r>
      <w:r>
        <w:fldChar w:fldCharType="end"/>
      </w:r>
      <w:r>
        <w:rPr>
          <w:rFonts w:ascii="宋体" w:hAnsi="宋体" w:cs="宋体"/>
          <w:szCs w:val="21"/>
        </w:rPr>
        <w:fldChar w:fldCharType="end"/>
      </w:r>
    </w:p>
    <w:p>
      <w:pPr>
        <w:pStyle w:val="25"/>
        <w:pageBreakBefore w:val="0"/>
        <w:widowControl w:val="0"/>
        <w:tabs>
          <w:tab w:val="right" w:leader="dot" w:pos="9355"/>
        </w:tabs>
        <w:kinsoku/>
        <w:wordWrap/>
        <w:overflowPunct/>
        <w:topLinePunct w:val="0"/>
        <w:autoSpaceDE/>
        <w:autoSpaceDN/>
        <w:bidi w:val="0"/>
        <w:adjustRightInd/>
        <w:snapToGrid/>
        <w:spacing w:line="520" w:lineRule="exact"/>
        <w:ind w:left="0" w:leftChars="0" w:firstLine="424" w:firstLineChars="200"/>
        <w:textAlignment w:val="auto"/>
      </w:pPr>
      <w:r>
        <w:rPr>
          <w:rFonts w:ascii="宋体" w:hAnsi="宋体" w:cs="宋体"/>
          <w:szCs w:val="21"/>
        </w:rPr>
        <w:fldChar w:fldCharType="begin"/>
      </w:r>
      <w:r>
        <w:rPr>
          <w:rFonts w:ascii="宋体" w:hAnsi="宋体" w:cs="宋体"/>
          <w:szCs w:val="21"/>
        </w:rPr>
        <w:instrText xml:space="preserve"> HYPERLINK \l _Toc5944 </w:instrText>
      </w:r>
      <w:r>
        <w:rPr>
          <w:rFonts w:ascii="宋体" w:hAnsi="宋体" w:cs="宋体"/>
          <w:szCs w:val="21"/>
        </w:rPr>
        <w:fldChar w:fldCharType="separate"/>
      </w:r>
      <w:r>
        <w:rPr>
          <w:rFonts w:hint="eastAsia" w:ascii="宋体" w:hAnsi="宋体"/>
          <w:szCs w:val="21"/>
        </w:rPr>
        <w:t>投标报价表</w:t>
      </w:r>
      <w:r>
        <w:tab/>
      </w:r>
      <w:r>
        <w:fldChar w:fldCharType="begin"/>
      </w:r>
      <w:r>
        <w:instrText xml:space="preserve"> PAGEREF _Toc5944 </w:instrText>
      </w:r>
      <w:r>
        <w:fldChar w:fldCharType="separate"/>
      </w:r>
      <w:r>
        <w:t>- 53 -</w:t>
      </w:r>
      <w:r>
        <w:fldChar w:fldCharType="end"/>
      </w:r>
      <w:r>
        <w:rPr>
          <w:rFonts w:ascii="宋体" w:hAnsi="宋体" w:cs="宋体"/>
          <w:szCs w:val="21"/>
        </w:rPr>
        <w:fldChar w:fldCharType="end"/>
      </w:r>
    </w:p>
    <w:p>
      <w:pPr>
        <w:pStyle w:val="23"/>
        <w:pageBreakBefore w:val="0"/>
        <w:widowControl w:val="0"/>
        <w:tabs>
          <w:tab w:val="right" w:leader="dot" w:pos="9355"/>
          <w:tab w:val="clear" w:pos="9344"/>
        </w:tabs>
        <w:kinsoku/>
        <w:wordWrap/>
        <w:overflowPunct/>
        <w:topLinePunct w:val="0"/>
        <w:autoSpaceDE/>
        <w:autoSpaceDN/>
        <w:bidi w:val="0"/>
        <w:adjustRightInd/>
        <w:snapToGrid/>
        <w:spacing w:line="520" w:lineRule="exact"/>
        <w:ind w:firstLine="424" w:firstLineChars="200"/>
        <w:textAlignment w:val="auto"/>
      </w:pPr>
      <w:r>
        <w:rPr>
          <w:rFonts w:ascii="宋体" w:hAnsi="宋体" w:cs="宋体"/>
          <w:szCs w:val="21"/>
        </w:rPr>
        <w:fldChar w:fldCharType="begin"/>
      </w:r>
      <w:r>
        <w:rPr>
          <w:rFonts w:ascii="宋体" w:hAnsi="宋体" w:cs="宋体"/>
          <w:szCs w:val="21"/>
        </w:rPr>
        <w:instrText xml:space="preserve"> HYPERLINK \l _Toc15369 </w:instrText>
      </w:r>
      <w:r>
        <w:rPr>
          <w:rFonts w:ascii="宋体" w:hAnsi="宋体" w:cs="宋体"/>
          <w:szCs w:val="21"/>
        </w:rPr>
        <w:fldChar w:fldCharType="separate"/>
      </w:r>
      <w:r>
        <w:rPr>
          <w:rFonts w:hint="eastAsia"/>
        </w:rPr>
        <w:t>开标一览表</w:t>
      </w:r>
      <w:r>
        <w:tab/>
      </w:r>
      <w:r>
        <w:fldChar w:fldCharType="begin"/>
      </w:r>
      <w:r>
        <w:instrText xml:space="preserve"> PAGEREF _Toc15369 </w:instrText>
      </w:r>
      <w:r>
        <w:fldChar w:fldCharType="separate"/>
      </w:r>
      <w:r>
        <w:t>- 53 -</w:t>
      </w:r>
      <w:r>
        <w:fldChar w:fldCharType="end"/>
      </w:r>
      <w:r>
        <w:rPr>
          <w:rFonts w:ascii="宋体" w:hAnsi="宋体" w:cs="宋体"/>
          <w:szCs w:val="21"/>
        </w:rPr>
        <w:fldChar w:fldCharType="end"/>
      </w:r>
    </w:p>
    <w:p>
      <w:pPr>
        <w:pStyle w:val="25"/>
        <w:pageBreakBefore w:val="0"/>
        <w:widowControl w:val="0"/>
        <w:tabs>
          <w:tab w:val="right" w:leader="dot" w:pos="9355"/>
        </w:tabs>
        <w:kinsoku/>
        <w:wordWrap/>
        <w:overflowPunct/>
        <w:topLinePunct w:val="0"/>
        <w:autoSpaceDE/>
        <w:autoSpaceDN/>
        <w:bidi w:val="0"/>
        <w:adjustRightInd/>
        <w:snapToGrid/>
        <w:spacing w:line="520" w:lineRule="exact"/>
        <w:ind w:left="0" w:leftChars="0" w:firstLine="424" w:firstLineChars="200"/>
        <w:textAlignment w:val="auto"/>
      </w:pPr>
      <w:r>
        <w:rPr>
          <w:rFonts w:ascii="宋体" w:hAnsi="宋体" w:cs="宋体"/>
          <w:szCs w:val="21"/>
        </w:rPr>
        <w:fldChar w:fldCharType="begin"/>
      </w:r>
      <w:r>
        <w:rPr>
          <w:rFonts w:ascii="宋体" w:hAnsi="宋体" w:cs="宋体"/>
          <w:szCs w:val="21"/>
        </w:rPr>
        <w:instrText xml:space="preserve"> HYPERLINK \l _Toc11610 </w:instrText>
      </w:r>
      <w:r>
        <w:rPr>
          <w:rFonts w:ascii="宋体" w:hAnsi="宋体" w:cs="宋体"/>
          <w:szCs w:val="21"/>
        </w:rPr>
        <w:fldChar w:fldCharType="separate"/>
      </w:r>
      <w:r>
        <w:rPr>
          <w:rFonts w:hint="eastAsia" w:ascii="宋体" w:hAnsi="宋体"/>
          <w:szCs w:val="21"/>
        </w:rPr>
        <w:t>项目组成人员表</w:t>
      </w:r>
      <w:r>
        <w:tab/>
      </w:r>
      <w:r>
        <w:fldChar w:fldCharType="begin"/>
      </w:r>
      <w:r>
        <w:instrText xml:space="preserve"> PAGEREF _Toc11610 </w:instrText>
      </w:r>
      <w:r>
        <w:fldChar w:fldCharType="separate"/>
      </w:r>
      <w:r>
        <w:t>- 55 -</w:t>
      </w:r>
      <w:r>
        <w:fldChar w:fldCharType="end"/>
      </w:r>
      <w:r>
        <w:rPr>
          <w:rFonts w:ascii="宋体" w:hAnsi="宋体" w:cs="宋体"/>
          <w:szCs w:val="21"/>
        </w:rPr>
        <w:fldChar w:fldCharType="end"/>
      </w:r>
    </w:p>
    <w:p>
      <w:pPr>
        <w:pStyle w:val="25"/>
        <w:pageBreakBefore w:val="0"/>
        <w:widowControl w:val="0"/>
        <w:tabs>
          <w:tab w:val="right" w:leader="dot" w:pos="9355"/>
        </w:tabs>
        <w:kinsoku/>
        <w:wordWrap/>
        <w:overflowPunct/>
        <w:topLinePunct w:val="0"/>
        <w:autoSpaceDE/>
        <w:autoSpaceDN/>
        <w:bidi w:val="0"/>
        <w:adjustRightInd/>
        <w:snapToGrid/>
        <w:spacing w:line="520" w:lineRule="exact"/>
        <w:ind w:left="0" w:leftChars="0" w:firstLine="424" w:firstLineChars="200"/>
        <w:textAlignment w:val="auto"/>
      </w:pPr>
      <w:r>
        <w:rPr>
          <w:rFonts w:ascii="宋体" w:hAnsi="宋体" w:cs="宋体"/>
          <w:szCs w:val="21"/>
        </w:rPr>
        <w:fldChar w:fldCharType="begin"/>
      </w:r>
      <w:r>
        <w:rPr>
          <w:rFonts w:ascii="宋体" w:hAnsi="宋体" w:cs="宋体"/>
          <w:szCs w:val="21"/>
        </w:rPr>
        <w:instrText xml:space="preserve"> HYPERLINK \l _Toc20554 </w:instrText>
      </w:r>
      <w:r>
        <w:rPr>
          <w:rFonts w:ascii="宋体" w:hAnsi="宋体" w:cs="宋体"/>
          <w:szCs w:val="21"/>
        </w:rPr>
        <w:fldChar w:fldCharType="separate"/>
      </w:r>
      <w:r>
        <w:rPr>
          <w:rFonts w:hint="eastAsia" w:ascii="宋体" w:hAnsi="宋体"/>
          <w:szCs w:val="21"/>
        </w:rPr>
        <w:t>小微企业价格评审优惠申请及承诺函</w:t>
      </w:r>
      <w:r>
        <w:tab/>
      </w:r>
      <w:r>
        <w:fldChar w:fldCharType="begin"/>
      </w:r>
      <w:r>
        <w:instrText xml:space="preserve"> PAGEREF _Toc20554 </w:instrText>
      </w:r>
      <w:r>
        <w:fldChar w:fldCharType="separate"/>
      </w:r>
      <w:r>
        <w:t>- 56 -</w:t>
      </w:r>
      <w:r>
        <w:fldChar w:fldCharType="end"/>
      </w:r>
      <w:r>
        <w:rPr>
          <w:rFonts w:ascii="宋体" w:hAnsi="宋体" w:cs="宋体"/>
          <w:szCs w:val="21"/>
        </w:rPr>
        <w:fldChar w:fldCharType="end"/>
      </w:r>
    </w:p>
    <w:p>
      <w:pPr>
        <w:pStyle w:val="25"/>
        <w:pageBreakBefore w:val="0"/>
        <w:widowControl w:val="0"/>
        <w:tabs>
          <w:tab w:val="right" w:leader="dot" w:pos="9355"/>
        </w:tabs>
        <w:kinsoku/>
        <w:wordWrap/>
        <w:overflowPunct/>
        <w:topLinePunct w:val="0"/>
        <w:autoSpaceDE/>
        <w:autoSpaceDN/>
        <w:bidi w:val="0"/>
        <w:adjustRightInd/>
        <w:snapToGrid/>
        <w:spacing w:line="520" w:lineRule="exact"/>
        <w:ind w:left="0" w:leftChars="0" w:firstLine="424" w:firstLineChars="200"/>
        <w:textAlignment w:val="auto"/>
      </w:pPr>
      <w:r>
        <w:rPr>
          <w:rFonts w:ascii="宋体" w:hAnsi="宋体" w:cs="宋体"/>
          <w:szCs w:val="21"/>
        </w:rPr>
        <w:fldChar w:fldCharType="begin"/>
      </w:r>
      <w:r>
        <w:rPr>
          <w:rFonts w:ascii="宋体" w:hAnsi="宋体" w:cs="宋体"/>
          <w:szCs w:val="21"/>
        </w:rPr>
        <w:instrText xml:space="preserve"> HYPERLINK \l _Toc22264 </w:instrText>
      </w:r>
      <w:r>
        <w:rPr>
          <w:rFonts w:ascii="宋体" w:hAnsi="宋体" w:cs="宋体"/>
          <w:szCs w:val="21"/>
        </w:rPr>
        <w:fldChar w:fldCharType="separate"/>
      </w:r>
      <w:r>
        <w:rPr>
          <w:rFonts w:hint="eastAsia" w:ascii="宋体" w:hAnsi="宋体"/>
          <w:szCs w:val="21"/>
        </w:rPr>
        <w:t>政府采购促进中小企业发展暂行办法</w:t>
      </w:r>
      <w:r>
        <w:tab/>
      </w:r>
      <w:r>
        <w:fldChar w:fldCharType="begin"/>
      </w:r>
      <w:r>
        <w:instrText xml:space="preserve"> PAGEREF _Toc22264 </w:instrText>
      </w:r>
      <w:r>
        <w:fldChar w:fldCharType="separate"/>
      </w:r>
      <w:r>
        <w:t>- 57 -</w:t>
      </w:r>
      <w:r>
        <w:fldChar w:fldCharType="end"/>
      </w:r>
      <w:r>
        <w:rPr>
          <w:rFonts w:ascii="宋体" w:hAnsi="宋体" w:cs="宋体"/>
          <w:szCs w:val="21"/>
        </w:rPr>
        <w:fldChar w:fldCharType="end"/>
      </w:r>
    </w:p>
    <w:p>
      <w:pPr>
        <w:pStyle w:val="25"/>
        <w:pageBreakBefore w:val="0"/>
        <w:widowControl w:val="0"/>
        <w:tabs>
          <w:tab w:val="right" w:leader="dot" w:pos="9355"/>
        </w:tabs>
        <w:kinsoku/>
        <w:wordWrap/>
        <w:overflowPunct/>
        <w:topLinePunct w:val="0"/>
        <w:autoSpaceDE/>
        <w:autoSpaceDN/>
        <w:bidi w:val="0"/>
        <w:adjustRightInd/>
        <w:snapToGrid/>
        <w:spacing w:line="520" w:lineRule="exact"/>
        <w:ind w:left="0" w:leftChars="0" w:firstLine="424" w:firstLineChars="200"/>
        <w:textAlignment w:val="auto"/>
      </w:pPr>
      <w:r>
        <w:rPr>
          <w:rFonts w:ascii="宋体" w:hAnsi="宋体" w:cs="宋体"/>
          <w:szCs w:val="21"/>
        </w:rPr>
        <w:fldChar w:fldCharType="begin"/>
      </w:r>
      <w:r>
        <w:rPr>
          <w:rFonts w:ascii="宋体" w:hAnsi="宋体" w:cs="宋体"/>
          <w:szCs w:val="21"/>
        </w:rPr>
        <w:instrText xml:space="preserve"> HYPERLINK \l _Toc22101 </w:instrText>
      </w:r>
      <w:r>
        <w:rPr>
          <w:rFonts w:ascii="宋体" w:hAnsi="宋体" w:cs="宋体"/>
          <w:szCs w:val="21"/>
        </w:rPr>
        <w:fldChar w:fldCharType="separate"/>
      </w:r>
      <w:r>
        <w:rPr>
          <w:rFonts w:hint="eastAsia" w:ascii="宋体" w:hAnsi="宋体"/>
          <w:szCs w:val="21"/>
        </w:rPr>
        <w:t>供应商信用承诺书</w:t>
      </w:r>
      <w:r>
        <w:tab/>
      </w:r>
      <w:r>
        <w:fldChar w:fldCharType="begin"/>
      </w:r>
      <w:r>
        <w:instrText xml:space="preserve"> PAGEREF _Toc22101 </w:instrText>
      </w:r>
      <w:r>
        <w:fldChar w:fldCharType="separate"/>
      </w:r>
      <w:r>
        <w:t>- 60 -</w:t>
      </w:r>
      <w:r>
        <w:fldChar w:fldCharType="end"/>
      </w:r>
      <w:r>
        <w:rPr>
          <w:rFonts w:ascii="宋体" w:hAnsi="宋体" w:cs="宋体"/>
          <w:szCs w:val="21"/>
        </w:rPr>
        <w:fldChar w:fldCharType="end"/>
      </w:r>
    </w:p>
    <w:p>
      <w:pPr>
        <w:pStyle w:val="3"/>
        <w:pageBreakBefore w:val="0"/>
        <w:widowControl w:val="0"/>
        <w:kinsoku/>
        <w:wordWrap/>
        <w:overflowPunct/>
        <w:topLinePunct w:val="0"/>
        <w:autoSpaceDE/>
        <w:autoSpaceDN/>
        <w:bidi w:val="0"/>
        <w:adjustRightInd/>
        <w:snapToGrid/>
        <w:spacing w:before="0" w:after="0" w:line="520" w:lineRule="exact"/>
        <w:ind w:left="0" w:leftChars="0"/>
        <w:jc w:val="center"/>
        <w:textAlignment w:val="auto"/>
        <w:rPr>
          <w:rFonts w:ascii="宋体" w:hAnsi="宋体" w:cs="宋体"/>
          <w:szCs w:val="21"/>
        </w:rPr>
      </w:pPr>
      <w:r>
        <w:rPr>
          <w:rFonts w:ascii="宋体" w:hAnsi="宋体" w:cs="宋体"/>
          <w:szCs w:val="21"/>
        </w:rPr>
        <w:fldChar w:fldCharType="end"/>
      </w:r>
      <w:bookmarkStart w:id="7" w:name="_Toc26802643"/>
      <w:bookmarkStart w:id="8" w:name="_Toc24831"/>
      <w:bookmarkStart w:id="9" w:name="_Toc25309"/>
    </w:p>
    <w:p>
      <w:pPr>
        <w:pStyle w:val="3"/>
        <w:pageBreakBefore w:val="0"/>
        <w:widowControl w:val="0"/>
        <w:kinsoku/>
        <w:wordWrap/>
        <w:overflowPunct/>
        <w:topLinePunct w:val="0"/>
        <w:autoSpaceDE/>
        <w:autoSpaceDN/>
        <w:bidi w:val="0"/>
        <w:adjustRightInd/>
        <w:snapToGrid/>
        <w:spacing w:before="0" w:after="0" w:line="520" w:lineRule="exact"/>
        <w:ind w:left="0" w:leftChars="0"/>
        <w:jc w:val="center"/>
        <w:textAlignment w:val="auto"/>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pStyle w:val="3"/>
        <w:pageBreakBefore w:val="0"/>
        <w:widowControl w:val="0"/>
        <w:kinsoku/>
        <w:wordWrap/>
        <w:overflowPunct/>
        <w:topLinePunct w:val="0"/>
        <w:autoSpaceDE/>
        <w:autoSpaceDN/>
        <w:bidi w:val="0"/>
        <w:adjustRightInd/>
        <w:snapToGrid/>
        <w:spacing w:before="0" w:after="0" w:line="520" w:lineRule="exact"/>
        <w:ind w:left="0" w:leftChars="0"/>
        <w:jc w:val="center"/>
        <w:textAlignment w:val="auto"/>
      </w:pPr>
      <w:r>
        <w:rPr>
          <w:rFonts w:hint="eastAsia"/>
          <w:kern w:val="0"/>
          <w:sz w:val="40"/>
        </w:rPr>
        <w:t xml:space="preserve">第一章   </w:t>
      </w:r>
      <w:bookmarkEnd w:id="7"/>
      <w:r>
        <w:rPr>
          <w:rFonts w:hint="eastAsia"/>
          <w:kern w:val="0"/>
          <w:sz w:val="40"/>
        </w:rPr>
        <w:t>竞争性谈判采购公告</w:t>
      </w:r>
      <w:bookmarkEnd w:id="8"/>
      <w:bookmarkEnd w:id="9"/>
      <w:bookmarkStart w:id="10" w:name="_Toc10337"/>
      <w:bookmarkStart w:id="11" w:name="_Toc23886"/>
      <w:bookmarkStart w:id="12" w:name="_Toc26802644"/>
    </w:p>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firstLine="564" w:firstLineChars="200"/>
        <w:textAlignment w:val="auto"/>
        <w:rPr>
          <w:rFonts w:ascii="仿宋" w:hAnsi="仿宋" w:eastAsia="仿宋"/>
          <w:sz w:val="28"/>
          <w:szCs w:val="28"/>
        </w:rPr>
      </w:pPr>
      <w:r>
        <w:rPr>
          <w:rFonts w:hint="eastAsia" w:ascii="仿宋" w:hAnsi="仿宋" w:eastAsia="仿宋"/>
          <w:sz w:val="28"/>
          <w:szCs w:val="28"/>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val="0"/>
        <w:wordWrap/>
        <w:overflowPunct w:val="0"/>
        <w:topLinePunct w:val="0"/>
        <w:autoSpaceDE w:val="0"/>
        <w:autoSpaceDN w:val="0"/>
        <w:bidi w:val="0"/>
        <w:adjustRightInd/>
        <w:snapToGrid/>
        <w:spacing w:line="560" w:lineRule="exact"/>
        <w:ind w:firstLine="564" w:firstLineChars="200"/>
        <w:textAlignment w:val="auto"/>
        <w:rPr>
          <w:rFonts w:ascii="仿宋" w:hAnsi="仿宋" w:eastAsia="仿宋"/>
          <w:sz w:val="28"/>
          <w:szCs w:val="28"/>
        </w:rPr>
      </w:pPr>
      <w:r>
        <w:rPr>
          <w:rFonts w:hint="eastAsia" w:ascii="仿宋" w:hAnsi="仿宋" w:eastAsia="仿宋"/>
          <w:sz w:val="28"/>
          <w:szCs w:val="28"/>
          <w:u w:val="single"/>
          <w:lang w:val="en-US" w:eastAsia="zh-CN"/>
        </w:rPr>
        <w:t>镇原县环境卫生管理局</w:t>
      </w:r>
      <w:r>
        <w:rPr>
          <w:rFonts w:hint="eastAsia" w:ascii="仿宋" w:hAnsi="仿宋" w:eastAsia="仿宋"/>
          <w:sz w:val="28"/>
          <w:szCs w:val="28"/>
        </w:rPr>
        <w:t xml:space="preserve"> 采购项目的潜在供应商应在</w:t>
      </w:r>
      <w:r>
        <w:rPr>
          <w:rFonts w:hint="eastAsia" w:ascii="仿宋" w:hAnsi="仿宋" w:eastAsia="仿宋"/>
          <w:sz w:val="28"/>
          <w:szCs w:val="28"/>
          <w:u w:val="single"/>
          <w:lang w:val="en-US" w:eastAsia="zh-CN"/>
        </w:rPr>
        <w:t>镇原县公共资源交易中心电子服务网</w:t>
      </w:r>
      <w:r>
        <w:rPr>
          <w:rFonts w:hint="eastAsia" w:ascii="仿宋" w:hAnsi="仿宋" w:eastAsia="仿宋"/>
          <w:sz w:val="28"/>
          <w:szCs w:val="28"/>
        </w:rPr>
        <w:t>（http://124.152.185.147:8082/Accounts/Login?ReturnUrl=%2f）免费获取招标文件</w:t>
      </w:r>
      <w:r>
        <w:rPr>
          <w:rFonts w:hint="eastAsia" w:ascii="仿宋" w:hAnsi="仿宋" w:eastAsia="仿宋"/>
          <w:sz w:val="28"/>
          <w:szCs w:val="28"/>
          <w:lang w:eastAsia="zh-CN"/>
        </w:rPr>
        <w:t>，</w:t>
      </w:r>
      <w:r>
        <w:rPr>
          <w:rFonts w:hint="eastAsia" w:ascii="仿宋" w:hAnsi="仿宋" w:eastAsia="仿宋"/>
          <w:sz w:val="28"/>
          <w:szCs w:val="28"/>
        </w:rPr>
        <w:t>并于</w:t>
      </w:r>
      <w:r>
        <w:rPr>
          <w:rFonts w:hint="eastAsia" w:ascii="仿宋" w:hAnsi="仿宋" w:eastAsia="仿宋"/>
          <w:sz w:val="28"/>
          <w:szCs w:val="28"/>
          <w:u w:val="single"/>
        </w:rPr>
        <w:t>202</w:t>
      </w:r>
      <w:r>
        <w:rPr>
          <w:rFonts w:hint="eastAsia" w:ascii="仿宋" w:hAnsi="仿宋" w:eastAsia="仿宋"/>
          <w:sz w:val="28"/>
          <w:szCs w:val="28"/>
          <w:u w:val="single"/>
          <w:lang w:val="en-US" w:eastAsia="zh-CN"/>
        </w:rPr>
        <w:t>1</w:t>
      </w:r>
      <w:r>
        <w:rPr>
          <w:rFonts w:hint="eastAsia" w:ascii="仿宋" w:hAnsi="仿宋" w:eastAsia="仿宋"/>
          <w:sz w:val="28"/>
          <w:szCs w:val="28"/>
          <w:u w:val="none"/>
        </w:rPr>
        <w:t>年</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rPr>
        <w:t>月</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r>
        <w:rPr>
          <w:rFonts w:hint="eastAsia" w:ascii="仿宋" w:hAnsi="仿宋" w:eastAsia="仿宋"/>
          <w:sz w:val="28"/>
          <w:szCs w:val="28"/>
          <w:u w:val="none"/>
        </w:rPr>
        <w:t>日</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rPr>
        <w:t>点</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rPr>
        <w:t>分（</w:t>
      </w:r>
      <w:r>
        <w:rPr>
          <w:rFonts w:hint="eastAsia" w:ascii="仿宋" w:hAnsi="仿宋" w:eastAsia="仿宋"/>
          <w:sz w:val="28"/>
          <w:szCs w:val="28"/>
        </w:rPr>
        <w:t>北京时间）前递交</w:t>
      </w:r>
      <w:r>
        <w:rPr>
          <w:rFonts w:hint="eastAsia" w:ascii="仿宋" w:hAnsi="仿宋" w:eastAsia="仿宋"/>
          <w:bCs/>
          <w:sz w:val="28"/>
          <w:szCs w:val="28"/>
        </w:rPr>
        <w:t>响应</w:t>
      </w:r>
      <w:r>
        <w:rPr>
          <w:rFonts w:ascii="仿宋" w:hAnsi="仿宋" w:eastAsia="仿宋"/>
          <w:bCs/>
          <w:sz w:val="28"/>
          <w:szCs w:val="28"/>
        </w:rPr>
        <w:t>文件</w:t>
      </w:r>
      <w:r>
        <w:rPr>
          <w:rFonts w:hint="eastAsia" w:ascii="仿宋" w:hAnsi="仿宋" w:eastAsia="仿宋"/>
          <w:sz w:val="28"/>
          <w:szCs w:val="28"/>
        </w:rPr>
        <w:t>。</w:t>
      </w:r>
    </w:p>
    <w:p>
      <w:pPr>
        <w:pStyle w:val="4"/>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黑体" w:hAnsi="黑体" w:cs="宋体"/>
          <w:b w:val="0"/>
          <w:sz w:val="28"/>
          <w:szCs w:val="28"/>
        </w:rPr>
      </w:pPr>
      <w:r>
        <w:rPr>
          <w:rFonts w:hint="eastAsia" w:ascii="黑体" w:hAnsi="黑体" w:cs="宋体"/>
          <w:b w:val="0"/>
          <w:sz w:val="28"/>
          <w:szCs w:val="28"/>
          <w:lang w:val="en-US" w:eastAsia="zh-CN"/>
        </w:rPr>
        <w:t xml:space="preserve">一、项目基本情况 </w:t>
      </w:r>
    </w:p>
    <w:p>
      <w:pPr>
        <w:keepNext w:val="0"/>
        <w:keepLines w:val="0"/>
        <w:pageBreakBefore w:val="0"/>
        <w:widowControl w:val="0"/>
        <w:kinsoku/>
        <w:wordWrap/>
        <w:overflowPunct/>
        <w:topLinePunct w:val="0"/>
        <w:autoSpaceDE/>
        <w:autoSpaceDN/>
        <w:bidi w:val="0"/>
        <w:adjustRightInd/>
        <w:snapToGrid/>
        <w:spacing w:line="560" w:lineRule="exact"/>
        <w:ind w:firstLine="564" w:firstLineChars="200"/>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项目编号：ZYZC2021-00</w:t>
      </w:r>
    </w:p>
    <w:p>
      <w:pPr>
        <w:keepNext w:val="0"/>
        <w:keepLines w:val="0"/>
        <w:pageBreakBefore w:val="0"/>
        <w:widowControl w:val="0"/>
        <w:kinsoku/>
        <w:wordWrap/>
        <w:overflowPunct/>
        <w:topLinePunct w:val="0"/>
        <w:autoSpaceDE/>
        <w:autoSpaceDN/>
        <w:bidi w:val="0"/>
        <w:adjustRightInd/>
        <w:snapToGrid/>
        <w:spacing w:line="560" w:lineRule="exact"/>
        <w:ind w:firstLine="564" w:firstLineChars="200"/>
        <w:textAlignment w:val="auto"/>
        <w:rPr>
          <w:rFonts w:hint="eastAsia" w:ascii="仿宋" w:hAnsi="仿宋" w:eastAsia="仿宋"/>
          <w:b w:val="0"/>
          <w:bCs w:val="0"/>
          <w:kern w:val="2"/>
          <w:sz w:val="28"/>
          <w:szCs w:val="28"/>
          <w:lang w:val="en-US" w:eastAsia="zh-CN" w:bidi="ar-SA"/>
        </w:rPr>
      </w:pPr>
      <w:r>
        <w:rPr>
          <w:rFonts w:hint="eastAsia" w:ascii="仿宋" w:hAnsi="仿宋" w:eastAsia="仿宋"/>
          <w:b w:val="0"/>
          <w:bCs w:val="0"/>
          <w:kern w:val="2"/>
          <w:sz w:val="28"/>
          <w:szCs w:val="28"/>
          <w:lang w:val="en-US" w:eastAsia="zh-CN" w:bidi="ar-SA"/>
        </w:rPr>
        <w:t>项目名称：镇原县环境卫生管理局多功能抑尘车辆采购项目</w:t>
      </w:r>
    </w:p>
    <w:p>
      <w:pPr>
        <w:keepNext w:val="0"/>
        <w:keepLines w:val="0"/>
        <w:pageBreakBefore w:val="0"/>
        <w:widowControl w:val="0"/>
        <w:kinsoku/>
        <w:wordWrap/>
        <w:overflowPunct/>
        <w:topLinePunct w:val="0"/>
        <w:autoSpaceDE/>
        <w:autoSpaceDN/>
        <w:bidi w:val="0"/>
        <w:adjustRightInd/>
        <w:snapToGrid/>
        <w:spacing w:line="560" w:lineRule="exact"/>
        <w:ind w:firstLine="564" w:firstLineChars="200"/>
        <w:textAlignment w:val="auto"/>
        <w:rPr>
          <w:rFonts w:hint="eastAsia" w:ascii="仿宋" w:hAnsi="仿宋" w:eastAsia="仿宋"/>
          <w:b w:val="0"/>
          <w:bCs w:val="0"/>
          <w:kern w:val="2"/>
          <w:sz w:val="28"/>
          <w:szCs w:val="28"/>
          <w:lang w:val="en-US" w:eastAsia="zh-CN" w:bidi="ar-SA"/>
        </w:rPr>
      </w:pPr>
      <w:r>
        <w:rPr>
          <w:rFonts w:hint="eastAsia" w:ascii="仿宋" w:hAnsi="仿宋" w:eastAsia="仿宋"/>
          <w:b w:val="0"/>
          <w:bCs w:val="0"/>
          <w:kern w:val="2"/>
          <w:sz w:val="28"/>
          <w:szCs w:val="28"/>
          <w:lang w:val="en-US" w:eastAsia="zh-CN" w:bidi="ar-SA"/>
        </w:rPr>
        <w:t>预算金额：80(万元)</w:t>
      </w:r>
    </w:p>
    <w:p>
      <w:pPr>
        <w:keepNext w:val="0"/>
        <w:keepLines w:val="0"/>
        <w:pageBreakBefore w:val="0"/>
        <w:widowControl w:val="0"/>
        <w:kinsoku/>
        <w:wordWrap/>
        <w:overflowPunct/>
        <w:topLinePunct w:val="0"/>
        <w:autoSpaceDE/>
        <w:autoSpaceDN/>
        <w:bidi w:val="0"/>
        <w:adjustRightInd/>
        <w:snapToGrid/>
        <w:spacing w:line="560" w:lineRule="exact"/>
        <w:ind w:firstLine="564"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最高限价：无</w:t>
      </w:r>
    </w:p>
    <w:p>
      <w:pPr>
        <w:keepNext w:val="0"/>
        <w:keepLines w:val="0"/>
        <w:pageBreakBefore w:val="0"/>
        <w:widowControl w:val="0"/>
        <w:kinsoku/>
        <w:wordWrap/>
        <w:overflowPunct/>
        <w:topLinePunct w:val="0"/>
        <w:autoSpaceDE/>
        <w:autoSpaceDN/>
        <w:bidi w:val="0"/>
        <w:adjustRightInd/>
        <w:snapToGrid/>
        <w:spacing w:line="560" w:lineRule="exact"/>
        <w:ind w:firstLine="564"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采购需求：</w:t>
      </w:r>
      <w:r>
        <w:rPr>
          <w:rFonts w:hint="eastAsia" w:ascii="仿宋" w:hAnsi="仿宋" w:eastAsia="仿宋" w:cs="仿宋"/>
          <w:i w:val="0"/>
          <w:caps w:val="0"/>
          <w:color w:val="000000"/>
          <w:spacing w:val="0"/>
          <w:kern w:val="0"/>
          <w:sz w:val="28"/>
          <w:szCs w:val="28"/>
          <w:lang w:val="en-US" w:eastAsia="zh-CN" w:bidi="ar"/>
        </w:rPr>
        <w:t>11方喷雾射程80米多功能抑尘车1台（具体参数需求详见谈判文件）</w:t>
      </w:r>
      <w:r>
        <w:rPr>
          <w:rFonts w:hint="eastAsia" w:ascii="仿宋" w:hAnsi="仿宋" w:eastAsia="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4"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合同履行期限：按甲乙双方约定时限</w:t>
      </w:r>
    </w:p>
    <w:p>
      <w:pPr>
        <w:keepNext w:val="0"/>
        <w:keepLines w:val="0"/>
        <w:pageBreakBefore w:val="0"/>
        <w:widowControl w:val="0"/>
        <w:kinsoku/>
        <w:wordWrap/>
        <w:overflowPunct/>
        <w:topLinePunct w:val="0"/>
        <w:autoSpaceDE/>
        <w:autoSpaceDN/>
        <w:bidi w:val="0"/>
        <w:adjustRightInd/>
        <w:snapToGrid/>
        <w:spacing w:line="560" w:lineRule="exact"/>
        <w:ind w:firstLine="564"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本项目（是/否）接受联合体投标：否</w:t>
      </w:r>
    </w:p>
    <w:p>
      <w:pPr>
        <w:pStyle w:val="4"/>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黑体" w:hAnsi="黑体" w:cs="宋体"/>
          <w:b w:val="0"/>
          <w:sz w:val="28"/>
          <w:szCs w:val="28"/>
          <w:lang w:val="en-US" w:eastAsia="zh-CN"/>
        </w:rPr>
      </w:pPr>
      <w:r>
        <w:rPr>
          <w:rFonts w:hint="eastAsia" w:ascii="黑体" w:hAnsi="黑体" w:cs="宋体"/>
          <w:b w:val="0"/>
          <w:sz w:val="28"/>
          <w:szCs w:val="28"/>
          <w:lang w:val="en-US" w:eastAsia="zh-CN"/>
        </w:rPr>
        <w:t xml:space="preserve">二、申请人的资格要求 </w:t>
      </w:r>
    </w:p>
    <w:p>
      <w:pPr>
        <w:keepNext w:val="0"/>
        <w:keepLines w:val="0"/>
        <w:pageBreakBefore w:val="0"/>
        <w:widowControl w:val="0"/>
        <w:kinsoku/>
        <w:wordWrap/>
        <w:overflowPunct/>
        <w:topLinePunct w:val="0"/>
        <w:autoSpaceDE/>
        <w:autoSpaceDN/>
        <w:bidi w:val="0"/>
        <w:adjustRightInd/>
        <w:snapToGrid/>
        <w:spacing w:line="560" w:lineRule="exact"/>
        <w:ind w:firstLine="564" w:firstLineChars="200"/>
        <w:textAlignment w:val="auto"/>
        <w:rPr>
          <w:rFonts w:hint="default" w:ascii="仿宋" w:hAnsi="仿宋" w:eastAsia="仿宋"/>
          <w:kern w:val="2"/>
          <w:sz w:val="28"/>
          <w:szCs w:val="28"/>
          <w:lang w:val="en-US" w:eastAsia="zh-CN" w:bidi="ar-SA"/>
        </w:rPr>
      </w:pPr>
      <w:r>
        <w:rPr>
          <w:rFonts w:hint="default" w:ascii="仿宋" w:hAnsi="仿宋" w:eastAsia="仿宋"/>
          <w:kern w:val="2"/>
          <w:sz w:val="28"/>
          <w:szCs w:val="28"/>
          <w:lang w:val="en-US" w:eastAsia="zh-CN" w:bidi="ar-SA"/>
        </w:rPr>
        <w:t>1.符合《政府采购法》第二十二条要求及《政府采购法实施条例》第十七条之规定：</w:t>
      </w:r>
    </w:p>
    <w:p>
      <w:pPr>
        <w:keepNext w:val="0"/>
        <w:keepLines w:val="0"/>
        <w:pageBreakBefore w:val="0"/>
        <w:widowControl w:val="0"/>
        <w:kinsoku/>
        <w:wordWrap/>
        <w:overflowPunct/>
        <w:topLinePunct w:val="0"/>
        <w:autoSpaceDE/>
        <w:autoSpaceDN/>
        <w:bidi w:val="0"/>
        <w:adjustRightInd/>
        <w:snapToGrid/>
        <w:spacing w:line="560" w:lineRule="exact"/>
        <w:ind w:firstLine="564" w:firstLineChars="200"/>
        <w:textAlignment w:val="auto"/>
        <w:rPr>
          <w:rFonts w:hint="default" w:ascii="仿宋" w:hAnsi="仿宋" w:eastAsia="仿宋"/>
          <w:kern w:val="2"/>
          <w:sz w:val="28"/>
          <w:szCs w:val="28"/>
          <w:lang w:val="en-US" w:eastAsia="zh-CN" w:bidi="ar-SA"/>
        </w:rPr>
      </w:pPr>
      <w:r>
        <w:rPr>
          <w:rFonts w:hint="default" w:ascii="仿宋" w:hAnsi="仿宋" w:eastAsia="仿宋"/>
          <w:kern w:val="2"/>
          <w:sz w:val="28"/>
          <w:szCs w:val="28"/>
          <w:lang w:val="en-US" w:eastAsia="zh-CN" w:bidi="ar-SA"/>
        </w:rPr>
        <w:t>（1）投标人须提供</w:t>
      </w:r>
      <w:r>
        <w:rPr>
          <w:rFonts w:hint="eastAsia" w:ascii="仿宋" w:hAnsi="仿宋" w:eastAsia="仿宋"/>
          <w:kern w:val="2"/>
          <w:sz w:val="28"/>
          <w:szCs w:val="28"/>
          <w:lang w:val="en-US" w:eastAsia="zh-CN" w:bidi="ar-SA"/>
        </w:rPr>
        <w:t>经年检</w:t>
      </w:r>
      <w:r>
        <w:rPr>
          <w:rFonts w:hint="default" w:ascii="仿宋" w:hAnsi="仿宋" w:eastAsia="仿宋"/>
          <w:kern w:val="2"/>
          <w:sz w:val="28"/>
          <w:szCs w:val="28"/>
          <w:lang w:val="en-US" w:eastAsia="zh-CN" w:bidi="ar-SA"/>
        </w:rPr>
        <w:t>合格</w:t>
      </w:r>
      <w:r>
        <w:rPr>
          <w:rFonts w:hint="eastAsia" w:ascii="仿宋" w:hAnsi="仿宋" w:eastAsia="仿宋"/>
          <w:kern w:val="2"/>
          <w:sz w:val="28"/>
          <w:szCs w:val="28"/>
          <w:lang w:val="en-US" w:eastAsia="zh-CN" w:bidi="ar-SA"/>
        </w:rPr>
        <w:t>且</w:t>
      </w:r>
      <w:r>
        <w:rPr>
          <w:rFonts w:hint="default" w:ascii="仿宋" w:hAnsi="仿宋" w:eastAsia="仿宋"/>
          <w:kern w:val="2"/>
          <w:sz w:val="28"/>
          <w:szCs w:val="28"/>
          <w:lang w:val="en-US" w:eastAsia="zh-CN" w:bidi="ar-SA"/>
        </w:rPr>
        <w:t>与本项目相关的营业执照、税务登记证及组织机构代码证（三证合一的营业执照不需提供税务登记证、组织机构代码证）</w:t>
      </w:r>
      <w:r>
        <w:rPr>
          <w:rFonts w:hint="eastAsia" w:ascii="仿宋" w:hAnsi="仿宋" w:eastAsia="仿宋"/>
          <w:kern w:val="2"/>
          <w:sz w:val="28"/>
          <w:szCs w:val="28"/>
          <w:lang w:val="en-US" w:eastAsia="zh-CN" w:bidi="ar-SA"/>
        </w:rPr>
        <w:t>、开户行许可证原件或银行基本户证明，以上证件须提供原件或含有二维码标识的加盖投标企业公章的复印件，</w:t>
      </w:r>
      <w:r>
        <w:rPr>
          <w:rFonts w:hint="default" w:ascii="仿宋" w:hAnsi="仿宋" w:eastAsia="仿宋"/>
          <w:kern w:val="2"/>
          <w:sz w:val="28"/>
          <w:szCs w:val="28"/>
          <w:lang w:val="en-US" w:eastAsia="zh-CN" w:bidi="ar-SA"/>
        </w:rPr>
        <w:t>开标现场</w:t>
      </w:r>
      <w:r>
        <w:rPr>
          <w:rFonts w:hint="eastAsia" w:ascii="仿宋" w:hAnsi="仿宋" w:eastAsia="仿宋"/>
          <w:kern w:val="2"/>
          <w:sz w:val="28"/>
          <w:szCs w:val="28"/>
          <w:lang w:val="en-US" w:eastAsia="zh-CN" w:bidi="ar-SA"/>
        </w:rPr>
        <w:t>扫描二维码核实真伪，若扫描的二维码与复印件相一致则该复印件视同于原件</w:t>
      </w:r>
      <w:r>
        <w:rPr>
          <w:rFonts w:hint="default" w:ascii="仿宋" w:hAnsi="仿宋" w:eastAsia="仿宋"/>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564" w:firstLineChars="200"/>
        <w:textAlignment w:val="auto"/>
        <w:rPr>
          <w:rFonts w:hint="default" w:ascii="仿宋" w:hAnsi="仿宋" w:eastAsia="仿宋"/>
          <w:kern w:val="2"/>
          <w:sz w:val="28"/>
          <w:szCs w:val="28"/>
          <w:lang w:val="en-US" w:eastAsia="zh-CN" w:bidi="ar-SA"/>
        </w:rPr>
      </w:pPr>
      <w:r>
        <w:rPr>
          <w:rFonts w:hint="default" w:ascii="仿宋" w:hAnsi="仿宋" w:eastAsia="仿宋"/>
          <w:kern w:val="2"/>
          <w:sz w:val="28"/>
          <w:szCs w:val="28"/>
          <w:lang w:val="en-US" w:eastAsia="zh-CN" w:bidi="ar-SA"/>
        </w:rPr>
        <w:t>（2）投标人须提供法定代表人身份证或法人授权函（原件）及法人授权人身份证复印件；</w:t>
      </w:r>
    </w:p>
    <w:p>
      <w:pPr>
        <w:keepNext w:val="0"/>
        <w:keepLines w:val="0"/>
        <w:pageBreakBefore w:val="0"/>
        <w:widowControl w:val="0"/>
        <w:kinsoku/>
        <w:wordWrap/>
        <w:overflowPunct/>
        <w:topLinePunct w:val="0"/>
        <w:autoSpaceDE/>
        <w:autoSpaceDN/>
        <w:bidi w:val="0"/>
        <w:adjustRightInd/>
        <w:snapToGrid/>
        <w:spacing w:line="560" w:lineRule="exact"/>
        <w:ind w:firstLine="564" w:firstLineChars="200"/>
        <w:textAlignment w:val="auto"/>
        <w:rPr>
          <w:rFonts w:hint="default" w:ascii="仿宋" w:hAnsi="仿宋" w:eastAsia="仿宋"/>
          <w:kern w:val="2"/>
          <w:sz w:val="28"/>
          <w:szCs w:val="28"/>
          <w:lang w:val="en-US" w:eastAsia="zh-CN" w:bidi="ar-SA"/>
        </w:rPr>
      </w:pPr>
      <w:r>
        <w:rPr>
          <w:rFonts w:hint="default" w:ascii="仿宋" w:hAnsi="仿宋" w:eastAsia="仿宋"/>
          <w:kern w:val="2"/>
          <w:sz w:val="28"/>
          <w:szCs w:val="28"/>
          <w:lang w:val="en-US" w:eastAsia="zh-CN" w:bidi="ar-SA"/>
        </w:rPr>
        <w:t>（3）投标人须提供20</w:t>
      </w:r>
      <w:r>
        <w:rPr>
          <w:rFonts w:hint="eastAsia" w:ascii="仿宋" w:hAnsi="仿宋" w:eastAsia="仿宋"/>
          <w:kern w:val="2"/>
          <w:sz w:val="28"/>
          <w:szCs w:val="28"/>
          <w:lang w:val="en-US" w:eastAsia="zh-CN" w:bidi="ar-SA"/>
        </w:rPr>
        <w:t>20</w:t>
      </w:r>
      <w:r>
        <w:rPr>
          <w:rFonts w:hint="default" w:ascii="仿宋" w:hAnsi="仿宋" w:eastAsia="仿宋"/>
          <w:kern w:val="2"/>
          <w:sz w:val="28"/>
          <w:szCs w:val="28"/>
          <w:lang w:val="en-US" w:eastAsia="zh-CN" w:bidi="ar-SA"/>
        </w:rPr>
        <w:t>年度经审计的财务审计报告（成立不足一年的企业须提供相关证明材料）；</w:t>
      </w:r>
    </w:p>
    <w:p>
      <w:pPr>
        <w:keepNext w:val="0"/>
        <w:keepLines w:val="0"/>
        <w:pageBreakBefore w:val="0"/>
        <w:widowControl w:val="0"/>
        <w:kinsoku/>
        <w:wordWrap/>
        <w:overflowPunct/>
        <w:topLinePunct w:val="0"/>
        <w:autoSpaceDE/>
        <w:autoSpaceDN/>
        <w:bidi w:val="0"/>
        <w:adjustRightInd/>
        <w:snapToGrid/>
        <w:spacing w:line="560" w:lineRule="exact"/>
        <w:ind w:firstLine="564" w:firstLineChars="200"/>
        <w:textAlignment w:val="auto"/>
        <w:rPr>
          <w:rFonts w:hint="default" w:ascii="仿宋" w:hAnsi="仿宋" w:eastAsia="仿宋"/>
          <w:kern w:val="2"/>
          <w:sz w:val="28"/>
          <w:szCs w:val="28"/>
          <w:lang w:val="en-US" w:eastAsia="zh-CN" w:bidi="ar-SA"/>
        </w:rPr>
      </w:pPr>
      <w:r>
        <w:rPr>
          <w:rFonts w:hint="default" w:ascii="仿宋" w:hAnsi="仿宋" w:eastAsia="仿宋"/>
          <w:kern w:val="2"/>
          <w:sz w:val="28"/>
          <w:szCs w:val="28"/>
          <w:lang w:val="en-US" w:eastAsia="zh-CN" w:bidi="ar-SA"/>
        </w:rPr>
        <w:t>（4）投标人须提供（2020年</w:t>
      </w:r>
      <w:r>
        <w:rPr>
          <w:rFonts w:hint="eastAsia" w:ascii="仿宋" w:hAnsi="仿宋" w:eastAsia="仿宋"/>
          <w:kern w:val="2"/>
          <w:sz w:val="28"/>
          <w:szCs w:val="28"/>
          <w:lang w:val="en-US" w:eastAsia="zh-CN" w:bidi="ar-SA"/>
        </w:rPr>
        <w:t>10</w:t>
      </w:r>
      <w:r>
        <w:rPr>
          <w:rFonts w:hint="default" w:ascii="仿宋" w:hAnsi="仿宋" w:eastAsia="仿宋"/>
          <w:kern w:val="2"/>
          <w:sz w:val="28"/>
          <w:szCs w:val="28"/>
          <w:lang w:val="en-US" w:eastAsia="zh-CN" w:bidi="ar-SA"/>
        </w:rPr>
        <w:t>月-202</w:t>
      </w:r>
      <w:r>
        <w:rPr>
          <w:rFonts w:hint="eastAsia" w:ascii="仿宋" w:hAnsi="仿宋" w:eastAsia="仿宋"/>
          <w:kern w:val="2"/>
          <w:sz w:val="28"/>
          <w:szCs w:val="28"/>
          <w:lang w:val="en-US" w:eastAsia="zh-CN" w:bidi="ar-SA"/>
        </w:rPr>
        <w:t>1</w:t>
      </w:r>
      <w:r>
        <w:rPr>
          <w:rFonts w:hint="default" w:ascii="仿宋" w:hAnsi="仿宋" w:eastAsia="仿宋"/>
          <w:kern w:val="2"/>
          <w:sz w:val="28"/>
          <w:szCs w:val="28"/>
          <w:lang w:val="en-US" w:eastAsia="zh-CN" w:bidi="ar-SA"/>
        </w:rPr>
        <w:t>年</w:t>
      </w:r>
      <w:r>
        <w:rPr>
          <w:rFonts w:hint="eastAsia" w:ascii="仿宋" w:hAnsi="仿宋" w:eastAsia="仿宋"/>
          <w:kern w:val="2"/>
          <w:sz w:val="28"/>
          <w:szCs w:val="28"/>
          <w:lang w:val="en-US" w:eastAsia="zh-CN" w:bidi="ar-SA"/>
        </w:rPr>
        <w:t>3</w:t>
      </w:r>
      <w:r>
        <w:rPr>
          <w:rFonts w:hint="default" w:ascii="仿宋" w:hAnsi="仿宋" w:eastAsia="仿宋"/>
          <w:kern w:val="2"/>
          <w:sz w:val="28"/>
          <w:szCs w:val="28"/>
          <w:lang w:val="en-US" w:eastAsia="zh-CN" w:bidi="ar-SA"/>
        </w:rPr>
        <w:t>月）税收缴纳证明材料（完税证明或缴纳凭证，无需纳税的应提供相关证明材料，如完税说明或零申报记录）；</w:t>
      </w:r>
    </w:p>
    <w:p>
      <w:pPr>
        <w:keepNext w:val="0"/>
        <w:keepLines w:val="0"/>
        <w:pageBreakBefore w:val="0"/>
        <w:widowControl w:val="0"/>
        <w:kinsoku/>
        <w:wordWrap/>
        <w:overflowPunct/>
        <w:topLinePunct w:val="0"/>
        <w:autoSpaceDE/>
        <w:autoSpaceDN/>
        <w:bidi w:val="0"/>
        <w:adjustRightInd/>
        <w:snapToGrid/>
        <w:spacing w:line="560" w:lineRule="exact"/>
        <w:ind w:firstLine="564" w:firstLineChars="200"/>
        <w:textAlignment w:val="auto"/>
        <w:rPr>
          <w:rFonts w:hint="default" w:ascii="仿宋" w:hAnsi="仿宋" w:eastAsia="仿宋"/>
          <w:kern w:val="2"/>
          <w:sz w:val="28"/>
          <w:szCs w:val="28"/>
          <w:lang w:val="en-US" w:eastAsia="zh-CN" w:bidi="ar-SA"/>
        </w:rPr>
      </w:pPr>
      <w:r>
        <w:rPr>
          <w:rFonts w:hint="default" w:ascii="仿宋" w:hAnsi="仿宋" w:eastAsia="仿宋"/>
          <w:kern w:val="2"/>
          <w:sz w:val="28"/>
          <w:szCs w:val="28"/>
          <w:lang w:val="en-US" w:eastAsia="zh-CN" w:bidi="ar-SA"/>
        </w:rPr>
        <w:t>（5）投标人须提供（2020年</w:t>
      </w:r>
      <w:r>
        <w:rPr>
          <w:rFonts w:hint="eastAsia" w:ascii="仿宋" w:hAnsi="仿宋" w:eastAsia="仿宋"/>
          <w:kern w:val="2"/>
          <w:sz w:val="28"/>
          <w:szCs w:val="28"/>
          <w:lang w:val="en-US" w:eastAsia="zh-CN" w:bidi="ar-SA"/>
        </w:rPr>
        <w:t>10</w:t>
      </w:r>
      <w:r>
        <w:rPr>
          <w:rFonts w:hint="default" w:ascii="仿宋" w:hAnsi="仿宋" w:eastAsia="仿宋"/>
          <w:kern w:val="2"/>
          <w:sz w:val="28"/>
          <w:szCs w:val="28"/>
          <w:lang w:val="en-US" w:eastAsia="zh-CN" w:bidi="ar-SA"/>
        </w:rPr>
        <w:t>月-202</w:t>
      </w:r>
      <w:r>
        <w:rPr>
          <w:rFonts w:hint="eastAsia" w:ascii="仿宋" w:hAnsi="仿宋" w:eastAsia="仿宋"/>
          <w:kern w:val="2"/>
          <w:sz w:val="28"/>
          <w:szCs w:val="28"/>
          <w:lang w:val="en-US" w:eastAsia="zh-CN" w:bidi="ar-SA"/>
        </w:rPr>
        <w:t>1</w:t>
      </w:r>
      <w:r>
        <w:rPr>
          <w:rFonts w:hint="default" w:ascii="仿宋" w:hAnsi="仿宋" w:eastAsia="仿宋"/>
          <w:kern w:val="2"/>
          <w:sz w:val="28"/>
          <w:szCs w:val="28"/>
          <w:lang w:val="en-US" w:eastAsia="zh-CN" w:bidi="ar-SA"/>
        </w:rPr>
        <w:t>年</w:t>
      </w:r>
      <w:r>
        <w:rPr>
          <w:rFonts w:hint="eastAsia" w:ascii="仿宋" w:hAnsi="仿宋" w:eastAsia="仿宋"/>
          <w:kern w:val="2"/>
          <w:sz w:val="28"/>
          <w:szCs w:val="28"/>
          <w:lang w:val="en-US" w:eastAsia="zh-CN" w:bidi="ar-SA"/>
        </w:rPr>
        <w:t>3</w:t>
      </w:r>
      <w:r>
        <w:rPr>
          <w:rFonts w:hint="default" w:ascii="仿宋" w:hAnsi="仿宋" w:eastAsia="仿宋"/>
          <w:kern w:val="2"/>
          <w:sz w:val="28"/>
          <w:szCs w:val="28"/>
          <w:lang w:val="en-US" w:eastAsia="zh-CN" w:bidi="ar-SA"/>
        </w:rPr>
        <w:t>月）缴纳社保证明材料（包括缴纳专用收据或缴费凭证。供应商注册时间不满</w:t>
      </w:r>
      <w:r>
        <w:rPr>
          <w:rFonts w:hint="eastAsia" w:ascii="仿宋" w:hAnsi="仿宋" w:eastAsia="仿宋"/>
          <w:kern w:val="2"/>
          <w:sz w:val="28"/>
          <w:szCs w:val="28"/>
          <w:lang w:val="en-US" w:eastAsia="zh-CN" w:bidi="ar-SA"/>
        </w:rPr>
        <w:t>6</w:t>
      </w:r>
      <w:r>
        <w:rPr>
          <w:rFonts w:hint="default" w:ascii="仿宋" w:hAnsi="仿宋" w:eastAsia="仿宋"/>
          <w:kern w:val="2"/>
          <w:sz w:val="28"/>
          <w:szCs w:val="28"/>
          <w:lang w:val="en-US" w:eastAsia="zh-CN" w:bidi="ar-SA"/>
        </w:rPr>
        <w:t>个月的，应当提供注册时至参加政府采购活动时相应期限内本单位缴纳社会保障资金的清单。依法不需要缴纳社会保障资金的供应商，应当提供相应文件证明）；</w:t>
      </w:r>
    </w:p>
    <w:p>
      <w:pPr>
        <w:keepNext w:val="0"/>
        <w:keepLines w:val="0"/>
        <w:pageBreakBefore w:val="0"/>
        <w:widowControl w:val="0"/>
        <w:kinsoku/>
        <w:wordWrap/>
        <w:overflowPunct/>
        <w:topLinePunct w:val="0"/>
        <w:autoSpaceDE/>
        <w:autoSpaceDN/>
        <w:bidi w:val="0"/>
        <w:adjustRightInd/>
        <w:snapToGrid/>
        <w:spacing w:line="560" w:lineRule="exact"/>
        <w:ind w:firstLine="564" w:firstLineChars="200"/>
        <w:textAlignment w:val="auto"/>
        <w:rPr>
          <w:rFonts w:hint="default" w:ascii="仿宋" w:hAnsi="仿宋" w:eastAsia="仿宋"/>
          <w:kern w:val="2"/>
          <w:sz w:val="28"/>
          <w:szCs w:val="28"/>
          <w:lang w:val="en-US" w:eastAsia="zh-CN" w:bidi="ar-SA"/>
        </w:rPr>
      </w:pPr>
      <w:r>
        <w:rPr>
          <w:rFonts w:hint="default" w:ascii="仿宋" w:hAnsi="仿宋" w:eastAsia="仿宋"/>
          <w:kern w:val="2"/>
          <w:sz w:val="28"/>
          <w:szCs w:val="28"/>
          <w:lang w:val="en-US" w:eastAsia="zh-CN" w:bidi="ar-SA"/>
        </w:rPr>
        <w:t>（</w:t>
      </w:r>
      <w:r>
        <w:rPr>
          <w:rFonts w:hint="eastAsia" w:ascii="仿宋" w:hAnsi="仿宋" w:eastAsia="仿宋"/>
          <w:kern w:val="2"/>
          <w:sz w:val="28"/>
          <w:szCs w:val="28"/>
          <w:lang w:val="en-US" w:eastAsia="zh-CN" w:bidi="ar-SA"/>
        </w:rPr>
        <w:t>6</w:t>
      </w:r>
      <w:r>
        <w:rPr>
          <w:rFonts w:hint="default" w:ascii="仿宋" w:hAnsi="仿宋" w:eastAsia="仿宋"/>
          <w:kern w:val="2"/>
          <w:sz w:val="28"/>
          <w:szCs w:val="28"/>
          <w:lang w:val="en-US" w:eastAsia="zh-CN" w:bidi="ar-SA"/>
        </w:rPr>
        <w:t>）投标人未被列入失信被执行人、重大税收违法案件当事人名单、政府采购严重违法失信行为记录名单，不处于禁止参加政府采购等招投标活动期间。查询渠道：“信用中国”网站（www.creditchina.gov.cn）、“中国政府采购网”（www.ccgp.gov.cn）等信用查询网站或平台。查询截止时间与递交文件截止时间相同，以开标现场查询结果为准；</w:t>
      </w:r>
    </w:p>
    <w:p>
      <w:pPr>
        <w:keepNext w:val="0"/>
        <w:keepLines w:val="0"/>
        <w:pageBreakBefore w:val="0"/>
        <w:widowControl w:val="0"/>
        <w:kinsoku/>
        <w:wordWrap/>
        <w:overflowPunct/>
        <w:topLinePunct w:val="0"/>
        <w:autoSpaceDE/>
        <w:autoSpaceDN/>
        <w:bidi w:val="0"/>
        <w:adjustRightInd/>
        <w:snapToGrid/>
        <w:spacing w:line="560" w:lineRule="exact"/>
        <w:ind w:firstLine="564" w:firstLineChars="200"/>
        <w:textAlignment w:val="auto"/>
        <w:rPr>
          <w:rFonts w:hint="default" w:ascii="仿宋" w:hAnsi="仿宋" w:eastAsia="仿宋"/>
          <w:kern w:val="2"/>
          <w:sz w:val="28"/>
          <w:szCs w:val="28"/>
          <w:lang w:val="en-US" w:eastAsia="zh-CN" w:bidi="ar-SA"/>
        </w:rPr>
      </w:pPr>
      <w:r>
        <w:rPr>
          <w:rFonts w:hint="default" w:ascii="仿宋" w:hAnsi="仿宋" w:eastAsia="仿宋"/>
          <w:kern w:val="2"/>
          <w:sz w:val="28"/>
          <w:szCs w:val="28"/>
          <w:lang w:val="en-US" w:eastAsia="zh-CN" w:bidi="ar-SA"/>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line="560" w:lineRule="exact"/>
        <w:ind w:firstLine="564" w:firstLineChars="200"/>
        <w:textAlignment w:val="auto"/>
        <w:rPr>
          <w:rFonts w:hint="eastAsia" w:ascii="仿宋" w:hAnsi="仿宋" w:eastAsia="仿宋"/>
          <w:kern w:val="2"/>
          <w:sz w:val="28"/>
          <w:szCs w:val="28"/>
          <w:lang w:val="en-US" w:eastAsia="zh-CN" w:bidi="ar-SA"/>
        </w:rPr>
      </w:pPr>
      <w:r>
        <w:rPr>
          <w:rFonts w:hint="default" w:ascii="仿宋" w:hAnsi="仿宋" w:eastAsia="仿宋"/>
          <w:kern w:val="2"/>
          <w:sz w:val="28"/>
          <w:szCs w:val="28"/>
          <w:lang w:val="en-US" w:eastAsia="zh-CN" w:bidi="ar-SA"/>
        </w:rPr>
        <w:t>（</w:t>
      </w:r>
      <w:r>
        <w:rPr>
          <w:rFonts w:hint="eastAsia" w:ascii="仿宋" w:hAnsi="仿宋" w:eastAsia="仿宋"/>
          <w:kern w:val="2"/>
          <w:sz w:val="28"/>
          <w:szCs w:val="28"/>
          <w:lang w:val="en-US" w:eastAsia="zh-CN" w:bidi="ar-SA"/>
        </w:rPr>
        <w:t>1）根据财库【2020】46号文件规定，对于非专门面向中小型企业的采购项目，对小型和微型企业产品的价格给予10%的扣除。</w:t>
      </w:r>
    </w:p>
    <w:p>
      <w:pPr>
        <w:keepNext w:val="0"/>
        <w:keepLines w:val="0"/>
        <w:pageBreakBefore w:val="0"/>
        <w:widowControl w:val="0"/>
        <w:kinsoku/>
        <w:wordWrap/>
        <w:overflowPunct/>
        <w:topLinePunct w:val="0"/>
        <w:autoSpaceDE/>
        <w:autoSpaceDN/>
        <w:bidi w:val="0"/>
        <w:adjustRightInd/>
        <w:snapToGrid/>
        <w:spacing w:line="560" w:lineRule="exact"/>
        <w:ind w:firstLine="564" w:firstLineChars="200"/>
        <w:textAlignment w:val="auto"/>
        <w:rPr>
          <w:rFonts w:hint="eastAsia" w:ascii="仿宋" w:hAnsi="仿宋" w:eastAsia="仿宋"/>
          <w:kern w:val="2"/>
          <w:sz w:val="28"/>
          <w:szCs w:val="28"/>
          <w:lang w:val="en-US" w:eastAsia="zh-CN" w:bidi="ar-SA"/>
        </w:rPr>
      </w:pPr>
      <w:r>
        <w:rPr>
          <w:rFonts w:hint="eastAsia" w:ascii="仿宋" w:hAnsi="仿宋" w:eastAsia="仿宋"/>
          <w:kern w:val="2"/>
          <w:sz w:val="28"/>
          <w:szCs w:val="28"/>
          <w:lang w:val="en-US" w:eastAsia="zh-CN" w:bidi="ar-SA"/>
        </w:rPr>
        <w:t>（2）根据财政部发布的《关于政府采购支持监狱企业发展有关问题的通知》规定，本项目对监狱企业产品的价格给予10%的扣除。</w:t>
      </w:r>
    </w:p>
    <w:p>
      <w:pPr>
        <w:keepNext w:val="0"/>
        <w:keepLines w:val="0"/>
        <w:pageBreakBefore w:val="0"/>
        <w:widowControl w:val="0"/>
        <w:kinsoku/>
        <w:wordWrap/>
        <w:overflowPunct/>
        <w:topLinePunct w:val="0"/>
        <w:autoSpaceDE/>
        <w:autoSpaceDN/>
        <w:bidi w:val="0"/>
        <w:adjustRightInd/>
        <w:snapToGrid/>
        <w:spacing w:line="560" w:lineRule="exact"/>
        <w:ind w:firstLine="564" w:firstLineChars="200"/>
        <w:textAlignment w:val="auto"/>
        <w:rPr>
          <w:rFonts w:hint="eastAsia" w:ascii="仿宋" w:hAnsi="仿宋" w:eastAsia="仿宋"/>
          <w:kern w:val="2"/>
          <w:sz w:val="28"/>
          <w:szCs w:val="28"/>
          <w:lang w:val="en-US" w:eastAsia="zh-CN" w:bidi="ar-SA"/>
        </w:rPr>
      </w:pPr>
      <w:r>
        <w:rPr>
          <w:rFonts w:hint="eastAsia" w:ascii="仿宋" w:hAnsi="仿宋" w:eastAsia="仿宋"/>
          <w:kern w:val="2"/>
          <w:sz w:val="28"/>
          <w:szCs w:val="28"/>
          <w:lang w:val="en-US" w:eastAsia="zh-CN" w:bidi="ar-SA"/>
        </w:rPr>
        <w:t>（3）根据财政部、民政部、中国残疾人联合会发布的《关于促进残疾人就业政府采购政策的通知》规定，本项目对残疾人福利性单位产品的价格给予10%的扣除，需提供采集人缴纳社保证明及残疾人就业花名。</w:t>
      </w:r>
    </w:p>
    <w:p>
      <w:pPr>
        <w:keepNext w:val="0"/>
        <w:keepLines w:val="0"/>
        <w:pageBreakBefore w:val="0"/>
        <w:widowControl w:val="0"/>
        <w:kinsoku/>
        <w:wordWrap/>
        <w:overflowPunct/>
        <w:topLinePunct w:val="0"/>
        <w:autoSpaceDE/>
        <w:autoSpaceDN/>
        <w:bidi w:val="0"/>
        <w:adjustRightInd/>
        <w:snapToGrid/>
        <w:spacing w:line="560" w:lineRule="exact"/>
        <w:ind w:firstLine="564" w:firstLineChars="200"/>
        <w:textAlignment w:val="auto"/>
        <w:rPr>
          <w:rFonts w:hint="default" w:ascii="仿宋" w:hAnsi="仿宋" w:eastAsia="仿宋"/>
          <w:kern w:val="2"/>
          <w:sz w:val="28"/>
          <w:szCs w:val="28"/>
          <w:lang w:val="en-US" w:eastAsia="zh-CN" w:bidi="ar-SA"/>
        </w:rPr>
      </w:pPr>
      <w:r>
        <w:rPr>
          <w:rFonts w:hint="default" w:ascii="仿宋" w:hAnsi="仿宋" w:eastAsia="仿宋"/>
          <w:kern w:val="2"/>
          <w:sz w:val="28"/>
          <w:szCs w:val="28"/>
          <w:lang w:val="en-US" w:eastAsia="zh-CN" w:bidi="ar-SA"/>
        </w:rPr>
        <w:t>3.本项目的特定资格要求：</w:t>
      </w:r>
      <w:r>
        <w:rPr>
          <w:rFonts w:hint="eastAsia" w:ascii="仿宋" w:hAnsi="仿宋" w:eastAsia="仿宋"/>
          <w:kern w:val="2"/>
          <w:sz w:val="28"/>
          <w:szCs w:val="28"/>
          <w:lang w:val="en-US" w:eastAsia="zh-CN" w:bidi="ar-SA"/>
        </w:rPr>
        <w:t>无。</w:t>
      </w:r>
    </w:p>
    <w:p>
      <w:pPr>
        <w:pStyle w:val="4"/>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黑体" w:hAnsi="黑体" w:cs="宋体"/>
          <w:b w:val="0"/>
          <w:sz w:val="28"/>
          <w:szCs w:val="28"/>
          <w:lang w:val="en-US" w:eastAsia="zh-CN"/>
        </w:rPr>
      </w:pPr>
      <w:r>
        <w:rPr>
          <w:rFonts w:hint="eastAsia" w:ascii="黑体" w:hAnsi="黑体" w:cs="宋体"/>
          <w:b w:val="0"/>
          <w:sz w:val="28"/>
          <w:szCs w:val="28"/>
          <w:lang w:val="en-US" w:eastAsia="zh-CN"/>
        </w:rPr>
        <w:t xml:space="preserve">三、获取采购文件 </w:t>
      </w:r>
    </w:p>
    <w:p>
      <w:pPr>
        <w:keepNext w:val="0"/>
        <w:keepLines w:val="0"/>
        <w:pageBreakBefore w:val="0"/>
        <w:widowControl w:val="0"/>
        <w:kinsoku/>
        <w:wordWrap/>
        <w:overflowPunct/>
        <w:topLinePunct w:val="0"/>
        <w:autoSpaceDE/>
        <w:autoSpaceDN/>
        <w:bidi w:val="0"/>
        <w:adjustRightInd/>
        <w:snapToGrid/>
        <w:spacing w:line="560" w:lineRule="exact"/>
        <w:ind w:firstLine="564"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招标文件获取时间：2021年  月  日至2021年  月  日，每天上午8:30至12:00，下午14:30至18:00（北京时间，法定节假日除外）</w:t>
      </w:r>
    </w:p>
    <w:p>
      <w:pPr>
        <w:keepNext w:val="0"/>
        <w:keepLines w:val="0"/>
        <w:pageBreakBefore w:val="0"/>
        <w:widowControl w:val="0"/>
        <w:kinsoku/>
        <w:wordWrap/>
        <w:overflowPunct/>
        <w:topLinePunct w:val="0"/>
        <w:autoSpaceDE/>
        <w:autoSpaceDN/>
        <w:bidi w:val="0"/>
        <w:adjustRightInd/>
        <w:snapToGrid/>
        <w:spacing w:line="560" w:lineRule="exact"/>
        <w:ind w:firstLine="564"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招标文件获取地点：镇原县公共资源交易中心电子服务网站</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564"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招标文件获取方式：符合条件的申请人请自行登录镇原县公共资源交易电子服务系统网（http://124.152.185.147:8082/Accounts/Login?ReturnUrl=%2f）“投标单位”模块自行下载。</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564"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注：首次在镇原县公共资源交易中心参与投标的企业，请自行登录镇原县公共源交易电子服务系统网（http://124.152.185.147:8082/Accounts/Login?ReturnUrl=%2f）“投标单位”模块，自动跳转至甘肃省公共资源交易主体共享平台进行注册，完善相关信息并通过认证后，上传相关资料获取招标文件。已注册成功的投标企业请登录镇原县公共源交易电子服务系统网（http://124.152.185.147:8082/Accounts/Login?ReturnUrl=%2f）“投标单位”模块自行上传相关资料后获取招标文件。注册咨询：0931-4267890。</w:t>
      </w:r>
    </w:p>
    <w:p>
      <w:pPr>
        <w:keepNext w:val="0"/>
        <w:keepLines w:val="0"/>
        <w:pageBreakBefore w:val="0"/>
        <w:widowControl w:val="0"/>
        <w:kinsoku/>
        <w:wordWrap/>
        <w:overflowPunct/>
        <w:topLinePunct w:val="0"/>
        <w:autoSpaceDE/>
        <w:autoSpaceDN/>
        <w:bidi w:val="0"/>
        <w:adjustRightInd/>
        <w:snapToGrid/>
        <w:spacing w:line="560" w:lineRule="exact"/>
        <w:ind w:firstLine="564"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招标文件获取售价：0元</w:t>
      </w:r>
    </w:p>
    <w:p>
      <w:pPr>
        <w:pStyle w:val="4"/>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黑体" w:hAnsi="黑体" w:cs="宋体"/>
          <w:b w:val="0"/>
          <w:sz w:val="28"/>
          <w:szCs w:val="28"/>
          <w:lang w:val="en-US" w:eastAsia="zh-CN"/>
        </w:rPr>
      </w:pPr>
      <w:r>
        <w:rPr>
          <w:rFonts w:hint="eastAsia" w:ascii="黑体" w:hAnsi="黑体" w:cs="宋体"/>
          <w:b w:val="0"/>
          <w:sz w:val="28"/>
          <w:szCs w:val="28"/>
          <w:lang w:val="en-US" w:eastAsia="zh-CN"/>
        </w:rPr>
        <w:t>四、提交投标文件截止时间、开标时间和地点</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564"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截止时间：2021年  月  日  点  分（北京时间）</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564"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地点：镇原县公共资源交易中心第  招标大厅</w:t>
      </w:r>
    </w:p>
    <w:p>
      <w:pPr>
        <w:pStyle w:val="4"/>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黑体" w:hAnsi="黑体" w:cs="宋体"/>
          <w:b w:val="0"/>
          <w:sz w:val="28"/>
          <w:szCs w:val="28"/>
          <w:lang w:val="en-US" w:eastAsia="zh-CN"/>
        </w:rPr>
      </w:pPr>
      <w:r>
        <w:rPr>
          <w:rFonts w:hint="eastAsia" w:ascii="黑体" w:hAnsi="黑体" w:cs="宋体"/>
          <w:b w:val="0"/>
          <w:sz w:val="28"/>
          <w:szCs w:val="28"/>
          <w:lang w:val="en-US" w:eastAsia="zh-CN"/>
        </w:rPr>
        <w:t>五、公告期限</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564"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自本公告发布之日起5个工作日。</w:t>
      </w:r>
    </w:p>
    <w:p>
      <w:pPr>
        <w:pStyle w:val="4"/>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黑体" w:hAnsi="黑体" w:cs="宋体"/>
          <w:b w:val="0"/>
          <w:sz w:val="28"/>
          <w:szCs w:val="28"/>
          <w:lang w:val="en-US" w:eastAsia="zh-CN"/>
        </w:rPr>
      </w:pPr>
      <w:r>
        <w:rPr>
          <w:rFonts w:hint="eastAsia" w:ascii="黑体" w:hAnsi="黑体" w:cs="宋体"/>
          <w:b w:val="0"/>
          <w:sz w:val="28"/>
          <w:szCs w:val="28"/>
          <w:lang w:val="en-US" w:eastAsia="zh-CN"/>
        </w:rPr>
        <w:t>六、其他补充事宜</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564"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投标保证金</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564"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1.缴纳金额：捌仟元整（￥8000.00元）</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564"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2.保证金缴纳账户信息：</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564"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（1）账户名称：镇原县公共资源交易中心</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564"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（2）开户行：甘肃银行股份有限公司镇原支行</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564"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（3）账 号：6101 2300 9000 0324 8 </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564"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（4）联系人：李江 </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564"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（5）联系电话：0934-6466551</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564"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3.缴纳时间：投标截止时间之前（以系统到账时间为准）</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564"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4.递交形式:转账、电子保函等非现金形式（必须填写备注，且为ZYZC2021-00  投标保证金） </w:t>
      </w:r>
    </w:p>
    <w:p>
      <w:pPr>
        <w:pStyle w:val="4"/>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黑体" w:hAnsi="黑体" w:cs="宋体"/>
          <w:b w:val="0"/>
          <w:sz w:val="28"/>
          <w:szCs w:val="28"/>
          <w:lang w:val="en-US" w:eastAsia="zh-CN"/>
        </w:rPr>
      </w:pPr>
      <w:r>
        <w:rPr>
          <w:rFonts w:hint="eastAsia" w:ascii="黑体" w:hAnsi="黑体" w:cs="宋体"/>
          <w:b w:val="0"/>
          <w:sz w:val="28"/>
          <w:szCs w:val="28"/>
          <w:lang w:val="en-US" w:eastAsia="zh-CN"/>
        </w:rPr>
        <w:t>七、对本次招标提出询问，请按以下方式联系。</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564"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1.采购人信息</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564"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名    称：镇原县环境卫生管理局</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564"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地    址：镇原县水荫街</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564" w:firstLineChars="200"/>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联系方式：18189349831</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564"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2.采购代理机构信息</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564"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名    称：镇原县公共资源交易中心</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564"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地　  址：镇原县林水大厦四楼</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564"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联系方式：0934-6466552</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564"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3.项目联系方式</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564" w:firstLineChars="200"/>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项目联系人：李崇毅</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564"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电　    话：18189349831</w:t>
      </w:r>
    </w:p>
    <w:p>
      <w:pPr>
        <w:pStyle w:val="2"/>
        <w:keepNext/>
        <w:keepLines/>
        <w:pageBreakBefore w:val="0"/>
        <w:widowControl/>
        <w:kinsoku/>
        <w:wordWrap/>
        <w:overflowPunct/>
        <w:topLinePunct w:val="0"/>
        <w:autoSpaceDE/>
        <w:autoSpaceDN/>
        <w:bidi w:val="0"/>
        <w:adjustRightInd/>
        <w:snapToGrid/>
        <w:spacing w:before="0" w:after="0" w:line="240" w:lineRule="auto"/>
        <w:textAlignment w:val="auto"/>
        <w:rPr>
          <w:rFonts w:hint="eastAsia" w:ascii="仿宋" w:hAnsi="仿宋" w:eastAsia="仿宋"/>
          <w:sz w:val="28"/>
          <w:szCs w:val="28"/>
          <w:lang w:val="en-US" w:eastAsia="zh-CN"/>
        </w:rPr>
      </w:pPr>
    </w:p>
    <w:p>
      <w:pPr>
        <w:rPr>
          <w:rFonts w:hint="eastAsia"/>
        </w:rPr>
      </w:pPr>
    </w:p>
    <w:p>
      <w:pPr>
        <w:pStyle w:val="3"/>
        <w:spacing w:before="0" w:after="0"/>
        <w:jc w:val="center"/>
        <w:rPr>
          <w:rFonts w:hint="eastAsia" w:ascii="宋体" w:hAnsi="宋体"/>
          <w:sz w:val="28"/>
          <w:szCs w:val="28"/>
        </w:rPr>
      </w:pPr>
      <w:r>
        <w:rPr>
          <w:rFonts w:hint="eastAsia"/>
          <w:kern w:val="0"/>
          <w:sz w:val="40"/>
        </w:rPr>
        <w:t>第二章   投标邀请函</w:t>
      </w:r>
      <w:bookmarkEnd w:id="10"/>
      <w:bookmarkEnd w:id="11"/>
    </w:p>
    <w:p>
      <w:pPr>
        <w:spacing w:line="560" w:lineRule="exact"/>
        <w:jc w:val="left"/>
        <w:rPr>
          <w:rFonts w:hint="eastAsia" w:ascii="仿宋" w:hAnsi="仿宋" w:eastAsia="仿宋" w:cs="仿宋"/>
          <w:bCs/>
          <w:sz w:val="28"/>
          <w:szCs w:val="28"/>
        </w:rPr>
      </w:pPr>
      <w:r>
        <w:rPr>
          <w:rFonts w:hint="eastAsia" w:ascii="仿宋" w:hAnsi="仿宋" w:eastAsia="仿宋" w:cs="仿宋"/>
          <w:bCs/>
          <w:sz w:val="28"/>
          <w:szCs w:val="28"/>
        </w:rPr>
        <w:t>各位供应商：</w:t>
      </w:r>
    </w:p>
    <w:p>
      <w:pPr>
        <w:spacing w:line="560" w:lineRule="exact"/>
        <w:ind w:firstLine="564" w:firstLineChars="200"/>
        <w:rPr>
          <w:rFonts w:hint="eastAsia" w:ascii="仿宋" w:hAnsi="仿宋" w:eastAsia="仿宋" w:cs="仿宋"/>
          <w:bCs/>
          <w:sz w:val="28"/>
          <w:szCs w:val="28"/>
        </w:rPr>
      </w:pPr>
      <w:r>
        <w:rPr>
          <w:rFonts w:hint="eastAsia" w:ascii="仿宋" w:hAnsi="仿宋" w:eastAsia="仿宋" w:cs="仿宋"/>
          <w:bCs/>
          <w:sz w:val="28"/>
          <w:szCs w:val="28"/>
        </w:rPr>
        <w:t>感谢参与本项目的竞争性谈判采购活动，我中心根据《政府采购法》的有关规定，对本项目进行竞争性谈判采购，欢迎依法在中华人民共和国境内注册及经营，财务独立，运作合法，遵守国家有关法律、法规，具有相应资格，有能力提供货物及服务，并能提供及时完善后期服务保障的投标人前来投标。</w:t>
      </w:r>
    </w:p>
    <w:p>
      <w:pPr>
        <w:numPr>
          <w:ilvl w:val="0"/>
          <w:numId w:val="2"/>
        </w:numPr>
        <w:spacing w:line="560" w:lineRule="exact"/>
        <w:ind w:firstLine="564" w:firstLineChars="200"/>
        <w:rPr>
          <w:rFonts w:hint="eastAsia" w:ascii="仿宋" w:hAnsi="仿宋" w:eastAsia="仿宋"/>
          <w:sz w:val="28"/>
          <w:szCs w:val="28"/>
          <w:lang w:val="en-US" w:eastAsia="zh-CN"/>
        </w:rPr>
      </w:pPr>
      <w:r>
        <w:rPr>
          <w:rFonts w:hint="eastAsia" w:ascii="仿宋" w:hAnsi="仿宋" w:eastAsia="仿宋" w:cs="仿宋"/>
          <w:bCs/>
          <w:sz w:val="28"/>
          <w:szCs w:val="28"/>
        </w:rPr>
        <w:t>竞争性谈判编号：</w:t>
      </w:r>
      <w:r>
        <w:rPr>
          <w:rFonts w:hint="eastAsia" w:ascii="仿宋" w:hAnsi="仿宋" w:eastAsia="仿宋" w:cs="仿宋"/>
          <w:bCs/>
          <w:sz w:val="28"/>
          <w:szCs w:val="28"/>
          <w:lang w:val="en-US" w:eastAsia="zh-CN"/>
        </w:rPr>
        <w:t>ZYZC2021-00</w:t>
      </w:r>
    </w:p>
    <w:p>
      <w:pPr>
        <w:numPr>
          <w:ilvl w:val="0"/>
          <w:numId w:val="2"/>
        </w:numPr>
        <w:spacing w:line="560" w:lineRule="exact"/>
        <w:ind w:firstLine="564" w:firstLineChars="200"/>
        <w:rPr>
          <w:rFonts w:hint="eastAsia" w:ascii="仿宋" w:hAnsi="仿宋" w:eastAsia="仿宋"/>
          <w:sz w:val="28"/>
          <w:szCs w:val="28"/>
          <w:lang w:val="en-US" w:eastAsia="zh-CN"/>
        </w:rPr>
      </w:pPr>
      <w:r>
        <w:rPr>
          <w:rFonts w:hint="eastAsia" w:ascii="仿宋" w:hAnsi="仿宋" w:eastAsia="仿宋" w:cs="仿宋"/>
          <w:bCs/>
          <w:sz w:val="28"/>
          <w:szCs w:val="28"/>
        </w:rPr>
        <w:t>竞争性谈判内容</w:t>
      </w:r>
      <w:r>
        <w:rPr>
          <w:rFonts w:hint="eastAsia" w:ascii="仿宋" w:hAnsi="仿宋" w:eastAsia="仿宋" w:cs="Times New Roman"/>
          <w:sz w:val="28"/>
          <w:szCs w:val="28"/>
          <w:lang w:val="en-US" w:eastAsia="zh-CN"/>
        </w:rPr>
        <w:t>：</w:t>
      </w:r>
      <w:r>
        <w:rPr>
          <w:rFonts w:hint="eastAsia" w:ascii="仿宋" w:hAnsi="仿宋" w:eastAsia="仿宋" w:cs="仿宋"/>
          <w:i w:val="0"/>
          <w:caps w:val="0"/>
          <w:color w:val="000000"/>
          <w:spacing w:val="0"/>
          <w:kern w:val="0"/>
          <w:sz w:val="28"/>
          <w:szCs w:val="28"/>
          <w:lang w:val="en-US" w:eastAsia="zh-CN" w:bidi="ar"/>
        </w:rPr>
        <w:t>11方喷雾射程80米多功能抑尘车1台</w:t>
      </w:r>
      <w:r>
        <w:rPr>
          <w:rFonts w:hint="eastAsia" w:ascii="仿宋" w:hAnsi="仿宋" w:eastAsia="仿宋" w:cs="仿宋"/>
          <w:bCs/>
          <w:sz w:val="28"/>
          <w:szCs w:val="28"/>
          <w:lang w:val="en-US" w:eastAsia="zh-CN"/>
        </w:rPr>
        <w:t>（注：</w:t>
      </w:r>
      <w:r>
        <w:rPr>
          <w:rFonts w:hint="eastAsia" w:ascii="仿宋" w:hAnsi="仿宋" w:eastAsia="仿宋"/>
          <w:sz w:val="28"/>
          <w:szCs w:val="28"/>
          <w:lang w:val="en-US" w:eastAsia="zh-CN"/>
        </w:rPr>
        <w:t>详见招标文件中采购需求相关内容）。</w:t>
      </w:r>
    </w:p>
    <w:p>
      <w:pPr>
        <w:spacing w:line="560" w:lineRule="exact"/>
        <w:ind w:firstLine="564" w:firstLineChars="200"/>
        <w:rPr>
          <w:rFonts w:hint="eastAsia" w:ascii="仿宋" w:hAnsi="仿宋" w:eastAsia="仿宋" w:cs="仿宋"/>
          <w:bCs/>
          <w:sz w:val="28"/>
          <w:szCs w:val="28"/>
        </w:rPr>
      </w:pPr>
      <w:r>
        <w:rPr>
          <w:rFonts w:hint="eastAsia" w:ascii="仿宋" w:hAnsi="仿宋" w:eastAsia="仿宋" w:cs="仿宋"/>
          <w:bCs/>
          <w:sz w:val="28"/>
          <w:szCs w:val="28"/>
        </w:rPr>
        <w:t>三、投标人按</w:t>
      </w:r>
      <w:r>
        <w:rPr>
          <w:rFonts w:hint="eastAsia" w:ascii="仿宋" w:hAnsi="仿宋" w:eastAsia="仿宋" w:cs="仿宋"/>
          <w:bCs/>
          <w:sz w:val="28"/>
          <w:szCs w:val="28"/>
          <w:lang w:val="en-US" w:eastAsia="zh-CN"/>
        </w:rPr>
        <w:t>谈判</w:t>
      </w:r>
      <w:r>
        <w:rPr>
          <w:rFonts w:hint="eastAsia" w:ascii="仿宋" w:hAnsi="仿宋" w:eastAsia="仿宋" w:cs="仿宋"/>
          <w:bCs/>
          <w:sz w:val="28"/>
          <w:szCs w:val="28"/>
        </w:rPr>
        <w:t>公告</w:t>
      </w:r>
      <w:r>
        <w:rPr>
          <w:rFonts w:hint="eastAsia" w:ascii="仿宋" w:hAnsi="仿宋" w:eastAsia="仿宋" w:cs="仿宋"/>
          <w:bCs/>
          <w:sz w:val="28"/>
          <w:szCs w:val="28"/>
          <w:lang w:val="en-US" w:eastAsia="zh-CN"/>
        </w:rPr>
        <w:t>规定</w:t>
      </w:r>
      <w:r>
        <w:rPr>
          <w:rFonts w:hint="eastAsia" w:ascii="仿宋" w:hAnsi="仿宋" w:eastAsia="仿宋" w:cs="仿宋"/>
          <w:bCs/>
          <w:sz w:val="28"/>
          <w:szCs w:val="28"/>
        </w:rPr>
        <w:t>获取谈判文件、缴纳竞争性谈判保证金账号，及时缴纳后查询保证金到账情况，在竞争性谈判文件递交截止时间前应主动登录甘肃政府采购网以便及时了解相关竞争性谈判信息和补充信息。如因未主动登录网站而未获取相关信息，对其产生的不利因素由投标人自行承担。</w:t>
      </w:r>
    </w:p>
    <w:p>
      <w:pPr>
        <w:spacing w:line="560" w:lineRule="exact"/>
        <w:ind w:firstLine="564" w:firstLineChars="200"/>
        <w:rPr>
          <w:rFonts w:hint="eastAsia" w:ascii="仿宋" w:hAnsi="仿宋" w:eastAsia="仿宋" w:cs="仿宋"/>
          <w:bCs/>
          <w:sz w:val="28"/>
          <w:szCs w:val="28"/>
        </w:rPr>
      </w:pPr>
      <w:r>
        <w:rPr>
          <w:rFonts w:hint="eastAsia" w:ascii="仿宋" w:hAnsi="仿宋" w:eastAsia="仿宋" w:cs="仿宋"/>
          <w:bCs/>
          <w:sz w:val="28"/>
          <w:szCs w:val="28"/>
        </w:rPr>
        <w:t>四、竞争性谈判文件应在竞争性谈判公告规定的递交截止时间之前送达。采购人将拒绝接受在竞争性谈判文件递交截止时间后递交的竞争性谈判文件。</w:t>
      </w:r>
    </w:p>
    <w:p>
      <w:pPr>
        <w:spacing w:line="560" w:lineRule="exact"/>
        <w:ind w:firstLine="564" w:firstLineChars="200"/>
        <w:rPr>
          <w:rFonts w:hint="eastAsia" w:ascii="仿宋" w:hAnsi="仿宋" w:eastAsia="仿宋" w:cs="仿宋"/>
          <w:bCs/>
          <w:sz w:val="28"/>
          <w:szCs w:val="28"/>
        </w:rPr>
      </w:pPr>
      <w:r>
        <w:rPr>
          <w:rFonts w:hint="eastAsia" w:ascii="仿宋" w:hAnsi="仿宋" w:eastAsia="仿宋" w:cs="仿宋"/>
          <w:bCs/>
          <w:sz w:val="28"/>
          <w:szCs w:val="28"/>
        </w:rPr>
        <w:t>五、按照竞争性谈判公告规定的时间、地点准时召开竞争性谈判会议，届时将邀请有关部门人员和投标人法定代表人或委托代理人出席仪式。</w:t>
      </w:r>
    </w:p>
    <w:p>
      <w:pPr>
        <w:spacing w:line="560" w:lineRule="exact"/>
        <w:ind w:firstLine="564" w:firstLineChars="200"/>
        <w:rPr>
          <w:rFonts w:hint="eastAsia" w:ascii="仿宋" w:hAnsi="仿宋" w:eastAsia="仿宋" w:cs="仿宋"/>
          <w:bCs/>
          <w:sz w:val="28"/>
          <w:szCs w:val="28"/>
        </w:rPr>
      </w:pPr>
      <w:r>
        <w:rPr>
          <w:rFonts w:hint="eastAsia" w:ascii="仿宋" w:hAnsi="仿宋" w:eastAsia="仿宋" w:cs="仿宋"/>
          <w:bCs/>
          <w:sz w:val="28"/>
          <w:szCs w:val="28"/>
        </w:rPr>
        <w:t xml:space="preserve">                                  </w:t>
      </w:r>
    </w:p>
    <w:p>
      <w:pPr>
        <w:spacing w:line="560" w:lineRule="exact"/>
        <w:ind w:firstLine="564" w:firstLineChars="200"/>
        <w:rPr>
          <w:rFonts w:hint="eastAsia" w:ascii="仿宋" w:hAnsi="仿宋" w:eastAsia="仿宋" w:cs="仿宋"/>
          <w:bCs/>
          <w:sz w:val="28"/>
          <w:szCs w:val="28"/>
        </w:rPr>
      </w:pPr>
      <w:r>
        <w:rPr>
          <w:rFonts w:hint="eastAsia" w:ascii="仿宋" w:hAnsi="仿宋" w:eastAsia="仿宋" w:cs="仿宋"/>
          <w:bCs/>
          <w:sz w:val="28"/>
          <w:szCs w:val="28"/>
        </w:rPr>
        <w:t xml:space="preserve">    </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 xml:space="preserve">镇原县公共资源交易中心  </w:t>
      </w:r>
    </w:p>
    <w:p>
      <w:pPr>
        <w:pStyle w:val="2"/>
        <w:keepNext/>
        <w:keepLines/>
        <w:pageBreakBefore w:val="0"/>
        <w:widowControl/>
        <w:kinsoku/>
        <w:wordWrap/>
        <w:overflowPunct/>
        <w:topLinePunct w:val="0"/>
        <w:autoSpaceDE/>
        <w:autoSpaceDN/>
        <w:bidi w:val="0"/>
        <w:adjustRightInd/>
        <w:snapToGrid/>
        <w:spacing w:before="0" w:after="0" w:line="240" w:lineRule="auto"/>
        <w:textAlignment w:val="auto"/>
        <w:rPr>
          <w:rFonts w:hint="eastAsia" w:ascii="仿宋" w:hAnsi="仿宋" w:eastAsia="仿宋"/>
          <w:sz w:val="28"/>
          <w:szCs w:val="28"/>
          <w:lang w:val="en-US" w:eastAsia="zh-CN"/>
        </w:rPr>
      </w:pPr>
    </w:p>
    <w:p>
      <w:pPr>
        <w:spacing w:line="520" w:lineRule="exact"/>
        <w:ind w:firstLine="4228" w:firstLineChars="1400"/>
        <w:rPr>
          <w:rFonts w:hint="eastAsia" w:ascii="仿宋" w:hAnsi="仿宋" w:eastAsia="仿宋" w:cs="仿宋"/>
          <w:sz w:val="30"/>
          <w:szCs w:val="30"/>
        </w:rPr>
      </w:pPr>
    </w:p>
    <w:p>
      <w:pPr>
        <w:pStyle w:val="3"/>
        <w:spacing w:before="0" w:after="0"/>
        <w:jc w:val="center"/>
        <w:rPr>
          <w:rFonts w:hint="eastAsia"/>
          <w:kern w:val="0"/>
        </w:rPr>
      </w:pPr>
      <w:bookmarkStart w:id="13" w:name="_Toc22486"/>
      <w:bookmarkStart w:id="14" w:name="_Toc22142"/>
      <w:r>
        <w:rPr>
          <w:rFonts w:hint="eastAsia"/>
          <w:kern w:val="0"/>
        </w:rPr>
        <w:t xml:space="preserve">第三章  </w:t>
      </w:r>
      <w:bookmarkEnd w:id="12"/>
      <w:bookmarkStart w:id="15" w:name="_Toc26802650"/>
      <w:r>
        <w:rPr>
          <w:rFonts w:hint="eastAsia"/>
        </w:rPr>
        <w:t>投标须知前附表</w:t>
      </w:r>
      <w:bookmarkEnd w:id="13"/>
      <w:bookmarkEnd w:id="14"/>
    </w:p>
    <w:tbl>
      <w:tblPr>
        <w:tblStyle w:val="27"/>
        <w:tblW w:w="9345" w:type="dxa"/>
        <w:tblInd w:w="-102" w:type="dxa"/>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53"/>
        <w:gridCol w:w="8592"/>
      </w:tblGrid>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53" w:type="dxa"/>
            <w:tcBorders>
              <w:top w:val="double" w:color="auto" w:sz="6" w:space="0"/>
              <w:left w:val="doub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序号</w:t>
            </w:r>
          </w:p>
        </w:tc>
        <w:tc>
          <w:tcPr>
            <w:tcW w:w="8592" w:type="dxa"/>
            <w:tcBorders>
              <w:top w:val="double" w:color="auto" w:sz="6" w:space="0"/>
              <w:left w:val="single" w:color="auto" w:sz="4" w:space="0"/>
              <w:bottom w:val="single" w:color="auto" w:sz="4" w:space="0"/>
              <w:right w:val="doub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firstLine="564" w:firstLineChars="200"/>
              <w:jc w:val="center"/>
              <w:textAlignment w:val="auto"/>
              <w:rPr>
                <w:rFonts w:hint="eastAsia" w:ascii="仿宋" w:hAnsi="仿宋" w:eastAsia="仿宋" w:cs="仿宋"/>
                <w:bCs/>
                <w:sz w:val="28"/>
                <w:szCs w:val="28"/>
              </w:rPr>
            </w:pPr>
            <w:r>
              <w:rPr>
                <w:rFonts w:hint="eastAsia" w:ascii="仿宋" w:hAnsi="仿宋" w:eastAsia="仿宋" w:cs="仿宋"/>
                <w:bCs/>
                <w:sz w:val="28"/>
                <w:szCs w:val="28"/>
              </w:rPr>
              <w:t>内   容   规   定</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3" w:type="dxa"/>
            <w:tcBorders>
              <w:top w:val="single" w:color="auto" w:sz="4" w:space="0"/>
              <w:left w:val="doub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1</w:t>
            </w:r>
          </w:p>
        </w:tc>
        <w:tc>
          <w:tcPr>
            <w:tcW w:w="8592" w:type="dxa"/>
            <w:tcBorders>
              <w:top w:val="single" w:color="auto" w:sz="4" w:space="0"/>
              <w:left w:val="single" w:color="auto" w:sz="4" w:space="0"/>
              <w:bottom w:val="single" w:color="auto" w:sz="4" w:space="0"/>
              <w:right w:val="doub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firstLine="564" w:firstLineChars="200"/>
              <w:textAlignment w:val="auto"/>
              <w:rPr>
                <w:rFonts w:hint="eastAsia" w:ascii="仿宋" w:hAnsi="仿宋" w:eastAsia="仿宋" w:cs="仿宋"/>
                <w:bCs/>
                <w:sz w:val="28"/>
                <w:szCs w:val="28"/>
                <w:lang w:eastAsia="zh-CN"/>
              </w:rPr>
            </w:pPr>
            <w:r>
              <w:rPr>
                <w:rFonts w:hint="eastAsia" w:ascii="仿宋" w:hAnsi="仿宋" w:eastAsia="仿宋" w:cs="仿宋"/>
                <w:bCs/>
                <w:sz w:val="28"/>
                <w:szCs w:val="28"/>
              </w:rPr>
              <w:t>项目名称：</w:t>
            </w:r>
            <w:r>
              <w:rPr>
                <w:rFonts w:hint="eastAsia" w:ascii="仿宋" w:hAnsi="仿宋" w:eastAsia="仿宋" w:cs="仿宋"/>
                <w:bCs/>
                <w:sz w:val="28"/>
                <w:szCs w:val="28"/>
                <w:lang w:eastAsia="zh-CN"/>
              </w:rPr>
              <w:t>镇原县环境卫生管理局多功能抑尘车辆采购项目</w:t>
            </w:r>
          </w:p>
          <w:p>
            <w:pPr>
              <w:keepNext w:val="0"/>
              <w:keepLines w:val="0"/>
              <w:pageBreakBefore w:val="0"/>
              <w:widowControl w:val="0"/>
              <w:kinsoku/>
              <w:wordWrap/>
              <w:overflowPunct/>
              <w:topLinePunct w:val="0"/>
              <w:autoSpaceDE/>
              <w:autoSpaceDN/>
              <w:bidi w:val="0"/>
              <w:adjustRightInd/>
              <w:snapToGrid/>
              <w:spacing w:line="540" w:lineRule="exact"/>
              <w:ind w:firstLine="564" w:firstLineChars="200"/>
              <w:textAlignment w:val="auto"/>
              <w:rPr>
                <w:rFonts w:hint="default" w:ascii="仿宋" w:hAnsi="仿宋" w:eastAsia="仿宋" w:cs="仿宋"/>
                <w:bCs/>
                <w:sz w:val="28"/>
                <w:szCs w:val="28"/>
                <w:lang w:val="en-US" w:eastAsia="zh-CN"/>
              </w:rPr>
            </w:pPr>
            <w:r>
              <w:rPr>
                <w:rFonts w:hint="eastAsia" w:ascii="仿宋" w:hAnsi="仿宋" w:eastAsia="仿宋" w:cs="仿宋"/>
                <w:bCs/>
                <w:sz w:val="28"/>
                <w:szCs w:val="28"/>
              </w:rPr>
              <w:t>项目编号：</w:t>
            </w:r>
            <w:r>
              <w:rPr>
                <w:rFonts w:hint="eastAsia" w:ascii="仿宋" w:hAnsi="仿宋" w:eastAsia="仿宋" w:cs="仿宋"/>
                <w:bCs/>
                <w:sz w:val="28"/>
                <w:szCs w:val="28"/>
                <w:lang w:eastAsia="zh-CN"/>
              </w:rPr>
              <w:t>ZYZC202</w:t>
            </w:r>
            <w:r>
              <w:rPr>
                <w:rFonts w:hint="eastAsia" w:ascii="仿宋" w:hAnsi="仿宋" w:eastAsia="仿宋" w:cs="仿宋"/>
                <w:bCs/>
                <w:sz w:val="28"/>
                <w:szCs w:val="28"/>
                <w:lang w:val="en-US" w:eastAsia="zh-CN"/>
              </w:rPr>
              <w:t>1</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00</w:t>
            </w:r>
          </w:p>
          <w:p>
            <w:pPr>
              <w:keepNext w:val="0"/>
              <w:keepLines w:val="0"/>
              <w:pageBreakBefore w:val="0"/>
              <w:widowControl w:val="0"/>
              <w:kinsoku/>
              <w:wordWrap/>
              <w:overflowPunct/>
              <w:topLinePunct w:val="0"/>
              <w:autoSpaceDE/>
              <w:autoSpaceDN/>
              <w:bidi w:val="0"/>
              <w:adjustRightInd/>
              <w:snapToGrid/>
              <w:spacing w:line="540" w:lineRule="exact"/>
              <w:ind w:firstLine="564"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招标内容：</w:t>
            </w:r>
            <w:r>
              <w:rPr>
                <w:rFonts w:hint="eastAsia" w:ascii="仿宋" w:hAnsi="仿宋" w:eastAsia="仿宋" w:cs="仿宋"/>
                <w:bCs/>
                <w:sz w:val="28"/>
                <w:szCs w:val="28"/>
                <w:lang w:val="en-US" w:eastAsia="zh-CN"/>
              </w:rPr>
              <w:t>见公告</w:t>
            </w:r>
            <w:r>
              <w:rPr>
                <w:rFonts w:hint="eastAsia" w:ascii="仿宋" w:hAnsi="仿宋" w:eastAsia="仿宋" w:cs="仿宋"/>
                <w:bCs/>
                <w:sz w:val="28"/>
                <w:szCs w:val="28"/>
              </w:rPr>
              <w:t>（具体内容详见招标文件采购需求）。</w:t>
            </w:r>
          </w:p>
          <w:p>
            <w:pPr>
              <w:keepNext w:val="0"/>
              <w:keepLines w:val="0"/>
              <w:pageBreakBefore w:val="0"/>
              <w:widowControl w:val="0"/>
              <w:kinsoku/>
              <w:wordWrap/>
              <w:overflowPunct/>
              <w:topLinePunct w:val="0"/>
              <w:autoSpaceDE/>
              <w:autoSpaceDN/>
              <w:bidi w:val="0"/>
              <w:adjustRightInd/>
              <w:snapToGrid/>
              <w:spacing w:line="540" w:lineRule="exact"/>
              <w:ind w:firstLine="564"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rPr>
              <w:t>付款方式：</w:t>
            </w:r>
            <w:r>
              <w:rPr>
                <w:rFonts w:hint="eastAsia" w:ascii="仿宋" w:hAnsi="仿宋" w:eastAsia="仿宋" w:cs="仿宋"/>
                <w:bCs/>
                <w:sz w:val="28"/>
                <w:szCs w:val="28"/>
                <w:lang w:val="en-US" w:eastAsia="zh-CN"/>
              </w:rPr>
              <w:t>按合同约定执行。</w:t>
            </w:r>
          </w:p>
          <w:p>
            <w:pPr>
              <w:keepNext w:val="0"/>
              <w:keepLines w:val="0"/>
              <w:pageBreakBefore w:val="0"/>
              <w:widowControl w:val="0"/>
              <w:kinsoku/>
              <w:wordWrap/>
              <w:overflowPunct/>
              <w:topLinePunct w:val="0"/>
              <w:autoSpaceDE/>
              <w:autoSpaceDN/>
              <w:bidi w:val="0"/>
              <w:adjustRightInd/>
              <w:snapToGrid/>
              <w:spacing w:line="540" w:lineRule="exact"/>
              <w:ind w:firstLine="564" w:firstLineChars="200"/>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完工期：以采购单位要求时限为准。</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230" w:hRule="atLeast"/>
        </w:trPr>
        <w:tc>
          <w:tcPr>
            <w:tcW w:w="753" w:type="dxa"/>
            <w:tcBorders>
              <w:top w:val="single" w:color="auto" w:sz="4" w:space="0"/>
              <w:left w:val="doub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2</w:t>
            </w:r>
          </w:p>
        </w:tc>
        <w:tc>
          <w:tcPr>
            <w:tcW w:w="8592" w:type="dxa"/>
            <w:tcBorders>
              <w:top w:val="single" w:color="auto" w:sz="4" w:space="0"/>
              <w:left w:val="single" w:color="auto" w:sz="4" w:space="0"/>
              <w:bottom w:val="single" w:color="auto" w:sz="4" w:space="0"/>
              <w:right w:val="doub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firstLine="564"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采购人信息</w:t>
            </w:r>
          </w:p>
          <w:p>
            <w:pPr>
              <w:keepNext w:val="0"/>
              <w:keepLines w:val="0"/>
              <w:pageBreakBefore w:val="0"/>
              <w:widowControl w:val="0"/>
              <w:kinsoku/>
              <w:wordWrap/>
              <w:overflowPunct/>
              <w:topLinePunct w:val="0"/>
              <w:autoSpaceDE/>
              <w:autoSpaceDN/>
              <w:bidi w:val="0"/>
              <w:adjustRightInd/>
              <w:snapToGrid/>
              <w:spacing w:line="540" w:lineRule="exact"/>
              <w:ind w:firstLine="564"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 xml:space="preserve">采购单位: </w:t>
            </w:r>
            <w:r>
              <w:rPr>
                <w:rFonts w:hint="eastAsia" w:ascii="仿宋" w:hAnsi="仿宋" w:eastAsia="仿宋" w:cs="仿宋"/>
                <w:bCs/>
                <w:sz w:val="28"/>
                <w:szCs w:val="28"/>
                <w:lang w:eastAsia="zh-CN"/>
              </w:rPr>
              <w:t>镇原县环境卫生管理局</w:t>
            </w:r>
          </w:p>
          <w:p>
            <w:pPr>
              <w:keepNext w:val="0"/>
              <w:keepLines w:val="0"/>
              <w:pageBreakBefore w:val="0"/>
              <w:widowControl w:val="0"/>
              <w:kinsoku/>
              <w:wordWrap/>
              <w:overflowPunct/>
              <w:topLinePunct w:val="0"/>
              <w:autoSpaceDE/>
              <w:autoSpaceDN/>
              <w:bidi w:val="0"/>
              <w:adjustRightInd/>
              <w:snapToGrid/>
              <w:spacing w:line="540" w:lineRule="exact"/>
              <w:ind w:firstLine="564" w:firstLineChars="200"/>
              <w:textAlignment w:val="auto"/>
              <w:rPr>
                <w:rFonts w:hint="default" w:ascii="仿宋" w:hAnsi="仿宋" w:eastAsia="仿宋" w:cs="仿宋"/>
                <w:bCs/>
                <w:sz w:val="28"/>
                <w:szCs w:val="28"/>
                <w:lang w:val="en-US" w:eastAsia="zh-CN"/>
              </w:rPr>
            </w:pPr>
            <w:r>
              <w:rPr>
                <w:rFonts w:hint="eastAsia" w:ascii="仿宋" w:hAnsi="仿宋" w:eastAsia="仿宋" w:cs="仿宋"/>
                <w:bCs/>
                <w:sz w:val="28"/>
                <w:szCs w:val="28"/>
              </w:rPr>
              <w:t>联系人：</w:t>
            </w:r>
            <w:r>
              <w:rPr>
                <w:rFonts w:hint="eastAsia" w:ascii="仿宋" w:hAnsi="仿宋" w:eastAsia="仿宋" w:cs="仿宋"/>
                <w:bCs/>
                <w:sz w:val="28"/>
                <w:szCs w:val="28"/>
                <w:lang w:val="en-US" w:eastAsia="zh-CN"/>
              </w:rPr>
              <w:t>李崇毅</w:t>
            </w:r>
          </w:p>
          <w:p>
            <w:pPr>
              <w:keepNext w:val="0"/>
              <w:keepLines w:val="0"/>
              <w:pageBreakBefore w:val="0"/>
              <w:widowControl w:val="0"/>
              <w:kinsoku/>
              <w:wordWrap/>
              <w:overflowPunct/>
              <w:topLinePunct w:val="0"/>
              <w:autoSpaceDE/>
              <w:autoSpaceDN/>
              <w:bidi w:val="0"/>
              <w:adjustRightInd/>
              <w:snapToGrid/>
              <w:spacing w:line="540" w:lineRule="exact"/>
              <w:ind w:firstLine="564" w:firstLineChars="200"/>
              <w:textAlignment w:val="auto"/>
              <w:rPr>
                <w:rFonts w:hint="default" w:ascii="仿宋" w:hAnsi="仿宋" w:eastAsia="仿宋" w:cs="仿宋"/>
                <w:bCs/>
                <w:sz w:val="28"/>
                <w:szCs w:val="28"/>
                <w:lang w:val="en-US" w:eastAsia="zh-CN"/>
              </w:rPr>
            </w:pPr>
            <w:r>
              <w:rPr>
                <w:rFonts w:hint="eastAsia" w:ascii="仿宋" w:hAnsi="仿宋" w:eastAsia="仿宋" w:cs="仿宋"/>
                <w:bCs/>
                <w:sz w:val="28"/>
                <w:szCs w:val="28"/>
              </w:rPr>
              <w:t>联系电话:</w:t>
            </w:r>
            <w:r>
              <w:rPr>
                <w:rFonts w:hint="eastAsia" w:ascii="仿宋" w:hAnsi="仿宋" w:eastAsia="仿宋"/>
                <w:sz w:val="28"/>
                <w:szCs w:val="28"/>
                <w:lang w:val="en-US" w:eastAsia="zh-CN"/>
              </w:rPr>
              <w:t>18189349831</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920" w:hRule="atLeast"/>
        </w:trPr>
        <w:tc>
          <w:tcPr>
            <w:tcW w:w="753" w:type="dxa"/>
            <w:tcBorders>
              <w:top w:val="single" w:color="auto" w:sz="4" w:space="0"/>
              <w:left w:val="doub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3</w:t>
            </w:r>
          </w:p>
        </w:tc>
        <w:tc>
          <w:tcPr>
            <w:tcW w:w="8592" w:type="dxa"/>
            <w:tcBorders>
              <w:top w:val="single" w:color="auto" w:sz="4" w:space="0"/>
              <w:left w:val="single" w:color="auto" w:sz="4" w:space="0"/>
              <w:bottom w:val="single" w:color="auto" w:sz="4" w:space="0"/>
              <w:right w:val="doub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firstLine="551" w:firstLineChars="196"/>
              <w:textAlignment w:val="auto"/>
              <w:rPr>
                <w:rFonts w:hint="eastAsia" w:ascii="仿宋" w:hAnsi="仿宋" w:eastAsia="仿宋" w:cs="仿宋"/>
                <w:bCs/>
                <w:sz w:val="28"/>
                <w:szCs w:val="28"/>
              </w:rPr>
            </w:pPr>
            <w:r>
              <w:rPr>
                <w:rFonts w:hint="eastAsia" w:ascii="仿宋" w:hAnsi="仿宋" w:eastAsia="仿宋" w:cs="仿宋"/>
                <w:bCs/>
                <w:sz w:val="28"/>
                <w:szCs w:val="28"/>
              </w:rPr>
              <w:t>采购机构信息：</w:t>
            </w:r>
          </w:p>
          <w:p>
            <w:pPr>
              <w:keepNext w:val="0"/>
              <w:keepLines w:val="0"/>
              <w:pageBreakBefore w:val="0"/>
              <w:widowControl w:val="0"/>
              <w:kinsoku/>
              <w:wordWrap/>
              <w:overflowPunct/>
              <w:topLinePunct w:val="0"/>
              <w:autoSpaceDE/>
              <w:autoSpaceDN/>
              <w:bidi w:val="0"/>
              <w:adjustRightInd/>
              <w:snapToGrid/>
              <w:spacing w:line="540" w:lineRule="exact"/>
              <w:ind w:firstLine="564"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采购机构：镇原县公共资源交易中心</w:t>
            </w:r>
          </w:p>
          <w:p>
            <w:pPr>
              <w:keepNext w:val="0"/>
              <w:keepLines w:val="0"/>
              <w:pageBreakBefore w:val="0"/>
              <w:widowControl w:val="0"/>
              <w:kinsoku/>
              <w:wordWrap/>
              <w:overflowPunct/>
              <w:topLinePunct w:val="0"/>
              <w:autoSpaceDE/>
              <w:autoSpaceDN/>
              <w:bidi w:val="0"/>
              <w:adjustRightInd/>
              <w:snapToGrid/>
              <w:spacing w:line="540" w:lineRule="exact"/>
              <w:ind w:firstLine="564" w:firstLineChars="200"/>
              <w:textAlignment w:val="auto"/>
              <w:rPr>
                <w:rFonts w:hint="eastAsia" w:ascii="仿宋" w:hAnsi="仿宋" w:eastAsia="仿宋" w:cs="仿宋"/>
                <w:sz w:val="28"/>
                <w:szCs w:val="28"/>
              </w:rPr>
            </w:pPr>
            <w:r>
              <w:rPr>
                <w:rFonts w:hint="eastAsia" w:ascii="仿宋" w:hAnsi="仿宋" w:eastAsia="仿宋" w:cs="仿宋"/>
                <w:bCs/>
                <w:sz w:val="28"/>
                <w:szCs w:val="28"/>
              </w:rPr>
              <w:t>单位地址：镇原县林水大厦4楼</w:t>
            </w:r>
          </w:p>
          <w:p>
            <w:pPr>
              <w:keepNext w:val="0"/>
              <w:keepLines w:val="0"/>
              <w:pageBreakBefore w:val="0"/>
              <w:widowControl w:val="0"/>
              <w:kinsoku/>
              <w:wordWrap/>
              <w:overflowPunct/>
              <w:topLinePunct w:val="0"/>
              <w:autoSpaceDE/>
              <w:autoSpaceDN/>
              <w:bidi w:val="0"/>
              <w:adjustRightInd/>
              <w:snapToGrid/>
              <w:spacing w:line="540" w:lineRule="exact"/>
              <w:ind w:firstLine="564" w:firstLineChars="200"/>
              <w:textAlignment w:val="auto"/>
              <w:rPr>
                <w:rFonts w:hint="default" w:ascii="仿宋" w:hAnsi="仿宋" w:eastAsia="仿宋" w:cs="仿宋"/>
                <w:bCs/>
                <w:sz w:val="28"/>
                <w:szCs w:val="28"/>
                <w:lang w:val="en-US" w:eastAsia="zh-CN"/>
              </w:rPr>
            </w:pPr>
            <w:r>
              <w:rPr>
                <w:rFonts w:hint="eastAsia" w:ascii="仿宋" w:hAnsi="仿宋" w:eastAsia="仿宋" w:cs="仿宋"/>
                <w:bCs/>
                <w:sz w:val="28"/>
                <w:szCs w:val="28"/>
              </w:rPr>
              <w:t>联系人：</w:t>
            </w:r>
            <w:r>
              <w:rPr>
                <w:rFonts w:hint="eastAsia" w:ascii="仿宋" w:hAnsi="仿宋" w:eastAsia="仿宋" w:cs="仿宋"/>
                <w:bCs/>
                <w:sz w:val="28"/>
                <w:szCs w:val="28"/>
                <w:lang w:val="en-US" w:eastAsia="zh-CN"/>
              </w:rPr>
              <w:t>张维雅</w:t>
            </w:r>
          </w:p>
          <w:p>
            <w:pPr>
              <w:keepNext w:val="0"/>
              <w:keepLines w:val="0"/>
              <w:pageBreakBefore w:val="0"/>
              <w:widowControl w:val="0"/>
              <w:kinsoku/>
              <w:wordWrap/>
              <w:overflowPunct/>
              <w:topLinePunct w:val="0"/>
              <w:autoSpaceDE/>
              <w:autoSpaceDN/>
              <w:bidi w:val="0"/>
              <w:adjustRightInd/>
              <w:snapToGrid/>
              <w:spacing w:line="540" w:lineRule="exact"/>
              <w:ind w:firstLine="564"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联系电话: 0934-6466552</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53" w:type="dxa"/>
            <w:tcBorders>
              <w:top w:val="single" w:color="auto" w:sz="4" w:space="0"/>
              <w:left w:val="doub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4</w:t>
            </w:r>
          </w:p>
        </w:tc>
        <w:tc>
          <w:tcPr>
            <w:tcW w:w="8592" w:type="dxa"/>
            <w:tcBorders>
              <w:top w:val="single" w:color="auto" w:sz="4" w:space="0"/>
              <w:left w:val="single" w:color="auto" w:sz="4" w:space="0"/>
              <w:bottom w:val="single" w:color="auto" w:sz="4" w:space="0"/>
              <w:right w:val="doub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firstLine="564"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资金来源：</w:t>
            </w:r>
            <w:r>
              <w:rPr>
                <w:rFonts w:hint="eastAsia" w:ascii="仿宋" w:hAnsi="仿宋" w:eastAsia="仿宋" w:cs="仿宋"/>
                <w:bCs/>
                <w:sz w:val="28"/>
                <w:szCs w:val="28"/>
                <w:lang w:val="en-US" w:eastAsia="zh-CN"/>
              </w:rPr>
              <w:t>财政</w:t>
            </w:r>
            <w:r>
              <w:rPr>
                <w:rFonts w:hint="eastAsia" w:ascii="仿宋" w:hAnsi="仿宋" w:eastAsia="仿宋" w:cs="仿宋"/>
                <w:bCs/>
                <w:sz w:val="28"/>
                <w:szCs w:val="28"/>
              </w:rPr>
              <w:t>资金；</w:t>
            </w:r>
          </w:p>
          <w:p>
            <w:pPr>
              <w:keepNext w:val="0"/>
              <w:keepLines w:val="0"/>
              <w:pageBreakBefore w:val="0"/>
              <w:widowControl w:val="0"/>
              <w:kinsoku/>
              <w:wordWrap/>
              <w:overflowPunct/>
              <w:topLinePunct w:val="0"/>
              <w:autoSpaceDE/>
              <w:autoSpaceDN/>
              <w:bidi w:val="0"/>
              <w:adjustRightInd/>
              <w:snapToGrid/>
              <w:spacing w:line="540" w:lineRule="exact"/>
              <w:ind w:firstLine="564" w:firstLineChars="200"/>
              <w:textAlignment w:val="auto"/>
              <w:rPr>
                <w:rFonts w:hint="eastAsia" w:ascii="仿宋" w:hAnsi="仿宋" w:eastAsia="仿宋" w:cs="仿宋"/>
                <w:b/>
                <w:sz w:val="28"/>
                <w:szCs w:val="28"/>
              </w:rPr>
            </w:pPr>
            <w:r>
              <w:rPr>
                <w:rFonts w:hint="eastAsia" w:ascii="仿宋" w:hAnsi="仿宋" w:eastAsia="仿宋" w:cs="仿宋"/>
                <w:bCs/>
                <w:sz w:val="28"/>
                <w:szCs w:val="28"/>
              </w:rPr>
              <w:t>预算价：</w:t>
            </w:r>
            <w:r>
              <w:rPr>
                <w:rFonts w:hint="eastAsia" w:ascii="仿宋" w:hAnsi="仿宋" w:eastAsia="仿宋" w:cs="仿宋"/>
                <w:bCs/>
                <w:sz w:val="28"/>
                <w:szCs w:val="28"/>
                <w:lang w:val="en-US" w:eastAsia="zh-CN"/>
              </w:rPr>
              <w:t>80</w:t>
            </w:r>
            <w:r>
              <w:rPr>
                <w:rFonts w:hint="eastAsia" w:ascii="仿宋" w:hAnsi="仿宋" w:eastAsia="仿宋" w:cs="仿宋"/>
                <w:bCs/>
                <w:sz w:val="28"/>
                <w:szCs w:val="28"/>
              </w:rPr>
              <w:t>万元（</w:t>
            </w:r>
            <w:r>
              <w:rPr>
                <w:rFonts w:hint="eastAsia" w:ascii="仿宋" w:hAnsi="仿宋" w:eastAsia="仿宋" w:cs="仿宋"/>
                <w:bCs/>
                <w:sz w:val="28"/>
                <w:szCs w:val="28"/>
                <w:lang w:val="en-US" w:eastAsia="zh-CN"/>
              </w:rPr>
              <w:t>报价</w:t>
            </w:r>
            <w:r>
              <w:rPr>
                <w:rFonts w:hint="eastAsia" w:ascii="仿宋" w:hAnsi="仿宋" w:eastAsia="仿宋" w:cs="仿宋"/>
                <w:bCs/>
                <w:sz w:val="28"/>
                <w:szCs w:val="28"/>
              </w:rPr>
              <w:t>超出预算视为无效投标）</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3" w:type="dxa"/>
            <w:tcBorders>
              <w:top w:val="single" w:color="auto" w:sz="4" w:space="0"/>
              <w:left w:val="doub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5</w:t>
            </w:r>
          </w:p>
        </w:tc>
        <w:tc>
          <w:tcPr>
            <w:tcW w:w="8592" w:type="dxa"/>
            <w:tcBorders>
              <w:top w:val="single" w:color="auto" w:sz="4" w:space="0"/>
              <w:left w:val="single" w:color="auto" w:sz="4" w:space="0"/>
              <w:bottom w:val="single" w:color="auto" w:sz="4" w:space="0"/>
              <w:right w:val="doub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firstLine="564" w:firstLineChars="200"/>
              <w:textAlignment w:val="auto"/>
              <w:rPr>
                <w:rFonts w:hint="default" w:ascii="仿宋" w:hAnsi="仿宋" w:eastAsia="仿宋" w:cs="仿宋"/>
                <w:bCs/>
                <w:sz w:val="28"/>
                <w:szCs w:val="28"/>
                <w:lang w:val="en-US" w:eastAsia="zh-CN"/>
              </w:rPr>
            </w:pPr>
            <w:r>
              <w:rPr>
                <w:rFonts w:hint="eastAsia" w:ascii="仿宋" w:hAnsi="仿宋" w:eastAsia="仿宋" w:cs="仿宋"/>
                <w:bCs/>
                <w:sz w:val="28"/>
                <w:szCs w:val="28"/>
              </w:rPr>
              <w:t>投标人</w:t>
            </w:r>
            <w:r>
              <w:rPr>
                <w:rFonts w:hint="eastAsia" w:ascii="仿宋" w:hAnsi="仿宋" w:eastAsia="仿宋" w:cs="仿宋"/>
                <w:bCs/>
                <w:sz w:val="28"/>
                <w:szCs w:val="28"/>
                <w:lang w:val="en-US" w:eastAsia="zh-CN"/>
              </w:rPr>
              <w:t>资质</w:t>
            </w:r>
            <w:r>
              <w:rPr>
                <w:rFonts w:hint="eastAsia" w:ascii="仿宋" w:hAnsi="仿宋" w:eastAsia="仿宋" w:cs="仿宋"/>
                <w:bCs/>
                <w:sz w:val="28"/>
                <w:szCs w:val="28"/>
              </w:rPr>
              <w:t>文件要求：</w:t>
            </w:r>
            <w:r>
              <w:rPr>
                <w:rFonts w:hint="eastAsia" w:ascii="仿宋" w:hAnsi="仿宋" w:eastAsia="仿宋" w:cs="仿宋"/>
                <w:bCs/>
                <w:sz w:val="28"/>
                <w:szCs w:val="28"/>
                <w:lang w:val="en-US" w:eastAsia="zh-CN"/>
              </w:rPr>
              <w:t>详见资格性审查表和符合性审查表</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53" w:type="dxa"/>
            <w:tcBorders>
              <w:top w:val="single" w:color="auto" w:sz="4" w:space="0"/>
              <w:left w:val="doub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6</w:t>
            </w:r>
          </w:p>
        </w:tc>
        <w:tc>
          <w:tcPr>
            <w:tcW w:w="8592" w:type="dxa"/>
            <w:tcBorders>
              <w:top w:val="single" w:color="auto" w:sz="4" w:space="0"/>
              <w:left w:val="single" w:color="auto" w:sz="4" w:space="0"/>
              <w:bottom w:val="single" w:color="auto" w:sz="4" w:space="0"/>
              <w:right w:val="doub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firstLine="564"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投标语言：中文（有关</w:t>
            </w:r>
            <w:r>
              <w:rPr>
                <w:rFonts w:hint="eastAsia" w:ascii="仿宋" w:hAnsi="仿宋" w:eastAsia="仿宋" w:cs="仿宋"/>
                <w:bCs/>
                <w:sz w:val="28"/>
                <w:szCs w:val="28"/>
                <w:lang w:val="en-US" w:eastAsia="zh-CN"/>
              </w:rPr>
              <w:t>设备</w:t>
            </w:r>
            <w:r>
              <w:rPr>
                <w:rFonts w:hint="eastAsia" w:ascii="仿宋" w:hAnsi="仿宋" w:eastAsia="仿宋" w:cs="仿宋"/>
                <w:bCs/>
                <w:sz w:val="28"/>
                <w:szCs w:val="28"/>
              </w:rPr>
              <w:t>专用名词等除外）</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53" w:type="dxa"/>
            <w:tcBorders>
              <w:top w:val="single" w:color="auto" w:sz="4" w:space="0"/>
              <w:left w:val="doub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7</w:t>
            </w:r>
          </w:p>
        </w:tc>
        <w:tc>
          <w:tcPr>
            <w:tcW w:w="8592" w:type="dxa"/>
            <w:tcBorders>
              <w:top w:val="single" w:color="auto" w:sz="4" w:space="0"/>
              <w:left w:val="single" w:color="auto" w:sz="4" w:space="0"/>
              <w:bottom w:val="single" w:color="auto" w:sz="4" w:space="0"/>
              <w:right w:val="doub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firstLine="564"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投标有效期：</w:t>
            </w:r>
            <w:r>
              <w:rPr>
                <w:rFonts w:hint="eastAsia" w:ascii="仿宋" w:hAnsi="仿宋" w:eastAsia="仿宋" w:cs="仿宋"/>
                <w:bCs/>
                <w:sz w:val="28"/>
                <w:szCs w:val="28"/>
                <w:lang w:val="en-US" w:eastAsia="zh-CN"/>
              </w:rPr>
              <w:t>90</w:t>
            </w:r>
            <w:r>
              <w:rPr>
                <w:rFonts w:hint="eastAsia" w:ascii="仿宋" w:hAnsi="仿宋" w:eastAsia="仿宋" w:cs="仿宋"/>
                <w:bCs/>
                <w:sz w:val="28"/>
                <w:szCs w:val="28"/>
              </w:rPr>
              <w:t>日历天（从投标截止之日算起）</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53" w:type="dxa"/>
            <w:tcBorders>
              <w:top w:val="single" w:color="auto" w:sz="4" w:space="0"/>
              <w:left w:val="doub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8</w:t>
            </w:r>
          </w:p>
        </w:tc>
        <w:tc>
          <w:tcPr>
            <w:tcW w:w="8592" w:type="dxa"/>
            <w:tcBorders>
              <w:top w:val="single" w:color="auto" w:sz="4" w:space="0"/>
              <w:left w:val="single" w:color="auto" w:sz="4" w:space="0"/>
              <w:bottom w:val="single" w:color="auto" w:sz="4" w:space="0"/>
              <w:right w:val="doub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firstLine="564"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投标报价货币: 人民币</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53" w:type="dxa"/>
            <w:tcBorders>
              <w:top w:val="single" w:color="auto" w:sz="4" w:space="0"/>
              <w:left w:val="doub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9</w:t>
            </w:r>
          </w:p>
        </w:tc>
        <w:tc>
          <w:tcPr>
            <w:tcW w:w="8592" w:type="dxa"/>
            <w:tcBorders>
              <w:top w:val="single" w:color="auto" w:sz="4" w:space="0"/>
              <w:left w:val="single" w:color="auto" w:sz="4" w:space="0"/>
              <w:bottom w:val="single" w:color="auto" w:sz="4" w:space="0"/>
              <w:right w:val="doub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firstLine="564"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投标报价范围及说明</w:t>
            </w:r>
          </w:p>
          <w:p>
            <w:pPr>
              <w:keepNext w:val="0"/>
              <w:keepLines w:val="0"/>
              <w:pageBreakBefore w:val="0"/>
              <w:widowControl w:val="0"/>
              <w:kinsoku/>
              <w:wordWrap/>
              <w:overflowPunct/>
              <w:topLinePunct w:val="0"/>
              <w:autoSpaceDE/>
              <w:autoSpaceDN/>
              <w:bidi w:val="0"/>
              <w:adjustRightInd/>
              <w:snapToGrid/>
              <w:spacing w:line="540" w:lineRule="exact"/>
              <w:ind w:firstLine="564"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报价：指完成本项目所产生的</w:t>
            </w:r>
            <w:r>
              <w:rPr>
                <w:rFonts w:hint="eastAsia" w:ascii="仿宋" w:hAnsi="仿宋" w:eastAsia="仿宋" w:cs="仿宋"/>
                <w:bCs/>
                <w:sz w:val="28"/>
                <w:szCs w:val="28"/>
                <w:lang w:val="en-US" w:eastAsia="zh-CN"/>
              </w:rPr>
              <w:t>运输</w:t>
            </w:r>
            <w:r>
              <w:rPr>
                <w:rFonts w:hint="eastAsia" w:ascii="仿宋" w:hAnsi="仿宋" w:eastAsia="仿宋" w:cs="仿宋"/>
                <w:bCs/>
                <w:sz w:val="28"/>
                <w:szCs w:val="28"/>
              </w:rPr>
              <w:t>费、</w:t>
            </w:r>
            <w:r>
              <w:rPr>
                <w:rFonts w:hint="eastAsia" w:ascii="仿宋" w:hAnsi="仿宋" w:eastAsia="仿宋" w:cs="仿宋"/>
                <w:bCs/>
                <w:sz w:val="28"/>
                <w:szCs w:val="28"/>
                <w:lang w:val="en-US" w:eastAsia="zh-CN"/>
              </w:rPr>
              <w:t>安装费、</w:t>
            </w:r>
            <w:r>
              <w:rPr>
                <w:rFonts w:hint="eastAsia" w:ascii="仿宋" w:hAnsi="仿宋" w:eastAsia="仿宋" w:cs="仿宋"/>
                <w:bCs/>
                <w:sz w:val="28"/>
                <w:szCs w:val="28"/>
              </w:rPr>
              <w:t>税费、管理费、利润等全部费用。</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53" w:type="dxa"/>
            <w:tcBorders>
              <w:top w:val="single" w:color="auto" w:sz="4" w:space="0"/>
              <w:left w:val="doub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10</w:t>
            </w:r>
          </w:p>
        </w:tc>
        <w:tc>
          <w:tcPr>
            <w:tcW w:w="8592" w:type="dxa"/>
            <w:tcBorders>
              <w:top w:val="single" w:color="auto" w:sz="4" w:space="0"/>
              <w:left w:val="single" w:color="auto" w:sz="4" w:space="0"/>
              <w:bottom w:val="single" w:color="auto" w:sz="4" w:space="0"/>
              <w:right w:val="doub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firstLine="564"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投标保证金递交说明：</w:t>
            </w:r>
          </w:p>
          <w:p>
            <w:pPr>
              <w:keepNext w:val="0"/>
              <w:keepLines w:val="0"/>
              <w:pageBreakBefore w:val="0"/>
              <w:widowControl w:val="0"/>
              <w:kinsoku/>
              <w:wordWrap/>
              <w:overflowPunct/>
              <w:topLinePunct w:val="0"/>
              <w:autoSpaceDE/>
              <w:autoSpaceDN/>
              <w:bidi w:val="0"/>
              <w:adjustRightInd/>
              <w:snapToGrid/>
              <w:spacing w:line="540" w:lineRule="exact"/>
              <w:ind w:firstLine="564"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（1）保证金金额：</w:t>
            </w:r>
            <w:r>
              <w:rPr>
                <w:rFonts w:hint="eastAsia" w:ascii="仿宋" w:hAnsi="仿宋" w:eastAsia="仿宋" w:cs="仿宋"/>
                <w:bCs/>
                <w:sz w:val="28"/>
                <w:szCs w:val="28"/>
                <w:lang w:val="en-US" w:eastAsia="zh-CN"/>
              </w:rPr>
              <w:t>见公告</w:t>
            </w:r>
          </w:p>
          <w:p>
            <w:pPr>
              <w:keepNext w:val="0"/>
              <w:keepLines w:val="0"/>
              <w:pageBreakBefore w:val="0"/>
              <w:widowControl w:val="0"/>
              <w:kinsoku/>
              <w:wordWrap/>
              <w:overflowPunct/>
              <w:topLinePunct w:val="0"/>
              <w:autoSpaceDE/>
              <w:autoSpaceDN/>
              <w:bidi w:val="0"/>
              <w:adjustRightInd/>
              <w:snapToGrid/>
              <w:spacing w:line="540" w:lineRule="exact"/>
              <w:ind w:firstLine="564" w:firstLineChars="200"/>
              <w:textAlignment w:val="auto"/>
              <w:rPr>
                <w:rFonts w:hint="eastAsia" w:ascii="仿宋" w:hAnsi="仿宋" w:eastAsia="仿宋" w:cs="仿宋"/>
                <w:sz w:val="28"/>
                <w:szCs w:val="28"/>
              </w:rPr>
            </w:pPr>
            <w:r>
              <w:rPr>
                <w:rFonts w:hint="eastAsia" w:ascii="仿宋" w:hAnsi="仿宋" w:eastAsia="仿宋" w:cs="仿宋"/>
                <w:bCs/>
                <w:sz w:val="28"/>
                <w:szCs w:val="28"/>
              </w:rPr>
              <w:t>（2）递交形式：</w:t>
            </w:r>
            <w:r>
              <w:rPr>
                <w:rFonts w:hint="eastAsia" w:ascii="仿宋" w:hAnsi="仿宋" w:eastAsia="仿宋" w:cs="仿宋"/>
                <w:bCs/>
                <w:sz w:val="28"/>
                <w:szCs w:val="28"/>
                <w:lang w:val="en-US" w:eastAsia="zh-CN"/>
              </w:rPr>
              <w:t>见公告</w:t>
            </w:r>
          </w:p>
          <w:p>
            <w:pPr>
              <w:keepNext w:val="0"/>
              <w:keepLines w:val="0"/>
              <w:pageBreakBefore w:val="0"/>
              <w:widowControl w:val="0"/>
              <w:kinsoku/>
              <w:wordWrap/>
              <w:overflowPunct/>
              <w:topLinePunct w:val="0"/>
              <w:autoSpaceDE/>
              <w:autoSpaceDN/>
              <w:bidi w:val="0"/>
              <w:adjustRightInd/>
              <w:snapToGrid/>
              <w:spacing w:line="540" w:lineRule="exact"/>
              <w:ind w:firstLine="564"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（3）递交截止时间：</w:t>
            </w:r>
            <w:r>
              <w:rPr>
                <w:rFonts w:hint="eastAsia" w:ascii="仿宋" w:hAnsi="仿宋" w:eastAsia="仿宋" w:cs="仿宋"/>
                <w:bCs/>
                <w:sz w:val="28"/>
                <w:szCs w:val="28"/>
                <w:lang w:val="en-US" w:eastAsia="zh-CN"/>
              </w:rPr>
              <w:t>见公告</w:t>
            </w:r>
          </w:p>
          <w:p>
            <w:pPr>
              <w:keepNext w:val="0"/>
              <w:keepLines w:val="0"/>
              <w:pageBreakBefore w:val="0"/>
              <w:widowControl w:val="0"/>
              <w:kinsoku/>
              <w:wordWrap/>
              <w:overflowPunct/>
              <w:topLinePunct w:val="0"/>
              <w:autoSpaceDE/>
              <w:autoSpaceDN/>
              <w:bidi w:val="0"/>
              <w:adjustRightInd/>
              <w:snapToGrid/>
              <w:spacing w:line="540" w:lineRule="exact"/>
              <w:ind w:firstLine="564"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保证金缴纳账户信息：</w:t>
            </w:r>
          </w:p>
          <w:p>
            <w:pPr>
              <w:keepNext w:val="0"/>
              <w:keepLines w:val="0"/>
              <w:pageBreakBefore w:val="0"/>
              <w:widowControl w:val="0"/>
              <w:kinsoku/>
              <w:wordWrap/>
              <w:overflowPunct/>
              <w:topLinePunct w:val="0"/>
              <w:autoSpaceDE/>
              <w:autoSpaceDN/>
              <w:bidi w:val="0"/>
              <w:adjustRightInd/>
              <w:snapToGrid/>
              <w:spacing w:line="540" w:lineRule="exact"/>
              <w:ind w:firstLine="564"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 xml:space="preserve">账户名称：镇原县公共资源交易中心   </w:t>
            </w:r>
          </w:p>
          <w:p>
            <w:pPr>
              <w:keepNext w:val="0"/>
              <w:keepLines w:val="0"/>
              <w:pageBreakBefore w:val="0"/>
              <w:widowControl w:val="0"/>
              <w:kinsoku/>
              <w:wordWrap/>
              <w:overflowPunct/>
              <w:topLinePunct w:val="0"/>
              <w:autoSpaceDE/>
              <w:autoSpaceDN/>
              <w:bidi w:val="0"/>
              <w:adjustRightInd/>
              <w:snapToGrid/>
              <w:spacing w:line="540" w:lineRule="exact"/>
              <w:ind w:firstLine="564"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 xml:space="preserve">开 户 行：甘肃银行股份有限公司镇原支行  </w:t>
            </w:r>
          </w:p>
          <w:p>
            <w:pPr>
              <w:keepNext w:val="0"/>
              <w:keepLines w:val="0"/>
              <w:pageBreakBefore w:val="0"/>
              <w:widowControl w:val="0"/>
              <w:kinsoku/>
              <w:wordWrap/>
              <w:overflowPunct/>
              <w:topLinePunct w:val="0"/>
              <w:autoSpaceDE/>
              <w:autoSpaceDN/>
              <w:bidi w:val="0"/>
              <w:adjustRightInd/>
              <w:snapToGrid/>
              <w:spacing w:line="540" w:lineRule="exact"/>
              <w:ind w:firstLine="564"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账    号：6101 2300 9000 03248</w:t>
            </w:r>
          </w:p>
          <w:p>
            <w:pPr>
              <w:keepNext w:val="0"/>
              <w:keepLines w:val="0"/>
              <w:pageBreakBefore w:val="0"/>
              <w:widowControl w:val="0"/>
              <w:kinsoku/>
              <w:wordWrap/>
              <w:overflowPunct/>
              <w:topLinePunct w:val="0"/>
              <w:autoSpaceDE/>
              <w:autoSpaceDN/>
              <w:bidi w:val="0"/>
              <w:adjustRightInd/>
              <w:snapToGrid/>
              <w:spacing w:line="540" w:lineRule="exact"/>
              <w:ind w:firstLine="564"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财务联系人：李  江</w:t>
            </w:r>
          </w:p>
          <w:p>
            <w:pPr>
              <w:keepNext w:val="0"/>
              <w:keepLines w:val="0"/>
              <w:pageBreakBefore w:val="0"/>
              <w:widowControl w:val="0"/>
              <w:kinsoku/>
              <w:wordWrap/>
              <w:overflowPunct/>
              <w:topLinePunct w:val="0"/>
              <w:autoSpaceDE/>
              <w:autoSpaceDN/>
              <w:bidi w:val="0"/>
              <w:adjustRightInd/>
              <w:snapToGrid/>
              <w:spacing w:line="540" w:lineRule="exact"/>
              <w:ind w:firstLine="564" w:firstLineChars="200"/>
              <w:textAlignment w:val="auto"/>
              <w:rPr>
                <w:rFonts w:hint="eastAsia" w:ascii="仿宋" w:hAnsi="仿宋" w:eastAsia="仿宋" w:cs="仿宋"/>
                <w:sz w:val="28"/>
                <w:szCs w:val="28"/>
              </w:rPr>
            </w:pPr>
            <w:r>
              <w:rPr>
                <w:rFonts w:hint="eastAsia" w:ascii="仿宋" w:hAnsi="仿宋" w:eastAsia="仿宋" w:cs="仿宋"/>
                <w:bCs/>
                <w:sz w:val="28"/>
                <w:szCs w:val="28"/>
              </w:rPr>
              <w:t>投标保证金的退付（政府采购法实施条例第三十三条）：</w:t>
            </w:r>
          </w:p>
          <w:p>
            <w:pPr>
              <w:keepNext w:val="0"/>
              <w:keepLines w:val="0"/>
              <w:pageBreakBefore w:val="0"/>
              <w:widowControl w:val="0"/>
              <w:kinsoku/>
              <w:wordWrap/>
              <w:overflowPunct/>
              <w:topLinePunct w:val="0"/>
              <w:autoSpaceDE/>
              <w:autoSpaceDN/>
              <w:bidi w:val="0"/>
              <w:adjustRightInd/>
              <w:snapToGrid/>
              <w:spacing w:line="540" w:lineRule="exact"/>
              <w:ind w:firstLine="564"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（1）未</w:t>
            </w:r>
            <w:r>
              <w:rPr>
                <w:rFonts w:hint="eastAsia" w:ascii="仿宋" w:hAnsi="仿宋" w:eastAsia="仿宋" w:cs="仿宋"/>
                <w:bCs/>
                <w:sz w:val="28"/>
                <w:szCs w:val="28"/>
                <w:lang w:eastAsia="zh-CN"/>
              </w:rPr>
              <w:t>成交</w:t>
            </w:r>
            <w:r>
              <w:rPr>
                <w:rFonts w:hint="eastAsia" w:ascii="仿宋" w:hAnsi="仿宋" w:eastAsia="仿宋" w:cs="仿宋"/>
                <w:bCs/>
                <w:sz w:val="28"/>
                <w:szCs w:val="28"/>
              </w:rPr>
              <w:t>供应商的投标保证金在</w:t>
            </w:r>
            <w:r>
              <w:rPr>
                <w:rFonts w:hint="eastAsia" w:ascii="仿宋" w:hAnsi="仿宋" w:eastAsia="仿宋" w:cs="仿宋"/>
                <w:bCs/>
                <w:sz w:val="28"/>
                <w:szCs w:val="28"/>
                <w:lang w:eastAsia="zh-CN"/>
              </w:rPr>
              <w:t>成交</w:t>
            </w:r>
            <w:r>
              <w:rPr>
                <w:rFonts w:hint="eastAsia" w:ascii="仿宋" w:hAnsi="仿宋" w:eastAsia="仿宋" w:cs="仿宋"/>
                <w:bCs/>
                <w:sz w:val="28"/>
                <w:szCs w:val="28"/>
              </w:rPr>
              <w:t>公告发布后5个工作日内统一退付，办理退付不提供任何资料，退付到进账账户，退付联系电话：0934-6466551。</w:t>
            </w:r>
          </w:p>
          <w:p>
            <w:pPr>
              <w:keepNext w:val="0"/>
              <w:keepLines w:val="0"/>
              <w:pageBreakBefore w:val="0"/>
              <w:widowControl w:val="0"/>
              <w:kinsoku/>
              <w:wordWrap/>
              <w:overflowPunct/>
              <w:topLinePunct w:val="0"/>
              <w:autoSpaceDE/>
              <w:autoSpaceDN/>
              <w:bidi w:val="0"/>
              <w:adjustRightInd/>
              <w:snapToGrid/>
              <w:spacing w:line="540" w:lineRule="exact"/>
              <w:ind w:firstLine="564"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（2）</w:t>
            </w:r>
            <w:r>
              <w:rPr>
                <w:rFonts w:hint="eastAsia" w:ascii="仿宋" w:hAnsi="仿宋" w:eastAsia="仿宋" w:cs="仿宋"/>
                <w:bCs/>
                <w:sz w:val="28"/>
                <w:szCs w:val="28"/>
                <w:lang w:eastAsia="zh-CN"/>
              </w:rPr>
              <w:t>成交</w:t>
            </w:r>
            <w:r>
              <w:rPr>
                <w:rFonts w:hint="eastAsia" w:ascii="仿宋" w:hAnsi="仿宋" w:eastAsia="仿宋" w:cs="仿宋"/>
                <w:bCs/>
                <w:sz w:val="28"/>
                <w:szCs w:val="28"/>
              </w:rPr>
              <w:t>供应商的投标保证金待签订合同后5个工作日内予以退付，退付联系电话：0934-6466551，联系人：李江。</w:t>
            </w:r>
          </w:p>
          <w:p>
            <w:pPr>
              <w:keepNext w:val="0"/>
              <w:keepLines w:val="0"/>
              <w:pageBreakBefore w:val="0"/>
              <w:widowControl w:val="0"/>
              <w:kinsoku/>
              <w:wordWrap/>
              <w:overflowPunct/>
              <w:topLinePunct w:val="0"/>
              <w:autoSpaceDE/>
              <w:autoSpaceDN/>
              <w:bidi w:val="0"/>
              <w:adjustRightInd/>
              <w:snapToGrid/>
              <w:spacing w:line="540" w:lineRule="exact"/>
              <w:ind w:firstLine="564"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递交说明：</w:t>
            </w:r>
          </w:p>
          <w:p>
            <w:pPr>
              <w:keepNext w:val="0"/>
              <w:keepLines w:val="0"/>
              <w:pageBreakBefore w:val="0"/>
              <w:widowControl w:val="0"/>
              <w:kinsoku/>
              <w:wordWrap/>
              <w:overflowPunct/>
              <w:topLinePunct w:val="0"/>
              <w:autoSpaceDE/>
              <w:autoSpaceDN/>
              <w:bidi w:val="0"/>
              <w:adjustRightInd/>
              <w:snapToGrid/>
              <w:spacing w:line="540" w:lineRule="exact"/>
              <w:ind w:firstLine="564"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供应商必须用公司基本账户递交保证金，且投标保证金单位名称必须与供应商报名单位名称一致，不得以分公司、办事处、基本户结算卡（使用结算卡递交的，银行推送信息为结算卡账号，并非开户行账号）等名义递交，不得由投标供应商以外的其他供应商或个人代替投标供应商递交，否则视为无效保证金，其投标文件将被拒绝。</w:t>
            </w:r>
          </w:p>
          <w:p>
            <w:pPr>
              <w:keepNext w:val="0"/>
              <w:keepLines w:val="0"/>
              <w:pageBreakBefore w:val="0"/>
              <w:widowControl w:val="0"/>
              <w:kinsoku/>
              <w:wordWrap/>
              <w:overflowPunct/>
              <w:topLinePunct w:val="0"/>
              <w:autoSpaceDE/>
              <w:autoSpaceDN/>
              <w:bidi w:val="0"/>
              <w:adjustRightInd/>
              <w:snapToGrid/>
              <w:spacing w:line="540" w:lineRule="exact"/>
              <w:ind w:firstLine="564"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注：投标保证金不转为履约保证金，履约保证金由采购单位和</w:t>
            </w:r>
            <w:r>
              <w:rPr>
                <w:rFonts w:hint="eastAsia" w:ascii="仿宋" w:hAnsi="仿宋" w:eastAsia="仿宋" w:cs="仿宋"/>
                <w:bCs/>
                <w:sz w:val="28"/>
                <w:szCs w:val="28"/>
                <w:lang w:eastAsia="zh-CN"/>
              </w:rPr>
              <w:t>成交</w:t>
            </w:r>
            <w:r>
              <w:rPr>
                <w:rFonts w:hint="eastAsia" w:ascii="仿宋" w:hAnsi="仿宋" w:eastAsia="仿宋" w:cs="仿宋"/>
                <w:bCs/>
                <w:sz w:val="28"/>
                <w:szCs w:val="28"/>
              </w:rPr>
              <w:t>企业自行协商确定。</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53" w:type="dxa"/>
            <w:tcBorders>
              <w:top w:val="single" w:color="auto" w:sz="4" w:space="0"/>
              <w:left w:val="doub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11</w:t>
            </w:r>
          </w:p>
        </w:tc>
        <w:tc>
          <w:tcPr>
            <w:tcW w:w="8592" w:type="dxa"/>
            <w:tcBorders>
              <w:top w:val="single" w:color="auto" w:sz="4" w:space="0"/>
              <w:left w:val="single" w:color="auto" w:sz="4" w:space="0"/>
              <w:bottom w:val="single" w:color="auto" w:sz="4" w:space="0"/>
              <w:right w:val="doub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firstLine="564"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投标文件的递交</w:t>
            </w:r>
          </w:p>
          <w:p>
            <w:pPr>
              <w:keepNext w:val="0"/>
              <w:keepLines w:val="0"/>
              <w:pageBreakBefore w:val="0"/>
              <w:widowControl w:val="0"/>
              <w:kinsoku/>
              <w:wordWrap/>
              <w:overflowPunct/>
              <w:topLinePunct w:val="0"/>
              <w:autoSpaceDE/>
              <w:autoSpaceDN/>
              <w:bidi w:val="0"/>
              <w:adjustRightInd/>
              <w:snapToGrid/>
              <w:spacing w:line="540" w:lineRule="exact"/>
              <w:ind w:firstLine="564"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份数：正本1份,副本2份，电子U盘文件1份（递交不退）</w:t>
            </w:r>
          </w:p>
          <w:p>
            <w:pPr>
              <w:keepNext w:val="0"/>
              <w:keepLines w:val="0"/>
              <w:pageBreakBefore w:val="0"/>
              <w:widowControl w:val="0"/>
              <w:kinsoku/>
              <w:wordWrap/>
              <w:overflowPunct/>
              <w:topLinePunct w:val="0"/>
              <w:autoSpaceDE/>
              <w:autoSpaceDN/>
              <w:bidi w:val="0"/>
              <w:adjustRightInd/>
              <w:snapToGrid/>
              <w:spacing w:line="540" w:lineRule="exact"/>
              <w:ind w:firstLine="564"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递交时间：以招标公告要求为准（北京时间，逾期不再受理）</w:t>
            </w:r>
          </w:p>
          <w:p>
            <w:pPr>
              <w:keepNext w:val="0"/>
              <w:keepLines w:val="0"/>
              <w:pageBreakBefore w:val="0"/>
              <w:widowControl w:val="0"/>
              <w:kinsoku/>
              <w:wordWrap/>
              <w:overflowPunct/>
              <w:topLinePunct w:val="0"/>
              <w:autoSpaceDE/>
              <w:autoSpaceDN/>
              <w:bidi w:val="0"/>
              <w:adjustRightInd/>
              <w:snapToGrid/>
              <w:spacing w:line="540" w:lineRule="exact"/>
              <w:ind w:firstLine="564"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截止时间：以招标公告要求为准（北京时间）</w:t>
            </w:r>
          </w:p>
          <w:p>
            <w:pPr>
              <w:keepNext w:val="0"/>
              <w:keepLines w:val="0"/>
              <w:pageBreakBefore w:val="0"/>
              <w:widowControl w:val="0"/>
              <w:kinsoku/>
              <w:wordWrap/>
              <w:overflowPunct/>
              <w:topLinePunct w:val="0"/>
              <w:autoSpaceDE/>
              <w:autoSpaceDN/>
              <w:bidi w:val="0"/>
              <w:adjustRightInd/>
              <w:snapToGrid/>
              <w:spacing w:line="540" w:lineRule="exact"/>
              <w:ind w:firstLine="564"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递交地点：以招标公告要求为准</w:t>
            </w:r>
          </w:p>
          <w:p>
            <w:pPr>
              <w:keepNext w:val="0"/>
              <w:keepLines w:val="0"/>
              <w:pageBreakBefore w:val="0"/>
              <w:widowControl w:val="0"/>
              <w:kinsoku/>
              <w:wordWrap/>
              <w:overflowPunct/>
              <w:topLinePunct w:val="0"/>
              <w:autoSpaceDE/>
              <w:autoSpaceDN/>
              <w:bidi w:val="0"/>
              <w:adjustRightInd/>
              <w:snapToGrid/>
              <w:spacing w:line="540" w:lineRule="exact"/>
              <w:ind w:firstLine="564"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注：为高效快捷唱标，请随投标文件一起递交“开标一览表”（内含： 1、开标报价一览表2、投标文件电子U盘一份。）未按该要求制作分装标书的，其投标文件将被拒绝，对投标人产生的不利因素由其自行承担。</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53" w:type="dxa"/>
            <w:tcBorders>
              <w:top w:val="single" w:color="auto" w:sz="4" w:space="0"/>
              <w:left w:val="doub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12</w:t>
            </w:r>
          </w:p>
        </w:tc>
        <w:tc>
          <w:tcPr>
            <w:tcW w:w="8592" w:type="dxa"/>
            <w:tcBorders>
              <w:top w:val="single" w:color="auto" w:sz="4" w:space="0"/>
              <w:left w:val="single" w:color="auto" w:sz="4" w:space="0"/>
              <w:bottom w:val="single" w:color="auto" w:sz="4" w:space="0"/>
              <w:right w:val="doub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firstLine="564"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开标时间及地点</w:t>
            </w:r>
          </w:p>
          <w:p>
            <w:pPr>
              <w:keepNext w:val="0"/>
              <w:keepLines w:val="0"/>
              <w:pageBreakBefore w:val="0"/>
              <w:widowControl w:val="0"/>
              <w:kinsoku/>
              <w:wordWrap/>
              <w:overflowPunct/>
              <w:topLinePunct w:val="0"/>
              <w:autoSpaceDE/>
              <w:autoSpaceDN/>
              <w:bidi w:val="0"/>
              <w:adjustRightInd/>
              <w:snapToGrid/>
              <w:spacing w:line="540" w:lineRule="exact"/>
              <w:ind w:firstLine="564"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开标时间：以招标公告要求为准（北京时间）</w:t>
            </w:r>
          </w:p>
          <w:p>
            <w:pPr>
              <w:keepNext w:val="0"/>
              <w:keepLines w:val="0"/>
              <w:pageBreakBefore w:val="0"/>
              <w:widowControl w:val="0"/>
              <w:kinsoku/>
              <w:wordWrap/>
              <w:overflowPunct/>
              <w:topLinePunct w:val="0"/>
              <w:autoSpaceDE/>
              <w:autoSpaceDN/>
              <w:bidi w:val="0"/>
              <w:adjustRightInd/>
              <w:snapToGrid/>
              <w:spacing w:line="540" w:lineRule="exact"/>
              <w:ind w:firstLine="564"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开标地点：以招标公告要求为准</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753" w:type="dxa"/>
            <w:tcBorders>
              <w:top w:val="single" w:color="auto" w:sz="4" w:space="0"/>
              <w:left w:val="doub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28"/>
                <w:szCs w:val="28"/>
              </w:rPr>
            </w:pPr>
            <w:r>
              <w:rPr>
                <w:rFonts w:hint="eastAsia" w:ascii="仿宋" w:hAnsi="仿宋" w:eastAsia="仿宋" w:cs="仿宋"/>
                <w:b/>
                <w:sz w:val="28"/>
                <w:szCs w:val="28"/>
              </w:rPr>
              <w:t>13</w:t>
            </w:r>
          </w:p>
        </w:tc>
        <w:tc>
          <w:tcPr>
            <w:tcW w:w="8592" w:type="dxa"/>
            <w:tcBorders>
              <w:top w:val="single" w:color="auto" w:sz="4" w:space="0"/>
              <w:left w:val="single" w:color="auto" w:sz="4" w:space="0"/>
              <w:bottom w:val="single" w:color="auto" w:sz="4" w:space="0"/>
              <w:right w:val="doub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firstLine="564"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本项目</w:t>
            </w:r>
            <w:r>
              <w:rPr>
                <w:rFonts w:hint="eastAsia" w:ascii="仿宋" w:hAnsi="仿宋" w:eastAsia="仿宋" w:cs="仿宋"/>
                <w:bCs/>
                <w:sz w:val="28"/>
                <w:szCs w:val="28"/>
                <w:lang w:val="en-US" w:eastAsia="zh-CN"/>
              </w:rPr>
              <w:t>投标企业须在镇原县公共资源交易中心电子服务网</w:t>
            </w:r>
            <w:r>
              <w:rPr>
                <w:rFonts w:hint="eastAsia" w:ascii="仿宋" w:hAnsi="仿宋" w:eastAsia="仿宋" w:cs="仿宋"/>
                <w:bCs/>
                <w:sz w:val="28"/>
                <w:szCs w:val="28"/>
              </w:rPr>
              <w:t>（http://124.152.185.147:8082/Accounts/Login?ReturnUrl=%2f）</w:t>
            </w:r>
            <w:r>
              <w:rPr>
                <w:rFonts w:hint="eastAsia" w:ascii="仿宋" w:hAnsi="仿宋" w:eastAsia="仿宋" w:cs="仿宋"/>
                <w:bCs/>
                <w:sz w:val="28"/>
                <w:szCs w:val="28"/>
                <w:lang w:val="en-US" w:eastAsia="zh-CN"/>
              </w:rPr>
              <w:t>注册登录</w:t>
            </w:r>
            <w:r>
              <w:rPr>
                <w:rFonts w:hint="eastAsia" w:ascii="仿宋" w:hAnsi="仿宋" w:eastAsia="仿宋" w:cs="仿宋"/>
                <w:bCs/>
                <w:sz w:val="28"/>
                <w:szCs w:val="28"/>
              </w:rPr>
              <w:t>免费获取招标文件，供应商资格在开标现场由采购单位业务人员和交易中心项目办理人员共同审核，谈判小组现场进行符合性资格审查，审核通过后方能进入评标环节，审核不通过视为无效投标。</w:t>
            </w:r>
          </w:p>
          <w:p>
            <w:pPr>
              <w:keepNext w:val="0"/>
              <w:keepLines w:val="0"/>
              <w:pageBreakBefore w:val="0"/>
              <w:widowControl w:val="0"/>
              <w:kinsoku/>
              <w:wordWrap/>
              <w:overflowPunct/>
              <w:topLinePunct w:val="0"/>
              <w:autoSpaceDE/>
              <w:autoSpaceDN/>
              <w:bidi w:val="0"/>
              <w:adjustRightInd/>
              <w:snapToGrid/>
              <w:spacing w:line="540" w:lineRule="exact"/>
              <w:ind w:firstLine="564" w:firstLineChars="200"/>
              <w:textAlignment w:val="auto"/>
              <w:rPr>
                <w:rFonts w:hint="eastAsia" w:ascii="仿宋" w:hAnsi="仿宋" w:eastAsia="仿宋" w:cs="仿宋"/>
                <w:bCs/>
                <w:color w:val="FF0000"/>
                <w:sz w:val="28"/>
                <w:szCs w:val="28"/>
              </w:rPr>
            </w:pPr>
            <w:r>
              <w:rPr>
                <w:rFonts w:hint="eastAsia" w:ascii="仿宋" w:hAnsi="仿宋" w:eastAsia="仿宋" w:cs="仿宋"/>
                <w:bCs/>
                <w:sz w:val="28"/>
                <w:szCs w:val="28"/>
              </w:rPr>
              <w:t>资格审查项目详见资格性审查表。</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753" w:type="dxa"/>
            <w:tcBorders>
              <w:top w:val="single" w:color="auto" w:sz="4" w:space="0"/>
              <w:left w:val="doub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sz w:val="28"/>
                <w:szCs w:val="28"/>
                <w:lang w:eastAsia="zh-CN"/>
              </w:rPr>
            </w:pPr>
            <w:r>
              <w:rPr>
                <w:rFonts w:hint="eastAsia" w:ascii="仿宋" w:hAnsi="仿宋" w:eastAsia="仿宋" w:cs="仿宋"/>
                <w:b/>
                <w:sz w:val="28"/>
                <w:szCs w:val="28"/>
              </w:rPr>
              <w:t>1</w:t>
            </w:r>
            <w:r>
              <w:rPr>
                <w:rFonts w:hint="eastAsia" w:ascii="仿宋" w:hAnsi="仿宋" w:eastAsia="仿宋" w:cs="仿宋"/>
                <w:b/>
                <w:sz w:val="28"/>
                <w:szCs w:val="28"/>
                <w:lang w:val="en-US" w:eastAsia="zh-CN"/>
              </w:rPr>
              <w:t>4</w:t>
            </w:r>
          </w:p>
        </w:tc>
        <w:tc>
          <w:tcPr>
            <w:tcW w:w="8592" w:type="dxa"/>
            <w:tcBorders>
              <w:top w:val="single" w:color="auto" w:sz="4" w:space="0"/>
              <w:left w:val="single" w:color="auto" w:sz="4" w:space="0"/>
              <w:bottom w:val="single" w:color="auto" w:sz="4" w:space="0"/>
              <w:right w:val="doub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firstLine="564"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招标文件和招标公告有不一致的地方，以招标文件为准。招标文件有前后表述不一致或有产生歧义的地方或其他不明确事项，以我中心的最终解释为准。</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753" w:type="dxa"/>
            <w:tcBorders>
              <w:top w:val="single" w:color="auto" w:sz="4" w:space="0"/>
              <w:left w:val="doub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sz w:val="28"/>
                <w:szCs w:val="28"/>
                <w:lang w:eastAsia="zh-CN"/>
              </w:rPr>
            </w:pPr>
            <w:r>
              <w:rPr>
                <w:rFonts w:hint="eastAsia" w:ascii="仿宋" w:hAnsi="仿宋" w:eastAsia="仿宋" w:cs="仿宋"/>
                <w:b/>
                <w:sz w:val="28"/>
                <w:szCs w:val="28"/>
              </w:rPr>
              <w:t>1</w:t>
            </w:r>
            <w:r>
              <w:rPr>
                <w:rFonts w:hint="eastAsia" w:ascii="仿宋" w:hAnsi="仿宋" w:eastAsia="仿宋" w:cs="仿宋"/>
                <w:b/>
                <w:sz w:val="28"/>
                <w:szCs w:val="28"/>
                <w:lang w:val="en-US" w:eastAsia="zh-CN"/>
              </w:rPr>
              <w:t>5</w:t>
            </w:r>
          </w:p>
        </w:tc>
        <w:tc>
          <w:tcPr>
            <w:tcW w:w="8592" w:type="dxa"/>
            <w:tcBorders>
              <w:top w:val="single" w:color="auto" w:sz="4" w:space="0"/>
              <w:left w:val="single" w:color="auto" w:sz="4" w:space="0"/>
              <w:bottom w:val="single" w:color="auto" w:sz="4" w:space="0"/>
              <w:right w:val="doub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firstLine="564"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供应商需提交《供应商信用承诺书》作为投标（响应）文件的组成部分，否则视同自愿放弃投标（响应）资格（附件7）。</w:t>
            </w:r>
          </w:p>
        </w:tc>
      </w:tr>
    </w:tbl>
    <w:p>
      <w:pPr>
        <w:pStyle w:val="3"/>
        <w:spacing w:before="0" w:after="0"/>
        <w:jc w:val="center"/>
        <w:rPr>
          <w:rFonts w:hint="eastAsia"/>
          <w:kern w:val="0"/>
          <w:sz w:val="40"/>
        </w:rPr>
      </w:pPr>
      <w:bookmarkStart w:id="16" w:name="_Toc458439967"/>
      <w:bookmarkStart w:id="17" w:name="_Toc11355"/>
      <w:bookmarkStart w:id="18" w:name="_Toc15759"/>
      <w:r>
        <w:rPr>
          <w:rFonts w:hint="eastAsia"/>
          <w:kern w:val="0"/>
          <w:sz w:val="40"/>
        </w:rPr>
        <w:t>1、总  则</w:t>
      </w:r>
      <w:bookmarkEnd w:id="16"/>
      <w:bookmarkEnd w:id="17"/>
      <w:bookmarkEnd w:id="18"/>
    </w:p>
    <w:p>
      <w:pPr>
        <w:pStyle w:val="4"/>
        <w:pageBreakBefore w:val="0"/>
        <w:widowControl w:val="0"/>
        <w:kinsoku/>
        <w:wordWrap/>
        <w:overflowPunct/>
        <w:topLinePunct w:val="0"/>
        <w:autoSpaceDE/>
        <w:autoSpaceDN/>
        <w:bidi w:val="0"/>
        <w:adjustRightInd/>
        <w:snapToGrid/>
        <w:spacing w:before="0" w:after="0" w:line="400" w:lineRule="exact"/>
        <w:ind w:firstLine="564" w:firstLineChars="200"/>
        <w:textAlignment w:val="auto"/>
        <w:rPr>
          <w:rFonts w:ascii="宋体" w:hAnsi="宋体"/>
          <w:sz w:val="28"/>
          <w:szCs w:val="28"/>
        </w:rPr>
      </w:pPr>
      <w:bookmarkStart w:id="19" w:name="_Toc13719"/>
      <w:bookmarkStart w:id="20" w:name="_Toc239047294"/>
      <w:bookmarkStart w:id="21" w:name="_Toc24930"/>
      <w:bookmarkStart w:id="22" w:name="_Toc128372736"/>
      <w:bookmarkStart w:id="23" w:name="_Toc128372058"/>
      <w:bookmarkStart w:id="24" w:name="_Toc139965332"/>
      <w:r>
        <w:rPr>
          <w:rFonts w:hint="eastAsia" w:ascii="宋体" w:hAnsi="宋体"/>
          <w:sz w:val="28"/>
          <w:szCs w:val="28"/>
        </w:rPr>
        <w:t>1.1 招标文件涉及术语的内涵及解释</w:t>
      </w:r>
      <w:bookmarkEnd w:id="19"/>
      <w:bookmarkEnd w:id="20"/>
      <w:bookmarkEnd w:id="21"/>
    </w:p>
    <w:p>
      <w:pPr>
        <w:keepNext w:val="0"/>
        <w:keepLines w:val="0"/>
        <w:pageBreakBefore w:val="0"/>
        <w:widowControl w:val="0"/>
        <w:kinsoku/>
        <w:wordWrap/>
        <w:overflowPunct/>
        <w:topLinePunct w:val="0"/>
        <w:autoSpaceDE/>
        <w:autoSpaceDN/>
        <w:bidi w:val="0"/>
        <w:adjustRightInd/>
        <w:snapToGrid/>
        <w:spacing w:line="400" w:lineRule="exact"/>
        <w:ind w:firstLine="564"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1)“政府采购当事人”是指在政府采购活动中享有权利和承担义务的各类主体，包括采购人、供应商和采购代理机构等。</w:t>
      </w:r>
    </w:p>
    <w:p>
      <w:pPr>
        <w:keepNext w:val="0"/>
        <w:keepLines w:val="0"/>
        <w:pageBreakBefore w:val="0"/>
        <w:widowControl w:val="0"/>
        <w:kinsoku/>
        <w:wordWrap/>
        <w:overflowPunct/>
        <w:topLinePunct w:val="0"/>
        <w:autoSpaceDE/>
        <w:autoSpaceDN/>
        <w:bidi w:val="0"/>
        <w:adjustRightInd/>
        <w:snapToGrid/>
        <w:spacing w:line="40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2)“采购人”和“需方”是指</w:t>
      </w:r>
      <w:r>
        <w:rPr>
          <w:rFonts w:hint="eastAsia" w:ascii="仿宋" w:hAnsi="仿宋" w:eastAsia="仿宋" w:cs="仿宋"/>
          <w:sz w:val="28"/>
          <w:szCs w:val="28"/>
          <w:lang w:eastAsia="zh-CN"/>
        </w:rPr>
        <w:t>镇原县环境卫生管理局</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3)“集中代理机构”是指 镇原县公共资源交易中心。</w:t>
      </w:r>
    </w:p>
    <w:p>
      <w:pPr>
        <w:keepNext w:val="0"/>
        <w:keepLines w:val="0"/>
        <w:pageBreakBefore w:val="0"/>
        <w:widowControl w:val="0"/>
        <w:kinsoku/>
        <w:wordWrap/>
        <w:overflowPunct/>
        <w:topLinePunct w:val="0"/>
        <w:autoSpaceDE/>
        <w:autoSpaceDN/>
        <w:bidi w:val="0"/>
        <w:adjustRightInd/>
        <w:snapToGrid/>
        <w:spacing w:line="40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4)“投标人”是指向本次招标人提交投标文件的供应商。</w:t>
      </w:r>
    </w:p>
    <w:p>
      <w:pPr>
        <w:keepNext w:val="0"/>
        <w:keepLines w:val="0"/>
        <w:pageBreakBefore w:val="0"/>
        <w:widowControl w:val="0"/>
        <w:kinsoku/>
        <w:wordWrap/>
        <w:overflowPunct/>
        <w:topLinePunct w:val="0"/>
        <w:autoSpaceDE/>
        <w:autoSpaceDN/>
        <w:bidi w:val="0"/>
        <w:adjustRightInd/>
        <w:snapToGrid/>
        <w:spacing w:line="40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5)“供应商”是指向采购人提供货物、工程或者服务的法人、其他组织或者自然人。</w:t>
      </w:r>
    </w:p>
    <w:p>
      <w:pPr>
        <w:keepNext w:val="0"/>
        <w:keepLines w:val="0"/>
        <w:pageBreakBefore w:val="0"/>
        <w:widowControl w:val="0"/>
        <w:kinsoku/>
        <w:wordWrap/>
        <w:overflowPunct/>
        <w:topLinePunct w:val="0"/>
        <w:autoSpaceDE/>
        <w:autoSpaceDN/>
        <w:bidi w:val="0"/>
        <w:adjustRightInd/>
        <w:snapToGrid/>
        <w:spacing w:line="40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6)“招标文件”是指由招标人发出的文本、文件，包括全部章节和附件。</w:t>
      </w:r>
    </w:p>
    <w:p>
      <w:pPr>
        <w:keepNext w:val="0"/>
        <w:keepLines w:val="0"/>
        <w:pageBreakBefore w:val="0"/>
        <w:widowControl w:val="0"/>
        <w:kinsoku/>
        <w:wordWrap/>
        <w:overflowPunct/>
        <w:topLinePunct w:val="0"/>
        <w:autoSpaceDE/>
        <w:autoSpaceDN/>
        <w:bidi w:val="0"/>
        <w:adjustRightInd/>
        <w:snapToGrid/>
        <w:spacing w:line="40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7)“投标文件”是指投标人根据本招标文件向招标人提交的全部文件。</w:t>
      </w:r>
    </w:p>
    <w:p>
      <w:pPr>
        <w:keepNext w:val="0"/>
        <w:keepLines w:val="0"/>
        <w:pageBreakBefore w:val="0"/>
        <w:widowControl w:val="0"/>
        <w:kinsoku/>
        <w:wordWrap/>
        <w:overflowPunct/>
        <w:topLinePunct w:val="0"/>
        <w:autoSpaceDE/>
        <w:autoSpaceDN/>
        <w:bidi w:val="0"/>
        <w:adjustRightInd/>
        <w:snapToGrid/>
        <w:spacing w:line="40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8)“采购文件”是指包括采购活动记录、采购预算、招标文件、投标文件、评标标准、评标报告、定标文件、合同文本、验收证明、质疑答复、投诉处理决定及其他有关文件、资料。</w:t>
      </w:r>
    </w:p>
    <w:p>
      <w:pPr>
        <w:keepNext w:val="0"/>
        <w:keepLines w:val="0"/>
        <w:pageBreakBefore w:val="0"/>
        <w:widowControl w:val="0"/>
        <w:kinsoku/>
        <w:wordWrap/>
        <w:overflowPunct/>
        <w:topLinePunct w:val="0"/>
        <w:autoSpaceDE/>
        <w:autoSpaceDN/>
        <w:bidi w:val="0"/>
        <w:adjustRightInd/>
        <w:snapToGrid/>
        <w:spacing w:line="40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9)“货物”是指投标人</w:t>
      </w:r>
      <w:r>
        <w:rPr>
          <w:rFonts w:hint="eastAsia" w:ascii="仿宋" w:hAnsi="仿宋" w:eastAsia="仿宋" w:cs="仿宋"/>
          <w:sz w:val="28"/>
          <w:szCs w:val="28"/>
          <w:lang w:eastAsia="zh-CN"/>
        </w:rPr>
        <w:t>成交</w:t>
      </w:r>
      <w:r>
        <w:rPr>
          <w:rFonts w:hint="eastAsia" w:ascii="仿宋" w:hAnsi="仿宋" w:eastAsia="仿宋" w:cs="仿宋"/>
          <w:sz w:val="28"/>
          <w:szCs w:val="28"/>
        </w:rPr>
        <w:t>后根据招标文件和合同的规定须向采购人提供的各种形态和种类的物品，包括原材料、燃料、设备等。</w:t>
      </w:r>
    </w:p>
    <w:p>
      <w:pPr>
        <w:keepNext w:val="0"/>
        <w:keepLines w:val="0"/>
        <w:pageBreakBefore w:val="0"/>
        <w:widowControl w:val="0"/>
        <w:kinsoku/>
        <w:wordWrap/>
        <w:overflowPunct/>
        <w:topLinePunct w:val="0"/>
        <w:autoSpaceDE/>
        <w:autoSpaceDN/>
        <w:bidi w:val="0"/>
        <w:adjustRightInd/>
        <w:snapToGrid/>
        <w:spacing w:line="40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10)“安装”是指投标人</w:t>
      </w:r>
      <w:r>
        <w:rPr>
          <w:rFonts w:hint="eastAsia" w:ascii="仿宋" w:hAnsi="仿宋" w:eastAsia="仿宋" w:cs="仿宋"/>
          <w:sz w:val="28"/>
          <w:szCs w:val="28"/>
          <w:lang w:eastAsia="zh-CN"/>
        </w:rPr>
        <w:t>成交</w:t>
      </w:r>
      <w:r>
        <w:rPr>
          <w:rFonts w:hint="eastAsia" w:ascii="仿宋" w:hAnsi="仿宋" w:eastAsia="仿宋" w:cs="仿宋"/>
          <w:sz w:val="28"/>
          <w:szCs w:val="28"/>
        </w:rPr>
        <w:t>后按招标文件和合同的规定在项目现场所进行的安装、调试、检验、验收及修补缺陷等内容。供方应对所有现场作业、所有全部安装的完备性、稳定性和安全性负责。</w:t>
      </w:r>
    </w:p>
    <w:p>
      <w:pPr>
        <w:keepNext w:val="0"/>
        <w:keepLines w:val="0"/>
        <w:pageBreakBefore w:val="0"/>
        <w:widowControl w:val="0"/>
        <w:kinsoku/>
        <w:wordWrap/>
        <w:overflowPunct/>
        <w:topLinePunct w:val="0"/>
        <w:autoSpaceDE/>
        <w:autoSpaceDN/>
        <w:bidi w:val="0"/>
        <w:adjustRightInd/>
        <w:snapToGrid/>
        <w:spacing w:line="40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11)“服务”是指投标人</w:t>
      </w:r>
      <w:r>
        <w:rPr>
          <w:rFonts w:hint="eastAsia" w:ascii="仿宋" w:hAnsi="仿宋" w:eastAsia="仿宋" w:cs="仿宋"/>
          <w:sz w:val="28"/>
          <w:szCs w:val="28"/>
          <w:lang w:eastAsia="zh-CN"/>
        </w:rPr>
        <w:t>成交</w:t>
      </w:r>
      <w:r>
        <w:rPr>
          <w:rFonts w:hint="eastAsia" w:ascii="仿宋" w:hAnsi="仿宋" w:eastAsia="仿宋" w:cs="仿宋"/>
          <w:sz w:val="28"/>
          <w:szCs w:val="28"/>
        </w:rPr>
        <w:t>后根据招标文件和合同的规定承担与供货、安装有关的服务，包括运输、仓储、租赁、保险以及其它的伴随服务，如售后、维修、更换和应承担的其它义务。</w:t>
      </w:r>
    </w:p>
    <w:p>
      <w:pPr>
        <w:keepNext w:val="0"/>
        <w:keepLines w:val="0"/>
        <w:pageBreakBefore w:val="0"/>
        <w:widowControl w:val="0"/>
        <w:kinsoku/>
        <w:wordWrap/>
        <w:overflowPunct/>
        <w:topLinePunct w:val="0"/>
        <w:autoSpaceDE/>
        <w:autoSpaceDN/>
        <w:bidi w:val="0"/>
        <w:adjustRightInd/>
        <w:snapToGrid/>
        <w:spacing w:line="40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12）“自主创新产品”是指纳入财政部公布的《政府采购自主创新产品目录》(以下简称目录)的货物和服务。目录由财政部会同科技部等有关部门在国家认定的自主创新产品范围内研究制订。</w:t>
      </w:r>
    </w:p>
    <w:p>
      <w:pPr>
        <w:keepNext w:val="0"/>
        <w:keepLines w:val="0"/>
        <w:pageBreakBefore w:val="0"/>
        <w:widowControl w:val="0"/>
        <w:kinsoku/>
        <w:wordWrap/>
        <w:overflowPunct/>
        <w:topLinePunct w:val="0"/>
        <w:autoSpaceDE/>
        <w:autoSpaceDN/>
        <w:bidi w:val="0"/>
        <w:adjustRightInd/>
        <w:snapToGrid/>
        <w:spacing w:line="40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13)“书面形式”是指任何手写、打印或印刷的各种函件、含传真、电报、电子邮件。</w:t>
      </w:r>
      <w:bookmarkStart w:id="25" w:name="_Toc139965328"/>
      <w:bookmarkStart w:id="26" w:name="_Toc128372054"/>
      <w:bookmarkStart w:id="27" w:name="_Toc128372732"/>
    </w:p>
    <w:p>
      <w:pPr>
        <w:keepNext w:val="0"/>
        <w:keepLines w:val="0"/>
        <w:pageBreakBefore w:val="0"/>
        <w:widowControl w:val="0"/>
        <w:kinsoku/>
        <w:wordWrap/>
        <w:overflowPunct/>
        <w:topLinePunct w:val="0"/>
        <w:autoSpaceDE/>
        <w:autoSpaceDN/>
        <w:bidi w:val="0"/>
        <w:adjustRightInd/>
        <w:snapToGrid/>
        <w:spacing w:line="40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14）进口产品：是指通过中国海关报关验收进入中国境内且产自境外的产品，详见《关于政府采购进口产品管理有关问题的通知》（财库发［2007］119号）。</w:t>
      </w:r>
    </w:p>
    <w:p>
      <w:pPr>
        <w:keepNext w:val="0"/>
        <w:keepLines w:val="0"/>
        <w:pageBreakBefore w:val="0"/>
        <w:widowControl w:val="0"/>
        <w:kinsoku/>
        <w:wordWrap/>
        <w:overflowPunct/>
        <w:topLinePunct w:val="0"/>
        <w:autoSpaceDE/>
        <w:autoSpaceDN/>
        <w:bidi w:val="0"/>
        <w:adjustRightInd/>
        <w:snapToGrid/>
        <w:spacing w:line="400" w:lineRule="exact"/>
        <w:ind w:firstLine="564" w:firstLineChars="200"/>
        <w:textAlignment w:val="auto"/>
        <w:rPr>
          <w:rFonts w:hint="eastAsia"/>
        </w:rPr>
      </w:pPr>
      <w:r>
        <w:rPr>
          <w:rFonts w:hint="eastAsia" w:ascii="仿宋" w:hAnsi="仿宋" w:eastAsia="仿宋" w:cs="仿宋"/>
          <w:sz w:val="28"/>
          <w:szCs w:val="28"/>
        </w:rPr>
        <w:t>15）“进口产品”或“环保产品”是指财政部发布的《节能产品政府采购清单》或者《环境标志产品政府采购清单》的产品。</w:t>
      </w:r>
      <w:bookmarkEnd w:id="25"/>
      <w:bookmarkEnd w:id="26"/>
      <w:bookmarkEnd w:id="27"/>
    </w:p>
    <w:bookmarkEnd w:id="22"/>
    <w:bookmarkEnd w:id="23"/>
    <w:bookmarkEnd w:id="24"/>
    <w:p>
      <w:pPr>
        <w:pStyle w:val="3"/>
        <w:spacing w:before="0" w:after="0"/>
        <w:jc w:val="center"/>
        <w:rPr>
          <w:kern w:val="0"/>
          <w:sz w:val="40"/>
        </w:rPr>
      </w:pPr>
      <w:bookmarkStart w:id="28" w:name="_Toc14105"/>
      <w:bookmarkStart w:id="29" w:name="_Toc14366"/>
      <w:r>
        <w:rPr>
          <w:rFonts w:hint="eastAsia"/>
          <w:kern w:val="0"/>
          <w:sz w:val="40"/>
        </w:rPr>
        <w:t>2、  投标须知</w:t>
      </w:r>
      <w:bookmarkEnd w:id="28"/>
      <w:bookmarkEnd w:id="29"/>
    </w:p>
    <w:p>
      <w:pPr>
        <w:pStyle w:val="4"/>
        <w:pageBreakBefore w:val="0"/>
        <w:widowControl w:val="0"/>
        <w:kinsoku/>
        <w:wordWrap/>
        <w:overflowPunct/>
        <w:topLinePunct w:val="0"/>
        <w:autoSpaceDE/>
        <w:autoSpaceDN/>
        <w:bidi w:val="0"/>
        <w:spacing w:before="0" w:after="0" w:line="560" w:lineRule="exact"/>
        <w:ind w:left="0" w:firstLine="419" w:firstLineChars="149"/>
        <w:textAlignment w:val="auto"/>
        <w:rPr>
          <w:rFonts w:ascii="宋体" w:hAnsi="宋体"/>
          <w:sz w:val="28"/>
          <w:szCs w:val="28"/>
        </w:rPr>
      </w:pPr>
      <w:bookmarkStart w:id="30" w:name="_Toc25058"/>
      <w:bookmarkStart w:id="31" w:name="_Toc27070"/>
      <w:bookmarkStart w:id="32" w:name="_Toc369633078"/>
      <w:r>
        <w:rPr>
          <w:rFonts w:hint="eastAsia" w:ascii="宋体" w:hAnsi="宋体"/>
          <w:sz w:val="28"/>
          <w:szCs w:val="28"/>
        </w:rPr>
        <w:t>2.1 招标</w:t>
      </w:r>
      <w:bookmarkEnd w:id="30"/>
      <w:bookmarkEnd w:id="31"/>
      <w:bookmarkEnd w:id="32"/>
    </w:p>
    <w:p>
      <w:pPr>
        <w:pStyle w:val="5"/>
        <w:pageBreakBefore w:val="0"/>
        <w:widowControl w:val="0"/>
        <w:kinsoku/>
        <w:wordWrap/>
        <w:overflowPunct/>
        <w:topLinePunct w:val="0"/>
        <w:autoSpaceDE/>
        <w:autoSpaceDN/>
        <w:bidi w:val="0"/>
        <w:spacing w:line="560" w:lineRule="exact"/>
        <w:ind w:left="0" w:firstLine="487"/>
        <w:textAlignment w:val="auto"/>
        <w:rPr>
          <w:rFonts w:hint="eastAsia" w:ascii="仿宋" w:hAnsi="仿宋" w:eastAsia="仿宋" w:cs="仿宋"/>
          <w:sz w:val="28"/>
          <w:szCs w:val="28"/>
        </w:rPr>
      </w:pPr>
      <w:bookmarkStart w:id="33" w:name="_Toc369633079"/>
      <w:bookmarkStart w:id="34" w:name="_Toc32277"/>
      <w:bookmarkStart w:id="35" w:name="_Toc32452"/>
      <w:r>
        <w:rPr>
          <w:rFonts w:hint="eastAsia" w:ascii="仿宋" w:hAnsi="仿宋" w:eastAsia="仿宋" w:cs="仿宋"/>
          <w:sz w:val="28"/>
          <w:szCs w:val="28"/>
        </w:rPr>
        <w:t>2.1.1 综合说明</w:t>
      </w:r>
      <w:bookmarkEnd w:id="33"/>
      <w:bookmarkEnd w:id="34"/>
      <w:bookmarkEnd w:id="35"/>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本项目按照《中华人民共和国政府采购法》及相关法规，已办理招标申请，并得到招标管理机构批准，现通过招标来择优选定货物服务的供货商。</w:t>
      </w:r>
      <w:bookmarkStart w:id="36" w:name="_Toc128372055"/>
      <w:bookmarkStart w:id="37" w:name="_Toc139965329"/>
      <w:bookmarkStart w:id="38" w:name="_Toc128372733"/>
      <w:r>
        <w:rPr>
          <w:rFonts w:hint="eastAsia" w:ascii="仿宋" w:hAnsi="仿宋" w:eastAsia="仿宋" w:cs="仿宋"/>
          <w:sz w:val="28"/>
          <w:szCs w:val="28"/>
        </w:rPr>
        <w:t>本招标文件包括本文所列内容及按本须知发出的全部和补充资料。投标人应认真阅读本招标文件中所有的事项、格式、条款、技术规范等实质性的条件和要求。投标人被视为充分熟悉本招标项目的全部内容及与履行合同有关的全部内容，熟悉招标文件的格式、条件和范围。投标人没有按照招标文件的要求提交相关资料，或者投标人没有对招标文件相关内容都做出实质性响应是投标人的风险，并可能导致其投标无效。</w:t>
      </w:r>
    </w:p>
    <w:bookmarkEnd w:id="36"/>
    <w:bookmarkEnd w:id="37"/>
    <w:bookmarkEnd w:id="38"/>
    <w:p>
      <w:pPr>
        <w:pStyle w:val="5"/>
        <w:pageBreakBefore w:val="0"/>
        <w:widowControl w:val="0"/>
        <w:kinsoku/>
        <w:wordWrap/>
        <w:overflowPunct/>
        <w:topLinePunct w:val="0"/>
        <w:autoSpaceDE/>
        <w:autoSpaceDN/>
        <w:bidi w:val="0"/>
        <w:spacing w:line="560" w:lineRule="exact"/>
        <w:ind w:left="0" w:firstLine="487"/>
        <w:textAlignment w:val="auto"/>
        <w:rPr>
          <w:rFonts w:hint="eastAsia" w:ascii="仿宋" w:hAnsi="仿宋" w:eastAsia="仿宋" w:cs="仿宋"/>
          <w:sz w:val="28"/>
          <w:szCs w:val="28"/>
        </w:rPr>
      </w:pPr>
      <w:bookmarkStart w:id="39" w:name="_Toc128372739"/>
      <w:bookmarkStart w:id="40" w:name="_Toc369633080"/>
      <w:bookmarkStart w:id="41" w:name="_Toc9562"/>
      <w:bookmarkStart w:id="42" w:name="_Toc139965335"/>
      <w:bookmarkStart w:id="43" w:name="_Toc128372061"/>
      <w:bookmarkStart w:id="44" w:name="_Toc3801"/>
      <w:r>
        <w:rPr>
          <w:rFonts w:hint="eastAsia" w:ascii="仿宋" w:hAnsi="仿宋" w:eastAsia="仿宋" w:cs="仿宋"/>
          <w:sz w:val="28"/>
          <w:szCs w:val="28"/>
        </w:rPr>
        <w:t>2.1.2 招标文件的修改与补充</w:t>
      </w:r>
      <w:bookmarkEnd w:id="39"/>
      <w:bookmarkEnd w:id="40"/>
      <w:bookmarkEnd w:id="41"/>
      <w:bookmarkEnd w:id="42"/>
      <w:bookmarkEnd w:id="43"/>
      <w:bookmarkEnd w:id="44"/>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投标截止日期3天前，无论出于何种原因，采购人可主动地或在解答投标人提出的问题时对招标文件进行修改。</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招标文件的修改将以书面形式或网上公告的形式通知所有</w:t>
      </w:r>
      <w:r>
        <w:rPr>
          <w:rFonts w:hint="eastAsia" w:ascii="仿宋" w:hAnsi="仿宋" w:eastAsia="仿宋" w:cs="仿宋"/>
          <w:sz w:val="28"/>
          <w:szCs w:val="28"/>
          <w:lang w:val="en-US" w:eastAsia="zh-CN"/>
        </w:rPr>
        <w:t>获取</w:t>
      </w:r>
      <w:r>
        <w:rPr>
          <w:rFonts w:hint="eastAsia" w:ascii="仿宋" w:hAnsi="仿宋" w:eastAsia="仿宋" w:cs="仿宋"/>
          <w:sz w:val="28"/>
          <w:szCs w:val="28"/>
        </w:rPr>
        <w:t>招标文件的投标人，并对其具有约束力。投标人在被告知、收到上述公告、通知或答疑书后，应立即向招标人回函确认。未确认情况应当视为对招标文件修改的知晓，也将视为对修改内容接受的默认。对于未在投标文件中对修改内容做实质性响应的，对其产生的不利因素由未确认者自行承担。</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为使投标人准备投标时有充分时间对招标文件的补充或修改内容进行考虑和研究或由于其他原因，招标人可决定是否延长投标文件递交截止时间和开标时间，并将此变更通知上述每一投标人。</w:t>
      </w:r>
    </w:p>
    <w:p>
      <w:pPr>
        <w:pStyle w:val="4"/>
        <w:pageBreakBefore w:val="0"/>
        <w:widowControl w:val="0"/>
        <w:kinsoku/>
        <w:wordWrap/>
        <w:overflowPunct/>
        <w:topLinePunct w:val="0"/>
        <w:autoSpaceDE/>
        <w:autoSpaceDN/>
        <w:bidi w:val="0"/>
        <w:spacing w:before="0" w:after="0" w:line="560" w:lineRule="exact"/>
        <w:ind w:left="0" w:firstLine="419" w:firstLineChars="149"/>
        <w:textAlignment w:val="auto"/>
        <w:rPr>
          <w:rFonts w:hint="eastAsia" w:ascii="宋体" w:hAnsi="宋体"/>
          <w:sz w:val="28"/>
          <w:szCs w:val="28"/>
        </w:rPr>
      </w:pPr>
      <w:bookmarkStart w:id="45" w:name="_Toc12063"/>
      <w:bookmarkStart w:id="46" w:name="_Toc369633081"/>
      <w:bookmarkStart w:id="47" w:name="_Toc8924"/>
      <w:r>
        <w:rPr>
          <w:rFonts w:hint="eastAsia" w:ascii="宋体" w:hAnsi="宋体"/>
          <w:sz w:val="28"/>
          <w:szCs w:val="28"/>
        </w:rPr>
        <w:t>2.2 投标</w:t>
      </w:r>
      <w:bookmarkEnd w:id="45"/>
      <w:bookmarkEnd w:id="46"/>
      <w:bookmarkEnd w:id="47"/>
    </w:p>
    <w:p>
      <w:pPr>
        <w:pStyle w:val="5"/>
        <w:pageBreakBefore w:val="0"/>
        <w:widowControl w:val="0"/>
        <w:kinsoku/>
        <w:wordWrap/>
        <w:overflowPunct/>
        <w:topLinePunct w:val="0"/>
        <w:autoSpaceDE/>
        <w:autoSpaceDN/>
        <w:bidi w:val="0"/>
        <w:spacing w:line="560" w:lineRule="exact"/>
        <w:ind w:left="0" w:firstLine="487"/>
        <w:textAlignment w:val="auto"/>
        <w:rPr>
          <w:rFonts w:hint="eastAsia" w:ascii="仿宋" w:hAnsi="仿宋" w:eastAsia="仿宋" w:cs="仿宋"/>
          <w:sz w:val="28"/>
          <w:szCs w:val="28"/>
        </w:rPr>
      </w:pPr>
      <w:bookmarkStart w:id="48" w:name="_Toc12243"/>
      <w:bookmarkStart w:id="49" w:name="_Toc369633082"/>
      <w:bookmarkStart w:id="50" w:name="_Toc3761"/>
      <w:r>
        <w:rPr>
          <w:rFonts w:hint="eastAsia" w:ascii="仿宋" w:hAnsi="仿宋" w:eastAsia="仿宋" w:cs="仿宋"/>
          <w:sz w:val="28"/>
          <w:szCs w:val="28"/>
        </w:rPr>
        <w:t>2.2.1投标综合要求及说明</w:t>
      </w:r>
      <w:bookmarkEnd w:id="48"/>
      <w:bookmarkEnd w:id="49"/>
      <w:bookmarkEnd w:id="50"/>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1）投标人投标应按照招标人标书要求投标，且只能一个方案进行投标，否则按无效投标处理；</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2）投标人对投标产品技术性能的描述因欠缺或漏报而影响对投标人投标文件的评比，不利后果由投标人承担；</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3）投标人在投标文件中所列出的所有</w:t>
      </w:r>
      <w:r>
        <w:rPr>
          <w:rFonts w:hint="eastAsia" w:ascii="仿宋" w:hAnsi="仿宋" w:eastAsia="仿宋" w:cs="仿宋"/>
          <w:sz w:val="28"/>
          <w:szCs w:val="28"/>
          <w:lang w:val="en-US" w:eastAsia="zh-CN"/>
        </w:rPr>
        <w:t>货物运输、安装</w:t>
      </w:r>
      <w:r>
        <w:rPr>
          <w:rFonts w:hint="eastAsia" w:ascii="仿宋" w:hAnsi="仿宋" w:eastAsia="仿宋" w:cs="仿宋"/>
          <w:sz w:val="28"/>
          <w:szCs w:val="28"/>
        </w:rPr>
        <w:t>等均视为包含在投标项目以内报价；</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4）投标人在本次项目中所提供的货物必须符合国家、行业等相关规定的要求，否则视无效投标；</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5）采购人发现具有《政府采购法》第七十七条中第一至五项情形之一的，有权宣布投标程序和结果无效，在涉标的公证性与违法问题的调查或检查中，</w:t>
      </w:r>
      <w:r>
        <w:rPr>
          <w:rFonts w:hint="eastAsia" w:ascii="仿宋" w:hAnsi="仿宋" w:eastAsia="仿宋" w:cs="仿宋"/>
          <w:sz w:val="28"/>
          <w:szCs w:val="28"/>
          <w:lang w:eastAsia="zh-CN"/>
        </w:rPr>
        <w:t>成交</w:t>
      </w:r>
      <w:r>
        <w:rPr>
          <w:rFonts w:hint="eastAsia" w:ascii="仿宋" w:hAnsi="仿宋" w:eastAsia="仿宋" w:cs="仿宋"/>
          <w:sz w:val="28"/>
          <w:szCs w:val="28"/>
        </w:rPr>
        <w:t>供应商如拒绝有关部门的监督检查，视其情节，采购人也有权宣布</w:t>
      </w:r>
      <w:r>
        <w:rPr>
          <w:rFonts w:hint="eastAsia" w:ascii="仿宋" w:hAnsi="仿宋" w:eastAsia="仿宋" w:cs="仿宋"/>
          <w:sz w:val="28"/>
          <w:szCs w:val="28"/>
          <w:lang w:eastAsia="zh-CN"/>
        </w:rPr>
        <w:t>成交</w:t>
      </w:r>
      <w:r>
        <w:rPr>
          <w:rFonts w:hint="eastAsia" w:ascii="仿宋" w:hAnsi="仿宋" w:eastAsia="仿宋" w:cs="仿宋"/>
          <w:sz w:val="28"/>
          <w:szCs w:val="28"/>
        </w:rPr>
        <w:t>结果视同无效。采购人同时报备同级财政部门确认，并对投</w:t>
      </w:r>
      <w:r>
        <w:rPr>
          <w:rFonts w:hint="eastAsia" w:ascii="仿宋" w:hAnsi="仿宋" w:eastAsia="仿宋" w:cs="仿宋"/>
          <w:sz w:val="28"/>
          <w:szCs w:val="28"/>
          <w:lang w:val="en-US" w:eastAsia="zh-CN"/>
        </w:rPr>
        <w:t>标</w:t>
      </w:r>
      <w:r>
        <w:rPr>
          <w:rFonts w:hint="eastAsia" w:ascii="仿宋" w:hAnsi="仿宋" w:eastAsia="仿宋" w:cs="仿宋"/>
          <w:sz w:val="28"/>
          <w:szCs w:val="28"/>
        </w:rPr>
        <w:t>、</w:t>
      </w:r>
      <w:r>
        <w:rPr>
          <w:rFonts w:hint="eastAsia" w:ascii="仿宋" w:hAnsi="仿宋" w:eastAsia="仿宋" w:cs="仿宋"/>
          <w:sz w:val="28"/>
          <w:szCs w:val="28"/>
          <w:lang w:eastAsia="zh-CN"/>
        </w:rPr>
        <w:t>成交</w:t>
      </w:r>
      <w:r>
        <w:rPr>
          <w:rFonts w:hint="eastAsia" w:ascii="仿宋" w:hAnsi="仿宋" w:eastAsia="仿宋" w:cs="仿宋"/>
          <w:sz w:val="28"/>
          <w:szCs w:val="28"/>
        </w:rPr>
        <w:t>人的损失不承担任何责任；</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6）投标人应自行承担所有与准备和参加投标有关的费用。不论投标的结果如何，招标人和需方均无义务和责任承担这些费用。</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7）本次投标不接受联合体投标。</w:t>
      </w:r>
    </w:p>
    <w:p>
      <w:pPr>
        <w:pStyle w:val="5"/>
        <w:pageBreakBefore w:val="0"/>
        <w:widowControl w:val="0"/>
        <w:kinsoku/>
        <w:wordWrap/>
        <w:overflowPunct/>
        <w:topLinePunct w:val="0"/>
        <w:autoSpaceDE/>
        <w:autoSpaceDN/>
        <w:bidi w:val="0"/>
        <w:spacing w:line="560" w:lineRule="exact"/>
        <w:ind w:left="0" w:firstLine="487"/>
        <w:textAlignment w:val="auto"/>
        <w:rPr>
          <w:rFonts w:hint="eastAsia" w:ascii="仿宋" w:hAnsi="仿宋" w:eastAsia="仿宋" w:cs="仿宋"/>
          <w:sz w:val="28"/>
          <w:szCs w:val="28"/>
        </w:rPr>
      </w:pPr>
      <w:bookmarkStart w:id="51" w:name="_Toc369633083"/>
      <w:bookmarkStart w:id="52" w:name="_Toc22781"/>
      <w:bookmarkStart w:id="53" w:name="_Toc6697"/>
      <w:r>
        <w:rPr>
          <w:rFonts w:hint="eastAsia" w:ascii="仿宋" w:hAnsi="仿宋" w:eastAsia="仿宋" w:cs="仿宋"/>
          <w:sz w:val="28"/>
          <w:szCs w:val="28"/>
        </w:rPr>
        <w:t>2.2.2 投标文件的制作</w:t>
      </w:r>
      <w:bookmarkEnd w:id="51"/>
      <w:bookmarkEnd w:id="52"/>
      <w:bookmarkEnd w:id="53"/>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投标文件应按照 “投标文件格式”的要求以A4版面统一编制。</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对于有特定格式要求的，不允许改动其内容，否则，其投标无效。</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投标文件的制作，应使用简体中文。</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投标文件在加盖投标人公章时，不得使用合同专用章、财务专用章、公司部门章或分支机构章、授权（投标）专用章等代替；否则，投标文件按无效投标处理。</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投标文件应该用计算机打印，并加注页码，用不可拆卸的胶状方式整册装订牢固，任何塑料夹条、订书针装订或打孔装订的按无效投标文件处理。</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投标人须按投标文件1份正本，2份副本，电子U盘文件一份，制作投标文件，须按照下列编制顺序制作文件，添加连续页码并胶装成册，在封面分别加盖“正本”或“副本”印样。</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1）目录</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2）投标函</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3）投标人资质证明文件</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4）投标人基本情况简介：包括企业简史与经营业务范围、组织机构、职工人数、工程技术人员、资信情况（包括固定资产原值、净值、流动资金、近3年内销售额与净利润及纳税）。</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5）投标报价表</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6）项目组成人员表</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7）投标人认为有必要提供的其他有关资料</w:t>
      </w:r>
    </w:p>
    <w:p>
      <w:pPr>
        <w:pStyle w:val="5"/>
        <w:pageBreakBefore w:val="0"/>
        <w:widowControl w:val="0"/>
        <w:kinsoku/>
        <w:wordWrap/>
        <w:overflowPunct/>
        <w:topLinePunct w:val="0"/>
        <w:autoSpaceDE/>
        <w:autoSpaceDN/>
        <w:bidi w:val="0"/>
        <w:spacing w:line="560" w:lineRule="exact"/>
        <w:ind w:left="0" w:firstLine="485"/>
        <w:textAlignment w:val="auto"/>
        <w:rPr>
          <w:rFonts w:hint="eastAsia" w:ascii="仿宋" w:hAnsi="仿宋" w:eastAsia="仿宋" w:cs="仿宋"/>
          <w:b w:val="0"/>
          <w:sz w:val="28"/>
          <w:szCs w:val="28"/>
        </w:rPr>
      </w:pPr>
      <w:bookmarkStart w:id="54" w:name="_Toc369633084"/>
      <w:bookmarkStart w:id="55" w:name="_Toc617"/>
      <w:bookmarkStart w:id="56" w:name="_Toc131"/>
      <w:bookmarkStart w:id="57" w:name="_Toc31503"/>
      <w:bookmarkStart w:id="58" w:name="_Toc34034470"/>
      <w:bookmarkStart w:id="59" w:name="_Toc26830"/>
      <w:r>
        <w:rPr>
          <w:rFonts w:hint="eastAsia" w:ascii="仿宋" w:hAnsi="仿宋" w:eastAsia="仿宋" w:cs="仿宋"/>
          <w:b w:val="0"/>
          <w:sz w:val="28"/>
          <w:szCs w:val="28"/>
          <w:lang w:val="en-US"/>
        </w:rPr>
        <w:t>8</w:t>
      </w:r>
      <w:r>
        <w:rPr>
          <w:rFonts w:hint="eastAsia" w:ascii="仿宋" w:hAnsi="仿宋" w:eastAsia="仿宋" w:cs="仿宋"/>
          <w:b w:val="0"/>
          <w:sz w:val="28"/>
          <w:szCs w:val="28"/>
        </w:rPr>
        <w:t>）为了唱标方便请将报价装于投标文件首页</w:t>
      </w:r>
      <w:bookmarkEnd w:id="54"/>
      <w:bookmarkEnd w:id="55"/>
      <w:bookmarkEnd w:id="56"/>
      <w:bookmarkEnd w:id="57"/>
      <w:bookmarkEnd w:id="58"/>
      <w:bookmarkEnd w:id="59"/>
    </w:p>
    <w:p>
      <w:pPr>
        <w:pStyle w:val="5"/>
        <w:pageBreakBefore w:val="0"/>
        <w:widowControl w:val="0"/>
        <w:kinsoku/>
        <w:wordWrap/>
        <w:overflowPunct/>
        <w:topLinePunct w:val="0"/>
        <w:autoSpaceDE/>
        <w:autoSpaceDN/>
        <w:bidi w:val="0"/>
        <w:spacing w:line="560" w:lineRule="exact"/>
        <w:ind w:left="0" w:firstLine="487"/>
        <w:textAlignment w:val="auto"/>
        <w:rPr>
          <w:rFonts w:hint="eastAsia" w:ascii="仿宋" w:hAnsi="仿宋" w:eastAsia="仿宋" w:cs="仿宋"/>
          <w:sz w:val="28"/>
          <w:szCs w:val="28"/>
        </w:rPr>
      </w:pPr>
      <w:bookmarkStart w:id="60" w:name="_Toc786"/>
      <w:bookmarkStart w:id="61" w:name="_Toc29280"/>
      <w:bookmarkStart w:id="62" w:name="_Toc369633085"/>
      <w:r>
        <w:rPr>
          <w:rFonts w:hint="eastAsia" w:ascii="仿宋" w:hAnsi="仿宋" w:eastAsia="仿宋" w:cs="仿宋"/>
          <w:sz w:val="28"/>
          <w:szCs w:val="28"/>
        </w:rPr>
        <w:t>2.2.3 投标报价</w:t>
      </w:r>
      <w:bookmarkEnd w:id="60"/>
      <w:bookmarkEnd w:id="61"/>
      <w:bookmarkEnd w:id="62"/>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此次投标须标明各品目报价及合计报价，否则视为无效投标。投标价格应包括完成招标文件规定的招标范围全部内容所需的全部费用。除非招标文件另有规定，投标报价应包括项目所需</w:t>
      </w:r>
      <w:r>
        <w:rPr>
          <w:rFonts w:hint="eastAsia" w:ascii="仿宋" w:hAnsi="仿宋" w:eastAsia="仿宋" w:cs="仿宋"/>
          <w:sz w:val="28"/>
          <w:szCs w:val="28"/>
          <w:lang w:val="en-US" w:eastAsia="zh-CN"/>
        </w:rPr>
        <w:t>货物</w:t>
      </w:r>
      <w:r>
        <w:rPr>
          <w:rFonts w:hint="eastAsia" w:ascii="仿宋" w:hAnsi="仿宋" w:eastAsia="仿宋" w:cs="仿宋"/>
          <w:sz w:val="28"/>
          <w:szCs w:val="28"/>
        </w:rPr>
        <w:t>运输</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安装、</w:t>
      </w:r>
      <w:r>
        <w:rPr>
          <w:rFonts w:hint="eastAsia" w:ascii="仿宋" w:hAnsi="仿宋" w:eastAsia="仿宋" w:cs="仿宋"/>
          <w:sz w:val="28"/>
          <w:szCs w:val="28"/>
        </w:rPr>
        <w:t>保险、利润、税金、劳保统筹、政策性文件规定及合同包含的所有风险、优惠率、责任等各项应有费用。</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投标价格采用唯一价格，即不得为某一范围价格。投标方案只能确定一个，投标货币为人民币。</w:t>
      </w:r>
    </w:p>
    <w:p>
      <w:pPr>
        <w:pStyle w:val="5"/>
        <w:pageBreakBefore w:val="0"/>
        <w:widowControl w:val="0"/>
        <w:kinsoku/>
        <w:wordWrap/>
        <w:overflowPunct/>
        <w:topLinePunct w:val="0"/>
        <w:autoSpaceDE/>
        <w:autoSpaceDN/>
        <w:bidi w:val="0"/>
        <w:spacing w:line="560" w:lineRule="exact"/>
        <w:ind w:left="0" w:firstLine="487"/>
        <w:textAlignment w:val="auto"/>
        <w:rPr>
          <w:rFonts w:hint="eastAsia" w:ascii="仿宋" w:hAnsi="仿宋" w:eastAsia="仿宋" w:cs="仿宋"/>
          <w:sz w:val="28"/>
          <w:szCs w:val="28"/>
        </w:rPr>
      </w:pPr>
      <w:bookmarkStart w:id="63" w:name="_Toc1865"/>
      <w:bookmarkStart w:id="64" w:name="_Toc369633086"/>
      <w:bookmarkStart w:id="65" w:name="_Toc12398"/>
      <w:r>
        <w:rPr>
          <w:rFonts w:hint="eastAsia" w:ascii="仿宋" w:hAnsi="仿宋" w:eastAsia="仿宋" w:cs="仿宋"/>
          <w:sz w:val="28"/>
          <w:szCs w:val="28"/>
        </w:rPr>
        <w:t>2.2.4 投标有效期</w:t>
      </w:r>
      <w:bookmarkEnd w:id="63"/>
      <w:bookmarkEnd w:id="64"/>
      <w:bookmarkEnd w:id="65"/>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见前附表。</w:t>
      </w:r>
    </w:p>
    <w:p>
      <w:pPr>
        <w:pStyle w:val="5"/>
        <w:pageBreakBefore w:val="0"/>
        <w:widowControl w:val="0"/>
        <w:kinsoku/>
        <w:wordWrap/>
        <w:overflowPunct/>
        <w:topLinePunct w:val="0"/>
        <w:autoSpaceDE/>
        <w:autoSpaceDN/>
        <w:bidi w:val="0"/>
        <w:spacing w:line="560" w:lineRule="exact"/>
        <w:ind w:left="0" w:firstLine="487"/>
        <w:textAlignment w:val="auto"/>
        <w:rPr>
          <w:rFonts w:hint="eastAsia" w:ascii="仿宋" w:hAnsi="仿宋" w:eastAsia="仿宋" w:cs="仿宋"/>
          <w:sz w:val="28"/>
          <w:szCs w:val="28"/>
        </w:rPr>
      </w:pPr>
      <w:bookmarkStart w:id="66" w:name="_Toc5253"/>
      <w:bookmarkStart w:id="67" w:name="_Toc128372066"/>
      <w:bookmarkStart w:id="68" w:name="_Toc128372744"/>
      <w:bookmarkStart w:id="69" w:name="_Toc369633087"/>
      <w:bookmarkStart w:id="70" w:name="_Toc4285"/>
      <w:bookmarkStart w:id="71" w:name="_Toc139965340"/>
      <w:r>
        <w:rPr>
          <w:rFonts w:hint="eastAsia" w:ascii="仿宋" w:hAnsi="仿宋" w:eastAsia="仿宋" w:cs="仿宋"/>
          <w:sz w:val="28"/>
          <w:szCs w:val="28"/>
        </w:rPr>
        <w:t>2.2.5 投标保证金</w:t>
      </w:r>
      <w:bookmarkEnd w:id="66"/>
      <w:bookmarkEnd w:id="67"/>
      <w:bookmarkEnd w:id="68"/>
      <w:bookmarkEnd w:id="69"/>
      <w:bookmarkEnd w:id="70"/>
      <w:bookmarkEnd w:id="71"/>
    </w:p>
    <w:p>
      <w:pPr>
        <w:pageBreakBefore w:val="0"/>
        <w:widowControl w:val="0"/>
        <w:kinsoku/>
        <w:wordWrap/>
        <w:overflowPunct/>
        <w:topLinePunct w:val="0"/>
        <w:autoSpaceDE/>
        <w:autoSpaceDN/>
        <w:bidi w:val="0"/>
        <w:spacing w:line="560" w:lineRule="exact"/>
        <w:ind w:left="0" w:firstLine="423" w:firstLineChars="150"/>
        <w:textAlignment w:val="auto"/>
        <w:rPr>
          <w:rFonts w:hint="eastAsia" w:ascii="仿宋" w:hAnsi="仿宋" w:eastAsia="仿宋" w:cs="仿宋"/>
          <w:sz w:val="28"/>
          <w:szCs w:val="28"/>
        </w:rPr>
      </w:pPr>
      <w:r>
        <w:rPr>
          <w:rFonts w:hint="eastAsia" w:ascii="仿宋" w:hAnsi="仿宋" w:eastAsia="仿宋" w:cs="仿宋"/>
          <w:sz w:val="28"/>
          <w:szCs w:val="28"/>
        </w:rPr>
        <w:t>投标保证金数额及交纳方式（见投标须知前附表）：</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对于未能按要求交纳投标保证金的投标，招标人将视为非实质性响应招标文件的要求而予以拒绝，即为无效投标。</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如投标人有下列情况，投标保证金不予退还：</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1) 在投标截止时间后撤回其投标文件的；</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2) </w:t>
      </w:r>
      <w:r>
        <w:rPr>
          <w:rFonts w:hint="eastAsia" w:ascii="仿宋" w:hAnsi="仿宋" w:eastAsia="仿宋" w:cs="仿宋"/>
          <w:sz w:val="28"/>
          <w:szCs w:val="28"/>
          <w:lang w:eastAsia="zh-CN"/>
        </w:rPr>
        <w:t>成交</w:t>
      </w:r>
      <w:r>
        <w:rPr>
          <w:rFonts w:hint="eastAsia" w:ascii="仿宋" w:hAnsi="仿宋" w:eastAsia="仿宋" w:cs="仿宋"/>
          <w:sz w:val="28"/>
          <w:szCs w:val="28"/>
        </w:rPr>
        <w:t xml:space="preserve">后无正当理由不与采购人签订合同的； </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3）未能在规定期限内签署合同的；</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4）成交公告发布后，无正当理由放弃</w:t>
      </w:r>
      <w:r>
        <w:rPr>
          <w:rFonts w:hint="eastAsia" w:ascii="仿宋" w:hAnsi="仿宋" w:eastAsia="仿宋" w:cs="仿宋"/>
          <w:sz w:val="28"/>
          <w:szCs w:val="28"/>
          <w:lang w:eastAsia="zh-CN"/>
        </w:rPr>
        <w:t>成交</w:t>
      </w:r>
      <w:r>
        <w:rPr>
          <w:rFonts w:hint="eastAsia" w:ascii="仿宋" w:hAnsi="仿宋" w:eastAsia="仿宋" w:cs="仿宋"/>
          <w:sz w:val="28"/>
          <w:szCs w:val="28"/>
        </w:rPr>
        <w:t>的。</w:t>
      </w:r>
    </w:p>
    <w:p>
      <w:pPr>
        <w:pStyle w:val="5"/>
        <w:pageBreakBefore w:val="0"/>
        <w:widowControl w:val="0"/>
        <w:kinsoku/>
        <w:wordWrap/>
        <w:overflowPunct/>
        <w:topLinePunct w:val="0"/>
        <w:autoSpaceDE/>
        <w:autoSpaceDN/>
        <w:bidi w:val="0"/>
        <w:spacing w:line="560" w:lineRule="exact"/>
        <w:ind w:left="0" w:firstLine="487"/>
        <w:textAlignment w:val="auto"/>
        <w:rPr>
          <w:rFonts w:hint="eastAsia" w:ascii="仿宋" w:hAnsi="仿宋" w:eastAsia="仿宋" w:cs="仿宋"/>
          <w:bCs/>
          <w:sz w:val="28"/>
          <w:szCs w:val="28"/>
        </w:rPr>
      </w:pPr>
      <w:bookmarkStart w:id="72" w:name="_Toc128372746"/>
      <w:bookmarkStart w:id="73" w:name="_Toc139965341"/>
      <w:bookmarkStart w:id="74" w:name="_Toc128372068"/>
      <w:bookmarkStart w:id="75" w:name="_Toc16874"/>
      <w:bookmarkStart w:id="76" w:name="_Toc369633088"/>
      <w:bookmarkStart w:id="77" w:name="_Toc30726"/>
      <w:r>
        <w:rPr>
          <w:rFonts w:hint="eastAsia" w:ascii="仿宋" w:hAnsi="仿宋" w:eastAsia="仿宋" w:cs="仿宋"/>
          <w:bCs/>
          <w:sz w:val="28"/>
          <w:szCs w:val="28"/>
        </w:rPr>
        <w:t>2.2.</w:t>
      </w:r>
      <w:bookmarkEnd w:id="72"/>
      <w:bookmarkEnd w:id="73"/>
      <w:bookmarkEnd w:id="74"/>
      <w:bookmarkStart w:id="78" w:name="_Toc139965342"/>
      <w:bookmarkStart w:id="79" w:name="_Toc128372069"/>
      <w:bookmarkStart w:id="80" w:name="_Toc128372747"/>
      <w:r>
        <w:rPr>
          <w:rFonts w:hint="eastAsia" w:ascii="仿宋" w:hAnsi="仿宋" w:eastAsia="仿宋" w:cs="仿宋"/>
          <w:bCs/>
          <w:sz w:val="28"/>
          <w:szCs w:val="28"/>
        </w:rPr>
        <w:t>6投标文件的份数和签署</w:t>
      </w:r>
      <w:bookmarkEnd w:id="75"/>
      <w:bookmarkEnd w:id="76"/>
      <w:bookmarkEnd w:id="77"/>
      <w:bookmarkEnd w:id="78"/>
      <w:bookmarkEnd w:id="79"/>
      <w:bookmarkEnd w:id="80"/>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bookmarkStart w:id="81" w:name="_Toc369633089"/>
      <w:r>
        <w:rPr>
          <w:rFonts w:hint="eastAsia" w:ascii="仿宋" w:hAnsi="仿宋" w:eastAsia="仿宋" w:cs="仿宋"/>
          <w:sz w:val="28"/>
          <w:szCs w:val="28"/>
        </w:rPr>
        <w:t>投标人应编制正本、副本、电子U盘文本，具体份数以投标须知前附表要求为准，并明确标明“正本”和“副本”字样。投标文件正本和副本如有不一致之处，以正本为准。</w:t>
      </w:r>
    </w:p>
    <w:p>
      <w:pPr>
        <w:pageBreakBefore w:val="0"/>
        <w:widowControl w:val="0"/>
        <w:kinsoku/>
        <w:wordWrap/>
        <w:overflowPunct/>
        <w:topLinePunct w:val="0"/>
        <w:autoSpaceDE/>
        <w:autoSpaceDN/>
        <w:bidi w:val="0"/>
        <w:spacing w:line="560" w:lineRule="exact"/>
        <w:ind w:firstLine="564" w:firstLineChars="200"/>
        <w:textAlignment w:val="auto"/>
        <w:rPr>
          <w:rFonts w:hint="eastAsia" w:ascii="仿宋" w:hAnsi="仿宋" w:eastAsia="仿宋" w:cs="仿宋"/>
          <w:sz w:val="28"/>
          <w:szCs w:val="28"/>
        </w:rPr>
      </w:pPr>
      <w:bookmarkStart w:id="82" w:name="_Toc9578"/>
      <w:r>
        <w:rPr>
          <w:rFonts w:hint="eastAsia" w:ascii="仿宋" w:hAnsi="仿宋" w:eastAsia="仿宋" w:cs="仿宋"/>
          <w:sz w:val="28"/>
          <w:szCs w:val="28"/>
        </w:rPr>
        <w:t>投标文件（正副本）中除要求由投标人法定代表人或被授权人签字的内容必须签字、盖章外，其他每页也须加盖投标企业公章和法人印章（红色鲜章），属原件复印而来的复印件另标注“与原件一致”字样或加盖“与原件一致”条章。投标文件应使用不能擦去的墨水打印或书写。全套投标文件应无涂改和行间插字，如由投标人造成的书写错误，必须进行时，修改处应由投标人法人或授权人签字，并加注公章。</w:t>
      </w:r>
    </w:p>
    <w:p>
      <w:pPr>
        <w:pStyle w:val="5"/>
        <w:pageBreakBefore w:val="0"/>
        <w:widowControl w:val="0"/>
        <w:kinsoku/>
        <w:wordWrap/>
        <w:overflowPunct/>
        <w:topLinePunct w:val="0"/>
        <w:autoSpaceDE/>
        <w:autoSpaceDN/>
        <w:bidi w:val="0"/>
        <w:spacing w:line="560" w:lineRule="exact"/>
        <w:ind w:left="0" w:firstLine="487"/>
        <w:textAlignment w:val="auto"/>
        <w:rPr>
          <w:rFonts w:hint="eastAsia" w:ascii="仿宋" w:hAnsi="仿宋" w:eastAsia="仿宋" w:cs="仿宋"/>
          <w:sz w:val="28"/>
          <w:szCs w:val="28"/>
        </w:rPr>
      </w:pPr>
      <w:bookmarkStart w:id="83" w:name="_Toc20336"/>
      <w:r>
        <w:rPr>
          <w:rFonts w:hint="eastAsia" w:ascii="仿宋" w:hAnsi="仿宋" w:eastAsia="仿宋" w:cs="仿宋"/>
          <w:sz w:val="28"/>
          <w:szCs w:val="28"/>
        </w:rPr>
        <w:t>2.2.7 投标文件格式</w:t>
      </w:r>
      <w:bookmarkEnd w:id="81"/>
      <w:bookmarkEnd w:id="82"/>
      <w:bookmarkEnd w:id="83"/>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招标文件提供的规定格式包括以下五个内容（见附件）：</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1）投标函</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2）法人授权函</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3）投标报价表</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4）项目组成人员表</w:t>
      </w:r>
    </w:p>
    <w:p>
      <w:pPr>
        <w:pStyle w:val="14"/>
        <w:pageBreakBefore w:val="0"/>
        <w:widowControl w:val="0"/>
        <w:kinsoku/>
        <w:wordWrap/>
        <w:overflowPunct/>
        <w:topLinePunct w:val="0"/>
        <w:autoSpaceDE/>
        <w:autoSpaceDN/>
        <w:bidi w:val="0"/>
        <w:spacing w:line="560" w:lineRule="exact"/>
        <w:ind w:left="0"/>
        <w:textAlignment w:val="auto"/>
        <w:rPr>
          <w:rFonts w:hint="eastAsia" w:ascii="仿宋" w:hAnsi="仿宋" w:eastAsia="仿宋" w:cs="仿宋"/>
          <w:sz w:val="28"/>
          <w:szCs w:val="28"/>
        </w:rPr>
      </w:pPr>
      <w:r>
        <w:rPr>
          <w:rFonts w:hint="eastAsia" w:ascii="仿宋" w:hAnsi="仿宋" w:eastAsia="仿宋" w:cs="仿宋"/>
          <w:sz w:val="28"/>
          <w:szCs w:val="28"/>
        </w:rPr>
        <w:t xml:space="preserve">    5）供应商信用承诺书</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招标文件未提供的格式由投标人自行编写。</w:t>
      </w:r>
    </w:p>
    <w:p>
      <w:pPr>
        <w:pStyle w:val="5"/>
        <w:pageBreakBefore w:val="0"/>
        <w:widowControl w:val="0"/>
        <w:kinsoku/>
        <w:wordWrap/>
        <w:overflowPunct/>
        <w:topLinePunct w:val="0"/>
        <w:autoSpaceDE/>
        <w:autoSpaceDN/>
        <w:bidi w:val="0"/>
        <w:spacing w:line="560" w:lineRule="exact"/>
        <w:ind w:left="0" w:firstLine="487"/>
        <w:textAlignment w:val="auto"/>
        <w:rPr>
          <w:rFonts w:hint="eastAsia" w:ascii="仿宋" w:hAnsi="仿宋" w:eastAsia="仿宋" w:cs="仿宋"/>
          <w:sz w:val="28"/>
          <w:szCs w:val="28"/>
        </w:rPr>
      </w:pPr>
      <w:bookmarkStart w:id="84" w:name="_Toc458439981"/>
      <w:bookmarkStart w:id="85" w:name="_Toc15790"/>
      <w:bookmarkStart w:id="86" w:name="_Toc369633090"/>
      <w:bookmarkStart w:id="87" w:name="_Toc26868"/>
      <w:bookmarkStart w:id="88" w:name="_Toc128372750"/>
      <w:bookmarkStart w:id="89" w:name="_Toc128372072"/>
      <w:bookmarkStart w:id="90" w:name="_Toc139965345"/>
      <w:r>
        <w:rPr>
          <w:rFonts w:hint="eastAsia" w:ascii="仿宋" w:hAnsi="仿宋" w:eastAsia="仿宋" w:cs="仿宋"/>
          <w:sz w:val="28"/>
          <w:szCs w:val="28"/>
        </w:rPr>
        <w:t>2.2.8 投标文件的密封</w:t>
      </w:r>
      <w:bookmarkEnd w:id="84"/>
      <w:bookmarkEnd w:id="85"/>
      <w:bookmarkEnd w:id="86"/>
      <w:bookmarkEnd w:id="87"/>
    </w:p>
    <w:p>
      <w:pPr>
        <w:keepNext w:val="0"/>
        <w:keepLines w:val="0"/>
        <w:pageBreakBefore w:val="0"/>
        <w:widowControl w:val="0"/>
        <w:kinsoku/>
        <w:wordWrap/>
        <w:overflowPunct/>
        <w:topLinePunct w:val="0"/>
        <w:autoSpaceDE/>
        <w:autoSpaceDN/>
        <w:bidi w:val="0"/>
        <w:spacing w:line="560" w:lineRule="exact"/>
        <w:ind w:left="0" w:firstLine="423" w:firstLineChars="150"/>
        <w:textAlignment w:val="auto"/>
        <w:rPr>
          <w:rFonts w:hint="eastAsia" w:ascii="仿宋" w:hAnsi="仿宋" w:eastAsia="仿宋" w:cs="仿宋"/>
          <w:b/>
          <w:sz w:val="28"/>
          <w:szCs w:val="28"/>
        </w:rPr>
      </w:pPr>
      <w:r>
        <w:rPr>
          <w:rFonts w:hint="eastAsia" w:ascii="仿宋" w:hAnsi="仿宋" w:eastAsia="仿宋" w:cs="仿宋"/>
          <w:sz w:val="28"/>
          <w:szCs w:val="28"/>
        </w:rPr>
        <w:t>投标人应必须将投标文件正本、所有副本分开密封， “开标报价一览表”和电子版投标文件（U盘）一起单独密封，所有资质原件单独一个密封包（注：所有副本应全部整体封包，投标资料共计</w:t>
      </w:r>
      <w:r>
        <w:rPr>
          <w:rFonts w:hint="eastAsia" w:ascii="仿宋" w:hAnsi="仿宋" w:eastAsia="仿宋" w:cs="仿宋"/>
          <w:sz w:val="28"/>
          <w:szCs w:val="28"/>
          <w:lang w:val="en-US" w:eastAsia="zh-CN"/>
        </w:rPr>
        <w:t>3</w:t>
      </w:r>
      <w:r>
        <w:rPr>
          <w:rFonts w:hint="eastAsia" w:ascii="仿宋" w:hAnsi="仿宋" w:eastAsia="仿宋" w:cs="仿宋"/>
          <w:sz w:val="28"/>
          <w:szCs w:val="28"/>
        </w:rPr>
        <w:t>个封包，</w:t>
      </w:r>
      <w:r>
        <w:rPr>
          <w:rFonts w:hint="eastAsia" w:ascii="仿宋" w:hAnsi="仿宋" w:eastAsia="仿宋" w:cs="仿宋"/>
          <w:b/>
          <w:sz w:val="28"/>
          <w:szCs w:val="28"/>
        </w:rPr>
        <w:t>封包1：投标文件正本；封包2：投标文件所有副本；封包3：开标报价一览表和电子版投标文件（U盘）；资质等原件</w:t>
      </w:r>
      <w:r>
        <w:rPr>
          <w:rFonts w:hint="eastAsia" w:ascii="仿宋" w:hAnsi="仿宋" w:eastAsia="仿宋" w:cs="仿宋"/>
          <w:b/>
          <w:sz w:val="28"/>
          <w:szCs w:val="28"/>
          <w:lang w:val="en-US" w:eastAsia="zh-CN"/>
        </w:rPr>
        <w:t>由投标代表自行携带至开标现场</w:t>
      </w:r>
      <w:r>
        <w:rPr>
          <w:rFonts w:hint="eastAsia" w:ascii="仿宋" w:hAnsi="仿宋" w:eastAsia="仿宋" w:cs="仿宋"/>
          <w:b/>
          <w:sz w:val="28"/>
          <w:szCs w:val="28"/>
        </w:rPr>
        <w:t>；</w:t>
      </w:r>
    </w:p>
    <w:p>
      <w:pPr>
        <w:keepNext w:val="0"/>
        <w:keepLines w:val="0"/>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投标文件及“开标报价一览表”外层包装须按以下要求标记：</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Chars="0" w:firstLine="282" w:firstLineChars="100"/>
        <w:jc w:val="left"/>
        <w:textAlignment w:val="auto"/>
        <w:rPr>
          <w:rFonts w:hint="eastAsia" w:ascii="仿宋" w:hAnsi="仿宋" w:eastAsia="仿宋" w:cs="仿宋"/>
          <w:sz w:val="28"/>
          <w:szCs w:val="28"/>
        </w:rPr>
      </w:pPr>
      <w:r>
        <w:rPr>
          <w:rFonts w:hint="eastAsia" w:ascii="仿宋" w:hAnsi="仿宋" w:eastAsia="仿宋" w:cs="仿宋"/>
          <w:sz w:val="28"/>
          <w:szCs w:val="28"/>
        </w:rPr>
        <w:t>投标单位（盖公章）的全称；</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Chars="0" w:firstLine="282" w:firstLineChars="100"/>
        <w:jc w:val="left"/>
        <w:textAlignment w:val="auto"/>
        <w:rPr>
          <w:rFonts w:hint="eastAsia" w:ascii="仿宋" w:hAnsi="仿宋" w:eastAsia="仿宋" w:cs="仿宋"/>
          <w:sz w:val="28"/>
          <w:szCs w:val="28"/>
        </w:rPr>
      </w:pPr>
      <w:r>
        <w:rPr>
          <w:rFonts w:hint="eastAsia" w:ascii="仿宋" w:hAnsi="仿宋" w:eastAsia="仿宋" w:cs="仿宋"/>
          <w:sz w:val="28"/>
          <w:szCs w:val="28"/>
        </w:rPr>
        <w:t>投标项目名称、招标文件编号、包号（如无则不填包号）；</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Chars="0" w:firstLine="282" w:firstLineChars="100"/>
        <w:jc w:val="left"/>
        <w:textAlignment w:val="auto"/>
        <w:rPr>
          <w:rFonts w:hint="eastAsia" w:ascii="仿宋" w:hAnsi="仿宋" w:eastAsia="仿宋" w:cs="仿宋"/>
          <w:sz w:val="28"/>
          <w:szCs w:val="28"/>
        </w:rPr>
      </w:pPr>
      <w:r>
        <w:rPr>
          <w:rFonts w:hint="eastAsia" w:ascii="仿宋" w:hAnsi="仿宋" w:eastAsia="仿宋" w:cs="仿宋"/>
          <w:sz w:val="28"/>
          <w:szCs w:val="28"/>
        </w:rPr>
        <w:t>正本、副本、电子版和开标报价一览表、资质原件；</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Chars="0" w:firstLine="282" w:firstLineChars="100"/>
        <w:jc w:val="left"/>
        <w:textAlignment w:val="auto"/>
        <w:rPr>
          <w:rFonts w:hint="eastAsia" w:ascii="仿宋" w:hAnsi="仿宋" w:eastAsia="仿宋" w:cs="仿宋"/>
          <w:sz w:val="28"/>
          <w:szCs w:val="28"/>
        </w:rPr>
      </w:pPr>
      <w:r>
        <w:rPr>
          <w:rFonts w:hint="eastAsia" w:ascii="仿宋" w:hAnsi="仿宋" w:eastAsia="仿宋" w:cs="仿宋"/>
          <w:sz w:val="28"/>
          <w:szCs w:val="28"/>
        </w:rPr>
        <w:t>“请勿在(开标时间)之前启封”字样，并在骑缝处加盖公章。</w:t>
      </w:r>
    </w:p>
    <w:p>
      <w:pPr>
        <w:keepNext w:val="0"/>
        <w:keepLines w:val="0"/>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如果外层包封没有按上述规定密封并加注标志，招标人将不予受理，所造成的不利因素由投标人自行承担。</w:t>
      </w:r>
    </w:p>
    <w:p>
      <w:pPr>
        <w:pStyle w:val="5"/>
        <w:keepNext w:val="0"/>
        <w:keepLines w:val="0"/>
        <w:pageBreakBefore w:val="0"/>
        <w:widowControl w:val="0"/>
        <w:kinsoku/>
        <w:wordWrap/>
        <w:overflowPunct/>
        <w:topLinePunct w:val="0"/>
        <w:autoSpaceDE/>
        <w:autoSpaceDN/>
        <w:bidi w:val="0"/>
        <w:spacing w:line="560" w:lineRule="exact"/>
        <w:ind w:left="0" w:firstLine="487"/>
        <w:textAlignment w:val="auto"/>
        <w:rPr>
          <w:rFonts w:hint="eastAsia" w:ascii="仿宋" w:hAnsi="仿宋" w:eastAsia="仿宋" w:cs="仿宋"/>
          <w:sz w:val="28"/>
          <w:szCs w:val="28"/>
        </w:rPr>
      </w:pPr>
      <w:bookmarkStart w:id="91" w:name="_Toc6888"/>
      <w:bookmarkStart w:id="92" w:name="_Toc369633091"/>
      <w:bookmarkStart w:id="93" w:name="_Toc26290"/>
      <w:r>
        <w:rPr>
          <w:rFonts w:hint="eastAsia" w:ascii="仿宋" w:hAnsi="仿宋" w:eastAsia="仿宋" w:cs="仿宋"/>
          <w:sz w:val="28"/>
          <w:szCs w:val="28"/>
        </w:rPr>
        <w:t>2.2.9 投标文件递交</w:t>
      </w:r>
      <w:bookmarkEnd w:id="88"/>
      <w:bookmarkEnd w:id="89"/>
      <w:bookmarkEnd w:id="90"/>
      <w:bookmarkEnd w:id="91"/>
      <w:bookmarkEnd w:id="92"/>
      <w:bookmarkEnd w:id="93"/>
    </w:p>
    <w:p>
      <w:pPr>
        <w:keepNext w:val="0"/>
        <w:keepLines w:val="0"/>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投标文件应在公告规定的时间、地点送达，招标人将拒绝接受在投标截止时间后递交的投标文件。</w:t>
      </w:r>
    </w:p>
    <w:p>
      <w:pPr>
        <w:pStyle w:val="5"/>
        <w:pageBreakBefore w:val="0"/>
        <w:widowControl w:val="0"/>
        <w:kinsoku/>
        <w:wordWrap/>
        <w:overflowPunct/>
        <w:topLinePunct w:val="0"/>
        <w:autoSpaceDE/>
        <w:autoSpaceDN/>
        <w:bidi w:val="0"/>
        <w:spacing w:line="560" w:lineRule="exact"/>
        <w:ind w:left="0" w:firstLine="487"/>
        <w:textAlignment w:val="auto"/>
        <w:rPr>
          <w:rFonts w:hint="eastAsia" w:ascii="仿宋" w:hAnsi="仿宋" w:eastAsia="仿宋" w:cs="仿宋"/>
          <w:sz w:val="28"/>
          <w:szCs w:val="28"/>
        </w:rPr>
      </w:pPr>
      <w:bookmarkStart w:id="94" w:name="_Toc128372751"/>
      <w:bookmarkStart w:id="95" w:name="_Toc128372073"/>
      <w:bookmarkStart w:id="96" w:name="_Toc10200"/>
      <w:bookmarkStart w:id="97" w:name="_Toc139965346"/>
      <w:bookmarkStart w:id="98" w:name="_Toc12355"/>
      <w:bookmarkStart w:id="99" w:name="_Toc369633092"/>
      <w:r>
        <w:rPr>
          <w:rFonts w:hint="eastAsia" w:ascii="仿宋" w:hAnsi="仿宋" w:eastAsia="仿宋" w:cs="仿宋"/>
          <w:sz w:val="28"/>
          <w:szCs w:val="28"/>
        </w:rPr>
        <w:t>2.2.10 投标截止时间</w:t>
      </w:r>
      <w:bookmarkEnd w:id="94"/>
      <w:bookmarkEnd w:id="95"/>
      <w:bookmarkEnd w:id="96"/>
      <w:bookmarkEnd w:id="97"/>
      <w:bookmarkEnd w:id="98"/>
      <w:bookmarkEnd w:id="99"/>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投标截止时间以发布的公告时间为准。</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采购人可以补充通知的方式，酌情延长投标截止时间。在上述情况下，招标人与投标人以前在投标截止期方面的全部权力、责任和义务，将适用于延长后新的投标截止时间。</w:t>
      </w:r>
    </w:p>
    <w:p>
      <w:pPr>
        <w:pStyle w:val="5"/>
        <w:pageBreakBefore w:val="0"/>
        <w:widowControl w:val="0"/>
        <w:kinsoku/>
        <w:wordWrap/>
        <w:overflowPunct/>
        <w:topLinePunct w:val="0"/>
        <w:autoSpaceDE/>
        <w:autoSpaceDN/>
        <w:bidi w:val="0"/>
        <w:spacing w:line="560" w:lineRule="exact"/>
        <w:ind w:left="0" w:firstLine="487"/>
        <w:textAlignment w:val="auto"/>
        <w:rPr>
          <w:rFonts w:hint="eastAsia" w:ascii="仿宋" w:hAnsi="仿宋" w:eastAsia="仿宋" w:cs="仿宋"/>
          <w:sz w:val="28"/>
          <w:szCs w:val="28"/>
        </w:rPr>
      </w:pPr>
      <w:bookmarkStart w:id="100" w:name="_Toc128372074"/>
      <w:bookmarkStart w:id="101" w:name="_Toc10622"/>
      <w:bookmarkStart w:id="102" w:name="_Toc369633093"/>
      <w:bookmarkStart w:id="103" w:name="_Toc139965347"/>
      <w:bookmarkStart w:id="104" w:name="_Toc128372752"/>
      <w:bookmarkStart w:id="105" w:name="_Toc19392"/>
      <w:r>
        <w:rPr>
          <w:rFonts w:hint="eastAsia" w:ascii="仿宋" w:hAnsi="仿宋" w:eastAsia="仿宋" w:cs="仿宋"/>
          <w:sz w:val="28"/>
          <w:szCs w:val="28"/>
        </w:rPr>
        <w:t>2.2.11 投标文件的补充、修改与撤回</w:t>
      </w:r>
      <w:bookmarkEnd w:id="100"/>
      <w:bookmarkEnd w:id="101"/>
      <w:bookmarkEnd w:id="102"/>
      <w:bookmarkEnd w:id="103"/>
      <w:bookmarkEnd w:id="104"/>
      <w:bookmarkEnd w:id="105"/>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bookmarkStart w:id="106" w:name="_Toc139965348"/>
      <w:bookmarkStart w:id="107" w:name="_Toc128372753"/>
      <w:bookmarkStart w:id="108" w:name="_Toc128372075"/>
      <w:bookmarkStart w:id="109" w:name="_Toc369633094"/>
      <w:r>
        <w:rPr>
          <w:rFonts w:hint="eastAsia" w:ascii="仿宋" w:hAnsi="仿宋" w:eastAsia="仿宋" w:cs="仿宋"/>
          <w:sz w:val="28"/>
          <w:szCs w:val="28"/>
        </w:rPr>
        <w:t>投标人可以在递交投标文件以后，在规定的投标截止时间之前，以书面形式向招标人递交补充、修改或撤回其投标文件的通知。再次递交投标文件时间不得超过投标截止时间，且投标文件应按招标文件要求重新封装，否则招标人将拒绝其投标文件。投标截止时间以后，投标人不能更改投标文件。</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投标人的补充、修改或撤回通知，应单独密封在一个信封中，在信封上注明“补充”、“修改”或“撤回”的字样。同时，信封上还须按投标文件的密封要求加写标志。</w:t>
      </w:r>
    </w:p>
    <w:p>
      <w:pPr>
        <w:pStyle w:val="4"/>
        <w:pageBreakBefore w:val="0"/>
        <w:widowControl w:val="0"/>
        <w:kinsoku/>
        <w:wordWrap/>
        <w:overflowPunct/>
        <w:topLinePunct w:val="0"/>
        <w:autoSpaceDE/>
        <w:autoSpaceDN/>
        <w:bidi w:val="0"/>
        <w:spacing w:before="0" w:after="0" w:line="560" w:lineRule="exact"/>
        <w:ind w:left="0" w:firstLine="419" w:firstLineChars="149"/>
        <w:textAlignment w:val="auto"/>
        <w:rPr>
          <w:rFonts w:hint="eastAsia" w:ascii="宋体" w:hAnsi="宋体"/>
          <w:sz w:val="28"/>
          <w:szCs w:val="28"/>
        </w:rPr>
      </w:pPr>
      <w:bookmarkStart w:id="110" w:name="_Toc10293"/>
      <w:bookmarkStart w:id="111" w:name="_Toc3851"/>
      <w:r>
        <w:rPr>
          <w:rFonts w:hint="eastAsia" w:ascii="宋体" w:hAnsi="宋体"/>
          <w:sz w:val="28"/>
          <w:szCs w:val="28"/>
        </w:rPr>
        <w:t>2.3 开标</w:t>
      </w:r>
      <w:bookmarkEnd w:id="106"/>
      <w:bookmarkEnd w:id="107"/>
      <w:bookmarkEnd w:id="108"/>
      <w:bookmarkEnd w:id="109"/>
      <w:bookmarkEnd w:id="110"/>
      <w:bookmarkEnd w:id="111"/>
    </w:p>
    <w:p>
      <w:pPr>
        <w:pageBreakBefore w:val="0"/>
        <w:widowControl w:val="0"/>
        <w:kinsoku/>
        <w:wordWrap/>
        <w:overflowPunct/>
        <w:topLinePunct w:val="0"/>
        <w:autoSpaceDE/>
        <w:autoSpaceDN/>
        <w:bidi w:val="0"/>
        <w:spacing w:line="56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集中采购机构将于招标公告规定的开标时间和地点举行开标会议，投标人的法定代表人或授权代表人必须参加开标会议。如果供应商不参加开标仪式的将被视为认可开标程序及结果，参加开标仪式的应当签名以证明其出席。</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开标会议在具有全程录音录像条件下，由采购代理机构组织并主持，采购人对投标文件进行检查，除投标截止时间前递交合格撤回通知的投标文件不予开封外，将检查投标文件是否符合投标文件的密封要求。</w:t>
      </w:r>
    </w:p>
    <w:p>
      <w:pPr>
        <w:keepNext w:val="0"/>
        <w:keepLines w:val="0"/>
        <w:pageBreakBefore w:val="0"/>
        <w:widowControl w:val="0"/>
        <w:kinsoku/>
        <w:wordWrap/>
        <w:overflowPunct/>
        <w:topLinePunct w:val="0"/>
        <w:autoSpaceDE/>
        <w:autoSpaceDN/>
        <w:bidi w:val="0"/>
        <w:adjustRightInd/>
        <w:snapToGrid/>
        <w:spacing w:line="56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为了不透露投标企业的标的价，本谈判项目开标现场不予唱标，投标报价由评审小组负责登记并</w:t>
      </w:r>
      <w:r>
        <w:rPr>
          <w:rFonts w:hint="eastAsia" w:ascii="仿宋" w:hAnsi="仿宋" w:eastAsia="仿宋" w:cs="仿宋"/>
          <w:sz w:val="28"/>
          <w:szCs w:val="28"/>
        </w:rPr>
        <w:t>进行记录</w:t>
      </w:r>
      <w:r>
        <w:rPr>
          <w:rFonts w:hint="eastAsia" w:ascii="仿宋" w:hAnsi="仿宋" w:eastAsia="仿宋" w:cs="仿宋"/>
          <w:sz w:val="28"/>
          <w:szCs w:val="28"/>
          <w:lang w:eastAsia="zh-CN"/>
        </w:rPr>
        <w:t>，</w:t>
      </w:r>
      <w:r>
        <w:rPr>
          <w:rFonts w:hint="eastAsia" w:ascii="仿宋" w:hAnsi="仿宋" w:eastAsia="仿宋" w:cs="仿宋"/>
          <w:sz w:val="28"/>
          <w:szCs w:val="28"/>
        </w:rPr>
        <w:t>并由采购人、投标人代表签字确认，如未签字的将被视为认可</w:t>
      </w:r>
      <w:r>
        <w:rPr>
          <w:rFonts w:hint="eastAsia" w:ascii="仿宋" w:hAnsi="仿宋" w:eastAsia="仿宋" w:cs="仿宋"/>
          <w:sz w:val="28"/>
          <w:szCs w:val="28"/>
          <w:lang w:val="en-US" w:eastAsia="zh-CN"/>
        </w:rPr>
        <w:t>报价</w:t>
      </w:r>
      <w:r>
        <w:rPr>
          <w:rFonts w:hint="eastAsia" w:ascii="仿宋" w:hAnsi="仿宋" w:eastAsia="仿宋" w:cs="仿宋"/>
          <w:sz w:val="28"/>
          <w:szCs w:val="28"/>
        </w:rPr>
        <w:t>内容。</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采购人有权就投标文件中含混之处向投标人提出询问或澄清要求。</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公开开标后，直到向</w:t>
      </w:r>
      <w:r>
        <w:rPr>
          <w:rFonts w:hint="eastAsia" w:ascii="仿宋" w:hAnsi="仿宋" w:eastAsia="仿宋" w:cs="仿宋"/>
          <w:sz w:val="28"/>
          <w:szCs w:val="28"/>
          <w:lang w:eastAsia="zh-CN"/>
        </w:rPr>
        <w:t>成交</w:t>
      </w:r>
      <w:r>
        <w:rPr>
          <w:rFonts w:hint="eastAsia" w:ascii="仿宋" w:hAnsi="仿宋" w:eastAsia="仿宋" w:cs="仿宋"/>
          <w:sz w:val="28"/>
          <w:szCs w:val="28"/>
        </w:rPr>
        <w:t>的投标人授予合同时止，凡与审查、澄清、评价和比较投标的有关资料以及授标意见等均不得向投标人及与投标无关的其他人透露。</w:t>
      </w:r>
    </w:p>
    <w:p>
      <w:pPr>
        <w:pStyle w:val="4"/>
        <w:pageBreakBefore w:val="0"/>
        <w:widowControl w:val="0"/>
        <w:kinsoku/>
        <w:wordWrap/>
        <w:overflowPunct/>
        <w:topLinePunct w:val="0"/>
        <w:autoSpaceDE/>
        <w:autoSpaceDN/>
        <w:bidi w:val="0"/>
        <w:spacing w:before="0" w:after="0" w:line="560" w:lineRule="exact"/>
        <w:ind w:left="0" w:firstLine="419" w:firstLineChars="149"/>
        <w:textAlignment w:val="auto"/>
        <w:rPr>
          <w:rFonts w:hint="eastAsia" w:ascii="宋体" w:hAnsi="宋体"/>
          <w:sz w:val="28"/>
          <w:szCs w:val="28"/>
        </w:rPr>
      </w:pPr>
      <w:bookmarkStart w:id="112" w:name="_Toc128372077"/>
      <w:bookmarkStart w:id="113" w:name="_Toc139965350"/>
      <w:bookmarkStart w:id="114" w:name="_Toc128372755"/>
      <w:bookmarkStart w:id="115" w:name="_Toc26697"/>
      <w:bookmarkStart w:id="116" w:name="_Toc19091"/>
      <w:bookmarkStart w:id="117" w:name="_Toc369633095"/>
      <w:r>
        <w:rPr>
          <w:rFonts w:hint="eastAsia" w:ascii="宋体" w:hAnsi="宋体"/>
          <w:sz w:val="28"/>
          <w:szCs w:val="28"/>
        </w:rPr>
        <w:t>2.4 合同</w:t>
      </w:r>
      <w:bookmarkEnd w:id="112"/>
      <w:bookmarkEnd w:id="113"/>
      <w:bookmarkEnd w:id="114"/>
      <w:r>
        <w:rPr>
          <w:rFonts w:hint="eastAsia" w:ascii="宋体" w:hAnsi="宋体"/>
          <w:sz w:val="28"/>
          <w:szCs w:val="28"/>
        </w:rPr>
        <w:t>的授予</w:t>
      </w:r>
      <w:bookmarkEnd w:id="115"/>
      <w:bookmarkEnd w:id="116"/>
      <w:bookmarkEnd w:id="117"/>
    </w:p>
    <w:p>
      <w:pPr>
        <w:pStyle w:val="5"/>
        <w:pageBreakBefore w:val="0"/>
        <w:widowControl w:val="0"/>
        <w:kinsoku/>
        <w:wordWrap/>
        <w:overflowPunct/>
        <w:topLinePunct w:val="0"/>
        <w:autoSpaceDE/>
        <w:autoSpaceDN/>
        <w:bidi w:val="0"/>
        <w:spacing w:line="560" w:lineRule="exact"/>
        <w:textAlignment w:val="auto"/>
        <w:rPr>
          <w:rFonts w:hint="eastAsia" w:ascii="仿宋" w:hAnsi="仿宋" w:eastAsia="仿宋" w:cs="仿宋"/>
          <w:sz w:val="28"/>
          <w:szCs w:val="28"/>
        </w:rPr>
      </w:pPr>
      <w:bookmarkStart w:id="118" w:name="_Toc128372079"/>
      <w:bookmarkStart w:id="119" w:name="_Toc369633096"/>
      <w:bookmarkStart w:id="120" w:name="_Toc29613"/>
      <w:bookmarkStart w:id="121" w:name="_Toc128372757"/>
      <w:bookmarkStart w:id="122" w:name="_Toc139965352"/>
      <w:bookmarkStart w:id="123" w:name="_Toc24021"/>
      <w:bookmarkStart w:id="124" w:name="_Toc128372078"/>
      <w:bookmarkStart w:id="125" w:name="_Toc139965351"/>
      <w:bookmarkStart w:id="126" w:name="_Toc128372756"/>
      <w:r>
        <w:rPr>
          <w:rFonts w:hint="eastAsia" w:ascii="仿宋" w:hAnsi="仿宋" w:eastAsia="仿宋" w:cs="仿宋"/>
          <w:sz w:val="28"/>
          <w:szCs w:val="28"/>
        </w:rPr>
        <w:t xml:space="preserve">2.4.1 </w:t>
      </w:r>
      <w:r>
        <w:rPr>
          <w:rFonts w:hint="eastAsia" w:ascii="仿宋" w:hAnsi="仿宋" w:eastAsia="仿宋" w:cs="仿宋"/>
          <w:sz w:val="28"/>
          <w:szCs w:val="28"/>
          <w:lang w:eastAsia="zh-CN"/>
        </w:rPr>
        <w:t>成交</w:t>
      </w:r>
      <w:r>
        <w:rPr>
          <w:rFonts w:hint="eastAsia" w:ascii="仿宋" w:hAnsi="仿宋" w:eastAsia="仿宋" w:cs="仿宋"/>
          <w:sz w:val="28"/>
          <w:szCs w:val="28"/>
        </w:rPr>
        <w:t>通知书</w:t>
      </w:r>
      <w:bookmarkEnd w:id="118"/>
      <w:bookmarkEnd w:id="119"/>
      <w:bookmarkEnd w:id="120"/>
      <w:bookmarkEnd w:id="121"/>
      <w:bookmarkEnd w:id="122"/>
      <w:bookmarkEnd w:id="123"/>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采购人根据谈判小组的评议结果，公布拟</w:t>
      </w:r>
      <w:r>
        <w:rPr>
          <w:rFonts w:hint="eastAsia" w:ascii="仿宋" w:hAnsi="仿宋" w:eastAsia="仿宋" w:cs="仿宋"/>
          <w:sz w:val="28"/>
          <w:szCs w:val="28"/>
          <w:lang w:eastAsia="zh-CN"/>
        </w:rPr>
        <w:t>成交</w:t>
      </w:r>
      <w:r>
        <w:rPr>
          <w:rFonts w:hint="eastAsia" w:ascii="仿宋" w:hAnsi="仿宋" w:eastAsia="仿宋" w:cs="仿宋"/>
          <w:sz w:val="28"/>
          <w:szCs w:val="28"/>
        </w:rPr>
        <w:t>结果，</w:t>
      </w:r>
      <w:r>
        <w:rPr>
          <w:rFonts w:hint="eastAsia" w:ascii="仿宋" w:hAnsi="仿宋" w:eastAsia="仿宋" w:cs="仿宋"/>
          <w:sz w:val="28"/>
          <w:szCs w:val="28"/>
          <w:lang w:eastAsia="zh-CN"/>
        </w:rPr>
        <w:t>成交</w:t>
      </w:r>
      <w:r>
        <w:rPr>
          <w:rFonts w:hint="eastAsia" w:ascii="仿宋" w:hAnsi="仿宋" w:eastAsia="仿宋" w:cs="仿宋"/>
          <w:sz w:val="28"/>
          <w:szCs w:val="28"/>
        </w:rPr>
        <w:t>通知书发出后无质疑的情况下，该结果将做为是正式</w:t>
      </w:r>
      <w:r>
        <w:rPr>
          <w:rFonts w:hint="eastAsia" w:ascii="仿宋" w:hAnsi="仿宋" w:eastAsia="仿宋" w:cs="仿宋"/>
          <w:sz w:val="28"/>
          <w:szCs w:val="28"/>
          <w:lang w:eastAsia="zh-CN"/>
        </w:rPr>
        <w:t>成交</w:t>
      </w:r>
      <w:r>
        <w:rPr>
          <w:rFonts w:hint="eastAsia" w:ascii="仿宋" w:hAnsi="仿宋" w:eastAsia="仿宋" w:cs="仿宋"/>
          <w:sz w:val="28"/>
          <w:szCs w:val="28"/>
        </w:rPr>
        <w:t>或签订供货合同的凭据。采购人将以书面形式通知</w:t>
      </w:r>
      <w:r>
        <w:rPr>
          <w:rFonts w:hint="eastAsia" w:ascii="仿宋" w:hAnsi="仿宋" w:eastAsia="仿宋" w:cs="仿宋"/>
          <w:sz w:val="28"/>
          <w:szCs w:val="28"/>
          <w:lang w:eastAsia="zh-CN"/>
        </w:rPr>
        <w:t>成交</w:t>
      </w:r>
      <w:r>
        <w:rPr>
          <w:rFonts w:hint="eastAsia" w:ascii="仿宋" w:hAnsi="仿宋" w:eastAsia="仿宋" w:cs="仿宋"/>
          <w:sz w:val="28"/>
          <w:szCs w:val="28"/>
        </w:rPr>
        <w:t>的投标人其投标被接受。在该通知书中将给出</w:t>
      </w:r>
      <w:r>
        <w:rPr>
          <w:rFonts w:hint="eastAsia" w:ascii="仿宋" w:hAnsi="仿宋" w:eastAsia="仿宋" w:cs="仿宋"/>
          <w:sz w:val="28"/>
          <w:szCs w:val="28"/>
          <w:lang w:eastAsia="zh-CN"/>
        </w:rPr>
        <w:t>成交</w:t>
      </w:r>
      <w:r>
        <w:rPr>
          <w:rFonts w:hint="eastAsia" w:ascii="仿宋" w:hAnsi="仿宋" w:eastAsia="仿宋" w:cs="仿宋"/>
          <w:sz w:val="28"/>
          <w:szCs w:val="28"/>
        </w:rPr>
        <w:t>人应按本合同实施、完成和维护项目的</w:t>
      </w:r>
      <w:r>
        <w:rPr>
          <w:rFonts w:hint="eastAsia" w:ascii="仿宋" w:hAnsi="仿宋" w:eastAsia="仿宋" w:cs="仿宋"/>
          <w:sz w:val="28"/>
          <w:szCs w:val="28"/>
          <w:lang w:eastAsia="zh-CN"/>
        </w:rPr>
        <w:t>成交</w:t>
      </w:r>
      <w:r>
        <w:rPr>
          <w:rFonts w:hint="eastAsia" w:ascii="仿宋" w:hAnsi="仿宋" w:eastAsia="仿宋" w:cs="仿宋"/>
          <w:sz w:val="28"/>
          <w:szCs w:val="28"/>
        </w:rPr>
        <w:t>标价（合同条件中称为“合同价格”）、交货日期、地点以及其他相关事项。</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成交</w:t>
      </w:r>
      <w:r>
        <w:rPr>
          <w:rFonts w:hint="eastAsia" w:ascii="仿宋" w:hAnsi="仿宋" w:eastAsia="仿宋" w:cs="仿宋"/>
          <w:sz w:val="28"/>
          <w:szCs w:val="28"/>
        </w:rPr>
        <w:t>通知书将成为合同的组成部分。</w:t>
      </w:r>
    </w:p>
    <w:p>
      <w:pPr>
        <w:pStyle w:val="5"/>
        <w:pageBreakBefore w:val="0"/>
        <w:widowControl w:val="0"/>
        <w:kinsoku/>
        <w:wordWrap/>
        <w:overflowPunct/>
        <w:topLinePunct w:val="0"/>
        <w:autoSpaceDE/>
        <w:autoSpaceDN/>
        <w:bidi w:val="0"/>
        <w:spacing w:line="560" w:lineRule="exact"/>
        <w:ind w:left="0" w:firstLine="487"/>
        <w:textAlignment w:val="auto"/>
        <w:rPr>
          <w:rFonts w:hint="eastAsia" w:ascii="仿宋" w:hAnsi="仿宋" w:eastAsia="仿宋" w:cs="仿宋"/>
          <w:sz w:val="28"/>
          <w:szCs w:val="28"/>
        </w:rPr>
      </w:pPr>
      <w:bookmarkStart w:id="127" w:name="_Toc23688"/>
      <w:bookmarkStart w:id="128" w:name="_Toc369633097"/>
      <w:bookmarkStart w:id="129" w:name="_Toc24955"/>
      <w:r>
        <w:rPr>
          <w:rFonts w:hint="eastAsia" w:ascii="仿宋" w:hAnsi="仿宋" w:eastAsia="仿宋" w:cs="仿宋"/>
          <w:sz w:val="28"/>
          <w:szCs w:val="28"/>
        </w:rPr>
        <w:t>2.4.2 合同授予</w:t>
      </w:r>
      <w:bookmarkEnd w:id="124"/>
      <w:bookmarkEnd w:id="125"/>
      <w:bookmarkEnd w:id="126"/>
      <w:r>
        <w:rPr>
          <w:rFonts w:hint="eastAsia" w:ascii="仿宋" w:hAnsi="仿宋" w:eastAsia="仿宋" w:cs="仿宋"/>
          <w:sz w:val="28"/>
          <w:szCs w:val="28"/>
        </w:rPr>
        <w:t>原则</w:t>
      </w:r>
      <w:bookmarkEnd w:id="127"/>
      <w:bookmarkEnd w:id="128"/>
      <w:bookmarkEnd w:id="129"/>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合同授予经谈判小组评议推荐，采购人确定后的</w:t>
      </w:r>
      <w:r>
        <w:rPr>
          <w:rFonts w:hint="eastAsia" w:ascii="仿宋" w:hAnsi="仿宋" w:eastAsia="仿宋" w:cs="仿宋"/>
          <w:sz w:val="28"/>
          <w:szCs w:val="28"/>
          <w:lang w:eastAsia="zh-CN"/>
        </w:rPr>
        <w:t>成交</w:t>
      </w:r>
      <w:r>
        <w:rPr>
          <w:rFonts w:hint="eastAsia" w:ascii="仿宋" w:hAnsi="仿宋" w:eastAsia="仿宋" w:cs="仿宋"/>
          <w:sz w:val="28"/>
          <w:szCs w:val="28"/>
        </w:rPr>
        <w:t>人。</w:t>
      </w:r>
      <w:r>
        <w:rPr>
          <w:rFonts w:hint="eastAsia" w:ascii="仿宋" w:hAnsi="仿宋" w:eastAsia="仿宋" w:cs="仿宋"/>
          <w:sz w:val="28"/>
          <w:szCs w:val="28"/>
          <w:lang w:eastAsia="zh-CN"/>
        </w:rPr>
        <w:t>成交</w:t>
      </w:r>
      <w:r>
        <w:rPr>
          <w:rFonts w:hint="eastAsia" w:ascii="仿宋" w:hAnsi="仿宋" w:eastAsia="仿宋" w:cs="仿宋"/>
          <w:sz w:val="28"/>
          <w:szCs w:val="28"/>
        </w:rPr>
        <w:t>通知书发出后，采购人不得违法改变</w:t>
      </w:r>
      <w:r>
        <w:rPr>
          <w:rFonts w:hint="eastAsia" w:ascii="仿宋" w:hAnsi="仿宋" w:eastAsia="仿宋" w:cs="仿宋"/>
          <w:sz w:val="28"/>
          <w:szCs w:val="28"/>
          <w:lang w:eastAsia="zh-CN"/>
        </w:rPr>
        <w:t>成交</w:t>
      </w:r>
      <w:r>
        <w:rPr>
          <w:rFonts w:hint="eastAsia" w:ascii="仿宋" w:hAnsi="仿宋" w:eastAsia="仿宋" w:cs="仿宋"/>
          <w:sz w:val="28"/>
          <w:szCs w:val="28"/>
        </w:rPr>
        <w:t>结果，</w:t>
      </w:r>
      <w:r>
        <w:rPr>
          <w:rFonts w:hint="eastAsia" w:ascii="仿宋" w:hAnsi="仿宋" w:eastAsia="仿宋" w:cs="仿宋"/>
          <w:sz w:val="28"/>
          <w:szCs w:val="28"/>
          <w:lang w:eastAsia="zh-CN"/>
        </w:rPr>
        <w:t>成交</w:t>
      </w:r>
      <w:r>
        <w:rPr>
          <w:rFonts w:hint="eastAsia" w:ascii="仿宋" w:hAnsi="仿宋" w:eastAsia="仿宋" w:cs="仿宋"/>
          <w:sz w:val="28"/>
          <w:szCs w:val="28"/>
        </w:rPr>
        <w:t>人无正当理由不得放弃</w:t>
      </w:r>
      <w:r>
        <w:rPr>
          <w:rFonts w:hint="eastAsia" w:ascii="仿宋" w:hAnsi="仿宋" w:eastAsia="仿宋" w:cs="仿宋"/>
          <w:sz w:val="28"/>
          <w:szCs w:val="28"/>
          <w:lang w:eastAsia="zh-CN"/>
        </w:rPr>
        <w:t>成交</w:t>
      </w:r>
      <w:r>
        <w:rPr>
          <w:rFonts w:hint="eastAsia" w:ascii="仿宋" w:hAnsi="仿宋" w:eastAsia="仿宋" w:cs="仿宋"/>
          <w:sz w:val="28"/>
          <w:szCs w:val="28"/>
        </w:rPr>
        <w:t>。</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政府采购合同的履行、违约责任和解决争议的方法等适用《中华人民共和国合同法》。</w:t>
      </w:r>
    </w:p>
    <w:p>
      <w:pPr>
        <w:pStyle w:val="5"/>
        <w:pageBreakBefore w:val="0"/>
        <w:widowControl w:val="0"/>
        <w:kinsoku/>
        <w:wordWrap/>
        <w:overflowPunct/>
        <w:topLinePunct w:val="0"/>
        <w:autoSpaceDE/>
        <w:autoSpaceDN/>
        <w:bidi w:val="0"/>
        <w:spacing w:line="560" w:lineRule="exact"/>
        <w:ind w:left="0" w:firstLine="487"/>
        <w:textAlignment w:val="auto"/>
        <w:rPr>
          <w:rFonts w:hint="eastAsia" w:ascii="仿宋" w:hAnsi="仿宋" w:eastAsia="仿宋" w:cs="仿宋"/>
          <w:sz w:val="28"/>
          <w:szCs w:val="28"/>
        </w:rPr>
      </w:pPr>
      <w:bookmarkStart w:id="130" w:name="_Toc92"/>
      <w:bookmarkStart w:id="131" w:name="_Toc369633098"/>
      <w:bookmarkStart w:id="132" w:name="_Toc128372080"/>
      <w:bookmarkStart w:id="133" w:name="_Toc128372758"/>
      <w:bookmarkStart w:id="134" w:name="_Toc139965353"/>
      <w:bookmarkStart w:id="135" w:name="_Toc10285"/>
      <w:r>
        <w:rPr>
          <w:rFonts w:hint="eastAsia" w:ascii="仿宋" w:hAnsi="仿宋" w:eastAsia="仿宋" w:cs="仿宋"/>
          <w:sz w:val="28"/>
          <w:szCs w:val="28"/>
        </w:rPr>
        <w:t>2.4.3 合同的签署</w:t>
      </w:r>
      <w:bookmarkEnd w:id="130"/>
      <w:bookmarkEnd w:id="131"/>
      <w:bookmarkEnd w:id="132"/>
      <w:bookmarkEnd w:id="133"/>
      <w:bookmarkEnd w:id="134"/>
      <w:bookmarkEnd w:id="135"/>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成交</w:t>
      </w:r>
      <w:r>
        <w:rPr>
          <w:rFonts w:hint="eastAsia" w:ascii="仿宋" w:hAnsi="仿宋" w:eastAsia="仿宋" w:cs="仿宋"/>
          <w:sz w:val="28"/>
          <w:szCs w:val="28"/>
        </w:rPr>
        <w:t>人按</w:t>
      </w:r>
      <w:r>
        <w:rPr>
          <w:rFonts w:hint="eastAsia" w:ascii="仿宋" w:hAnsi="仿宋" w:eastAsia="仿宋" w:cs="仿宋"/>
          <w:sz w:val="28"/>
          <w:szCs w:val="28"/>
          <w:lang w:eastAsia="zh-CN"/>
        </w:rPr>
        <w:t>成交</w:t>
      </w:r>
      <w:r>
        <w:rPr>
          <w:rFonts w:hint="eastAsia" w:ascii="仿宋" w:hAnsi="仿宋" w:eastAsia="仿宋" w:cs="仿宋"/>
          <w:sz w:val="28"/>
          <w:szCs w:val="28"/>
        </w:rPr>
        <w:t>通知书中规定的时间和地点，由法定代表人或被授权人与需方签订合同。需方与</w:t>
      </w:r>
      <w:r>
        <w:rPr>
          <w:rFonts w:hint="eastAsia" w:ascii="仿宋" w:hAnsi="仿宋" w:eastAsia="仿宋" w:cs="仿宋"/>
          <w:sz w:val="28"/>
          <w:szCs w:val="28"/>
          <w:lang w:eastAsia="zh-CN"/>
        </w:rPr>
        <w:t>成交</w:t>
      </w:r>
      <w:r>
        <w:rPr>
          <w:rFonts w:hint="eastAsia" w:ascii="仿宋" w:hAnsi="仿宋" w:eastAsia="仿宋" w:cs="仿宋"/>
          <w:sz w:val="28"/>
          <w:szCs w:val="28"/>
        </w:rPr>
        <w:t>人是合同权利与义务的直接、全部责任承担人。采购人所发出的</w:t>
      </w:r>
      <w:r>
        <w:rPr>
          <w:rFonts w:hint="eastAsia" w:ascii="仿宋" w:hAnsi="仿宋" w:eastAsia="仿宋" w:cs="仿宋"/>
          <w:sz w:val="28"/>
          <w:szCs w:val="28"/>
          <w:lang w:eastAsia="zh-CN"/>
        </w:rPr>
        <w:t>成交</w:t>
      </w:r>
      <w:r>
        <w:rPr>
          <w:rFonts w:hint="eastAsia" w:ascii="仿宋" w:hAnsi="仿宋" w:eastAsia="仿宋" w:cs="仿宋"/>
          <w:sz w:val="28"/>
          <w:szCs w:val="28"/>
        </w:rPr>
        <w:t>通知书对需方和</w:t>
      </w:r>
      <w:r>
        <w:rPr>
          <w:rFonts w:hint="eastAsia" w:ascii="仿宋" w:hAnsi="仿宋" w:eastAsia="仿宋" w:cs="仿宋"/>
          <w:sz w:val="28"/>
          <w:szCs w:val="28"/>
          <w:lang w:eastAsia="zh-CN"/>
        </w:rPr>
        <w:t>成交</w:t>
      </w:r>
      <w:r>
        <w:rPr>
          <w:rFonts w:hint="eastAsia" w:ascii="仿宋" w:hAnsi="仿宋" w:eastAsia="仿宋" w:cs="仿宋"/>
          <w:sz w:val="28"/>
          <w:szCs w:val="28"/>
        </w:rPr>
        <w:t>供应商具有同等法律效力。</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成交</w:t>
      </w:r>
      <w:r>
        <w:rPr>
          <w:rFonts w:hint="eastAsia" w:ascii="仿宋" w:hAnsi="仿宋" w:eastAsia="仿宋" w:cs="仿宋"/>
          <w:sz w:val="28"/>
          <w:szCs w:val="28"/>
        </w:rPr>
        <w:t>通知书发出后，需方拒绝签订供货合同或擅自改变</w:t>
      </w:r>
      <w:r>
        <w:rPr>
          <w:rFonts w:hint="eastAsia" w:ascii="仿宋" w:hAnsi="仿宋" w:eastAsia="仿宋" w:cs="仿宋"/>
          <w:sz w:val="28"/>
          <w:szCs w:val="28"/>
          <w:lang w:eastAsia="zh-CN"/>
        </w:rPr>
        <w:t>成交</w:t>
      </w:r>
      <w:r>
        <w:rPr>
          <w:rFonts w:hint="eastAsia" w:ascii="仿宋" w:hAnsi="仿宋" w:eastAsia="仿宋" w:cs="仿宋"/>
          <w:sz w:val="28"/>
          <w:szCs w:val="28"/>
        </w:rPr>
        <w:t>内容，按照《中华人民共和国合同法》定金罚则及损害赔偿的原则处罚并办理。</w:t>
      </w:r>
    </w:p>
    <w:p>
      <w:pPr>
        <w:pStyle w:val="5"/>
        <w:pageBreakBefore w:val="0"/>
        <w:widowControl w:val="0"/>
        <w:kinsoku/>
        <w:wordWrap/>
        <w:overflowPunct/>
        <w:topLinePunct w:val="0"/>
        <w:autoSpaceDE/>
        <w:autoSpaceDN/>
        <w:bidi w:val="0"/>
        <w:spacing w:line="560" w:lineRule="exact"/>
        <w:ind w:left="0" w:firstLine="487"/>
        <w:textAlignment w:val="auto"/>
        <w:rPr>
          <w:rFonts w:hint="eastAsia" w:ascii="仿宋" w:hAnsi="仿宋" w:eastAsia="仿宋" w:cs="仿宋"/>
          <w:sz w:val="28"/>
          <w:szCs w:val="28"/>
        </w:rPr>
      </w:pPr>
      <w:bookmarkStart w:id="136" w:name="_Toc369633099"/>
      <w:bookmarkStart w:id="137" w:name="_Toc128372081"/>
      <w:bookmarkStart w:id="138" w:name="_Toc15180"/>
      <w:bookmarkStart w:id="139" w:name="_Toc374"/>
      <w:bookmarkStart w:id="140" w:name="_Toc139965354"/>
      <w:bookmarkStart w:id="141" w:name="_Toc128372759"/>
      <w:r>
        <w:rPr>
          <w:rFonts w:hint="eastAsia" w:ascii="仿宋" w:hAnsi="仿宋" w:eastAsia="仿宋" w:cs="仿宋"/>
          <w:sz w:val="28"/>
          <w:szCs w:val="28"/>
        </w:rPr>
        <w:t>2.4.4 其他</w:t>
      </w:r>
      <w:bookmarkEnd w:id="136"/>
      <w:bookmarkEnd w:id="137"/>
      <w:bookmarkEnd w:id="138"/>
      <w:bookmarkEnd w:id="139"/>
      <w:bookmarkEnd w:id="140"/>
      <w:bookmarkEnd w:id="141"/>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成交</w:t>
      </w:r>
      <w:r>
        <w:rPr>
          <w:rFonts w:hint="eastAsia" w:ascii="仿宋" w:hAnsi="仿宋" w:eastAsia="仿宋" w:cs="仿宋"/>
          <w:sz w:val="28"/>
          <w:szCs w:val="28"/>
        </w:rPr>
        <w:t>后招标文件和投标文件未尽事宜另行商定。本招标文件由采购人或采购代理机构负责解释。</w:t>
      </w:r>
      <w:bookmarkStart w:id="142" w:name="_Toc369633100"/>
    </w:p>
    <w:p>
      <w:pPr>
        <w:spacing w:line="360" w:lineRule="auto"/>
        <w:ind w:firstLine="564" w:firstLineChars="200"/>
        <w:rPr>
          <w:rFonts w:hint="eastAsia" w:ascii="仿宋" w:hAnsi="仿宋" w:eastAsia="仿宋" w:cs="仿宋"/>
          <w:sz w:val="28"/>
          <w:szCs w:val="28"/>
        </w:rPr>
      </w:pPr>
    </w:p>
    <w:p>
      <w:pPr>
        <w:spacing w:line="360" w:lineRule="auto"/>
        <w:ind w:firstLine="484" w:firstLineChars="200"/>
        <w:rPr>
          <w:rFonts w:hint="eastAsia" w:ascii="宋体" w:hAnsi="宋体"/>
          <w:sz w:val="24"/>
        </w:rPr>
      </w:pPr>
    </w:p>
    <w:p>
      <w:pPr>
        <w:pStyle w:val="3"/>
        <w:spacing w:before="0" w:after="0"/>
        <w:jc w:val="center"/>
        <w:rPr>
          <w:kern w:val="0"/>
          <w:sz w:val="40"/>
        </w:rPr>
      </w:pPr>
      <w:bookmarkStart w:id="143" w:name="_Toc5236"/>
      <w:bookmarkStart w:id="144" w:name="_Toc17573"/>
      <w:r>
        <w:rPr>
          <w:rFonts w:hint="eastAsia"/>
          <w:kern w:val="0"/>
          <w:sz w:val="40"/>
        </w:rPr>
        <w:t>3、澄清和质疑</w:t>
      </w:r>
      <w:bookmarkEnd w:id="142"/>
      <w:bookmarkEnd w:id="143"/>
      <w:bookmarkEnd w:id="144"/>
    </w:p>
    <w:p>
      <w:pPr>
        <w:pStyle w:val="4"/>
        <w:pageBreakBefore w:val="0"/>
        <w:widowControl w:val="0"/>
        <w:kinsoku/>
        <w:wordWrap/>
        <w:overflowPunct/>
        <w:topLinePunct w:val="0"/>
        <w:autoSpaceDE/>
        <w:autoSpaceDN/>
        <w:bidi w:val="0"/>
        <w:snapToGrid/>
        <w:spacing w:before="0" w:after="0" w:line="560" w:lineRule="exact"/>
        <w:ind w:firstLine="419" w:firstLineChars="149"/>
        <w:textAlignment w:val="auto"/>
        <w:rPr>
          <w:rFonts w:hint="eastAsia" w:ascii="宋体" w:hAnsi="宋体"/>
          <w:sz w:val="28"/>
          <w:szCs w:val="28"/>
        </w:rPr>
      </w:pPr>
      <w:bookmarkStart w:id="145" w:name="_Toc18974"/>
      <w:bookmarkStart w:id="146" w:name="_Toc12747"/>
      <w:bookmarkStart w:id="147" w:name="_Toc369633101"/>
      <w:r>
        <w:rPr>
          <w:rFonts w:hint="eastAsia" w:ascii="宋体" w:hAnsi="宋体"/>
          <w:sz w:val="28"/>
          <w:szCs w:val="28"/>
        </w:rPr>
        <w:t>3.1综合说明</w:t>
      </w:r>
      <w:bookmarkEnd w:id="145"/>
      <w:bookmarkEnd w:id="146"/>
      <w:bookmarkEnd w:id="147"/>
    </w:p>
    <w:p>
      <w:pPr>
        <w:pageBreakBefore w:val="0"/>
        <w:widowControl w:val="0"/>
        <w:kinsoku/>
        <w:wordWrap/>
        <w:overflowPunct/>
        <w:topLinePunct w:val="0"/>
        <w:autoSpaceDE/>
        <w:autoSpaceDN/>
        <w:bidi w:val="0"/>
        <w:snapToGrid/>
        <w:spacing w:line="56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投标人对政府采购活动事项有疑问的，可以向被质疑人提出询问，被质疑人应当及时予以答复，但答复的内容不得涉及商业秘密。投标人询问和质疑实行实名制。投标人询问和质疑应当有事实根据，不得进行虚假、恶意询问或质疑，干扰政府采购正常的工作秩序。投标人提起质疑应当符合下列条件：必须是参与被质疑项目的投标人或潜在投标人；必须在规定的质疑有效期内提起质疑；政府采购监督管理部门规定的其他条件。质疑人提出质疑时，可以以口头询问方式，采购人应当在规定时间内予以口头答复；原则上质疑人应当提交书面质疑书，质疑书应当包括下列主要内容：被质疑人的名称、地址、电话；采购项目名称、项目编号；具体事项、请求和主张；提起质疑的投标人名称、地址及联系方式；质疑日期。质疑书的递交应当采取当面递交的形式。</w:t>
      </w:r>
    </w:p>
    <w:p>
      <w:pPr>
        <w:pStyle w:val="4"/>
        <w:pageBreakBefore w:val="0"/>
        <w:widowControl w:val="0"/>
        <w:kinsoku/>
        <w:wordWrap/>
        <w:overflowPunct/>
        <w:topLinePunct w:val="0"/>
        <w:autoSpaceDE/>
        <w:autoSpaceDN/>
        <w:bidi w:val="0"/>
        <w:snapToGrid/>
        <w:spacing w:before="0" w:after="0" w:line="560" w:lineRule="exact"/>
        <w:ind w:firstLine="419" w:firstLineChars="149"/>
        <w:textAlignment w:val="auto"/>
        <w:rPr>
          <w:rFonts w:hint="eastAsia" w:ascii="宋体" w:hAnsi="宋体"/>
          <w:sz w:val="28"/>
          <w:szCs w:val="28"/>
        </w:rPr>
      </w:pPr>
      <w:bookmarkStart w:id="148" w:name="_Toc369633102"/>
      <w:bookmarkStart w:id="149" w:name="_Toc26550"/>
      <w:bookmarkStart w:id="150" w:name="_Toc15265"/>
      <w:r>
        <w:rPr>
          <w:rFonts w:hint="eastAsia" w:ascii="宋体" w:hAnsi="宋体"/>
          <w:sz w:val="28"/>
          <w:szCs w:val="28"/>
        </w:rPr>
        <w:t>3.2对招标文件的澄清和质疑</w:t>
      </w:r>
      <w:bookmarkEnd w:id="148"/>
      <w:bookmarkEnd w:id="149"/>
      <w:bookmarkEnd w:id="150"/>
    </w:p>
    <w:p>
      <w:pPr>
        <w:pageBreakBefore w:val="0"/>
        <w:widowControl w:val="0"/>
        <w:kinsoku/>
        <w:wordWrap/>
        <w:overflowPunct/>
        <w:topLinePunct w:val="0"/>
        <w:autoSpaceDE/>
        <w:autoSpaceDN/>
        <w:bidi w:val="0"/>
        <w:adjustRightInd w:val="0"/>
        <w:snapToGrid/>
        <w:spacing w:line="56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投标人应尽早获取招标文件，若对招标文件中有疑问需要澄清或质疑，须在</w:t>
      </w:r>
      <w:r>
        <w:rPr>
          <w:rFonts w:hint="eastAsia" w:ascii="仿宋" w:hAnsi="仿宋" w:eastAsia="仿宋" w:cs="仿宋"/>
          <w:sz w:val="28"/>
          <w:szCs w:val="28"/>
          <w:lang w:val="en-US" w:eastAsia="zh-CN"/>
        </w:rPr>
        <w:t>3</w:t>
      </w:r>
      <w:r>
        <w:rPr>
          <w:rFonts w:hint="eastAsia" w:ascii="仿宋" w:hAnsi="仿宋" w:eastAsia="仿宋" w:cs="仿宋"/>
          <w:sz w:val="28"/>
          <w:szCs w:val="28"/>
        </w:rPr>
        <w:t>个工作日内由澄清或质疑方的法定代表人或授权投标人（必须为法定代表人授权进行该项目投标的被授权人）以书面形式向招标人递交澄清或质疑函(原件)，并登记备案。澄清或质疑函须有法定代表人亲笔签字。澄清函应说明需要澄清的内容，质疑函除应说明需要质疑的内容外，还应提供能够证明质疑内容的相关书面证据。澄清或质疑函应内容真实，证据充分，不得进行恶意质疑。由法定代表人递交澄清或质疑函时，提供法定代表人身份证复印件；由授权投标人递交澄清或质疑函时，还须提供法人投标授权函和质疑授权函（均为原件）及被授权投标人的身份证复印件。</w:t>
      </w:r>
      <w:r>
        <w:rPr>
          <w:rFonts w:hint="eastAsia" w:ascii="仿宋" w:hAnsi="仿宋" w:eastAsia="仿宋" w:cs="仿宋"/>
          <w:bCs/>
          <w:sz w:val="28"/>
          <w:szCs w:val="28"/>
        </w:rPr>
        <w:t>身份证复印件须正反面清晰、有效，并要求由该身份证持有人在复印件正反面非空白位置注明“该复印件用于在</w:t>
      </w:r>
      <w:r>
        <w:rPr>
          <w:rFonts w:hint="eastAsia" w:ascii="仿宋" w:hAnsi="仿宋" w:eastAsia="仿宋" w:cs="仿宋"/>
          <w:bCs/>
          <w:sz w:val="28"/>
          <w:szCs w:val="28"/>
          <w:u w:val="single"/>
        </w:rPr>
        <w:t>（项目编号）</w:t>
      </w:r>
      <w:r>
        <w:rPr>
          <w:rFonts w:hint="eastAsia" w:ascii="仿宋" w:hAnsi="仿宋" w:eastAsia="仿宋" w:cs="仿宋"/>
          <w:bCs/>
          <w:sz w:val="28"/>
          <w:szCs w:val="28"/>
        </w:rPr>
        <w:t>项目澄清或质疑使用”字样，并由身份证持有人签字确认</w:t>
      </w:r>
      <w:r>
        <w:rPr>
          <w:rFonts w:hint="eastAsia" w:ascii="仿宋" w:hAnsi="仿宋" w:eastAsia="仿宋" w:cs="仿宋"/>
          <w:sz w:val="28"/>
          <w:szCs w:val="28"/>
        </w:rPr>
        <w:t>。上述资料均须加盖公章。</w:t>
      </w:r>
    </w:p>
    <w:p>
      <w:pPr>
        <w:pageBreakBefore w:val="0"/>
        <w:widowControl w:val="0"/>
        <w:kinsoku/>
        <w:wordWrap/>
        <w:overflowPunct/>
        <w:topLinePunct w:val="0"/>
        <w:autoSpaceDE/>
        <w:autoSpaceDN/>
        <w:bidi w:val="0"/>
        <w:snapToGrid/>
        <w:spacing w:line="56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采购人在投标截止日3天前根据澄清或质疑函的具体内容相应作出答复或不予答复，答复内容不得涉及商业秘密。作出答复的将以书面形式通知提出澄清或质疑的投标人和其他有关投标人，或在甘肃政府采购网上予以公布。递交质疑的投标人和其他有关投标人在被告知、收到上述公告、通知或答疑书后，应立即向招标人回函确认。未确认情况应当视为对质疑答复的知晓，也将视为对质疑答复内容接受的默认。对于未在投标文件中对修改内容做实质性响应的，对其产生的不利因素由未确认者自行承担。同时采购人可以酌情延长投标截止时间。</w:t>
      </w:r>
    </w:p>
    <w:p>
      <w:pPr>
        <w:pStyle w:val="4"/>
        <w:pageBreakBefore w:val="0"/>
        <w:widowControl w:val="0"/>
        <w:kinsoku/>
        <w:wordWrap/>
        <w:overflowPunct/>
        <w:topLinePunct w:val="0"/>
        <w:autoSpaceDE/>
        <w:autoSpaceDN/>
        <w:bidi w:val="0"/>
        <w:snapToGrid/>
        <w:spacing w:before="0" w:after="0" w:line="560" w:lineRule="exact"/>
        <w:ind w:firstLine="419" w:firstLineChars="149"/>
        <w:textAlignment w:val="auto"/>
        <w:rPr>
          <w:rFonts w:hint="eastAsia" w:ascii="宋体" w:hAnsi="宋体"/>
          <w:sz w:val="28"/>
          <w:szCs w:val="28"/>
        </w:rPr>
      </w:pPr>
      <w:bookmarkStart w:id="151" w:name="_Toc21571"/>
      <w:bookmarkStart w:id="152" w:name="_Toc17171"/>
      <w:bookmarkStart w:id="153" w:name="_Toc369633103"/>
      <w:r>
        <w:rPr>
          <w:rFonts w:hint="eastAsia" w:ascii="宋体" w:hAnsi="宋体"/>
          <w:sz w:val="28"/>
          <w:szCs w:val="28"/>
        </w:rPr>
        <w:t>3.3对招标过程和拟</w:t>
      </w:r>
      <w:r>
        <w:rPr>
          <w:rFonts w:hint="eastAsia" w:ascii="宋体" w:hAnsi="宋体"/>
          <w:sz w:val="28"/>
          <w:szCs w:val="28"/>
          <w:lang w:eastAsia="zh-CN"/>
        </w:rPr>
        <w:t>成交</w:t>
      </w:r>
      <w:r>
        <w:rPr>
          <w:rFonts w:hint="eastAsia" w:ascii="宋体" w:hAnsi="宋体"/>
          <w:sz w:val="28"/>
          <w:szCs w:val="28"/>
        </w:rPr>
        <w:t>结果的质疑</w:t>
      </w:r>
      <w:bookmarkEnd w:id="151"/>
      <w:bookmarkEnd w:id="152"/>
      <w:bookmarkEnd w:id="153"/>
    </w:p>
    <w:p>
      <w:pPr>
        <w:pageBreakBefore w:val="0"/>
        <w:widowControl w:val="0"/>
        <w:kinsoku/>
        <w:wordWrap/>
        <w:overflowPunct/>
        <w:topLinePunct w:val="0"/>
        <w:autoSpaceDE/>
        <w:autoSpaceDN/>
        <w:bidi w:val="0"/>
        <w:adjustRightInd w:val="0"/>
        <w:snapToGrid/>
        <w:spacing w:line="56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投标人认为招标过程和拟</w:t>
      </w:r>
      <w:r>
        <w:rPr>
          <w:rFonts w:hint="eastAsia" w:ascii="仿宋" w:hAnsi="仿宋" w:eastAsia="仿宋" w:cs="仿宋"/>
          <w:sz w:val="28"/>
          <w:szCs w:val="28"/>
          <w:lang w:eastAsia="zh-CN"/>
        </w:rPr>
        <w:t>成交</w:t>
      </w:r>
      <w:r>
        <w:rPr>
          <w:rFonts w:hint="eastAsia" w:ascii="仿宋" w:hAnsi="仿宋" w:eastAsia="仿宋" w:cs="仿宋"/>
          <w:sz w:val="28"/>
          <w:szCs w:val="28"/>
        </w:rPr>
        <w:t>结果使自己的权益受到损害的，可以在投标人于甘肃政府采购网发布</w:t>
      </w:r>
      <w:r>
        <w:rPr>
          <w:rFonts w:hint="eastAsia" w:ascii="仿宋" w:hAnsi="仿宋" w:eastAsia="仿宋" w:cs="仿宋"/>
          <w:sz w:val="28"/>
          <w:szCs w:val="28"/>
          <w:lang w:eastAsia="zh-CN"/>
        </w:rPr>
        <w:t>成交</w:t>
      </w:r>
      <w:r>
        <w:rPr>
          <w:rFonts w:hint="eastAsia" w:ascii="仿宋" w:hAnsi="仿宋" w:eastAsia="仿宋" w:cs="仿宋"/>
          <w:sz w:val="28"/>
          <w:szCs w:val="28"/>
        </w:rPr>
        <w:t>结果之日起7个工作日内，由质疑方的法定代表人或授权投标人以书面形式向投标人递交质疑函（原件），并登记备案。质疑函须有法定代表人亲笔签字，除应说明需要质疑的内容外，还应提供能够证明质疑内容的相关书面证据。质疑函应内容真实，证据充分，不得进行恶意质疑。由法定代表人递交质疑函时，提供法定代表人身份证复印件；由授权投标人递交质疑函时，还须提供法人投标授权函和质疑授权函（均为原件）及被授权投标人的身份证复印件。</w:t>
      </w:r>
      <w:r>
        <w:rPr>
          <w:rFonts w:hint="eastAsia" w:ascii="仿宋" w:hAnsi="仿宋" w:eastAsia="仿宋" w:cs="仿宋"/>
          <w:bCs/>
          <w:sz w:val="28"/>
          <w:szCs w:val="28"/>
        </w:rPr>
        <w:t>身份证复印件须正反面清晰、有效，并要求由该身份证持有人在复印件正反面非空白位置注明“该复印件用于在</w:t>
      </w:r>
      <w:r>
        <w:rPr>
          <w:rFonts w:hint="eastAsia" w:ascii="仿宋" w:hAnsi="仿宋" w:eastAsia="仿宋" w:cs="仿宋"/>
          <w:bCs/>
          <w:sz w:val="28"/>
          <w:szCs w:val="28"/>
          <w:u w:val="single"/>
        </w:rPr>
        <w:t>（项目编号）</w:t>
      </w:r>
      <w:r>
        <w:rPr>
          <w:rFonts w:hint="eastAsia" w:ascii="仿宋" w:hAnsi="仿宋" w:eastAsia="仿宋" w:cs="仿宋"/>
          <w:bCs/>
          <w:sz w:val="28"/>
          <w:szCs w:val="28"/>
        </w:rPr>
        <w:t>项目质疑使用”字样，并由身份证持有人签字确认。</w:t>
      </w:r>
      <w:r>
        <w:rPr>
          <w:rFonts w:hint="eastAsia" w:ascii="仿宋" w:hAnsi="仿宋" w:eastAsia="仿宋" w:cs="仿宋"/>
          <w:sz w:val="28"/>
          <w:szCs w:val="28"/>
        </w:rPr>
        <w:t>上述资料均须加盖公章。</w:t>
      </w:r>
    </w:p>
    <w:p>
      <w:pPr>
        <w:pageBreakBefore w:val="0"/>
        <w:widowControl w:val="0"/>
        <w:kinsoku/>
        <w:wordWrap/>
        <w:overflowPunct/>
        <w:topLinePunct w:val="0"/>
        <w:autoSpaceDE/>
        <w:autoSpaceDN/>
        <w:bidi w:val="0"/>
        <w:adjustRightInd w:val="0"/>
        <w:snapToGrid/>
        <w:spacing w:line="56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采购人应在受理投标人的书面质疑后，根据质疑函的具体内容及时向递交质疑函的投标人作出答复或不予答复，答复内容不得涉及商业秘密。作出答复的以书面形式通知递交质疑的投标人和其他有关投标人，或在甘肃政府采购网上予以公告。递交质疑的投标人和其他有关投标人在被告知、收到上述公告、通知或答疑书后，应立即向采购人回函确认。未确认情况应当视为对质疑答复的知晓，也将视为对质疑答复内容接受的默认。</w:t>
      </w:r>
    </w:p>
    <w:p>
      <w:pPr>
        <w:pStyle w:val="4"/>
        <w:pageBreakBefore w:val="0"/>
        <w:widowControl w:val="0"/>
        <w:kinsoku/>
        <w:wordWrap/>
        <w:overflowPunct/>
        <w:topLinePunct w:val="0"/>
        <w:autoSpaceDE/>
        <w:autoSpaceDN/>
        <w:bidi w:val="0"/>
        <w:snapToGrid/>
        <w:spacing w:before="0" w:after="0" w:line="560" w:lineRule="exact"/>
        <w:ind w:firstLine="419" w:firstLineChars="149"/>
        <w:textAlignment w:val="auto"/>
        <w:rPr>
          <w:rFonts w:hint="eastAsia" w:ascii="宋体" w:hAnsi="宋体"/>
          <w:sz w:val="28"/>
          <w:szCs w:val="28"/>
        </w:rPr>
      </w:pPr>
      <w:bookmarkStart w:id="154" w:name="_Toc6674"/>
      <w:bookmarkStart w:id="155" w:name="_Toc369633104"/>
      <w:bookmarkStart w:id="156" w:name="_Toc5324"/>
      <w:r>
        <w:rPr>
          <w:rFonts w:hint="eastAsia" w:ascii="宋体" w:hAnsi="宋体"/>
          <w:sz w:val="28"/>
          <w:szCs w:val="28"/>
        </w:rPr>
        <w:t>3.4澄清或质疑不予受理的情况</w:t>
      </w:r>
      <w:bookmarkEnd w:id="154"/>
      <w:bookmarkEnd w:id="155"/>
      <w:bookmarkEnd w:id="156"/>
    </w:p>
    <w:p>
      <w:pPr>
        <w:pageBreakBefore w:val="0"/>
        <w:widowControl w:val="0"/>
        <w:kinsoku/>
        <w:wordWrap/>
        <w:overflowPunct/>
        <w:topLinePunct w:val="0"/>
        <w:autoSpaceDE/>
        <w:autoSpaceDN/>
        <w:bidi w:val="0"/>
        <w:adjustRightInd w:val="0"/>
        <w:snapToGrid/>
        <w:spacing w:line="56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有下列情形之一的，属于无效质疑，被质疑人不予受理，由此产生的影响由投标人自行承担：</w:t>
      </w:r>
    </w:p>
    <w:p>
      <w:pPr>
        <w:pageBreakBefore w:val="0"/>
        <w:widowControl w:val="0"/>
        <w:kinsoku/>
        <w:wordWrap/>
        <w:overflowPunct/>
        <w:topLinePunct w:val="0"/>
        <w:autoSpaceDE/>
        <w:autoSpaceDN/>
        <w:bidi w:val="0"/>
        <w:adjustRightInd w:val="0"/>
        <w:snapToGrid/>
        <w:spacing w:line="56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(一)不是参与该政府采购项目活动供应商的;</w:t>
      </w:r>
    </w:p>
    <w:p>
      <w:pPr>
        <w:pageBreakBefore w:val="0"/>
        <w:widowControl w:val="0"/>
        <w:kinsoku/>
        <w:wordWrap/>
        <w:overflowPunct/>
        <w:topLinePunct w:val="0"/>
        <w:autoSpaceDE/>
        <w:autoSpaceDN/>
        <w:bidi w:val="0"/>
        <w:adjustRightInd w:val="0"/>
        <w:snapToGrid/>
        <w:spacing w:line="56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(二)被质疑人为采购人或政府采购代理机构之外的；</w:t>
      </w:r>
    </w:p>
    <w:p>
      <w:pPr>
        <w:pageBreakBefore w:val="0"/>
        <w:widowControl w:val="0"/>
        <w:kinsoku/>
        <w:wordWrap/>
        <w:overflowPunct/>
        <w:topLinePunct w:val="0"/>
        <w:autoSpaceDE/>
        <w:autoSpaceDN/>
        <w:bidi w:val="0"/>
        <w:adjustRightInd w:val="0"/>
        <w:snapToGrid/>
        <w:spacing w:line="56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(三)所有质疑事项超过质疑有效期的；</w:t>
      </w:r>
    </w:p>
    <w:p>
      <w:pPr>
        <w:pageBreakBefore w:val="0"/>
        <w:widowControl w:val="0"/>
        <w:kinsoku/>
        <w:wordWrap/>
        <w:overflowPunct/>
        <w:topLinePunct w:val="0"/>
        <w:autoSpaceDE/>
        <w:autoSpaceDN/>
        <w:bidi w:val="0"/>
        <w:adjustRightInd w:val="0"/>
        <w:snapToGrid/>
        <w:spacing w:line="56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(四)无确凿证据进行恶意质疑的；</w:t>
      </w:r>
    </w:p>
    <w:p>
      <w:pPr>
        <w:pageBreakBefore w:val="0"/>
        <w:widowControl w:val="0"/>
        <w:kinsoku/>
        <w:wordWrap/>
        <w:overflowPunct/>
        <w:topLinePunct w:val="0"/>
        <w:autoSpaceDE/>
        <w:autoSpaceDN/>
        <w:bidi w:val="0"/>
        <w:adjustRightInd w:val="0"/>
        <w:snapToGrid/>
        <w:spacing w:line="56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(五)以具有法律效力的文书送达之外方式提出的；</w:t>
      </w:r>
    </w:p>
    <w:p>
      <w:pPr>
        <w:pageBreakBefore w:val="0"/>
        <w:widowControl w:val="0"/>
        <w:kinsoku/>
        <w:wordWrap/>
        <w:overflowPunct/>
        <w:topLinePunct w:val="0"/>
        <w:autoSpaceDE/>
        <w:autoSpaceDN/>
        <w:bidi w:val="0"/>
        <w:adjustRightInd w:val="0"/>
        <w:snapToGrid/>
        <w:spacing w:line="56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(六) 未按上述规定递交澄清或质疑函的；</w:t>
      </w:r>
    </w:p>
    <w:p>
      <w:pPr>
        <w:pageBreakBefore w:val="0"/>
        <w:widowControl w:val="0"/>
        <w:kinsoku/>
        <w:wordWrap/>
        <w:overflowPunct/>
        <w:topLinePunct w:val="0"/>
        <w:autoSpaceDE/>
        <w:autoSpaceDN/>
        <w:bidi w:val="0"/>
        <w:adjustRightInd w:val="0"/>
        <w:snapToGrid/>
        <w:spacing w:line="56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(七) 其它不符合受理条件的情形。</w:t>
      </w:r>
    </w:p>
    <w:p>
      <w:pPr>
        <w:pStyle w:val="4"/>
        <w:pageBreakBefore w:val="0"/>
        <w:widowControl w:val="0"/>
        <w:kinsoku/>
        <w:wordWrap/>
        <w:overflowPunct/>
        <w:topLinePunct w:val="0"/>
        <w:autoSpaceDE/>
        <w:autoSpaceDN/>
        <w:bidi w:val="0"/>
        <w:snapToGrid/>
        <w:spacing w:before="0" w:after="0" w:line="560" w:lineRule="exact"/>
        <w:ind w:firstLine="419" w:firstLineChars="149"/>
        <w:textAlignment w:val="auto"/>
        <w:rPr>
          <w:rFonts w:hint="eastAsia" w:ascii="宋体" w:hAnsi="宋体"/>
          <w:sz w:val="28"/>
          <w:szCs w:val="28"/>
        </w:rPr>
      </w:pPr>
      <w:bookmarkStart w:id="157" w:name="_Toc30846"/>
      <w:r>
        <w:rPr>
          <w:rFonts w:hint="eastAsia" w:ascii="宋体" w:hAnsi="宋体"/>
          <w:sz w:val="28"/>
          <w:szCs w:val="28"/>
        </w:rPr>
        <w:t>3.5其他</w:t>
      </w:r>
      <w:bookmarkEnd w:id="157"/>
    </w:p>
    <w:p>
      <w:pPr>
        <w:pageBreakBefore w:val="0"/>
        <w:widowControl w:val="0"/>
        <w:kinsoku/>
        <w:wordWrap/>
        <w:overflowPunct/>
        <w:topLinePunct w:val="0"/>
        <w:autoSpaceDE/>
        <w:autoSpaceDN/>
        <w:bidi w:val="0"/>
        <w:adjustRightInd w:val="0"/>
        <w:snapToGrid/>
        <w:spacing w:line="56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澄清或质疑函递交地点：镇原县公共资源交易中心</w:t>
      </w:r>
      <w:r>
        <w:rPr>
          <w:rFonts w:hint="eastAsia" w:ascii="仿宋" w:hAnsi="仿宋" w:eastAsia="仿宋" w:cs="仿宋"/>
          <w:kern w:val="0"/>
          <w:sz w:val="28"/>
          <w:szCs w:val="28"/>
        </w:rPr>
        <w:t>政府采购股</w:t>
      </w:r>
      <w:r>
        <w:rPr>
          <w:rFonts w:hint="eastAsia" w:ascii="仿宋" w:hAnsi="仿宋" w:eastAsia="仿宋" w:cs="仿宋"/>
          <w:sz w:val="28"/>
          <w:szCs w:val="28"/>
        </w:rPr>
        <w:t>。</w:t>
      </w:r>
    </w:p>
    <w:p>
      <w:pPr>
        <w:adjustRightInd w:val="0"/>
        <w:spacing w:line="360" w:lineRule="auto"/>
        <w:rPr>
          <w:rFonts w:hint="eastAsia" w:ascii="仿宋" w:hAnsi="仿宋" w:eastAsia="仿宋" w:cs="仿宋"/>
          <w:sz w:val="28"/>
          <w:szCs w:val="28"/>
        </w:rPr>
        <w:sectPr>
          <w:headerReference r:id="rId5" w:type="first"/>
          <w:footerReference r:id="rId8" w:type="first"/>
          <w:headerReference r:id="rId3" w:type="default"/>
          <w:footerReference r:id="rId6" w:type="default"/>
          <w:headerReference r:id="rId4" w:type="even"/>
          <w:footerReference r:id="rId7" w:type="even"/>
          <w:type w:val="oddPage"/>
          <w:pgSz w:w="11906" w:h="16838"/>
          <w:pgMar w:top="1701" w:right="1134" w:bottom="1417" w:left="1417" w:header="851" w:footer="992" w:gutter="0"/>
          <w:pgNumType w:fmt="numberInDash"/>
          <w:cols w:space="720" w:num="1"/>
          <w:rtlGutter w:val="0"/>
          <w:docGrid w:type="linesAndChars" w:linePitch="322" w:charSpace="535"/>
        </w:sectPr>
      </w:pPr>
    </w:p>
    <w:p>
      <w:pPr>
        <w:numPr>
          <w:ilvl w:val="0"/>
          <w:numId w:val="0"/>
        </w:numPr>
        <w:rPr>
          <w:rFonts w:hint="eastAsia"/>
        </w:rPr>
      </w:pPr>
      <w:bookmarkStart w:id="283" w:name="_GoBack"/>
      <w:bookmarkStart w:id="158" w:name="_Toc5874"/>
      <w:bookmarkStart w:id="159" w:name="_Toc32282"/>
      <w:bookmarkStart w:id="160" w:name="_Toc458439997"/>
      <w:r>
        <w:rPr>
          <w:rFonts w:hint="eastAsia"/>
          <w:kern w:val="0"/>
          <w:sz w:val="40"/>
        </w:rPr>
        <w:drawing>
          <wp:inline distT="0" distB="0" distL="114300" distR="114300">
            <wp:extent cx="5773420" cy="8599805"/>
            <wp:effectExtent l="0" t="0" r="17780" b="10795"/>
            <wp:docPr id="9" name="图片 9" descr="参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参数"/>
                    <pic:cNvPicPr>
                      <a:picLocks noChangeAspect="1"/>
                    </pic:cNvPicPr>
                  </pic:nvPicPr>
                  <pic:blipFill>
                    <a:blip r:embed="rId16"/>
                    <a:stretch>
                      <a:fillRect/>
                    </a:stretch>
                  </pic:blipFill>
                  <pic:spPr>
                    <a:xfrm>
                      <a:off x="0" y="0"/>
                      <a:ext cx="5773420" cy="8599805"/>
                    </a:xfrm>
                    <a:prstGeom prst="rect">
                      <a:avLst/>
                    </a:prstGeom>
                  </pic:spPr>
                </pic:pic>
              </a:graphicData>
            </a:graphic>
          </wp:inline>
        </w:drawing>
      </w:r>
      <w:bookmarkEnd w:id="283"/>
      <w:bookmarkEnd w:id="158"/>
      <w:bookmarkEnd w:id="159"/>
      <w:bookmarkEnd w:id="160"/>
      <w:bookmarkStart w:id="161" w:name="_Toc19461637"/>
      <w:bookmarkStart w:id="162" w:name="_Toc25800"/>
      <w:bookmarkStart w:id="163" w:name="_Toc240772107"/>
      <w:bookmarkStart w:id="164" w:name="_Toc458440001"/>
      <w:bookmarkStart w:id="165" w:name="_Toc139965355"/>
      <w:bookmarkStart w:id="166" w:name="_Toc128372760"/>
      <w:bookmarkStart w:id="167" w:name="_Toc128372082"/>
    </w:p>
    <w:bookmarkEnd w:id="161"/>
    <w:bookmarkEnd w:id="162"/>
    <w:p>
      <w:pPr>
        <w:pStyle w:val="3"/>
        <w:numPr>
          <w:ilvl w:val="0"/>
          <w:numId w:val="0"/>
        </w:numPr>
        <w:spacing w:before="0" w:after="0"/>
        <w:ind w:firstLine="402" w:firstLineChars="100"/>
        <w:jc w:val="center"/>
        <w:rPr>
          <w:rFonts w:hint="eastAsia" w:ascii="Times New Roman" w:hAnsi="Times New Roman" w:cs="Times New Roman"/>
          <w:b/>
          <w:bCs/>
          <w:kern w:val="0"/>
          <w:sz w:val="40"/>
        </w:rPr>
      </w:pPr>
      <w:bookmarkStart w:id="168" w:name="_Toc4659"/>
      <w:bookmarkStart w:id="169" w:name="_Toc8862"/>
      <w:r>
        <w:rPr>
          <w:rFonts w:hint="eastAsia" w:ascii="Times New Roman" w:hAnsi="Times New Roman" w:cs="Times New Roman"/>
          <w:b/>
          <w:bCs/>
          <w:kern w:val="0"/>
          <w:sz w:val="40"/>
        </w:rPr>
        <w:t>5、谈判原则及办法</w:t>
      </w:r>
      <w:bookmarkEnd w:id="163"/>
      <w:bookmarkEnd w:id="164"/>
      <w:bookmarkEnd w:id="168"/>
      <w:bookmarkEnd w:id="169"/>
    </w:p>
    <w:p>
      <w:pPr>
        <w:pStyle w:val="4"/>
        <w:pageBreakBefore w:val="0"/>
        <w:widowControl w:val="0"/>
        <w:kinsoku/>
        <w:wordWrap/>
        <w:overflowPunct/>
        <w:topLinePunct w:val="0"/>
        <w:autoSpaceDE/>
        <w:autoSpaceDN/>
        <w:bidi w:val="0"/>
        <w:adjustRightInd/>
        <w:snapToGrid/>
        <w:spacing w:before="0" w:after="0" w:line="540" w:lineRule="exact"/>
        <w:ind w:firstLine="419" w:firstLineChars="149"/>
        <w:textAlignment w:val="auto"/>
        <w:rPr>
          <w:rFonts w:hint="eastAsia" w:ascii="宋体" w:hAnsi="宋体"/>
          <w:sz w:val="28"/>
          <w:szCs w:val="28"/>
        </w:rPr>
      </w:pPr>
      <w:bookmarkStart w:id="170" w:name="_Toc17234"/>
      <w:bookmarkStart w:id="171" w:name="_Toc458440002"/>
      <w:bookmarkStart w:id="172" w:name="_Toc240772108"/>
      <w:bookmarkStart w:id="173" w:name="_Toc19948"/>
      <w:r>
        <w:rPr>
          <w:rFonts w:hint="eastAsia" w:ascii="宋体" w:hAnsi="宋体"/>
          <w:sz w:val="28"/>
          <w:szCs w:val="28"/>
        </w:rPr>
        <w:t>5.1 谈判工作中的原则及组织</w:t>
      </w:r>
      <w:bookmarkEnd w:id="170"/>
      <w:bookmarkEnd w:id="171"/>
      <w:bookmarkEnd w:id="172"/>
      <w:bookmarkEnd w:id="173"/>
    </w:p>
    <w:p>
      <w:pPr>
        <w:pStyle w:val="5"/>
        <w:keepNext w:val="0"/>
        <w:keepLines w:val="0"/>
        <w:pageBreakBefore w:val="0"/>
        <w:widowControl w:val="0"/>
        <w:kinsoku/>
        <w:wordWrap/>
        <w:overflowPunct/>
        <w:topLinePunct w:val="0"/>
        <w:autoSpaceDE/>
        <w:autoSpaceDN/>
        <w:bidi w:val="0"/>
        <w:adjustRightInd/>
        <w:snapToGrid/>
        <w:spacing w:line="540" w:lineRule="exact"/>
        <w:ind w:left="0" w:leftChars="0" w:firstLine="487"/>
        <w:textAlignment w:val="auto"/>
        <w:rPr>
          <w:rFonts w:hint="eastAsia" w:ascii="仿宋" w:hAnsi="仿宋" w:eastAsia="仿宋" w:cs="仿宋"/>
          <w:sz w:val="28"/>
          <w:szCs w:val="28"/>
        </w:rPr>
      </w:pPr>
      <w:bookmarkStart w:id="174" w:name="_Toc5823"/>
      <w:bookmarkStart w:id="175" w:name="_Toc458440003"/>
      <w:bookmarkStart w:id="176" w:name="_Toc240772109"/>
      <w:bookmarkStart w:id="177" w:name="_Toc15215"/>
      <w:r>
        <w:rPr>
          <w:rFonts w:hint="eastAsia" w:ascii="仿宋" w:hAnsi="仿宋" w:eastAsia="仿宋" w:cs="仿宋"/>
          <w:sz w:val="28"/>
          <w:szCs w:val="28"/>
          <w:lang w:val="en-US"/>
        </w:rPr>
        <w:t>5</w:t>
      </w:r>
      <w:r>
        <w:rPr>
          <w:rFonts w:hint="eastAsia" w:ascii="仿宋" w:hAnsi="仿宋" w:eastAsia="仿宋" w:cs="仿宋"/>
          <w:sz w:val="28"/>
          <w:szCs w:val="28"/>
        </w:rPr>
        <w:t>.1.1 原则</w:t>
      </w:r>
      <w:bookmarkEnd w:id="174"/>
      <w:bookmarkEnd w:id="175"/>
      <w:bookmarkEnd w:id="176"/>
      <w:bookmarkEnd w:id="177"/>
    </w:p>
    <w:p>
      <w:pPr>
        <w:pStyle w:val="15"/>
        <w:keepNext w:val="0"/>
        <w:keepLines w:val="0"/>
        <w:pageBreakBefore w:val="0"/>
        <w:widowControl w:val="0"/>
        <w:kinsoku/>
        <w:wordWrap/>
        <w:overflowPunct/>
        <w:topLinePunct w:val="0"/>
        <w:autoSpaceDE/>
        <w:autoSpaceDN/>
        <w:bidi w:val="0"/>
        <w:adjustRightInd/>
        <w:snapToGrid/>
        <w:spacing w:after="0" w:line="540" w:lineRule="exact"/>
        <w:ind w:left="0" w:leftChars="0" w:firstLine="564"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采购方组织谈判,根据《中华人民共和国政府采购法》组建谈判小组，谈判小组成员应坚持“公开、公平、公正”的宗旨,认真细致地做好谈判评审工作。</w:t>
      </w:r>
    </w:p>
    <w:p>
      <w:pPr>
        <w:pStyle w:val="15"/>
        <w:keepNext w:val="0"/>
        <w:keepLines w:val="0"/>
        <w:pageBreakBefore w:val="0"/>
        <w:widowControl w:val="0"/>
        <w:numPr>
          <w:ilvl w:val="0"/>
          <w:numId w:val="4"/>
        </w:numPr>
        <w:kinsoku/>
        <w:wordWrap/>
        <w:overflowPunct/>
        <w:topLinePunct w:val="0"/>
        <w:autoSpaceDE/>
        <w:autoSpaceDN/>
        <w:bidi w:val="0"/>
        <w:adjustRightInd/>
        <w:snapToGrid/>
        <w:spacing w:after="0" w:line="540" w:lineRule="exact"/>
        <w:ind w:left="0" w:leftChars="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谈判小组成员人数不少于3人，为单数，其中技术、经济等方面的专家不少于成员总数的三分之二。</w:t>
      </w:r>
    </w:p>
    <w:p>
      <w:pPr>
        <w:pStyle w:val="15"/>
        <w:keepNext w:val="0"/>
        <w:keepLines w:val="0"/>
        <w:pageBreakBefore w:val="0"/>
        <w:widowControl w:val="0"/>
        <w:numPr>
          <w:ilvl w:val="0"/>
          <w:numId w:val="4"/>
        </w:numPr>
        <w:kinsoku/>
        <w:wordWrap/>
        <w:overflowPunct/>
        <w:topLinePunct w:val="0"/>
        <w:autoSpaceDE/>
        <w:autoSpaceDN/>
        <w:bidi w:val="0"/>
        <w:adjustRightInd/>
        <w:snapToGrid/>
        <w:spacing w:after="0" w:line="540" w:lineRule="exact"/>
        <w:ind w:left="0" w:leftChars="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谈判小组成员应当客观、公正的履行职责，遵守职业道德，对所提出的评审意见承担个人责任。</w:t>
      </w:r>
    </w:p>
    <w:p>
      <w:pPr>
        <w:pStyle w:val="15"/>
        <w:keepNext w:val="0"/>
        <w:keepLines w:val="0"/>
        <w:pageBreakBefore w:val="0"/>
        <w:widowControl w:val="0"/>
        <w:kinsoku/>
        <w:wordWrap/>
        <w:overflowPunct/>
        <w:topLinePunct w:val="0"/>
        <w:autoSpaceDE/>
        <w:autoSpaceDN/>
        <w:bidi w:val="0"/>
        <w:adjustRightInd/>
        <w:snapToGrid/>
        <w:spacing w:after="0" w:line="540" w:lineRule="exact"/>
        <w:ind w:left="0" w:leftChars="0" w:firstLine="564"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3)谈判小组成员和与谈判活动有关的工作人员不得透露对谈判文件的评审和比较、成交候选人的推荐情况以及与谈判有关的其他情况。</w:t>
      </w:r>
    </w:p>
    <w:p>
      <w:pPr>
        <w:pStyle w:val="5"/>
        <w:keepNext w:val="0"/>
        <w:keepLines w:val="0"/>
        <w:pageBreakBefore w:val="0"/>
        <w:widowControl w:val="0"/>
        <w:kinsoku/>
        <w:wordWrap/>
        <w:overflowPunct/>
        <w:topLinePunct w:val="0"/>
        <w:autoSpaceDE/>
        <w:autoSpaceDN/>
        <w:bidi w:val="0"/>
        <w:adjustRightInd/>
        <w:snapToGrid/>
        <w:spacing w:line="540" w:lineRule="exact"/>
        <w:ind w:left="0" w:leftChars="0" w:firstLine="487"/>
        <w:textAlignment w:val="auto"/>
        <w:rPr>
          <w:rFonts w:hint="eastAsia" w:ascii="仿宋" w:hAnsi="仿宋" w:eastAsia="仿宋" w:cs="仿宋"/>
          <w:sz w:val="28"/>
          <w:szCs w:val="28"/>
        </w:rPr>
      </w:pPr>
      <w:bookmarkStart w:id="178" w:name="_Toc19033"/>
      <w:bookmarkStart w:id="179" w:name="_Toc240772110"/>
      <w:bookmarkStart w:id="180" w:name="_Toc31491"/>
      <w:bookmarkStart w:id="181" w:name="_Toc458440004"/>
      <w:r>
        <w:rPr>
          <w:rFonts w:hint="eastAsia" w:ascii="仿宋" w:hAnsi="仿宋" w:eastAsia="仿宋" w:cs="仿宋"/>
          <w:sz w:val="28"/>
          <w:szCs w:val="28"/>
          <w:lang w:val="en-US"/>
        </w:rPr>
        <w:t>5</w:t>
      </w:r>
      <w:r>
        <w:rPr>
          <w:rFonts w:hint="eastAsia" w:ascii="仿宋" w:hAnsi="仿宋" w:eastAsia="仿宋" w:cs="仿宋"/>
          <w:sz w:val="28"/>
          <w:szCs w:val="28"/>
        </w:rPr>
        <w:t>.1.2 组织</w:t>
      </w:r>
      <w:bookmarkEnd w:id="178"/>
      <w:bookmarkEnd w:id="179"/>
      <w:bookmarkEnd w:id="180"/>
      <w:bookmarkEnd w:id="181"/>
    </w:p>
    <w:p>
      <w:pPr>
        <w:keepNext w:val="0"/>
        <w:keepLines w:val="0"/>
        <w:pageBreakBefore w:val="0"/>
        <w:widowControl w:val="0"/>
        <w:kinsoku/>
        <w:wordWrap/>
        <w:overflowPunct/>
        <w:topLinePunct w:val="0"/>
        <w:autoSpaceDE/>
        <w:autoSpaceDN/>
        <w:bidi w:val="0"/>
        <w:adjustRightInd/>
        <w:snapToGrid/>
        <w:spacing w:line="540" w:lineRule="exact"/>
        <w:ind w:left="0" w:leftChars="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1）谈判小组：从专家库随机抽取专家组成谈判小组。谈判小组下设商务组和技术专家组，分别根据谈判文件要求负责谈判响应性文件的商务审核和技术评价。</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集采机构</w:t>
      </w:r>
      <w:r>
        <w:rPr>
          <w:rFonts w:hint="eastAsia" w:ascii="仿宋" w:hAnsi="仿宋" w:eastAsia="仿宋" w:cs="仿宋"/>
          <w:sz w:val="28"/>
          <w:szCs w:val="28"/>
        </w:rPr>
        <w:t>:由镇原县公共资源交易中心工作人员组成，负责谈判文件的制作，对外联系，谈判的会务工作,整理并向谈判小组分发谈判响应性文件；做好谈判会议记录；对谈判过程中的原始文件进行归档;随时印发需要的文件资料,对各种咨询函件及档案文件的统收统发；负责对谈判小组推荐的拟成交结果进行审核。</w:t>
      </w:r>
    </w:p>
    <w:p>
      <w:pPr>
        <w:pStyle w:val="4"/>
        <w:pageBreakBefore w:val="0"/>
        <w:widowControl w:val="0"/>
        <w:kinsoku/>
        <w:wordWrap/>
        <w:overflowPunct/>
        <w:topLinePunct w:val="0"/>
        <w:autoSpaceDE/>
        <w:autoSpaceDN/>
        <w:bidi w:val="0"/>
        <w:adjustRightInd/>
        <w:snapToGrid/>
        <w:spacing w:before="0" w:after="0" w:line="540" w:lineRule="exact"/>
        <w:ind w:firstLine="419" w:firstLineChars="149"/>
        <w:textAlignment w:val="auto"/>
        <w:rPr>
          <w:rFonts w:hint="eastAsia" w:ascii="宋体" w:hAnsi="宋体"/>
          <w:sz w:val="28"/>
          <w:szCs w:val="28"/>
        </w:rPr>
      </w:pPr>
      <w:bookmarkStart w:id="182" w:name="_Toc10954"/>
      <w:bookmarkStart w:id="183" w:name="_Toc458440005"/>
      <w:bookmarkStart w:id="184" w:name="_Toc240772111"/>
      <w:bookmarkStart w:id="185" w:name="_Toc29994"/>
      <w:r>
        <w:rPr>
          <w:rFonts w:hint="eastAsia" w:ascii="宋体" w:hAnsi="宋体"/>
          <w:sz w:val="28"/>
          <w:szCs w:val="28"/>
        </w:rPr>
        <w:t>5.2 谈判小组的职责</w:t>
      </w:r>
      <w:bookmarkEnd w:id="182"/>
      <w:bookmarkEnd w:id="183"/>
      <w:bookmarkEnd w:id="184"/>
      <w:bookmarkEnd w:id="185"/>
    </w:p>
    <w:p>
      <w:pPr>
        <w:keepNext w:val="0"/>
        <w:keepLines w:val="0"/>
        <w:pageBreakBefore w:val="0"/>
        <w:widowControl w:val="0"/>
        <w:kinsoku/>
        <w:wordWrap/>
        <w:overflowPunct/>
        <w:topLinePunct w:val="0"/>
        <w:autoSpaceDE/>
        <w:autoSpaceDN/>
        <w:bidi w:val="0"/>
        <w:adjustRightInd/>
        <w:snapToGrid/>
        <w:spacing w:line="54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谈判小组完成谈判后，提出书面谈判报告。谈判报告是谈判小组根据全体谈判小组成员签字的原始谈判记录和谈判结果编写的报告，主要内容包括：</w:t>
      </w:r>
    </w:p>
    <w:p>
      <w:pPr>
        <w:keepNext w:val="0"/>
        <w:keepLines w:val="0"/>
        <w:pageBreakBefore w:val="0"/>
        <w:widowControl w:val="0"/>
        <w:kinsoku/>
        <w:wordWrap/>
        <w:overflowPunct/>
        <w:topLinePunct w:val="0"/>
        <w:autoSpaceDE/>
        <w:autoSpaceDN/>
        <w:bidi w:val="0"/>
        <w:adjustRightInd/>
        <w:snapToGrid/>
        <w:spacing w:line="54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1）谈判公告刊登的媒体名称、谈判日期和地点；</w:t>
      </w:r>
    </w:p>
    <w:p>
      <w:pPr>
        <w:keepNext w:val="0"/>
        <w:keepLines w:val="0"/>
        <w:pageBreakBefore w:val="0"/>
        <w:widowControl w:val="0"/>
        <w:kinsoku/>
        <w:wordWrap/>
        <w:overflowPunct/>
        <w:topLinePunct w:val="0"/>
        <w:autoSpaceDE/>
        <w:autoSpaceDN/>
        <w:bidi w:val="0"/>
        <w:adjustRightInd/>
        <w:snapToGrid/>
        <w:spacing w:line="54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2）获取谈判文件的谈判供应商名单和谈判小组成员名单；</w:t>
      </w:r>
    </w:p>
    <w:p>
      <w:pPr>
        <w:keepNext w:val="0"/>
        <w:keepLines w:val="0"/>
        <w:pageBreakBefore w:val="0"/>
        <w:widowControl w:val="0"/>
        <w:kinsoku/>
        <w:wordWrap/>
        <w:overflowPunct/>
        <w:topLinePunct w:val="0"/>
        <w:autoSpaceDE/>
        <w:autoSpaceDN/>
        <w:bidi w:val="0"/>
        <w:adjustRightInd/>
        <w:snapToGrid/>
        <w:spacing w:line="54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3）谈判方法和标准；</w:t>
      </w:r>
    </w:p>
    <w:p>
      <w:pPr>
        <w:keepNext w:val="0"/>
        <w:keepLines w:val="0"/>
        <w:pageBreakBefore w:val="0"/>
        <w:widowControl w:val="0"/>
        <w:kinsoku/>
        <w:wordWrap/>
        <w:overflowPunct/>
        <w:topLinePunct w:val="0"/>
        <w:autoSpaceDE/>
        <w:autoSpaceDN/>
        <w:bidi w:val="0"/>
        <w:adjustRightInd/>
        <w:snapToGrid/>
        <w:spacing w:line="54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4）谈判记录和谈判情况及说明，包括谈判响应性文件未实质性响应的谈判供应商名单及原因；</w:t>
      </w:r>
    </w:p>
    <w:p>
      <w:pPr>
        <w:keepNext w:val="0"/>
        <w:keepLines w:val="0"/>
        <w:pageBreakBefore w:val="0"/>
        <w:widowControl w:val="0"/>
        <w:kinsoku/>
        <w:wordWrap/>
        <w:overflowPunct/>
        <w:topLinePunct w:val="0"/>
        <w:autoSpaceDE/>
        <w:autoSpaceDN/>
        <w:bidi w:val="0"/>
        <w:adjustRightInd/>
        <w:snapToGrid/>
        <w:spacing w:line="54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5）谈判结果和谈判成交供应商名单；</w:t>
      </w:r>
    </w:p>
    <w:p>
      <w:pPr>
        <w:keepNext w:val="0"/>
        <w:keepLines w:val="0"/>
        <w:pageBreakBefore w:val="0"/>
        <w:widowControl w:val="0"/>
        <w:kinsoku/>
        <w:wordWrap/>
        <w:overflowPunct/>
        <w:topLinePunct w:val="0"/>
        <w:autoSpaceDE/>
        <w:autoSpaceDN/>
        <w:bidi w:val="0"/>
        <w:adjustRightInd/>
        <w:snapToGrid/>
        <w:spacing w:line="54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6）谈判小组的成交建议。</w:t>
      </w:r>
    </w:p>
    <w:p>
      <w:pPr>
        <w:keepNext w:val="0"/>
        <w:keepLines w:val="0"/>
        <w:pageBreakBefore w:val="0"/>
        <w:widowControl w:val="0"/>
        <w:kinsoku/>
        <w:wordWrap/>
        <w:overflowPunct/>
        <w:topLinePunct w:val="0"/>
        <w:autoSpaceDE/>
        <w:autoSpaceDN/>
        <w:bidi w:val="0"/>
        <w:adjustRightInd/>
        <w:snapToGrid/>
        <w:spacing w:line="54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谈判报告由谈判小组全体成员签字。对谈判结论持有异议的谈判小组成员可以书面方式阐述其不同意见和理由。谈判小组成员拒绝在谈判报告上签字且不陈述其不同意见和理由的，视为同意谈判结论。谈判小组应当对此做出书面说明并纪录在案。</w:t>
      </w:r>
    </w:p>
    <w:p>
      <w:pPr>
        <w:pageBreakBefore w:val="0"/>
        <w:framePr w:w="1440" w:h="120" w:hRule="exact" w:wrap="around" w:vAnchor="page" w:hAnchor="page" w:x="361" w:y="541"/>
        <w:widowControl w:val="0"/>
        <w:kinsoku/>
        <w:wordWrap/>
        <w:overflowPunct/>
        <w:topLinePunct w:val="0"/>
        <w:autoSpaceDE/>
        <w:autoSpaceDN/>
        <w:bidi w:val="0"/>
        <w:adjustRightInd/>
        <w:snapToGrid/>
        <w:spacing w:line="540" w:lineRule="exact"/>
        <w:ind w:firstLine="484" w:firstLineChars="200"/>
        <w:textAlignment w:val="auto"/>
        <w:rPr>
          <w:rFonts w:ascii="宋体" w:hAnsi="宋体"/>
          <w:sz w:val="24"/>
        </w:rPr>
      </w:pPr>
    </w:p>
    <w:p>
      <w:pPr>
        <w:pStyle w:val="4"/>
        <w:pageBreakBefore w:val="0"/>
        <w:widowControl w:val="0"/>
        <w:kinsoku/>
        <w:wordWrap/>
        <w:overflowPunct/>
        <w:topLinePunct w:val="0"/>
        <w:autoSpaceDE/>
        <w:autoSpaceDN/>
        <w:bidi w:val="0"/>
        <w:adjustRightInd/>
        <w:snapToGrid/>
        <w:spacing w:before="0" w:after="0" w:line="540" w:lineRule="exact"/>
        <w:ind w:firstLine="419" w:firstLineChars="149"/>
        <w:textAlignment w:val="auto"/>
        <w:rPr>
          <w:rFonts w:hint="eastAsia" w:ascii="宋体" w:hAnsi="宋体"/>
          <w:sz w:val="28"/>
          <w:szCs w:val="28"/>
        </w:rPr>
      </w:pPr>
      <w:bookmarkStart w:id="186" w:name="_Toc10317"/>
      <w:bookmarkStart w:id="187" w:name="_Toc240772112"/>
      <w:bookmarkStart w:id="188" w:name="_Toc18713"/>
      <w:bookmarkStart w:id="189" w:name="_Toc458440006"/>
      <w:r>
        <w:rPr>
          <w:rFonts w:hint="eastAsia" w:ascii="宋体" w:hAnsi="宋体"/>
          <w:sz w:val="28"/>
          <w:szCs w:val="28"/>
        </w:rPr>
        <w:t>5.3 谈判内容及标准</w:t>
      </w:r>
      <w:bookmarkEnd w:id="186"/>
      <w:bookmarkEnd w:id="187"/>
      <w:bookmarkEnd w:id="188"/>
      <w:bookmarkEnd w:id="189"/>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采购方将组织谈判小组对</w:t>
      </w:r>
      <w:r>
        <w:rPr>
          <w:rFonts w:hint="eastAsia" w:ascii="仿宋" w:hAnsi="仿宋" w:eastAsia="仿宋" w:cs="仿宋"/>
          <w:sz w:val="28"/>
          <w:szCs w:val="28"/>
        </w:rPr>
        <w:t>谈判响应性文件进行</w:t>
      </w:r>
      <w:r>
        <w:rPr>
          <w:rFonts w:hint="eastAsia" w:ascii="仿宋" w:hAnsi="仿宋" w:eastAsia="仿宋" w:cs="仿宋"/>
          <w:sz w:val="28"/>
          <w:szCs w:val="28"/>
          <w:lang w:val="zh-CN"/>
        </w:rPr>
        <w:t>审查，评估谈判供应商的财务、技术和生产能力。谈判小组可以对确定为实质上响应谈判文件要求的谈判响应性文件进行校核，修正错误的标准如下：</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1</w:t>
      </w:r>
      <w:r>
        <w:rPr>
          <w:rFonts w:hint="eastAsia" w:ascii="仿宋" w:hAnsi="仿宋" w:eastAsia="仿宋" w:cs="仿宋"/>
          <w:sz w:val="28"/>
          <w:szCs w:val="28"/>
          <w:lang w:val="zh-CN"/>
        </w:rPr>
        <w:t>）投标文件中开标一览表（报价表）内容与投标文件中相应内容不一致的，以开标一览表（报价表）为准；</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（2）大写金额和小写金额不一致的，以大写金额为准；</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（3）单价金额小数点或者百分比有明显错位的，以开标一览表的总价为准，并修改单价；</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（4）总价金额与按单价汇总金额不一致的，以单价金额计算结果为准。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同时出现两种以上不一致的，按照前款规定的顺序修正。修正后的报经投标人确认后产生约束力，投标人不确认的，其投标无效。</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5）对于谈判响应性文件中不构成实质性偏差的小的不正规、不一致或不规则，谈判小组可以接受，但这种接受不能损害或影响任何谈判供应商的相对排序。</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仿宋" w:hAnsi="仿宋" w:eastAsia="仿宋" w:cs="仿宋"/>
          <w:b/>
          <w:bCs/>
          <w:spacing w:val="4"/>
          <w:sz w:val="28"/>
          <w:szCs w:val="28"/>
          <w:lang w:val="zh-CN"/>
        </w:rPr>
      </w:pPr>
      <w:r>
        <w:rPr>
          <w:rFonts w:hint="eastAsia" w:ascii="仿宋" w:hAnsi="仿宋" w:eastAsia="仿宋" w:cs="仿宋"/>
          <w:b/>
          <w:bCs/>
          <w:spacing w:val="4"/>
          <w:sz w:val="28"/>
          <w:szCs w:val="28"/>
        </w:rPr>
        <w:t>6</w:t>
      </w:r>
      <w:r>
        <w:rPr>
          <w:rFonts w:hint="eastAsia" w:ascii="仿宋" w:hAnsi="仿宋" w:eastAsia="仿宋" w:cs="仿宋"/>
          <w:b/>
          <w:bCs/>
          <w:spacing w:val="4"/>
          <w:sz w:val="28"/>
          <w:szCs w:val="28"/>
          <w:lang w:val="zh-CN"/>
        </w:rPr>
        <w:t>）谈判小组审查每份投标文件是否实质上响应了招标文件的要求。（未实质上响应招标文件要求是指①投标文件未按招标文件要求签署、盖章；②项目完成期限超出招标文件要求；③投标内容（品目）及其参数存在重大偏离，如提供的货物、服务、工程的投标内容与招标文件要求严重不符，存在错误或缺项，对招标文件规定不允许偏离的技术参数出现偏离</w:t>
      </w:r>
      <w:r>
        <w:rPr>
          <w:rFonts w:hint="eastAsia" w:ascii="仿宋" w:hAnsi="仿宋" w:eastAsia="仿宋" w:cs="仿宋"/>
          <w:b/>
          <w:bCs/>
          <w:spacing w:val="4"/>
          <w:sz w:val="28"/>
          <w:szCs w:val="28"/>
        </w:rPr>
        <w:t>,或偏离超出招标文件允许范围</w:t>
      </w:r>
      <w:r>
        <w:rPr>
          <w:rFonts w:hint="eastAsia" w:ascii="仿宋" w:hAnsi="仿宋" w:eastAsia="仿宋" w:cs="仿宋"/>
          <w:b/>
          <w:bCs/>
          <w:spacing w:val="4"/>
          <w:sz w:val="28"/>
          <w:szCs w:val="28"/>
          <w:lang w:val="zh-CN"/>
        </w:rPr>
        <w:t>等；④投标文件附有招标人不能接受的条件；⑤超出采购预算或者最高限价；⑥投标有效期不足）；⑦评审过程中投标人的报价明显低于其他通过符合性审查投标人的报价，且投标人</w:t>
      </w:r>
      <w:r>
        <w:rPr>
          <w:rFonts w:hint="eastAsia" w:ascii="仿宋" w:hAnsi="仿宋" w:eastAsia="仿宋" w:cs="仿宋"/>
          <w:b/>
          <w:bCs/>
          <w:spacing w:val="4"/>
          <w:sz w:val="28"/>
          <w:szCs w:val="28"/>
          <w:lang w:val="en-US" w:eastAsia="zh-CN"/>
        </w:rPr>
        <w:t>未</w:t>
      </w:r>
      <w:r>
        <w:rPr>
          <w:rFonts w:hint="eastAsia" w:ascii="仿宋" w:hAnsi="仿宋" w:eastAsia="仿宋" w:cs="仿宋"/>
          <w:b/>
          <w:bCs/>
          <w:spacing w:val="4"/>
          <w:sz w:val="28"/>
          <w:szCs w:val="28"/>
          <w:lang w:val="zh-CN"/>
        </w:rPr>
        <w:t>在合理的时间内向评标委员会提交相关证明材料证明其报价合理性的。）</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仿宋" w:hAnsi="仿宋" w:eastAsia="仿宋" w:cs="仿宋"/>
          <w:b/>
          <w:bCs/>
          <w:spacing w:val="4"/>
          <w:sz w:val="28"/>
          <w:szCs w:val="28"/>
        </w:rPr>
      </w:pPr>
      <w:r>
        <w:rPr>
          <w:rFonts w:hint="eastAsia" w:ascii="仿宋" w:hAnsi="仿宋" w:eastAsia="仿宋" w:cs="仿宋"/>
          <w:b/>
          <w:bCs/>
          <w:spacing w:val="4"/>
          <w:sz w:val="28"/>
          <w:szCs w:val="28"/>
          <w:lang w:val="zh-CN"/>
        </w:rPr>
        <w:t>谈判小组决定投标文件的响应性只根据投标文件本身的内容，而不寻求外部的证据。</w:t>
      </w:r>
    </w:p>
    <w:p>
      <w:pPr>
        <w:keepNext w:val="0"/>
        <w:keepLines w:val="0"/>
        <w:pageBreakBefore w:val="0"/>
        <w:widowControl w:val="0"/>
        <w:tabs>
          <w:tab w:val="left" w:pos="8640"/>
        </w:tabs>
        <w:kinsoku/>
        <w:wordWrap/>
        <w:overflowPunct/>
        <w:topLinePunct w:val="0"/>
        <w:autoSpaceDE/>
        <w:autoSpaceDN/>
        <w:bidi w:val="0"/>
        <w:adjustRightInd/>
        <w:snapToGrid/>
        <w:spacing w:line="540" w:lineRule="exact"/>
        <w:ind w:firstLine="482"/>
        <w:textAlignment w:val="auto"/>
        <w:rPr>
          <w:rFonts w:hint="eastAsia" w:ascii="仿宋" w:hAnsi="仿宋" w:eastAsia="仿宋" w:cs="仿宋"/>
          <w:sz w:val="28"/>
          <w:szCs w:val="28"/>
          <w:lang w:val="zh-CN"/>
        </w:rPr>
      </w:pPr>
      <w:r>
        <w:rPr>
          <w:rFonts w:hint="eastAsia" w:ascii="仿宋" w:hAnsi="仿宋" w:eastAsia="仿宋" w:cs="仿宋"/>
          <w:sz w:val="28"/>
          <w:szCs w:val="28"/>
        </w:rPr>
        <w:t>7</w:t>
      </w:r>
      <w:r>
        <w:rPr>
          <w:rFonts w:hint="eastAsia" w:ascii="仿宋" w:hAnsi="仿宋" w:eastAsia="仿宋" w:cs="仿宋"/>
          <w:sz w:val="28"/>
          <w:szCs w:val="28"/>
          <w:lang w:val="zh-CN"/>
        </w:rPr>
        <w:t>）如果谈判响应性文件实质上没有响应谈判文件的要求，谈判供应商不得通过修正或撤消不符合要求的偏离从而使其成为实质上响应。</w:t>
      </w:r>
    </w:p>
    <w:p>
      <w:pPr>
        <w:pStyle w:val="4"/>
        <w:pageBreakBefore w:val="0"/>
        <w:widowControl w:val="0"/>
        <w:kinsoku/>
        <w:wordWrap/>
        <w:overflowPunct/>
        <w:topLinePunct w:val="0"/>
        <w:autoSpaceDE/>
        <w:autoSpaceDN/>
        <w:bidi w:val="0"/>
        <w:adjustRightInd/>
        <w:snapToGrid/>
        <w:spacing w:before="0" w:after="0" w:line="480" w:lineRule="exact"/>
        <w:ind w:firstLine="419" w:firstLineChars="149"/>
        <w:textAlignment w:val="auto"/>
        <w:rPr>
          <w:rFonts w:hint="eastAsia" w:ascii="宋体" w:hAnsi="宋体"/>
          <w:sz w:val="28"/>
          <w:szCs w:val="28"/>
        </w:rPr>
      </w:pPr>
      <w:bookmarkStart w:id="190" w:name="_Toc14780"/>
      <w:bookmarkStart w:id="191" w:name="_Toc240772113"/>
      <w:bookmarkStart w:id="192" w:name="_Toc9934"/>
      <w:bookmarkStart w:id="193" w:name="_Toc458440007"/>
      <w:r>
        <w:rPr>
          <w:rFonts w:hint="eastAsia" w:ascii="宋体" w:hAnsi="宋体"/>
          <w:sz w:val="28"/>
          <w:szCs w:val="28"/>
        </w:rPr>
        <w:t>5.4谈判的形式、程序及方法</w:t>
      </w:r>
      <w:bookmarkEnd w:id="190"/>
      <w:bookmarkEnd w:id="191"/>
      <w:bookmarkEnd w:id="192"/>
      <w:bookmarkEnd w:id="193"/>
      <w:bookmarkStart w:id="194" w:name="_Toc240772114"/>
    </w:p>
    <w:p>
      <w:pPr>
        <w:pStyle w:val="5"/>
        <w:keepNext w:val="0"/>
        <w:keepLines w:val="0"/>
        <w:pageBreakBefore w:val="0"/>
        <w:widowControl w:val="0"/>
        <w:kinsoku/>
        <w:wordWrap/>
        <w:overflowPunct/>
        <w:topLinePunct w:val="0"/>
        <w:autoSpaceDE/>
        <w:autoSpaceDN/>
        <w:bidi w:val="0"/>
        <w:adjustRightInd/>
        <w:snapToGrid/>
        <w:spacing w:line="480" w:lineRule="exact"/>
        <w:ind w:firstLine="487"/>
        <w:textAlignment w:val="auto"/>
        <w:rPr>
          <w:rFonts w:hint="eastAsia" w:ascii="仿宋" w:hAnsi="仿宋" w:eastAsia="仿宋" w:cs="仿宋"/>
          <w:sz w:val="28"/>
          <w:szCs w:val="28"/>
        </w:rPr>
      </w:pPr>
      <w:bookmarkStart w:id="195" w:name="_Toc11647"/>
      <w:bookmarkStart w:id="196" w:name="_Toc9680"/>
      <w:bookmarkStart w:id="197" w:name="_Toc458440008"/>
      <w:r>
        <w:rPr>
          <w:rFonts w:hint="eastAsia" w:ascii="仿宋" w:hAnsi="仿宋" w:eastAsia="仿宋" w:cs="仿宋"/>
          <w:sz w:val="28"/>
          <w:szCs w:val="28"/>
          <w:lang w:val="en-US"/>
        </w:rPr>
        <w:t>5</w:t>
      </w:r>
      <w:r>
        <w:rPr>
          <w:rFonts w:hint="eastAsia" w:ascii="仿宋" w:hAnsi="仿宋" w:eastAsia="仿宋" w:cs="仿宋"/>
          <w:sz w:val="28"/>
          <w:szCs w:val="28"/>
        </w:rPr>
        <w:t>.4.1 谈判形式</w:t>
      </w:r>
      <w:bookmarkEnd w:id="194"/>
      <w:bookmarkEnd w:id="195"/>
      <w:bookmarkEnd w:id="196"/>
      <w:bookmarkEnd w:id="197"/>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 w:hAnsi="仿宋" w:eastAsia="仿宋" w:cs="仿宋"/>
          <w:spacing w:val="4"/>
          <w:sz w:val="28"/>
          <w:szCs w:val="28"/>
          <w:lang w:val="zh-CN"/>
        </w:rPr>
      </w:pPr>
      <w:r>
        <w:rPr>
          <w:rFonts w:hint="eastAsia" w:ascii="仿宋" w:hAnsi="仿宋" w:eastAsia="仿宋" w:cs="仿宋"/>
          <w:spacing w:val="4"/>
          <w:sz w:val="28"/>
          <w:szCs w:val="28"/>
          <w:lang w:val="zh-CN"/>
        </w:rPr>
        <w:t>谈判实行三轮或三轮以上报价，并就该项目的</w:t>
      </w:r>
      <w:r>
        <w:rPr>
          <w:rFonts w:hint="eastAsia" w:ascii="仿宋" w:hAnsi="仿宋" w:eastAsia="仿宋" w:cs="仿宋"/>
          <w:spacing w:val="4"/>
          <w:sz w:val="28"/>
          <w:szCs w:val="28"/>
          <w:lang w:val="en-US" w:eastAsia="zh-CN"/>
        </w:rPr>
        <w:t>供货期、</w:t>
      </w:r>
      <w:r>
        <w:rPr>
          <w:rFonts w:hint="eastAsia" w:ascii="仿宋" w:hAnsi="仿宋" w:eastAsia="仿宋" w:cs="仿宋"/>
          <w:spacing w:val="4"/>
          <w:sz w:val="28"/>
          <w:szCs w:val="28"/>
          <w:lang w:val="zh-CN"/>
        </w:rPr>
        <w:t>价格等方面进行谈判。</w:t>
      </w:r>
    </w:p>
    <w:p>
      <w:pPr>
        <w:pStyle w:val="5"/>
        <w:keepNext w:val="0"/>
        <w:keepLines w:val="0"/>
        <w:pageBreakBefore w:val="0"/>
        <w:widowControl w:val="0"/>
        <w:kinsoku/>
        <w:wordWrap/>
        <w:overflowPunct/>
        <w:topLinePunct w:val="0"/>
        <w:autoSpaceDE/>
        <w:autoSpaceDN/>
        <w:bidi w:val="0"/>
        <w:adjustRightInd/>
        <w:snapToGrid/>
        <w:spacing w:line="480" w:lineRule="exact"/>
        <w:ind w:firstLine="487"/>
        <w:textAlignment w:val="auto"/>
        <w:rPr>
          <w:rFonts w:hint="eastAsia" w:ascii="仿宋" w:hAnsi="仿宋" w:eastAsia="仿宋" w:cs="仿宋"/>
          <w:sz w:val="28"/>
          <w:szCs w:val="28"/>
        </w:rPr>
      </w:pPr>
      <w:bookmarkStart w:id="198" w:name="_Toc29954"/>
      <w:bookmarkStart w:id="199" w:name="_Toc458440009"/>
      <w:bookmarkStart w:id="200" w:name="_Toc240772115"/>
      <w:bookmarkStart w:id="201" w:name="_Toc1416"/>
      <w:r>
        <w:rPr>
          <w:rFonts w:hint="eastAsia" w:ascii="仿宋" w:hAnsi="仿宋" w:eastAsia="仿宋" w:cs="仿宋"/>
          <w:sz w:val="28"/>
          <w:szCs w:val="28"/>
          <w:lang w:val="en-US"/>
        </w:rPr>
        <w:t>5</w:t>
      </w:r>
      <w:r>
        <w:rPr>
          <w:rFonts w:hint="eastAsia" w:ascii="仿宋" w:hAnsi="仿宋" w:eastAsia="仿宋" w:cs="仿宋"/>
          <w:sz w:val="28"/>
          <w:szCs w:val="28"/>
        </w:rPr>
        <w:t>.4.2 谈判程序</w:t>
      </w:r>
      <w:bookmarkEnd w:id="198"/>
      <w:bookmarkEnd w:id="199"/>
      <w:bookmarkEnd w:id="200"/>
      <w:bookmarkEnd w:id="201"/>
    </w:p>
    <w:p>
      <w:pPr>
        <w:keepNext w:val="0"/>
        <w:keepLines w:val="0"/>
        <w:pageBreakBefore w:val="0"/>
        <w:widowControl w:val="0"/>
        <w:tabs>
          <w:tab w:val="left" w:pos="3420"/>
          <w:tab w:val="left" w:pos="8640"/>
        </w:tabs>
        <w:kinsoku/>
        <w:wordWrap/>
        <w:overflowPunct/>
        <w:topLinePunct w:val="0"/>
        <w:autoSpaceDE/>
        <w:autoSpaceDN/>
        <w:bidi w:val="0"/>
        <w:adjustRightInd/>
        <w:snapToGrid/>
        <w:spacing w:line="560" w:lineRule="exact"/>
        <w:ind w:firstLine="482"/>
        <w:textAlignment w:val="auto"/>
        <w:rPr>
          <w:rFonts w:hint="eastAsia" w:ascii="仿宋" w:hAnsi="仿宋" w:eastAsia="仿宋" w:cs="仿宋"/>
          <w:b/>
          <w:sz w:val="28"/>
          <w:szCs w:val="28"/>
          <w:lang w:val="zh-CN"/>
        </w:rPr>
      </w:pPr>
      <w:r>
        <w:rPr>
          <w:rFonts w:hint="eastAsia" w:ascii="仿宋" w:hAnsi="仿宋" w:eastAsia="仿宋" w:cs="仿宋"/>
          <w:b/>
          <w:sz w:val="28"/>
          <w:szCs w:val="28"/>
        </w:rPr>
        <w:t>资格审查：采购单位和交易中心工作人员共同只对谈判响应性文件中资质证明文件部分进行审查，合格者进入符合性审查，不合格者即被淘汰。</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4"/>
        <w:gridCol w:w="1211"/>
        <w:gridCol w:w="1414"/>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rPr>
              <w:t>资格性审查表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4"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rPr>
              <w:t>资格性审查项目</w:t>
            </w:r>
          </w:p>
        </w:tc>
        <w:tc>
          <w:tcPr>
            <w:tcW w:w="668"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rPr>
            </w:pPr>
            <w:r>
              <w:rPr>
                <w:rFonts w:hint="eastAsia" w:ascii="仿宋" w:hAnsi="仿宋" w:eastAsia="仿宋" w:cs="仿宋"/>
                <w:b/>
                <w:sz w:val="24"/>
                <w:szCs w:val="24"/>
              </w:rPr>
              <w:t>供应商A</w:t>
            </w:r>
          </w:p>
        </w:tc>
        <w:tc>
          <w:tcPr>
            <w:tcW w:w="780"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rPr>
            </w:pPr>
            <w:r>
              <w:rPr>
                <w:rFonts w:hint="eastAsia" w:ascii="仿宋" w:hAnsi="仿宋" w:eastAsia="仿宋" w:cs="仿宋"/>
                <w:b/>
                <w:sz w:val="24"/>
                <w:szCs w:val="24"/>
              </w:rPr>
              <w:t>供应商B</w:t>
            </w:r>
          </w:p>
        </w:tc>
        <w:tc>
          <w:tcPr>
            <w:tcW w:w="446"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rPr>
            </w:pPr>
            <w:r>
              <w:rPr>
                <w:rFonts w:hint="eastAsia" w:ascii="仿宋" w:hAnsi="仿宋" w:eastAsia="仿宋" w:cs="仿宋"/>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4" w:type="pct"/>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仿宋" w:hAnsi="仿宋" w:eastAsia="仿宋" w:cs="仿宋"/>
                <w:b/>
                <w:bCs w:val="0"/>
                <w:sz w:val="24"/>
                <w:szCs w:val="24"/>
              </w:rPr>
            </w:pPr>
            <w:r>
              <w:rPr>
                <w:rFonts w:hint="eastAsia" w:ascii="仿宋" w:hAnsi="仿宋" w:eastAsia="仿宋" w:cs="仿宋"/>
                <w:b/>
                <w:bCs w:val="0"/>
                <w:sz w:val="24"/>
                <w:szCs w:val="24"/>
              </w:rPr>
              <w:t>1）</w:t>
            </w:r>
            <w:r>
              <w:rPr>
                <w:rFonts w:hint="eastAsia" w:ascii="仿宋" w:hAnsi="仿宋" w:eastAsia="仿宋" w:cs="仿宋"/>
                <w:b/>
                <w:bCs w:val="0"/>
                <w:sz w:val="24"/>
                <w:szCs w:val="24"/>
                <w:lang w:val="en-US" w:eastAsia="zh-CN"/>
              </w:rPr>
              <w:t>投标企业必须提供经年检合格的与本项目相关的营业执照、税务登记证（国税、地税）、组织机构代码证（三证合一的企业只需提供统一代码的营业执照原件）及银行开户许可证原件或银行基本户证明，以上证件须提供原件或含有二维码标识的加盖企业公章的复印件，扫描二维码核实真伪，若扫描的二维码与复印件相一致则该复印件视同于原件；</w:t>
            </w:r>
          </w:p>
        </w:tc>
        <w:tc>
          <w:tcPr>
            <w:tcW w:w="668"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rPr>
            </w:pPr>
          </w:p>
        </w:tc>
        <w:tc>
          <w:tcPr>
            <w:tcW w:w="780"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rPr>
            </w:pPr>
          </w:p>
        </w:tc>
        <w:tc>
          <w:tcPr>
            <w:tcW w:w="446"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4" w:type="pct"/>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2）投标企业需提供法定代表人身份证复印件、被授权人身份证原件及法人授权书原件；</w:t>
            </w:r>
          </w:p>
        </w:tc>
        <w:tc>
          <w:tcPr>
            <w:tcW w:w="668"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rPr>
            </w:pPr>
          </w:p>
        </w:tc>
        <w:tc>
          <w:tcPr>
            <w:tcW w:w="780"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rPr>
            </w:pPr>
          </w:p>
        </w:tc>
        <w:tc>
          <w:tcPr>
            <w:tcW w:w="446"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04" w:type="pct"/>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3）投标人须提供2020年度经审计的财务审计报告、近6个月(2020年10月至 2021年3月)缴纳税收证明材料及缴纳社保证明材料； 注：缴纳社会保障资金的证明材料，应当包括缴纳专用收据和清单。清单显示的供应商法人、法人授权代表、项目负责人的社会保险缴纳期限，应当为参加政府采购活动前本单位至少前6个月。依法不需要缴纳社会保障资金的供应商，应当提供相应文件证明；</w:t>
            </w:r>
          </w:p>
        </w:tc>
        <w:tc>
          <w:tcPr>
            <w:tcW w:w="668"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rPr>
            </w:pPr>
          </w:p>
        </w:tc>
        <w:tc>
          <w:tcPr>
            <w:tcW w:w="780"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rPr>
            </w:pPr>
          </w:p>
        </w:tc>
        <w:tc>
          <w:tcPr>
            <w:tcW w:w="446"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4" w:type="pct"/>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 xml:space="preserve">4）投标企业未被列入失信被执行人、重大税收违法案件当事人名单、政府采购严重违法失信行为记录名单，不处于禁止参加政府采购等招投标活动期间。查询渠道：“信用中国”网站(www.creditchina.gov.cn)、“中国政府采购网”(www.ccgp.gov.cn)信用查询网站或平台。查询截止时间与递交文件截止时间相同，以开标现场查询结果为准；                        </w:t>
            </w:r>
          </w:p>
        </w:tc>
        <w:tc>
          <w:tcPr>
            <w:tcW w:w="668"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rPr>
            </w:pPr>
          </w:p>
        </w:tc>
        <w:tc>
          <w:tcPr>
            <w:tcW w:w="780"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rPr>
            </w:pPr>
          </w:p>
        </w:tc>
        <w:tc>
          <w:tcPr>
            <w:tcW w:w="446"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4" w:type="pct"/>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default"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5）本项目不允许转包、分包、不接受以联合体方式参加投标；</w:t>
            </w:r>
          </w:p>
        </w:tc>
        <w:tc>
          <w:tcPr>
            <w:tcW w:w="668"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84" w:firstLineChars="200"/>
              <w:textAlignment w:val="auto"/>
              <w:rPr>
                <w:rFonts w:hint="eastAsia" w:ascii="仿宋" w:hAnsi="仿宋" w:eastAsia="仿宋" w:cs="仿宋"/>
                <w:b/>
                <w:bCs w:val="0"/>
                <w:sz w:val="24"/>
                <w:szCs w:val="24"/>
                <w:lang w:val="en-US" w:eastAsia="zh-CN"/>
              </w:rPr>
            </w:pPr>
          </w:p>
        </w:tc>
        <w:tc>
          <w:tcPr>
            <w:tcW w:w="780"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84" w:firstLineChars="200"/>
              <w:textAlignment w:val="auto"/>
              <w:rPr>
                <w:rFonts w:hint="eastAsia" w:ascii="仿宋" w:hAnsi="仿宋" w:eastAsia="仿宋" w:cs="仿宋"/>
                <w:b/>
                <w:bCs w:val="0"/>
                <w:sz w:val="24"/>
                <w:szCs w:val="24"/>
                <w:lang w:val="en-US" w:eastAsia="zh-CN"/>
              </w:rPr>
            </w:pPr>
          </w:p>
        </w:tc>
        <w:tc>
          <w:tcPr>
            <w:tcW w:w="446"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84" w:firstLineChars="200"/>
              <w:textAlignment w:val="auto"/>
              <w:rPr>
                <w:rFonts w:hint="eastAsia" w:ascii="仿宋" w:hAnsi="仿宋" w:eastAsia="仿宋" w:cs="仿宋"/>
                <w:b/>
                <w:bCs w:val="0"/>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420" w:lineRule="exact"/>
        <w:ind w:left="0" w:hanging="242" w:hangingChars="100"/>
        <w:jc w:val="left"/>
        <w:textAlignment w:val="auto"/>
        <w:rPr>
          <w:rFonts w:hint="eastAsia" w:ascii="仿宋" w:hAnsi="仿宋" w:eastAsia="仿宋" w:cs="仿宋"/>
          <w:b/>
          <w:sz w:val="24"/>
          <w:szCs w:val="24"/>
        </w:rPr>
      </w:pPr>
      <w:r>
        <w:rPr>
          <w:rFonts w:hint="eastAsia" w:ascii="仿宋" w:hAnsi="仿宋" w:eastAsia="仿宋" w:cs="仿宋"/>
          <w:b/>
          <w:sz w:val="24"/>
          <w:szCs w:val="24"/>
        </w:rPr>
        <w:t>注：三证合一的，则需提供具有统一社会信用代码的营业执照副本（原件）；资格性审查不通过供应商不能进入符合性审查及评标环节，通过打“</w:t>
      </w:r>
      <w:r>
        <w:rPr>
          <w:rFonts w:hint="eastAsia" w:ascii="仿宋" w:hAnsi="仿宋" w:eastAsia="仿宋" w:cs="仿宋"/>
          <w:kern w:val="0"/>
          <w:sz w:val="24"/>
          <w:szCs w:val="24"/>
        </w:rPr>
        <w:t xml:space="preserve">√ </w:t>
      </w:r>
      <w:r>
        <w:rPr>
          <w:rFonts w:hint="eastAsia" w:ascii="仿宋" w:hAnsi="仿宋" w:eastAsia="仿宋" w:cs="仿宋"/>
          <w:b/>
          <w:sz w:val="24"/>
          <w:szCs w:val="24"/>
        </w:rPr>
        <w:t>”</w:t>
      </w:r>
      <w:r>
        <w:rPr>
          <w:rFonts w:hint="eastAsia" w:ascii="仿宋" w:hAnsi="仿宋" w:eastAsia="仿宋" w:cs="仿宋"/>
          <w:b/>
          <w:sz w:val="24"/>
          <w:szCs w:val="24"/>
          <w:lang w:eastAsia="zh-CN"/>
        </w:rPr>
        <w:t>，</w:t>
      </w:r>
      <w:r>
        <w:rPr>
          <w:rFonts w:hint="eastAsia" w:ascii="仿宋" w:hAnsi="仿宋" w:eastAsia="仿宋" w:cs="仿宋"/>
          <w:b/>
          <w:sz w:val="24"/>
          <w:szCs w:val="24"/>
        </w:rPr>
        <w:t>不通过“×”。通过资格性审查的有效供应商不足三家时，应予以废标。</w:t>
      </w:r>
    </w:p>
    <w:p>
      <w:pPr>
        <w:keepNext w:val="0"/>
        <w:keepLines w:val="0"/>
        <w:pageBreakBefore w:val="0"/>
        <w:widowControl w:val="0"/>
        <w:kinsoku/>
        <w:wordWrap/>
        <w:overflowPunct/>
        <w:topLinePunct w:val="0"/>
        <w:autoSpaceDE/>
        <w:autoSpaceDN/>
        <w:bidi w:val="0"/>
        <w:adjustRightInd/>
        <w:snapToGrid/>
        <w:spacing w:line="420" w:lineRule="exact"/>
        <w:ind w:left="0" w:firstLine="484" w:firstLineChars="200"/>
        <w:jc w:val="left"/>
        <w:textAlignment w:val="auto"/>
        <w:rPr>
          <w:rFonts w:hint="eastAsia" w:ascii="仿宋" w:hAnsi="仿宋" w:eastAsia="仿宋" w:cs="仿宋"/>
          <w:b/>
          <w:sz w:val="24"/>
          <w:szCs w:val="24"/>
          <w:lang w:val="zh-CN"/>
        </w:rPr>
      </w:pPr>
      <w:r>
        <w:rPr>
          <w:rFonts w:hint="eastAsia" w:ascii="仿宋" w:hAnsi="仿宋" w:eastAsia="仿宋" w:cs="仿宋"/>
          <w:b/>
          <w:bCs/>
          <w:sz w:val="24"/>
          <w:szCs w:val="24"/>
        </w:rPr>
        <w:t>2.</w:t>
      </w:r>
      <w:r>
        <w:rPr>
          <w:rFonts w:hint="eastAsia" w:ascii="仿宋" w:hAnsi="仿宋" w:eastAsia="仿宋" w:cs="仿宋"/>
          <w:b/>
          <w:bCs/>
          <w:sz w:val="24"/>
          <w:szCs w:val="24"/>
          <w:lang w:val="zh-CN"/>
        </w:rPr>
        <w:t>谈判小组对资格性审查合格的投标人进行符合性审查。</w:t>
      </w:r>
    </w:p>
    <w:p>
      <w:pPr>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ascii="宋体" w:hAnsi="宋体" w:cs="宋体"/>
          <w:kern w:val="0"/>
          <w:sz w:val="24"/>
        </w:rPr>
      </w:pPr>
      <w:r>
        <w:rPr>
          <w:rFonts w:hint="eastAsia" w:ascii="仿宋" w:hAnsi="仿宋" w:eastAsia="仿宋" w:cs="仿宋"/>
          <w:b/>
          <w:sz w:val="24"/>
          <w:szCs w:val="24"/>
          <w:lang w:val="zh-CN"/>
        </w:rPr>
        <w:t>符合性审查：</w:t>
      </w:r>
    </w:p>
    <w:tbl>
      <w:tblPr>
        <w:tblStyle w:val="2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8"/>
        <w:gridCol w:w="1276"/>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363" w:firstLineChars="150"/>
              <w:jc w:val="center"/>
              <w:textAlignment w:val="auto"/>
              <w:rPr>
                <w:rFonts w:hint="eastAsia" w:ascii="仿宋" w:hAnsi="仿宋" w:eastAsia="仿宋" w:cs="仿宋"/>
                <w:b/>
                <w:sz w:val="24"/>
                <w:szCs w:val="24"/>
              </w:rPr>
            </w:pPr>
            <w:r>
              <w:rPr>
                <w:rFonts w:hint="eastAsia" w:ascii="仿宋" w:hAnsi="仿宋" w:eastAsia="仿宋" w:cs="仿宋"/>
                <w:b/>
                <w:sz w:val="24"/>
                <w:szCs w:val="24"/>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rPr>
              <w:t>符合性审查项目</w:t>
            </w:r>
          </w:p>
        </w:tc>
        <w:tc>
          <w:tcPr>
            <w:tcW w:w="1276"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b/>
                <w:sz w:val="24"/>
                <w:szCs w:val="24"/>
              </w:rPr>
            </w:pPr>
            <w:r>
              <w:rPr>
                <w:rFonts w:hint="eastAsia" w:ascii="仿宋" w:hAnsi="仿宋" w:eastAsia="仿宋" w:cs="仿宋"/>
                <w:b/>
                <w:sz w:val="24"/>
                <w:szCs w:val="24"/>
              </w:rPr>
              <w:t>供应商A</w:t>
            </w:r>
          </w:p>
        </w:tc>
        <w:tc>
          <w:tcPr>
            <w:tcW w:w="1134"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b/>
                <w:sz w:val="24"/>
                <w:szCs w:val="24"/>
              </w:rPr>
            </w:pPr>
            <w:r>
              <w:rPr>
                <w:rFonts w:hint="eastAsia" w:ascii="仿宋" w:hAnsi="仿宋" w:eastAsia="仿宋" w:cs="仿宋"/>
                <w:b/>
                <w:sz w:val="24"/>
                <w:szCs w:val="24"/>
              </w:rPr>
              <w:t>供应商B</w:t>
            </w:r>
          </w:p>
        </w:tc>
        <w:tc>
          <w:tcPr>
            <w:tcW w:w="992"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b/>
                <w:sz w:val="24"/>
                <w:szCs w:val="24"/>
              </w:rPr>
            </w:pPr>
            <w:r>
              <w:rPr>
                <w:rFonts w:hint="eastAsia" w:ascii="仿宋" w:hAnsi="仿宋" w:eastAsia="仿宋" w:cs="仿宋"/>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4" w:firstLineChars="200"/>
              <w:textAlignment w:val="auto"/>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1、投标文件未按招标文件要求签署、盖章的；</w:t>
            </w:r>
          </w:p>
        </w:tc>
        <w:tc>
          <w:tcPr>
            <w:tcW w:w="1276"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4" w:firstLineChars="200"/>
              <w:textAlignment w:val="auto"/>
              <w:rPr>
                <w:rFonts w:hint="eastAsia" w:ascii="仿宋" w:hAnsi="仿宋" w:eastAsia="仿宋" w:cs="仿宋"/>
                <w:b/>
                <w:bCs w:val="0"/>
                <w:sz w:val="24"/>
                <w:szCs w:val="24"/>
                <w:lang w:val="en-US" w:eastAsia="zh-CN"/>
              </w:rPr>
            </w:pPr>
          </w:p>
        </w:tc>
        <w:tc>
          <w:tcPr>
            <w:tcW w:w="1134"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4" w:firstLineChars="200"/>
              <w:textAlignment w:val="auto"/>
              <w:rPr>
                <w:rFonts w:hint="eastAsia" w:ascii="仿宋" w:hAnsi="仿宋" w:eastAsia="仿宋" w:cs="仿宋"/>
                <w:b/>
                <w:bCs w:val="0"/>
                <w:sz w:val="24"/>
                <w:szCs w:val="24"/>
                <w:lang w:val="en-US" w:eastAsia="zh-CN"/>
              </w:rPr>
            </w:pPr>
          </w:p>
        </w:tc>
        <w:tc>
          <w:tcPr>
            <w:tcW w:w="992"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4" w:firstLineChars="200"/>
              <w:textAlignment w:val="auto"/>
              <w:rPr>
                <w:rFonts w:hint="eastAsia" w:ascii="仿宋" w:hAnsi="仿宋" w:eastAsia="仿宋" w:cs="仿宋"/>
                <w:b/>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4" w:firstLineChars="200"/>
              <w:textAlignment w:val="auto"/>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2、报价超过招标文件中规定的预算金额或者最高限价的；</w:t>
            </w:r>
          </w:p>
        </w:tc>
        <w:tc>
          <w:tcPr>
            <w:tcW w:w="1276"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4" w:firstLineChars="200"/>
              <w:textAlignment w:val="auto"/>
              <w:rPr>
                <w:rFonts w:hint="eastAsia" w:ascii="仿宋" w:hAnsi="仿宋" w:eastAsia="仿宋" w:cs="仿宋"/>
                <w:b/>
                <w:bCs w:val="0"/>
                <w:sz w:val="24"/>
                <w:szCs w:val="24"/>
                <w:lang w:val="en-US" w:eastAsia="zh-CN"/>
              </w:rPr>
            </w:pPr>
          </w:p>
        </w:tc>
        <w:tc>
          <w:tcPr>
            <w:tcW w:w="1134"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4" w:firstLineChars="200"/>
              <w:textAlignment w:val="auto"/>
              <w:rPr>
                <w:rFonts w:hint="eastAsia" w:ascii="仿宋" w:hAnsi="仿宋" w:eastAsia="仿宋" w:cs="仿宋"/>
                <w:b/>
                <w:bCs w:val="0"/>
                <w:sz w:val="24"/>
                <w:szCs w:val="24"/>
                <w:lang w:val="en-US" w:eastAsia="zh-CN"/>
              </w:rPr>
            </w:pPr>
          </w:p>
        </w:tc>
        <w:tc>
          <w:tcPr>
            <w:tcW w:w="992"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4" w:firstLineChars="200"/>
              <w:textAlignment w:val="auto"/>
              <w:rPr>
                <w:rFonts w:hint="eastAsia" w:ascii="仿宋" w:hAnsi="仿宋" w:eastAsia="仿宋" w:cs="仿宋"/>
                <w:b/>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4" w:firstLineChars="200"/>
              <w:textAlignment w:val="auto"/>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3、投标文件含有采购人不能接受的附加条件的；</w:t>
            </w:r>
          </w:p>
        </w:tc>
        <w:tc>
          <w:tcPr>
            <w:tcW w:w="1276"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4" w:firstLineChars="200"/>
              <w:textAlignment w:val="auto"/>
              <w:rPr>
                <w:rFonts w:hint="eastAsia" w:ascii="仿宋" w:hAnsi="仿宋" w:eastAsia="仿宋" w:cs="仿宋"/>
                <w:b/>
                <w:bCs w:val="0"/>
                <w:sz w:val="24"/>
                <w:szCs w:val="24"/>
                <w:lang w:val="en-US" w:eastAsia="zh-CN"/>
              </w:rPr>
            </w:pPr>
          </w:p>
        </w:tc>
        <w:tc>
          <w:tcPr>
            <w:tcW w:w="1134"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4" w:firstLineChars="200"/>
              <w:textAlignment w:val="auto"/>
              <w:rPr>
                <w:rFonts w:hint="eastAsia" w:ascii="仿宋" w:hAnsi="仿宋" w:eastAsia="仿宋" w:cs="仿宋"/>
                <w:b/>
                <w:bCs w:val="0"/>
                <w:sz w:val="24"/>
                <w:szCs w:val="24"/>
                <w:lang w:val="en-US" w:eastAsia="zh-CN"/>
              </w:rPr>
            </w:pPr>
          </w:p>
        </w:tc>
        <w:tc>
          <w:tcPr>
            <w:tcW w:w="992"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4" w:firstLineChars="200"/>
              <w:textAlignment w:val="auto"/>
              <w:rPr>
                <w:rFonts w:hint="eastAsia" w:ascii="仿宋" w:hAnsi="仿宋" w:eastAsia="仿宋" w:cs="仿宋"/>
                <w:b/>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4" w:firstLineChars="200"/>
              <w:textAlignment w:val="auto"/>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4、投标人串通投标的；</w:t>
            </w:r>
          </w:p>
        </w:tc>
        <w:tc>
          <w:tcPr>
            <w:tcW w:w="1276"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4" w:firstLineChars="200"/>
              <w:textAlignment w:val="auto"/>
              <w:rPr>
                <w:rFonts w:hint="eastAsia" w:ascii="仿宋" w:hAnsi="仿宋" w:eastAsia="仿宋" w:cs="仿宋"/>
                <w:b/>
                <w:bCs w:val="0"/>
                <w:sz w:val="24"/>
                <w:szCs w:val="24"/>
                <w:lang w:val="en-US" w:eastAsia="zh-CN"/>
              </w:rPr>
            </w:pPr>
          </w:p>
        </w:tc>
        <w:tc>
          <w:tcPr>
            <w:tcW w:w="1134"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4" w:firstLineChars="200"/>
              <w:textAlignment w:val="auto"/>
              <w:rPr>
                <w:rFonts w:hint="eastAsia" w:ascii="仿宋" w:hAnsi="仿宋" w:eastAsia="仿宋" w:cs="仿宋"/>
                <w:b/>
                <w:bCs w:val="0"/>
                <w:sz w:val="24"/>
                <w:szCs w:val="24"/>
                <w:lang w:val="en-US" w:eastAsia="zh-CN"/>
              </w:rPr>
            </w:pPr>
          </w:p>
        </w:tc>
        <w:tc>
          <w:tcPr>
            <w:tcW w:w="992"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4" w:firstLineChars="200"/>
              <w:textAlignment w:val="auto"/>
              <w:rPr>
                <w:rFonts w:hint="eastAsia" w:ascii="仿宋" w:hAnsi="仿宋" w:eastAsia="仿宋" w:cs="仿宋"/>
                <w:b/>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4" w:firstLineChars="200"/>
              <w:textAlignment w:val="auto"/>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5、投标人组成联合体投标的；</w:t>
            </w:r>
          </w:p>
        </w:tc>
        <w:tc>
          <w:tcPr>
            <w:tcW w:w="1276"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4" w:firstLineChars="200"/>
              <w:textAlignment w:val="auto"/>
              <w:rPr>
                <w:rFonts w:hint="eastAsia" w:ascii="仿宋" w:hAnsi="仿宋" w:eastAsia="仿宋" w:cs="仿宋"/>
                <w:b/>
                <w:bCs w:val="0"/>
                <w:sz w:val="24"/>
                <w:szCs w:val="24"/>
                <w:lang w:val="en-US" w:eastAsia="zh-CN"/>
              </w:rPr>
            </w:pPr>
          </w:p>
        </w:tc>
        <w:tc>
          <w:tcPr>
            <w:tcW w:w="1134"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4" w:firstLineChars="200"/>
              <w:textAlignment w:val="auto"/>
              <w:rPr>
                <w:rFonts w:hint="eastAsia" w:ascii="仿宋" w:hAnsi="仿宋" w:eastAsia="仿宋" w:cs="仿宋"/>
                <w:b/>
                <w:bCs w:val="0"/>
                <w:sz w:val="24"/>
                <w:szCs w:val="24"/>
                <w:lang w:val="en-US" w:eastAsia="zh-CN"/>
              </w:rPr>
            </w:pPr>
          </w:p>
        </w:tc>
        <w:tc>
          <w:tcPr>
            <w:tcW w:w="992"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4" w:firstLineChars="200"/>
              <w:textAlignment w:val="auto"/>
              <w:rPr>
                <w:rFonts w:hint="eastAsia" w:ascii="仿宋" w:hAnsi="仿宋" w:eastAsia="仿宋" w:cs="仿宋"/>
                <w:b/>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4" w:firstLineChars="200"/>
              <w:textAlignment w:val="auto"/>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6、投标有效期不满足招标文件要求的；</w:t>
            </w:r>
          </w:p>
        </w:tc>
        <w:tc>
          <w:tcPr>
            <w:tcW w:w="1276"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4" w:firstLineChars="200"/>
              <w:textAlignment w:val="auto"/>
              <w:rPr>
                <w:rFonts w:hint="eastAsia" w:ascii="仿宋" w:hAnsi="仿宋" w:eastAsia="仿宋" w:cs="仿宋"/>
                <w:b/>
                <w:bCs w:val="0"/>
                <w:sz w:val="24"/>
                <w:szCs w:val="24"/>
                <w:lang w:val="en-US" w:eastAsia="zh-CN"/>
              </w:rPr>
            </w:pPr>
          </w:p>
        </w:tc>
        <w:tc>
          <w:tcPr>
            <w:tcW w:w="1134"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4" w:firstLineChars="200"/>
              <w:textAlignment w:val="auto"/>
              <w:rPr>
                <w:rFonts w:hint="eastAsia" w:ascii="仿宋" w:hAnsi="仿宋" w:eastAsia="仿宋" w:cs="仿宋"/>
                <w:b/>
                <w:bCs w:val="0"/>
                <w:sz w:val="24"/>
                <w:szCs w:val="24"/>
                <w:lang w:val="en-US" w:eastAsia="zh-CN"/>
              </w:rPr>
            </w:pPr>
          </w:p>
        </w:tc>
        <w:tc>
          <w:tcPr>
            <w:tcW w:w="992"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4" w:firstLineChars="200"/>
              <w:textAlignment w:val="auto"/>
              <w:rPr>
                <w:rFonts w:hint="eastAsia" w:ascii="仿宋" w:hAnsi="仿宋" w:eastAsia="仿宋" w:cs="仿宋"/>
                <w:b/>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4" w:firstLineChars="200"/>
              <w:textAlignment w:val="auto"/>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7、评审过程中投标人的报价明显低于其他通过符合性审查投标人的报价，投标人未能在合理的时间内向评标委员会提交相关证明材料证明其报价合理性的；</w:t>
            </w:r>
          </w:p>
        </w:tc>
        <w:tc>
          <w:tcPr>
            <w:tcW w:w="1276"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4" w:firstLineChars="200"/>
              <w:textAlignment w:val="auto"/>
              <w:rPr>
                <w:rFonts w:hint="eastAsia" w:ascii="仿宋" w:hAnsi="仿宋" w:eastAsia="仿宋" w:cs="仿宋"/>
                <w:b/>
                <w:bCs w:val="0"/>
                <w:sz w:val="24"/>
                <w:szCs w:val="24"/>
                <w:lang w:val="en-US" w:eastAsia="zh-CN"/>
              </w:rPr>
            </w:pPr>
          </w:p>
        </w:tc>
        <w:tc>
          <w:tcPr>
            <w:tcW w:w="1134"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4" w:firstLineChars="200"/>
              <w:textAlignment w:val="auto"/>
              <w:rPr>
                <w:rFonts w:hint="eastAsia" w:ascii="仿宋" w:hAnsi="仿宋" w:eastAsia="仿宋" w:cs="仿宋"/>
                <w:b/>
                <w:bCs w:val="0"/>
                <w:sz w:val="24"/>
                <w:szCs w:val="24"/>
                <w:lang w:val="en-US" w:eastAsia="zh-CN"/>
              </w:rPr>
            </w:pPr>
          </w:p>
        </w:tc>
        <w:tc>
          <w:tcPr>
            <w:tcW w:w="992"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4" w:firstLineChars="200"/>
              <w:textAlignment w:val="auto"/>
              <w:rPr>
                <w:rFonts w:hint="eastAsia" w:ascii="仿宋" w:hAnsi="仿宋" w:eastAsia="仿宋" w:cs="仿宋"/>
                <w:b/>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4" w:firstLineChars="200"/>
              <w:textAlignment w:val="auto"/>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8、法律、法规和招标文件规定的其他无效情形</w:t>
            </w:r>
          </w:p>
        </w:tc>
        <w:tc>
          <w:tcPr>
            <w:tcW w:w="1276"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4" w:firstLineChars="200"/>
              <w:textAlignment w:val="auto"/>
              <w:rPr>
                <w:rFonts w:hint="eastAsia" w:ascii="仿宋" w:hAnsi="仿宋" w:eastAsia="仿宋" w:cs="仿宋"/>
                <w:b/>
                <w:bCs w:val="0"/>
                <w:sz w:val="24"/>
                <w:szCs w:val="24"/>
                <w:lang w:val="en-US" w:eastAsia="zh-CN"/>
              </w:rPr>
            </w:pPr>
          </w:p>
        </w:tc>
        <w:tc>
          <w:tcPr>
            <w:tcW w:w="1134"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4" w:firstLineChars="200"/>
              <w:textAlignment w:val="auto"/>
              <w:rPr>
                <w:rFonts w:hint="eastAsia" w:ascii="仿宋" w:hAnsi="仿宋" w:eastAsia="仿宋" w:cs="仿宋"/>
                <w:b/>
                <w:bCs w:val="0"/>
                <w:sz w:val="24"/>
                <w:szCs w:val="24"/>
                <w:lang w:val="en-US" w:eastAsia="zh-CN"/>
              </w:rPr>
            </w:pPr>
          </w:p>
        </w:tc>
        <w:tc>
          <w:tcPr>
            <w:tcW w:w="992"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4" w:firstLineChars="200"/>
              <w:textAlignment w:val="auto"/>
              <w:rPr>
                <w:rFonts w:hint="eastAsia" w:ascii="仿宋" w:hAnsi="仿宋" w:eastAsia="仿宋" w:cs="仿宋"/>
                <w:b/>
                <w:bCs w:val="0"/>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sz w:val="24"/>
          <w:szCs w:val="24"/>
        </w:rPr>
      </w:pPr>
      <w:r>
        <w:rPr>
          <w:rFonts w:hint="eastAsia" w:ascii="仿宋" w:hAnsi="仿宋" w:eastAsia="仿宋" w:cs="仿宋"/>
          <w:b/>
          <w:sz w:val="24"/>
          <w:szCs w:val="24"/>
        </w:rPr>
        <w:t>注：符合性审查不通过的供应商不能进入评标环节，通过打“√ ”，不通过“×”，通过符合性审查的有效供应商不足三家时，应予以废标。</w:t>
      </w:r>
    </w:p>
    <w:p>
      <w:pPr>
        <w:keepNext w:val="0"/>
        <w:keepLines w:val="0"/>
        <w:pageBreakBefore w:val="0"/>
        <w:widowControl w:val="0"/>
        <w:kinsoku/>
        <w:wordWrap/>
        <w:overflowPunct/>
        <w:topLinePunct w:val="0"/>
        <w:autoSpaceDE/>
        <w:autoSpaceDN/>
        <w:bidi w:val="0"/>
        <w:adjustRightInd/>
        <w:snapToGrid/>
        <w:spacing w:line="420" w:lineRule="exact"/>
        <w:ind w:firstLine="484" w:firstLineChars="200"/>
        <w:textAlignment w:val="auto"/>
        <w:rPr>
          <w:rFonts w:hint="eastAsia" w:ascii="仿宋" w:hAnsi="仿宋" w:eastAsia="仿宋" w:cs="仿宋"/>
          <w:b/>
          <w:sz w:val="24"/>
          <w:szCs w:val="24"/>
        </w:rPr>
      </w:pPr>
      <w:r>
        <w:rPr>
          <w:rFonts w:hint="eastAsia" w:ascii="仿宋" w:hAnsi="仿宋" w:eastAsia="仿宋" w:cs="仿宋"/>
          <w:b/>
          <w:sz w:val="24"/>
          <w:szCs w:val="24"/>
        </w:rPr>
        <w:t>价格谈判：资格性、符合性审查合格的谈判供应商可进入谈判阶段。在正式进行价格谈判之前，谈判小组要对合格谈判供应商的谈判报价表进行确认，符合谈判文件规定的，作为第一次报价。没有谈判报价表或谈判报价表不符合谈判文件规定的，则取消其谈判资格。</w:t>
      </w:r>
    </w:p>
    <w:p>
      <w:pPr>
        <w:keepNext w:val="0"/>
        <w:keepLines w:val="0"/>
        <w:pageBreakBefore w:val="0"/>
        <w:widowControl w:val="0"/>
        <w:kinsoku/>
        <w:wordWrap/>
        <w:overflowPunct/>
        <w:topLinePunct w:val="0"/>
        <w:autoSpaceDE/>
        <w:autoSpaceDN/>
        <w:bidi w:val="0"/>
        <w:adjustRightInd/>
        <w:snapToGrid/>
        <w:spacing w:line="420" w:lineRule="exact"/>
        <w:ind w:firstLine="484" w:firstLineChars="200"/>
        <w:textAlignment w:val="auto"/>
        <w:rPr>
          <w:rFonts w:hint="default" w:ascii="仿宋" w:hAnsi="仿宋" w:eastAsia="仿宋" w:cs="仿宋"/>
          <w:b/>
          <w:sz w:val="28"/>
          <w:szCs w:val="28"/>
          <w:lang w:val="en-US" w:eastAsia="zh-CN"/>
        </w:rPr>
      </w:pPr>
      <w:r>
        <w:rPr>
          <w:rFonts w:hint="eastAsia" w:ascii="仿宋" w:hAnsi="仿宋" w:eastAsia="仿宋" w:cs="仿宋"/>
          <w:b/>
          <w:sz w:val="24"/>
          <w:szCs w:val="24"/>
        </w:rPr>
        <w:t>进行三轮或以上谈判的规则进行，轮次可视情况而定，每轮谈判价格必须以书面形式现场确认。</w:t>
      </w:r>
      <w:r>
        <w:rPr>
          <w:rFonts w:hint="eastAsia" w:ascii="仿宋" w:hAnsi="仿宋" w:eastAsia="仿宋" w:cs="仿宋"/>
          <w:b/>
          <w:sz w:val="24"/>
          <w:szCs w:val="24"/>
          <w:lang w:val="en-US" w:eastAsia="zh-CN"/>
        </w:rPr>
        <w:t xml:space="preserve">                                                                                                                                                                                                                                                                                                                                                                                                                                                                                                                                                                                                                                                                                                                                                                                                                                                                                                                                                                                                                                                                                                                                                      </w:t>
      </w:r>
    </w:p>
    <w:p>
      <w:pPr>
        <w:pStyle w:val="5"/>
        <w:keepNext w:val="0"/>
        <w:keepLines w:val="0"/>
        <w:pageBreakBefore w:val="0"/>
        <w:widowControl w:val="0"/>
        <w:kinsoku/>
        <w:wordWrap/>
        <w:overflowPunct/>
        <w:topLinePunct w:val="0"/>
        <w:autoSpaceDE/>
        <w:autoSpaceDN/>
        <w:bidi w:val="0"/>
        <w:adjustRightInd/>
        <w:snapToGrid/>
        <w:spacing w:line="520" w:lineRule="exact"/>
        <w:ind w:firstLine="487"/>
        <w:textAlignment w:val="auto"/>
        <w:rPr>
          <w:rFonts w:hint="eastAsia" w:ascii="仿宋" w:hAnsi="仿宋" w:eastAsia="仿宋" w:cs="仿宋"/>
          <w:sz w:val="28"/>
          <w:szCs w:val="28"/>
          <w:lang w:val="en-US"/>
        </w:rPr>
      </w:pPr>
      <w:bookmarkStart w:id="202" w:name="_Toc9505"/>
      <w:bookmarkStart w:id="203" w:name="_Toc240772116"/>
      <w:bookmarkStart w:id="204" w:name="_Toc8373"/>
      <w:bookmarkStart w:id="205" w:name="_Toc458440010"/>
      <w:r>
        <w:rPr>
          <w:rFonts w:hint="eastAsia" w:ascii="仿宋" w:hAnsi="仿宋" w:eastAsia="仿宋" w:cs="仿宋"/>
          <w:sz w:val="28"/>
          <w:szCs w:val="28"/>
          <w:lang w:val="en-US"/>
        </w:rPr>
        <w:t>5.4.3 谈判方法</w:t>
      </w:r>
      <w:bookmarkEnd w:id="202"/>
      <w:bookmarkEnd w:id="203"/>
      <w:bookmarkEnd w:id="204"/>
      <w:bookmarkEnd w:id="205"/>
    </w:p>
    <w:p>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选择“最低评标价法”，即是指以价格为主要因素确定成交候选供应商，在</w:t>
      </w:r>
      <w:r>
        <w:rPr>
          <w:rFonts w:hint="eastAsia" w:ascii="仿宋" w:hAnsi="仿宋" w:eastAsia="仿宋" w:cs="仿宋"/>
          <w:sz w:val="28"/>
          <w:szCs w:val="28"/>
          <w:lang w:val="en-US" w:eastAsia="zh-CN"/>
        </w:rPr>
        <w:t>技术方案、售后服务等</w:t>
      </w:r>
      <w:r>
        <w:rPr>
          <w:rFonts w:hint="eastAsia" w:ascii="仿宋" w:hAnsi="仿宋" w:eastAsia="仿宋" w:cs="仿宋"/>
          <w:sz w:val="28"/>
          <w:szCs w:val="28"/>
        </w:rPr>
        <w:t>全部满足谈判文件实质性要求的前提下，依据统一的价格要素评定最低报价，以提出最低报价的谈判供应商作为拟成交供应商。</w:t>
      </w:r>
      <w:bookmarkStart w:id="206" w:name="_Toc240772117"/>
    </w:p>
    <w:p>
      <w:pPr>
        <w:pStyle w:val="4"/>
        <w:pageBreakBefore w:val="0"/>
        <w:widowControl w:val="0"/>
        <w:kinsoku/>
        <w:wordWrap/>
        <w:overflowPunct/>
        <w:topLinePunct w:val="0"/>
        <w:autoSpaceDE/>
        <w:autoSpaceDN/>
        <w:bidi w:val="0"/>
        <w:adjustRightInd/>
        <w:snapToGrid/>
        <w:spacing w:before="0" w:after="0" w:line="520" w:lineRule="exact"/>
        <w:ind w:firstLine="419" w:firstLineChars="149"/>
        <w:textAlignment w:val="auto"/>
        <w:rPr>
          <w:rFonts w:hint="eastAsia" w:ascii="宋体" w:hAnsi="宋体"/>
          <w:sz w:val="28"/>
          <w:szCs w:val="28"/>
        </w:rPr>
      </w:pPr>
      <w:bookmarkStart w:id="207" w:name="_Toc28065"/>
      <w:bookmarkStart w:id="208" w:name="_Toc29817"/>
      <w:bookmarkStart w:id="209" w:name="_Toc458440011"/>
      <w:r>
        <w:rPr>
          <w:rFonts w:hint="eastAsia" w:ascii="宋体" w:hAnsi="宋体"/>
          <w:sz w:val="28"/>
          <w:szCs w:val="28"/>
        </w:rPr>
        <w:t>5.5 拟成交供应商的确定</w:t>
      </w:r>
      <w:bookmarkEnd w:id="206"/>
      <w:bookmarkEnd w:id="207"/>
      <w:bookmarkEnd w:id="208"/>
      <w:bookmarkEnd w:id="209"/>
    </w:p>
    <w:p>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根据法律法规规定，采购方依法享有经授权的成交供应商确定权。</w:t>
      </w:r>
    </w:p>
    <w:p>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按照“最低价法”，采购方原则上在确定最低谈判报价的前提下，确定拟成交供应商。当价格最低的谈判供应商放弃成交、或因不可抗力提出不能履行合同，采购方可以确定价格次低的谈判供应商为拟成交供应商。</w:t>
      </w:r>
    </w:p>
    <w:p>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拟成交供应商确定后，由采购方以公告的方式向拟成交供应商以及其他采购当事人发出拟成交通知书，拟成交公示届满后，由采购方向成交供应商发出成交通知书，并要求其按实际供货量与采购人签订合同。</w:t>
      </w:r>
      <w:bookmarkStart w:id="210" w:name="_Toc240772118"/>
    </w:p>
    <w:p>
      <w:pPr>
        <w:pStyle w:val="4"/>
        <w:pageBreakBefore w:val="0"/>
        <w:widowControl w:val="0"/>
        <w:kinsoku/>
        <w:wordWrap/>
        <w:overflowPunct/>
        <w:topLinePunct w:val="0"/>
        <w:autoSpaceDE/>
        <w:autoSpaceDN/>
        <w:bidi w:val="0"/>
        <w:adjustRightInd/>
        <w:snapToGrid/>
        <w:spacing w:before="0" w:after="0" w:line="520" w:lineRule="exact"/>
        <w:ind w:firstLine="419" w:firstLineChars="149"/>
        <w:textAlignment w:val="auto"/>
        <w:rPr>
          <w:rFonts w:hint="eastAsia" w:ascii="宋体" w:hAnsi="宋体"/>
          <w:sz w:val="28"/>
          <w:szCs w:val="28"/>
        </w:rPr>
      </w:pPr>
      <w:bookmarkStart w:id="211" w:name="_Toc19525"/>
      <w:bookmarkStart w:id="212" w:name="_Toc458440012"/>
      <w:bookmarkStart w:id="213" w:name="_Toc822"/>
      <w:r>
        <w:rPr>
          <w:rFonts w:hint="eastAsia" w:ascii="宋体" w:hAnsi="宋体"/>
          <w:sz w:val="28"/>
          <w:szCs w:val="28"/>
        </w:rPr>
        <w:t>5.6 合同的授予</w:t>
      </w:r>
      <w:bookmarkEnd w:id="210"/>
      <w:bookmarkEnd w:id="211"/>
      <w:bookmarkEnd w:id="212"/>
      <w:bookmarkEnd w:id="213"/>
    </w:p>
    <w:p>
      <w:pPr>
        <w:pStyle w:val="5"/>
        <w:keepNext w:val="0"/>
        <w:keepLines w:val="0"/>
        <w:pageBreakBefore w:val="0"/>
        <w:widowControl w:val="0"/>
        <w:kinsoku/>
        <w:wordWrap/>
        <w:overflowPunct/>
        <w:topLinePunct w:val="0"/>
        <w:autoSpaceDE/>
        <w:autoSpaceDN/>
        <w:bidi w:val="0"/>
        <w:adjustRightInd/>
        <w:snapToGrid/>
        <w:spacing w:line="520" w:lineRule="exact"/>
        <w:ind w:firstLine="487"/>
        <w:textAlignment w:val="auto"/>
        <w:rPr>
          <w:rFonts w:hint="eastAsia" w:ascii="仿宋" w:hAnsi="仿宋" w:eastAsia="仿宋" w:cs="仿宋"/>
          <w:bCs/>
          <w:sz w:val="28"/>
          <w:szCs w:val="28"/>
          <w:lang w:val="en-US"/>
        </w:rPr>
      </w:pPr>
      <w:bookmarkStart w:id="214" w:name="_Toc458440013"/>
      <w:bookmarkStart w:id="215" w:name="_Toc240772119"/>
      <w:bookmarkStart w:id="216" w:name="_Toc1625"/>
      <w:bookmarkStart w:id="217" w:name="_Toc1176"/>
      <w:r>
        <w:rPr>
          <w:rFonts w:hint="eastAsia" w:ascii="仿宋" w:hAnsi="仿宋" w:eastAsia="仿宋" w:cs="仿宋"/>
          <w:bCs/>
          <w:sz w:val="28"/>
          <w:szCs w:val="28"/>
          <w:lang w:val="en-US"/>
        </w:rPr>
        <w:t>5.6.1 成交通知书</w:t>
      </w:r>
      <w:bookmarkEnd w:id="214"/>
      <w:bookmarkEnd w:id="215"/>
      <w:bookmarkEnd w:id="216"/>
      <w:bookmarkEnd w:id="217"/>
    </w:p>
    <w:p>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采购方根据谈判小组的评审结果，公布拟成交结果。在法定公示时间后且无质疑的情况下，该结果将做为是正式成交或签订供货合同的凭据，采购方将以书面形式通知成交的谈判供应商。在该通知书中将给出成交供应商应按本合同实施、完成和维护项目的成交价格（合同条件中称为“合同价格” ）、交货日期、地点以及其他相关事项。</w:t>
      </w:r>
    </w:p>
    <w:p>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成交通知书将成为合同的组成部分。</w:t>
      </w:r>
    </w:p>
    <w:p>
      <w:pPr>
        <w:pStyle w:val="5"/>
        <w:keepNext w:val="0"/>
        <w:keepLines w:val="0"/>
        <w:pageBreakBefore w:val="0"/>
        <w:widowControl w:val="0"/>
        <w:kinsoku/>
        <w:wordWrap/>
        <w:overflowPunct/>
        <w:topLinePunct w:val="0"/>
        <w:autoSpaceDE/>
        <w:autoSpaceDN/>
        <w:bidi w:val="0"/>
        <w:adjustRightInd/>
        <w:snapToGrid/>
        <w:spacing w:line="520" w:lineRule="exact"/>
        <w:ind w:firstLine="487"/>
        <w:textAlignment w:val="auto"/>
        <w:rPr>
          <w:rFonts w:hint="eastAsia" w:ascii="仿宋" w:hAnsi="仿宋" w:eastAsia="仿宋" w:cs="仿宋"/>
          <w:sz w:val="28"/>
          <w:szCs w:val="28"/>
          <w:lang w:val="en-US"/>
        </w:rPr>
      </w:pPr>
      <w:bookmarkStart w:id="218" w:name="_Toc10470"/>
      <w:bookmarkStart w:id="219" w:name="_Toc18039"/>
      <w:bookmarkStart w:id="220" w:name="_Toc458440014"/>
      <w:bookmarkStart w:id="221" w:name="_Toc240772120"/>
      <w:r>
        <w:rPr>
          <w:rFonts w:hint="eastAsia" w:ascii="仿宋" w:hAnsi="仿宋" w:eastAsia="仿宋" w:cs="仿宋"/>
          <w:sz w:val="28"/>
          <w:szCs w:val="28"/>
          <w:lang w:val="en-US"/>
        </w:rPr>
        <w:t>5.6.2 合同授予原则</w:t>
      </w:r>
      <w:bookmarkEnd w:id="218"/>
      <w:bookmarkEnd w:id="219"/>
      <w:bookmarkEnd w:id="220"/>
      <w:bookmarkEnd w:id="221"/>
    </w:p>
    <w:p>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采购方将把合同授予经谈判小组评审推荐，在法定公示时间后，收到成交通知书的谈判供应商。若因谈判供应商违约或因不可抗力等原因不能被授予合同，则合同将授予价格次低的谈判供应商或重新组织采购。</w:t>
      </w:r>
    </w:p>
    <w:p>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采购方保留在签订合同时调整方案需求和变动所购设备或材料数量的权力。</w:t>
      </w:r>
    </w:p>
    <w:p>
      <w:pPr>
        <w:pStyle w:val="5"/>
        <w:keepNext w:val="0"/>
        <w:keepLines w:val="0"/>
        <w:pageBreakBefore w:val="0"/>
        <w:widowControl w:val="0"/>
        <w:kinsoku/>
        <w:wordWrap/>
        <w:overflowPunct/>
        <w:topLinePunct w:val="0"/>
        <w:autoSpaceDE/>
        <w:autoSpaceDN/>
        <w:bidi w:val="0"/>
        <w:adjustRightInd/>
        <w:snapToGrid/>
        <w:spacing w:line="520" w:lineRule="exact"/>
        <w:ind w:firstLine="487"/>
        <w:textAlignment w:val="auto"/>
        <w:rPr>
          <w:rFonts w:hint="eastAsia" w:ascii="仿宋" w:hAnsi="仿宋" w:eastAsia="仿宋" w:cs="仿宋"/>
          <w:sz w:val="28"/>
          <w:szCs w:val="28"/>
          <w:lang w:val="en-US"/>
        </w:rPr>
      </w:pPr>
      <w:bookmarkStart w:id="222" w:name="_Toc240772121"/>
      <w:bookmarkStart w:id="223" w:name="_Toc10749"/>
      <w:bookmarkStart w:id="224" w:name="_Toc28375"/>
      <w:bookmarkStart w:id="225" w:name="_Toc458440015"/>
      <w:r>
        <w:rPr>
          <w:rFonts w:hint="eastAsia" w:ascii="仿宋" w:hAnsi="仿宋" w:eastAsia="仿宋" w:cs="仿宋"/>
          <w:sz w:val="28"/>
          <w:szCs w:val="28"/>
          <w:lang w:val="en-US"/>
        </w:rPr>
        <w:t>5.6.3 合同的签署</w:t>
      </w:r>
      <w:bookmarkEnd w:id="222"/>
      <w:bookmarkEnd w:id="223"/>
      <w:bookmarkEnd w:id="224"/>
      <w:bookmarkEnd w:id="225"/>
    </w:p>
    <w:p>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成交供应商按成交通知书中规定的时间和地点，由法定代表人或被授权人与需方签订合同。需方与成交供应商是合同权利与义务的直接、全部责任承担人。采购方所发出的成交通知书对需方和成交供应商具有同等法律效力。</w:t>
      </w:r>
    </w:p>
    <w:p>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成交通知书发出后，需方拒绝签订供货合同或擅自改变成交内容，按照《中华人民共和国合同法》定金罚则及损害赔偿的原则处罚并办理。若成交供应商不能在规定时间内与需方签订合同，或变相签订合同，采购方依监督职能可采取取消其成交资格并没收其谈判保证金等措施，并可按照相关规定办理。此时可由采购方与价格次低的谈判供应商签订合同或重新组织采购。</w:t>
      </w:r>
      <w:bookmarkStart w:id="226" w:name="_Toc240772122"/>
    </w:p>
    <w:p>
      <w:pPr>
        <w:pStyle w:val="4"/>
        <w:pageBreakBefore w:val="0"/>
        <w:widowControl w:val="0"/>
        <w:kinsoku/>
        <w:wordWrap/>
        <w:overflowPunct/>
        <w:topLinePunct w:val="0"/>
        <w:autoSpaceDE/>
        <w:autoSpaceDN/>
        <w:bidi w:val="0"/>
        <w:adjustRightInd/>
        <w:snapToGrid/>
        <w:spacing w:before="0" w:after="0" w:line="520" w:lineRule="exact"/>
        <w:ind w:firstLine="419" w:firstLineChars="149"/>
        <w:textAlignment w:val="auto"/>
        <w:rPr>
          <w:rFonts w:hint="eastAsia" w:ascii="宋体" w:hAnsi="宋体"/>
          <w:sz w:val="28"/>
          <w:szCs w:val="28"/>
        </w:rPr>
      </w:pPr>
      <w:bookmarkStart w:id="227" w:name="_Toc458440016"/>
      <w:bookmarkStart w:id="228" w:name="_Toc21114"/>
      <w:bookmarkStart w:id="229" w:name="_Toc29795"/>
      <w:r>
        <w:rPr>
          <w:rFonts w:hint="eastAsia" w:ascii="宋体" w:hAnsi="宋体"/>
          <w:sz w:val="28"/>
          <w:szCs w:val="28"/>
        </w:rPr>
        <w:t>5.7 成交未果</w:t>
      </w:r>
      <w:bookmarkEnd w:id="226"/>
      <w:bookmarkEnd w:id="227"/>
      <w:bookmarkEnd w:id="228"/>
      <w:bookmarkEnd w:id="229"/>
    </w:p>
    <w:p>
      <w:pPr>
        <w:pStyle w:val="15"/>
        <w:keepNext w:val="0"/>
        <w:keepLines w:val="0"/>
        <w:pageBreakBefore w:val="0"/>
        <w:widowControl w:val="0"/>
        <w:kinsoku/>
        <w:wordWrap/>
        <w:overflowPunct/>
        <w:topLinePunct w:val="0"/>
        <w:autoSpaceDE/>
        <w:autoSpaceDN/>
        <w:bidi w:val="0"/>
        <w:adjustRightInd/>
        <w:snapToGrid/>
        <w:spacing w:after="0" w:line="520" w:lineRule="exact"/>
        <w:ind w:left="362" w:leftChars="171" w:firstLine="141" w:firstLineChars="50"/>
        <w:textAlignment w:val="auto"/>
        <w:rPr>
          <w:rFonts w:hint="eastAsia" w:ascii="仿宋" w:hAnsi="仿宋" w:eastAsia="仿宋" w:cs="仿宋"/>
          <w:b/>
          <w:bCs/>
          <w:sz w:val="28"/>
          <w:szCs w:val="28"/>
        </w:rPr>
      </w:pPr>
      <w:r>
        <w:rPr>
          <w:rFonts w:hint="eastAsia" w:ascii="仿宋" w:hAnsi="仿宋" w:eastAsia="仿宋" w:cs="仿宋"/>
          <w:b/>
          <w:bCs/>
          <w:sz w:val="28"/>
          <w:szCs w:val="28"/>
        </w:rPr>
        <w:t>在谈判采购中，出现下列情形之一的，宣布成交未果：</w:t>
      </w:r>
    </w:p>
    <w:p>
      <w:pPr>
        <w:pStyle w:val="15"/>
        <w:keepNext w:val="0"/>
        <w:keepLines w:val="0"/>
        <w:pageBreakBefore w:val="0"/>
        <w:widowControl w:val="0"/>
        <w:kinsoku/>
        <w:wordWrap/>
        <w:overflowPunct/>
        <w:topLinePunct w:val="0"/>
        <w:autoSpaceDE/>
        <w:autoSpaceDN/>
        <w:bidi w:val="0"/>
        <w:adjustRightInd/>
        <w:snapToGrid/>
        <w:spacing w:after="0" w:line="520" w:lineRule="exact"/>
        <w:ind w:left="425"/>
        <w:textAlignment w:val="auto"/>
        <w:rPr>
          <w:rFonts w:hint="eastAsia" w:ascii="仿宋" w:hAnsi="仿宋" w:eastAsia="仿宋" w:cs="仿宋"/>
          <w:b/>
          <w:bCs/>
          <w:sz w:val="28"/>
          <w:szCs w:val="28"/>
        </w:rPr>
      </w:pPr>
      <w:r>
        <w:rPr>
          <w:rFonts w:hint="eastAsia" w:ascii="仿宋" w:hAnsi="仿宋" w:eastAsia="仿宋" w:cs="仿宋"/>
          <w:b/>
          <w:bCs/>
          <w:sz w:val="28"/>
          <w:szCs w:val="28"/>
        </w:rPr>
        <w:t>1）符合专业条件的或者对谈判文件作实质响应的谈判供应商不足三家的（经同级政府采购监管部门审核批准的除外）；</w:t>
      </w:r>
      <w:r>
        <w:rPr>
          <w:rFonts w:hint="eastAsia" w:ascii="仿宋" w:hAnsi="仿宋" w:eastAsia="仿宋" w:cs="仿宋"/>
          <w:b/>
          <w:bCs/>
          <w:sz w:val="28"/>
          <w:szCs w:val="28"/>
        </w:rPr>
        <w:br w:type="textWrapping"/>
      </w:r>
      <w:r>
        <w:rPr>
          <w:rFonts w:hint="eastAsia" w:ascii="仿宋" w:hAnsi="仿宋" w:eastAsia="仿宋" w:cs="仿宋"/>
          <w:b/>
          <w:bCs/>
          <w:sz w:val="28"/>
          <w:szCs w:val="28"/>
        </w:rPr>
        <w:t>2）出现影响采购公正的违法、违规行为的；</w:t>
      </w:r>
    </w:p>
    <w:p>
      <w:pPr>
        <w:pStyle w:val="15"/>
        <w:keepNext w:val="0"/>
        <w:keepLines w:val="0"/>
        <w:pageBreakBefore w:val="0"/>
        <w:widowControl w:val="0"/>
        <w:kinsoku/>
        <w:wordWrap/>
        <w:overflowPunct/>
        <w:topLinePunct w:val="0"/>
        <w:autoSpaceDE/>
        <w:autoSpaceDN/>
        <w:bidi w:val="0"/>
        <w:adjustRightInd/>
        <w:snapToGrid/>
        <w:spacing w:after="0" w:line="520" w:lineRule="exact"/>
        <w:ind w:left="425"/>
        <w:textAlignment w:val="auto"/>
        <w:rPr>
          <w:rFonts w:hint="eastAsia" w:ascii="仿宋" w:hAnsi="仿宋" w:eastAsia="仿宋" w:cs="仿宋"/>
          <w:b/>
          <w:bCs/>
          <w:sz w:val="28"/>
          <w:szCs w:val="28"/>
        </w:rPr>
      </w:pPr>
      <w:r>
        <w:rPr>
          <w:rFonts w:hint="eastAsia" w:ascii="仿宋" w:hAnsi="仿宋" w:eastAsia="仿宋" w:cs="仿宋"/>
          <w:b/>
          <w:bCs/>
          <w:sz w:val="28"/>
          <w:szCs w:val="28"/>
        </w:rPr>
        <w:t>3）谈判供应商的报价均超过了采购预算，需方不能支付的；</w:t>
      </w:r>
    </w:p>
    <w:p>
      <w:pPr>
        <w:pStyle w:val="15"/>
        <w:keepNext w:val="0"/>
        <w:keepLines w:val="0"/>
        <w:pageBreakBefore w:val="0"/>
        <w:widowControl w:val="0"/>
        <w:kinsoku/>
        <w:wordWrap/>
        <w:overflowPunct/>
        <w:topLinePunct w:val="0"/>
        <w:autoSpaceDE/>
        <w:autoSpaceDN/>
        <w:bidi w:val="0"/>
        <w:adjustRightInd/>
        <w:snapToGrid/>
        <w:spacing w:after="0" w:line="520" w:lineRule="exact"/>
        <w:ind w:left="483" w:leftChars="228"/>
        <w:textAlignment w:val="auto"/>
        <w:rPr>
          <w:rFonts w:hint="eastAsia" w:ascii="仿宋" w:hAnsi="仿宋" w:eastAsia="仿宋" w:cs="仿宋"/>
          <w:b/>
          <w:sz w:val="28"/>
          <w:szCs w:val="28"/>
        </w:rPr>
      </w:pPr>
      <w:r>
        <w:rPr>
          <w:rFonts w:hint="eastAsia" w:ascii="仿宋" w:hAnsi="仿宋" w:eastAsia="仿宋" w:cs="仿宋"/>
          <w:b/>
          <w:bCs/>
          <w:sz w:val="28"/>
          <w:szCs w:val="28"/>
        </w:rPr>
        <w:t>4）因重大变故，采购任务取消的。</w:t>
      </w:r>
      <w:r>
        <w:rPr>
          <w:rFonts w:hint="eastAsia" w:ascii="仿宋" w:hAnsi="仿宋" w:eastAsia="仿宋" w:cs="仿宋"/>
          <w:b/>
          <w:sz w:val="28"/>
          <w:szCs w:val="28"/>
        </w:rPr>
        <w:br w:type="textWrapping"/>
      </w:r>
      <w:r>
        <w:rPr>
          <w:rFonts w:hint="eastAsia" w:ascii="仿宋" w:hAnsi="仿宋" w:eastAsia="仿宋" w:cs="仿宋"/>
          <w:b/>
          <w:bCs/>
          <w:sz w:val="28"/>
          <w:szCs w:val="28"/>
        </w:rPr>
        <w:t>宣布成交未果后，采购方应当将成交未果理由通知所有采购当事人。</w:t>
      </w:r>
      <w:bookmarkStart w:id="230" w:name="_Toc240772123"/>
    </w:p>
    <w:p>
      <w:pPr>
        <w:pStyle w:val="4"/>
        <w:pageBreakBefore w:val="0"/>
        <w:widowControl w:val="0"/>
        <w:kinsoku/>
        <w:wordWrap/>
        <w:overflowPunct/>
        <w:topLinePunct w:val="0"/>
        <w:autoSpaceDE/>
        <w:autoSpaceDN/>
        <w:bidi w:val="0"/>
        <w:adjustRightInd/>
        <w:snapToGrid/>
        <w:spacing w:before="0" w:after="0" w:line="520" w:lineRule="exact"/>
        <w:ind w:firstLine="419" w:firstLineChars="149"/>
        <w:textAlignment w:val="auto"/>
        <w:rPr>
          <w:rFonts w:hint="eastAsia" w:ascii="宋体" w:hAnsi="宋体"/>
          <w:sz w:val="28"/>
          <w:szCs w:val="28"/>
        </w:rPr>
      </w:pPr>
      <w:bookmarkStart w:id="231" w:name="_Toc25540"/>
      <w:bookmarkStart w:id="232" w:name="_Toc19924"/>
      <w:bookmarkStart w:id="233" w:name="_Toc458440017"/>
      <w:r>
        <w:rPr>
          <w:rFonts w:hint="eastAsia" w:ascii="宋体" w:hAnsi="宋体"/>
          <w:sz w:val="28"/>
          <w:szCs w:val="28"/>
        </w:rPr>
        <w:t>5.8 谈判无效响应</w:t>
      </w:r>
      <w:bookmarkEnd w:id="230"/>
      <w:bookmarkEnd w:id="231"/>
      <w:bookmarkEnd w:id="232"/>
      <w:bookmarkEnd w:id="233"/>
    </w:p>
    <w:p>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bookmarkStart w:id="234" w:name="_Toc458440018"/>
      <w:r>
        <w:rPr>
          <w:rFonts w:hint="eastAsia" w:ascii="仿宋" w:hAnsi="仿宋" w:eastAsia="仿宋" w:cs="仿宋"/>
          <w:sz w:val="28"/>
          <w:szCs w:val="28"/>
        </w:rPr>
        <w:t>遇到下列情况之一时, 投标人的投标将被视为无效投标:</w:t>
      </w:r>
    </w:p>
    <w:p>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1）投标人法定代表人或授权代理人未参加开标会议的；</w:t>
      </w:r>
    </w:p>
    <w:p>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2）投标人未按要求交纳投标保证金或金额不足的；</w:t>
      </w:r>
    </w:p>
    <w:p>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3）投标人未按要求递交提交</w:t>
      </w:r>
      <w:r>
        <w:rPr>
          <w:rFonts w:hint="eastAsia" w:ascii="仿宋" w:hAnsi="仿宋" w:eastAsia="仿宋" w:cs="仿宋"/>
          <w:spacing w:val="-6"/>
          <w:sz w:val="28"/>
          <w:szCs w:val="28"/>
        </w:rPr>
        <w:t>本项目投标保证金进帐单或电汇凭证等银行证明文件的；</w:t>
      </w:r>
    </w:p>
    <w:p>
      <w:pPr>
        <w:keepNext w:val="0"/>
        <w:keepLines w:val="0"/>
        <w:pageBreakBefore w:val="0"/>
        <w:widowControl w:val="0"/>
        <w:tabs>
          <w:tab w:val="left" w:pos="-540"/>
        </w:tabs>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4) 投标文件未按规定编制、签字、盖章的； </w:t>
      </w:r>
    </w:p>
    <w:p>
      <w:pPr>
        <w:keepNext w:val="0"/>
        <w:keepLines w:val="0"/>
        <w:pageBreakBefore w:val="0"/>
        <w:widowControl w:val="0"/>
        <w:tabs>
          <w:tab w:val="left" w:pos="-540"/>
        </w:tabs>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5) 投标报价超出采购预算或最高限价的；</w:t>
      </w:r>
    </w:p>
    <w:p>
      <w:pPr>
        <w:keepNext w:val="0"/>
        <w:keepLines w:val="0"/>
        <w:pageBreakBefore w:val="0"/>
        <w:widowControl w:val="0"/>
        <w:tabs>
          <w:tab w:val="left" w:pos="-540"/>
        </w:tabs>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6）投标文件无投标人公章和法人或者法人授权代理人的印章或签字的；</w:t>
      </w:r>
    </w:p>
    <w:p>
      <w:pPr>
        <w:pStyle w:val="14"/>
        <w:keepNext w:val="0"/>
        <w:keepLines w:val="0"/>
        <w:pageBreakBefore w:val="0"/>
        <w:widowControl w:val="0"/>
        <w:kinsoku/>
        <w:wordWrap/>
        <w:overflowPunct/>
        <w:topLinePunct w:val="0"/>
        <w:autoSpaceDE/>
        <w:autoSpaceDN/>
        <w:bidi w:val="0"/>
        <w:adjustRightInd/>
        <w:snapToGrid/>
        <w:spacing w:after="0"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7）投标函、法人授权函、投标报价表及投标货物偏离表未按规定格式填报的；</w:t>
      </w:r>
    </w:p>
    <w:p>
      <w:pPr>
        <w:keepNext w:val="0"/>
        <w:keepLines w:val="0"/>
        <w:pageBreakBefore w:val="0"/>
        <w:widowControl w:val="0"/>
        <w:tabs>
          <w:tab w:val="left" w:pos="-540"/>
        </w:tabs>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8）投标人未能提供法人授权函等证明文件和资料的，或提供的证件不齐或无效；</w:t>
      </w:r>
    </w:p>
    <w:p>
      <w:pPr>
        <w:keepNext w:val="0"/>
        <w:keepLines w:val="0"/>
        <w:pageBreakBefore w:val="0"/>
        <w:widowControl w:val="0"/>
        <w:tabs>
          <w:tab w:val="left" w:pos="-540"/>
        </w:tabs>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9) 投标文件未按照招标文件规定的格式填写，或者填写的内容不全，或者辨认不清产生歧义，或者涂改处未加盖投标人公章及法人或法人授权的代理人的印章或签字的；</w:t>
      </w:r>
    </w:p>
    <w:p>
      <w:pPr>
        <w:keepNext w:val="0"/>
        <w:keepLines w:val="0"/>
        <w:pageBreakBefore w:val="0"/>
        <w:widowControl w:val="0"/>
        <w:tabs>
          <w:tab w:val="left" w:pos="-540"/>
        </w:tabs>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10）投标文件中以两个及两个以上的方案进行投标的（招标文件另有规定的除外）；</w:t>
      </w:r>
    </w:p>
    <w:p>
      <w:pPr>
        <w:keepNext w:val="0"/>
        <w:keepLines w:val="0"/>
        <w:pageBreakBefore w:val="0"/>
        <w:widowControl w:val="0"/>
        <w:tabs>
          <w:tab w:val="left" w:pos="-540"/>
        </w:tabs>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11）投标文件未能对招标文件提出的要求和条件作出实质性响应的；</w:t>
      </w:r>
    </w:p>
    <w:p>
      <w:pPr>
        <w:keepNext w:val="0"/>
        <w:keepLines w:val="0"/>
        <w:pageBreakBefore w:val="0"/>
        <w:widowControl w:val="0"/>
        <w:tabs>
          <w:tab w:val="left" w:pos="-540"/>
        </w:tabs>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12）投标人资格条件不符合国家有关规定和招标文件要求的，或者拒不按照要求对投标文件进行澄清、说明或者补正的；</w:t>
      </w:r>
    </w:p>
    <w:p>
      <w:pPr>
        <w:keepNext w:val="0"/>
        <w:keepLines w:val="0"/>
        <w:pageBreakBefore w:val="0"/>
        <w:widowControl w:val="0"/>
        <w:tabs>
          <w:tab w:val="left" w:pos="-540"/>
        </w:tabs>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13）投标文件附有招标人不能接受的条件的；</w:t>
      </w:r>
    </w:p>
    <w:p>
      <w:pPr>
        <w:keepNext w:val="0"/>
        <w:keepLines w:val="0"/>
        <w:pageBreakBefore w:val="0"/>
        <w:widowControl w:val="0"/>
        <w:tabs>
          <w:tab w:val="left" w:pos="-540"/>
        </w:tabs>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14）投标的产品（同一品牌、型号），在同一地区同一时间段内</w:t>
      </w:r>
      <w:r>
        <w:rPr>
          <w:rFonts w:hint="eastAsia" w:ascii="仿宋" w:hAnsi="仿宋" w:eastAsia="仿宋" w:cs="仿宋"/>
          <w:sz w:val="28"/>
          <w:szCs w:val="28"/>
          <w:lang w:eastAsia="zh-CN"/>
        </w:rPr>
        <w:t>成交</w:t>
      </w:r>
      <w:r>
        <w:rPr>
          <w:rFonts w:hint="eastAsia" w:ascii="仿宋" w:hAnsi="仿宋" w:eastAsia="仿宋" w:cs="仿宋"/>
          <w:sz w:val="28"/>
          <w:szCs w:val="28"/>
        </w:rPr>
        <w:t>供应商应保证其实际投标价格低于其他任何非政府采购价格；其中：</w:t>
      </w:r>
    </w:p>
    <w:p>
      <w:pPr>
        <w:keepNext w:val="0"/>
        <w:keepLines w:val="0"/>
        <w:pageBreakBefore w:val="0"/>
        <w:widowControl w:val="0"/>
        <w:tabs>
          <w:tab w:val="left" w:pos="-540"/>
        </w:tabs>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① 投标阶段应视为无效投标；</w:t>
      </w:r>
    </w:p>
    <w:p>
      <w:pPr>
        <w:keepNext w:val="0"/>
        <w:keepLines w:val="0"/>
        <w:pageBreakBefore w:val="0"/>
        <w:widowControl w:val="0"/>
        <w:tabs>
          <w:tab w:val="left" w:pos="-540"/>
        </w:tabs>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② 已</w:t>
      </w:r>
      <w:r>
        <w:rPr>
          <w:rFonts w:hint="eastAsia" w:ascii="仿宋" w:hAnsi="仿宋" w:eastAsia="仿宋" w:cs="仿宋"/>
          <w:sz w:val="28"/>
          <w:szCs w:val="28"/>
          <w:lang w:eastAsia="zh-CN"/>
        </w:rPr>
        <w:t>成交</w:t>
      </w:r>
      <w:r>
        <w:rPr>
          <w:rFonts w:hint="eastAsia" w:ascii="仿宋" w:hAnsi="仿宋" w:eastAsia="仿宋" w:cs="仿宋"/>
          <w:sz w:val="28"/>
          <w:szCs w:val="28"/>
        </w:rPr>
        <w:t>而无供货的视为</w:t>
      </w:r>
      <w:r>
        <w:rPr>
          <w:rFonts w:hint="eastAsia" w:ascii="仿宋" w:hAnsi="仿宋" w:eastAsia="仿宋" w:cs="仿宋"/>
          <w:sz w:val="28"/>
          <w:szCs w:val="28"/>
          <w:lang w:eastAsia="zh-CN"/>
        </w:rPr>
        <w:t>成交</w:t>
      </w:r>
      <w:r>
        <w:rPr>
          <w:rFonts w:hint="eastAsia" w:ascii="仿宋" w:hAnsi="仿宋" w:eastAsia="仿宋" w:cs="仿宋"/>
          <w:sz w:val="28"/>
          <w:szCs w:val="28"/>
        </w:rPr>
        <w:t>无效；</w:t>
      </w:r>
    </w:p>
    <w:p>
      <w:pPr>
        <w:keepNext w:val="0"/>
        <w:keepLines w:val="0"/>
        <w:pageBreakBefore w:val="0"/>
        <w:widowControl w:val="0"/>
        <w:tabs>
          <w:tab w:val="left" w:pos="-540"/>
        </w:tabs>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③ 已供货者，供应商应承担由此给需方造成的损失。</w:t>
      </w:r>
    </w:p>
    <w:p>
      <w:pPr>
        <w:keepNext w:val="0"/>
        <w:keepLines w:val="0"/>
        <w:pageBreakBefore w:val="0"/>
        <w:widowControl w:val="0"/>
        <w:tabs>
          <w:tab w:val="left" w:pos="-540"/>
        </w:tabs>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15）经评审委员会认定，认为生产制造企业通过控制授权函等方式，恶意抬高其产品价格。降低服务质量，价格明显高于在同一地区同一时间段内任何政府采购价格的；</w:t>
      </w:r>
    </w:p>
    <w:p>
      <w:pPr>
        <w:keepNext w:val="0"/>
        <w:keepLines w:val="0"/>
        <w:pageBreakBefore w:val="0"/>
        <w:widowControl w:val="0"/>
        <w:tabs>
          <w:tab w:val="left" w:pos="-540"/>
        </w:tabs>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16）投标有效期不足的；</w:t>
      </w:r>
    </w:p>
    <w:p>
      <w:pPr>
        <w:keepNext w:val="0"/>
        <w:keepLines w:val="0"/>
        <w:pageBreakBefore w:val="0"/>
        <w:widowControl w:val="0"/>
        <w:tabs>
          <w:tab w:val="left" w:pos="-540"/>
        </w:tabs>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17）在评标过程中，如果投标人试图在投标审查、澄清、比较及授予合同方面向招标人施加任何影响的；</w:t>
      </w:r>
    </w:p>
    <w:p>
      <w:pPr>
        <w:keepNext w:val="0"/>
        <w:keepLines w:val="0"/>
        <w:pageBreakBefore w:val="0"/>
        <w:widowControl w:val="0"/>
        <w:tabs>
          <w:tab w:val="left" w:pos="-540"/>
        </w:tabs>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18）投标人以他人名义投标、串通投标、以行贿手段谋取</w:t>
      </w:r>
      <w:r>
        <w:rPr>
          <w:rFonts w:hint="eastAsia" w:ascii="仿宋" w:hAnsi="仿宋" w:eastAsia="仿宋" w:cs="仿宋"/>
          <w:sz w:val="28"/>
          <w:szCs w:val="28"/>
          <w:lang w:eastAsia="zh-CN"/>
        </w:rPr>
        <w:t>成交</w:t>
      </w:r>
      <w:r>
        <w:rPr>
          <w:rFonts w:hint="eastAsia" w:ascii="仿宋" w:hAnsi="仿宋" w:eastAsia="仿宋" w:cs="仿宋"/>
          <w:sz w:val="28"/>
          <w:szCs w:val="28"/>
        </w:rPr>
        <w:t>或者以弄虚作假等方式投标的；</w:t>
      </w:r>
    </w:p>
    <w:p>
      <w:pPr>
        <w:keepNext w:val="0"/>
        <w:keepLines w:val="0"/>
        <w:pageBreakBefore w:val="0"/>
        <w:widowControl w:val="0"/>
        <w:tabs>
          <w:tab w:val="left" w:pos="-540"/>
        </w:tabs>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19）经核实两个或两个以上投标人的投标文件有雷同或有抄袭行为的；</w:t>
      </w:r>
    </w:p>
    <w:p>
      <w:pPr>
        <w:keepNext w:val="0"/>
        <w:keepLines w:val="0"/>
        <w:pageBreakBefore w:val="0"/>
        <w:widowControl w:val="0"/>
        <w:tabs>
          <w:tab w:val="left" w:pos="-540"/>
        </w:tabs>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20）违反《中华人民共和国政府采购法》及《中华人民共和国财政部令﹝2017﹞87号》的投标；</w:t>
      </w:r>
    </w:p>
    <w:p>
      <w:pPr>
        <w:keepNext w:val="0"/>
        <w:keepLines w:val="0"/>
        <w:pageBreakBefore w:val="0"/>
        <w:widowControl w:val="0"/>
        <w:tabs>
          <w:tab w:val="left" w:pos="-540"/>
        </w:tabs>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21）招标文件规定的其它无效投标条件。</w:t>
      </w:r>
    </w:p>
    <w:p>
      <w:pPr>
        <w:pStyle w:val="4"/>
        <w:pageBreakBefore w:val="0"/>
        <w:widowControl w:val="0"/>
        <w:kinsoku/>
        <w:wordWrap/>
        <w:overflowPunct/>
        <w:topLinePunct w:val="0"/>
        <w:autoSpaceDE/>
        <w:autoSpaceDN/>
        <w:bidi w:val="0"/>
        <w:adjustRightInd/>
        <w:snapToGrid/>
        <w:spacing w:before="0" w:after="0" w:line="520" w:lineRule="exact"/>
        <w:ind w:firstLine="419" w:firstLineChars="149"/>
        <w:textAlignment w:val="auto"/>
        <w:rPr>
          <w:rFonts w:hint="eastAsia" w:ascii="宋体" w:hAnsi="宋体"/>
          <w:sz w:val="28"/>
          <w:szCs w:val="28"/>
        </w:rPr>
      </w:pPr>
      <w:bookmarkStart w:id="235" w:name="_Toc29361"/>
      <w:r>
        <w:rPr>
          <w:rFonts w:hint="eastAsia" w:ascii="宋体" w:hAnsi="宋体"/>
          <w:sz w:val="28"/>
          <w:szCs w:val="28"/>
        </w:rPr>
        <w:t>5.9串通投标情形</w:t>
      </w:r>
      <w:bookmarkEnd w:id="235"/>
    </w:p>
    <w:p>
      <w:pPr>
        <w:keepNext w:val="0"/>
        <w:keepLines w:val="0"/>
        <w:pageBreakBefore w:val="0"/>
        <w:widowControl w:val="0"/>
        <w:tabs>
          <w:tab w:val="left" w:pos="-540"/>
        </w:tabs>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发现存在下列情形之一的，应当视为供应商串通投标，认定其投标（响应）无效：</w:t>
      </w:r>
    </w:p>
    <w:p>
      <w:pPr>
        <w:keepNext w:val="0"/>
        <w:keepLines w:val="0"/>
        <w:pageBreakBefore w:val="0"/>
        <w:widowControl w:val="0"/>
        <w:tabs>
          <w:tab w:val="left" w:pos="-540"/>
        </w:tabs>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1）不同供应商委托同一单位或者个人办理采购事宜的；</w:t>
      </w:r>
    </w:p>
    <w:p>
      <w:pPr>
        <w:keepNext w:val="0"/>
        <w:keepLines w:val="0"/>
        <w:pageBreakBefore w:val="0"/>
        <w:widowControl w:val="0"/>
        <w:tabs>
          <w:tab w:val="left" w:pos="-540"/>
        </w:tabs>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2）不同供应商的投标保证金从同一单位或者个人的账户转出的；发现存在单位负责人为同一人或者存在直接控股、管理关系的不同供应商，参加同一合同项下政府采购活动情形的，应当按照采购文件约定的方式或者随机方式（采购文件没有约定的），选择其中一家符合资格要求的供应商参加采购活动；</w:t>
      </w:r>
    </w:p>
    <w:p>
      <w:pPr>
        <w:keepNext w:val="0"/>
        <w:keepLines w:val="0"/>
        <w:pageBreakBefore w:val="0"/>
        <w:widowControl w:val="0"/>
        <w:tabs>
          <w:tab w:val="left" w:pos="-540"/>
        </w:tabs>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3）不同供应商的投标（响应）文件由同一单位或者个人编制的；</w:t>
      </w:r>
    </w:p>
    <w:p>
      <w:pPr>
        <w:keepNext w:val="0"/>
        <w:keepLines w:val="0"/>
        <w:pageBreakBefore w:val="0"/>
        <w:widowControl w:val="0"/>
        <w:tabs>
          <w:tab w:val="left" w:pos="-540"/>
        </w:tabs>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4）不同供应商委托同一单位或者个人办理采购事宜的；</w:t>
      </w:r>
    </w:p>
    <w:p>
      <w:pPr>
        <w:keepNext w:val="0"/>
        <w:keepLines w:val="0"/>
        <w:pageBreakBefore w:val="0"/>
        <w:widowControl w:val="0"/>
        <w:tabs>
          <w:tab w:val="left" w:pos="-540"/>
        </w:tabs>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5）不同供应商的投标（响应）文件载明的项目管理成员或者联系人员为同一人的；</w:t>
      </w:r>
    </w:p>
    <w:p>
      <w:pPr>
        <w:keepNext w:val="0"/>
        <w:keepLines w:val="0"/>
        <w:pageBreakBefore w:val="0"/>
        <w:widowControl w:val="0"/>
        <w:tabs>
          <w:tab w:val="left" w:pos="-540"/>
        </w:tabs>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6）不同供应商的投标（响应）文件异常一致或者响应报价呈规律性差异的；</w:t>
      </w:r>
    </w:p>
    <w:p>
      <w:pPr>
        <w:keepNext w:val="0"/>
        <w:keepLines w:val="0"/>
        <w:pageBreakBefore w:val="0"/>
        <w:widowControl w:val="0"/>
        <w:tabs>
          <w:tab w:val="left" w:pos="-540"/>
        </w:tabs>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7）不同供应商的投标（响应）文件相互混装的。</w:t>
      </w:r>
    </w:p>
    <w:p>
      <w:pPr>
        <w:pStyle w:val="4"/>
        <w:pageBreakBefore w:val="0"/>
        <w:widowControl w:val="0"/>
        <w:kinsoku/>
        <w:wordWrap/>
        <w:overflowPunct/>
        <w:topLinePunct w:val="0"/>
        <w:autoSpaceDE/>
        <w:autoSpaceDN/>
        <w:bidi w:val="0"/>
        <w:adjustRightInd/>
        <w:snapToGrid/>
        <w:spacing w:before="0" w:after="0" w:line="520" w:lineRule="exact"/>
        <w:ind w:firstLine="419" w:firstLineChars="149"/>
        <w:textAlignment w:val="auto"/>
        <w:rPr>
          <w:rFonts w:hint="eastAsia" w:ascii="宋体" w:hAnsi="宋体"/>
          <w:sz w:val="28"/>
          <w:szCs w:val="28"/>
        </w:rPr>
      </w:pPr>
      <w:bookmarkStart w:id="236" w:name="_Toc25145"/>
      <w:r>
        <w:rPr>
          <w:rFonts w:hint="eastAsia" w:ascii="宋体" w:hAnsi="宋体"/>
          <w:sz w:val="28"/>
          <w:szCs w:val="28"/>
        </w:rPr>
        <w:t>5.10恶意串通投标情形</w:t>
      </w:r>
      <w:bookmarkEnd w:id="236"/>
    </w:p>
    <w:p>
      <w:pPr>
        <w:keepNext w:val="0"/>
        <w:keepLines w:val="0"/>
        <w:pageBreakBefore w:val="0"/>
        <w:widowControl w:val="0"/>
        <w:tabs>
          <w:tab w:val="left" w:pos="-540"/>
        </w:tabs>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发现存在下列情形之一的，应当认定为恶意串通，否决相关供应商投标（响应）文件，并报告采购人本级财政部门依法处理：</w:t>
      </w:r>
    </w:p>
    <w:p>
      <w:pPr>
        <w:keepNext w:val="0"/>
        <w:keepLines w:val="0"/>
        <w:pageBreakBefore w:val="0"/>
        <w:widowControl w:val="0"/>
        <w:tabs>
          <w:tab w:val="left" w:pos="-540"/>
        </w:tabs>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1）供应商直接或者间接从采购人或者采购代理机构处获得其他供应商的相关情况并修改其投标文件或者响应文件的；</w:t>
      </w:r>
    </w:p>
    <w:p>
      <w:pPr>
        <w:keepNext w:val="0"/>
        <w:keepLines w:val="0"/>
        <w:pageBreakBefore w:val="0"/>
        <w:widowControl w:val="0"/>
        <w:tabs>
          <w:tab w:val="left" w:pos="-540"/>
        </w:tabs>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2）供应商通过采购人或者采购代理机构的授意撤换、修改投标文件或者响应文件的；</w:t>
      </w:r>
    </w:p>
    <w:p>
      <w:pPr>
        <w:keepNext w:val="0"/>
        <w:keepLines w:val="0"/>
        <w:pageBreakBefore w:val="0"/>
        <w:widowControl w:val="0"/>
        <w:tabs>
          <w:tab w:val="left" w:pos="-540"/>
        </w:tabs>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3)供应商之间协商报价、技术方案等投标文件或者响应文件的实质性内容的；</w:t>
      </w:r>
    </w:p>
    <w:p>
      <w:pPr>
        <w:keepNext w:val="0"/>
        <w:keepLines w:val="0"/>
        <w:pageBreakBefore w:val="0"/>
        <w:widowControl w:val="0"/>
        <w:tabs>
          <w:tab w:val="left" w:pos="-540"/>
        </w:tabs>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4)属于同一集团、协会、商会等组织成员的供应商按照该组织要求协同参加政府采购活动的；</w:t>
      </w:r>
    </w:p>
    <w:p>
      <w:pPr>
        <w:keepNext w:val="0"/>
        <w:keepLines w:val="0"/>
        <w:pageBreakBefore w:val="0"/>
        <w:widowControl w:val="0"/>
        <w:tabs>
          <w:tab w:val="left" w:pos="-540"/>
        </w:tabs>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5)供应商之间事先约定由某一特定供应商</w:t>
      </w:r>
      <w:r>
        <w:rPr>
          <w:rFonts w:hint="eastAsia" w:ascii="仿宋" w:hAnsi="仿宋" w:eastAsia="仿宋" w:cs="仿宋"/>
          <w:sz w:val="28"/>
          <w:szCs w:val="28"/>
          <w:lang w:eastAsia="zh-CN"/>
        </w:rPr>
        <w:t>成交</w:t>
      </w:r>
      <w:r>
        <w:rPr>
          <w:rFonts w:hint="eastAsia" w:ascii="仿宋" w:hAnsi="仿宋" w:eastAsia="仿宋" w:cs="仿宋"/>
          <w:sz w:val="28"/>
          <w:szCs w:val="28"/>
        </w:rPr>
        <w:t>、成交的；</w:t>
      </w:r>
    </w:p>
    <w:p>
      <w:pPr>
        <w:keepNext w:val="0"/>
        <w:keepLines w:val="0"/>
        <w:pageBreakBefore w:val="0"/>
        <w:widowControl w:val="0"/>
        <w:tabs>
          <w:tab w:val="left" w:pos="-540"/>
        </w:tabs>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6)供应商之间商定部分供应商放弃参加政府采购活动或者放弃</w:t>
      </w:r>
      <w:r>
        <w:rPr>
          <w:rFonts w:hint="eastAsia" w:ascii="仿宋" w:hAnsi="仿宋" w:eastAsia="仿宋" w:cs="仿宋"/>
          <w:sz w:val="28"/>
          <w:szCs w:val="28"/>
          <w:lang w:eastAsia="zh-CN"/>
        </w:rPr>
        <w:t>成交</w:t>
      </w:r>
      <w:r>
        <w:rPr>
          <w:rFonts w:hint="eastAsia" w:ascii="仿宋" w:hAnsi="仿宋" w:eastAsia="仿宋" w:cs="仿宋"/>
          <w:sz w:val="28"/>
          <w:szCs w:val="28"/>
        </w:rPr>
        <w:t>、成交的；</w:t>
      </w:r>
    </w:p>
    <w:p>
      <w:pPr>
        <w:keepNext w:val="0"/>
        <w:keepLines w:val="0"/>
        <w:pageBreakBefore w:val="0"/>
        <w:widowControl w:val="0"/>
        <w:tabs>
          <w:tab w:val="left" w:pos="-540"/>
        </w:tabs>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7)供应商与采购人或者采购代理机构之间、供应商相互之间，为谋求特定供应商</w:t>
      </w:r>
      <w:r>
        <w:rPr>
          <w:rFonts w:hint="eastAsia" w:ascii="仿宋" w:hAnsi="仿宋" w:eastAsia="仿宋" w:cs="仿宋"/>
          <w:sz w:val="28"/>
          <w:szCs w:val="28"/>
          <w:lang w:eastAsia="zh-CN"/>
        </w:rPr>
        <w:t>成交</w:t>
      </w:r>
      <w:r>
        <w:rPr>
          <w:rFonts w:hint="eastAsia" w:ascii="仿宋" w:hAnsi="仿宋" w:eastAsia="仿宋" w:cs="仿宋"/>
          <w:sz w:val="28"/>
          <w:szCs w:val="28"/>
        </w:rPr>
        <w:t>、成交或者排斥其他供应商的其他串通行为的。</w:t>
      </w:r>
    </w:p>
    <w:p>
      <w:pPr>
        <w:pStyle w:val="14"/>
        <w:keepNext w:val="0"/>
        <w:keepLines w:val="0"/>
        <w:pageBreakBefore w:val="0"/>
        <w:widowControl w:val="0"/>
        <w:kinsoku/>
        <w:wordWrap/>
        <w:overflowPunct/>
        <w:topLinePunct w:val="0"/>
        <w:autoSpaceDE/>
        <w:autoSpaceDN/>
        <w:bidi w:val="0"/>
        <w:adjustRightInd/>
        <w:snapToGrid/>
        <w:spacing w:after="0" w:line="460" w:lineRule="exact"/>
        <w:textAlignment w:val="auto"/>
        <w:rPr>
          <w:rFonts w:hint="eastAsia" w:ascii="仿宋" w:hAnsi="仿宋" w:eastAsia="仿宋" w:cs="仿宋"/>
          <w:sz w:val="28"/>
          <w:szCs w:val="28"/>
        </w:rPr>
        <w:sectPr>
          <w:footerReference r:id="rId11" w:type="first"/>
          <w:footerReference r:id="rId9" w:type="default"/>
          <w:footerReference r:id="rId10" w:type="even"/>
          <w:pgSz w:w="11906" w:h="16838"/>
          <w:pgMar w:top="1701" w:right="1474" w:bottom="1587" w:left="1587" w:header="851" w:footer="992" w:gutter="0"/>
          <w:pgNumType w:fmt="numberInDash"/>
          <w:cols w:space="720" w:num="1"/>
          <w:titlePg/>
          <w:rtlGutter w:val="0"/>
          <w:docGrid w:type="linesAndChars" w:linePitch="322" w:charSpace="535"/>
        </w:sectPr>
      </w:pPr>
    </w:p>
    <w:bookmarkEnd w:id="165"/>
    <w:bookmarkEnd w:id="166"/>
    <w:bookmarkEnd w:id="167"/>
    <w:bookmarkEnd w:id="234"/>
    <w:p>
      <w:pPr>
        <w:pStyle w:val="3"/>
        <w:spacing w:before="0" w:after="0"/>
        <w:jc w:val="center"/>
        <w:rPr>
          <w:rFonts w:hint="eastAsia"/>
          <w:kern w:val="0"/>
          <w:sz w:val="40"/>
        </w:rPr>
      </w:pPr>
      <w:bookmarkStart w:id="237" w:name="_Toc17366"/>
      <w:bookmarkStart w:id="238" w:name="_Toc459045272"/>
      <w:bookmarkStart w:id="239" w:name="_Toc25655"/>
      <w:bookmarkStart w:id="240" w:name="_Toc430114967"/>
      <w:bookmarkStart w:id="241" w:name="_Toc458440019"/>
      <w:r>
        <w:rPr>
          <w:rFonts w:hint="eastAsia"/>
          <w:kern w:val="0"/>
          <w:sz w:val="40"/>
        </w:rPr>
        <w:t>6、合同格式（仅供参考）</w:t>
      </w:r>
      <w:bookmarkEnd w:id="237"/>
      <w:bookmarkEnd w:id="238"/>
      <w:bookmarkEnd w:id="239"/>
    </w:p>
    <w:p>
      <w:pPr>
        <w:ind w:firstLine="1400" w:firstLineChars="500"/>
        <w:rPr>
          <w:rFonts w:hint="eastAsia" w:ascii="仿宋" w:hAnsi="仿宋" w:eastAsia="仿宋" w:cs="仿宋"/>
          <w:sz w:val="28"/>
          <w:szCs w:val="28"/>
        </w:rPr>
      </w:pPr>
      <w:r>
        <w:rPr>
          <w:rFonts w:hint="eastAsia" w:ascii="仿宋" w:hAnsi="仿宋" w:eastAsia="仿宋" w:cs="仿宋"/>
          <w:sz w:val="28"/>
          <w:szCs w:val="28"/>
        </w:rPr>
        <w:t>实际合同内容可根据谈判情况、招标文件规定及甲乙双方约定作出改动</w:t>
      </w:r>
    </w:p>
    <w:p>
      <w:pPr>
        <w:pStyle w:val="4"/>
        <w:spacing w:before="0" w:after="0"/>
        <w:ind w:firstLine="419" w:firstLineChars="149"/>
        <w:rPr>
          <w:rFonts w:hint="eastAsia" w:ascii="宋体" w:hAnsi="宋体"/>
          <w:sz w:val="28"/>
          <w:szCs w:val="28"/>
        </w:rPr>
      </w:pPr>
      <w:bookmarkStart w:id="242" w:name="_Toc27564"/>
      <w:r>
        <w:rPr>
          <w:rFonts w:hint="eastAsia" w:ascii="宋体" w:hAnsi="宋体"/>
          <w:sz w:val="28"/>
          <w:szCs w:val="28"/>
        </w:rPr>
        <w:t>6.1、合同封面</w:t>
      </w:r>
      <w:bookmarkEnd w:id="242"/>
    </w:p>
    <w:p>
      <w:pPr>
        <w:spacing w:line="360" w:lineRule="auto"/>
        <w:jc w:val="left"/>
        <w:rPr>
          <w:rFonts w:hint="eastAsia" w:ascii="宋体" w:hAnsi="宋体"/>
          <w:sz w:val="52"/>
          <w:szCs w:val="52"/>
          <w:u w:val="single"/>
        </w:rPr>
      </w:pPr>
      <w:r>
        <w:rPr>
          <w:rFonts w:hint="eastAsia" w:ascii="宋体" w:hAnsi="宋体"/>
          <w:sz w:val="72"/>
          <w:szCs w:val="72"/>
        </w:rPr>
        <w:t xml:space="preserve">  </w:t>
      </w:r>
      <w:r>
        <w:rPr>
          <w:rFonts w:hint="eastAsia" w:ascii="宋体" w:hAnsi="宋体"/>
          <w:sz w:val="52"/>
          <w:szCs w:val="52"/>
          <w:u w:val="single"/>
        </w:rPr>
        <w:t xml:space="preserve">                      </w:t>
      </w:r>
      <w:r>
        <w:rPr>
          <w:rFonts w:hint="eastAsia" w:ascii="宋体" w:hAnsi="宋体"/>
          <w:sz w:val="52"/>
          <w:szCs w:val="52"/>
        </w:rPr>
        <w:t>项目</w:t>
      </w:r>
    </w:p>
    <w:p>
      <w:pPr>
        <w:spacing w:line="360" w:lineRule="auto"/>
        <w:jc w:val="center"/>
        <w:rPr>
          <w:rFonts w:hint="eastAsia" w:ascii="宋体" w:hAnsi="宋体"/>
          <w:sz w:val="52"/>
          <w:szCs w:val="52"/>
        </w:rPr>
      </w:pPr>
      <w:r>
        <w:rPr>
          <w:rFonts w:hint="eastAsia" w:ascii="宋体" w:hAnsi="宋体"/>
          <w:sz w:val="52"/>
          <w:szCs w:val="52"/>
        </w:rPr>
        <w:t>政府采购合同</w:t>
      </w: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p>
    <w:p>
      <w:pPr>
        <w:tabs>
          <w:tab w:val="left" w:pos="709"/>
          <w:tab w:val="left" w:pos="1418"/>
        </w:tabs>
        <w:spacing w:line="360" w:lineRule="auto"/>
        <w:rPr>
          <w:rFonts w:hint="eastAsia" w:ascii="宋体" w:hAnsi="宋体"/>
          <w:sz w:val="36"/>
          <w:szCs w:val="36"/>
        </w:rPr>
      </w:pPr>
      <w:r>
        <w:rPr>
          <w:rFonts w:hint="eastAsia" w:ascii="宋体" w:hAnsi="宋体"/>
          <w:sz w:val="44"/>
          <w:szCs w:val="44"/>
        </w:rPr>
        <w:t xml:space="preserve">      </w:t>
      </w:r>
      <w:r>
        <w:rPr>
          <w:rFonts w:hint="eastAsia" w:ascii="宋体" w:hAnsi="宋体"/>
          <w:sz w:val="36"/>
          <w:szCs w:val="36"/>
        </w:rPr>
        <w:t>合同编号： HT-(招标文件编号)</w:t>
      </w:r>
    </w:p>
    <w:p>
      <w:pPr>
        <w:spacing w:line="360" w:lineRule="auto"/>
        <w:rPr>
          <w:rFonts w:hint="eastAsia" w:ascii="宋体" w:hAnsi="宋体"/>
          <w:color w:val="000000"/>
          <w:sz w:val="36"/>
          <w:szCs w:val="36"/>
        </w:rPr>
      </w:pPr>
      <w:r>
        <w:rPr>
          <w:rFonts w:hint="eastAsia" w:ascii="宋体" w:hAnsi="宋体"/>
          <w:sz w:val="36"/>
          <w:szCs w:val="36"/>
        </w:rPr>
        <w:t xml:space="preserve">      </w:t>
      </w:r>
      <w:r>
        <w:rPr>
          <w:rFonts w:hint="eastAsia" w:ascii="宋体" w:hAnsi="宋体"/>
          <w:color w:val="FF0000"/>
          <w:sz w:val="36"/>
          <w:szCs w:val="36"/>
        </w:rPr>
        <w:t xml:space="preserve">  </w:t>
      </w:r>
      <w:r>
        <w:rPr>
          <w:rFonts w:hint="eastAsia" w:ascii="宋体" w:hAnsi="宋体"/>
          <w:color w:val="000000"/>
          <w:sz w:val="36"/>
          <w:szCs w:val="36"/>
        </w:rPr>
        <w:t>项目名称：</w:t>
      </w:r>
    </w:p>
    <w:p>
      <w:pPr>
        <w:spacing w:line="360" w:lineRule="auto"/>
        <w:rPr>
          <w:rFonts w:hint="eastAsia" w:ascii="宋体" w:hAnsi="宋体"/>
          <w:sz w:val="36"/>
          <w:szCs w:val="36"/>
        </w:rPr>
      </w:pPr>
      <w:r>
        <w:rPr>
          <w:rFonts w:hint="eastAsia" w:ascii="宋体" w:hAnsi="宋体"/>
          <w:sz w:val="36"/>
          <w:szCs w:val="36"/>
        </w:rPr>
        <w:t xml:space="preserve">        招标文件编号：</w:t>
      </w:r>
    </w:p>
    <w:p>
      <w:pPr>
        <w:spacing w:line="360" w:lineRule="auto"/>
        <w:rPr>
          <w:rFonts w:hint="eastAsia" w:ascii="宋体" w:hAnsi="宋体"/>
          <w:sz w:val="36"/>
          <w:szCs w:val="36"/>
        </w:rPr>
      </w:pPr>
    </w:p>
    <w:p>
      <w:pPr>
        <w:spacing w:line="360" w:lineRule="auto"/>
        <w:rPr>
          <w:rFonts w:hint="eastAsia" w:ascii="宋体" w:hAnsi="宋体"/>
          <w:sz w:val="36"/>
          <w:szCs w:val="36"/>
        </w:rPr>
      </w:pPr>
      <w:r>
        <w:rPr>
          <w:rFonts w:hint="eastAsia" w:ascii="宋体" w:hAnsi="宋体"/>
          <w:sz w:val="36"/>
          <w:szCs w:val="36"/>
        </w:rPr>
        <w:t xml:space="preserve">        甲方：</w:t>
      </w:r>
    </w:p>
    <w:p>
      <w:pPr>
        <w:spacing w:line="360" w:lineRule="auto"/>
        <w:ind w:firstLine="720"/>
        <w:rPr>
          <w:rFonts w:hint="eastAsia" w:ascii="宋体" w:hAnsi="宋体"/>
          <w:sz w:val="36"/>
          <w:szCs w:val="36"/>
        </w:rPr>
      </w:pPr>
      <w:r>
        <w:rPr>
          <w:rFonts w:hint="eastAsia" w:ascii="宋体" w:hAnsi="宋体"/>
          <w:sz w:val="36"/>
          <w:szCs w:val="36"/>
        </w:rPr>
        <w:t xml:space="preserve">    乙方：</w:t>
      </w: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both"/>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36"/>
          <w:szCs w:val="36"/>
        </w:rPr>
      </w:pPr>
      <w:r>
        <w:rPr>
          <w:rFonts w:hint="eastAsia" w:ascii="宋体" w:hAnsi="宋体"/>
          <w:sz w:val="36"/>
          <w:szCs w:val="36"/>
        </w:rPr>
        <w:t xml:space="preserve">年    月  </w:t>
      </w:r>
    </w:p>
    <w:p>
      <w:pPr>
        <w:pStyle w:val="14"/>
        <w:rPr>
          <w:rFonts w:hint="eastAsia"/>
        </w:rPr>
      </w:pPr>
    </w:p>
    <w:p>
      <w:pPr>
        <w:pStyle w:val="3"/>
        <w:keepNext/>
        <w:keepLines/>
        <w:pageBreakBefore w:val="0"/>
        <w:widowControl w:val="0"/>
        <w:kinsoku/>
        <w:wordWrap/>
        <w:overflowPunct/>
        <w:topLinePunct w:val="0"/>
        <w:autoSpaceDE/>
        <w:autoSpaceDN/>
        <w:bidi w:val="0"/>
        <w:adjustRightInd/>
        <w:snapToGrid/>
        <w:spacing w:before="0" w:after="0" w:line="240" w:lineRule="auto"/>
        <w:jc w:val="both"/>
        <w:textAlignment w:val="auto"/>
        <w:rPr>
          <w:rFonts w:hint="eastAsia"/>
          <w:kern w:val="0"/>
          <w:sz w:val="40"/>
        </w:rPr>
      </w:pPr>
      <w:bookmarkStart w:id="243" w:name="_Toc28530"/>
    </w:p>
    <w:p>
      <w:pPr>
        <w:pStyle w:val="4"/>
        <w:spacing w:before="0" w:after="0"/>
        <w:ind w:firstLine="419" w:firstLineChars="149"/>
        <w:rPr>
          <w:rFonts w:hint="eastAsia" w:ascii="宋体" w:hAnsi="宋体" w:eastAsia="黑体"/>
          <w:b/>
          <w:bCs/>
          <w:sz w:val="28"/>
          <w:szCs w:val="28"/>
          <w:lang w:eastAsia="zh-CN"/>
        </w:rPr>
      </w:pPr>
      <w:r>
        <w:rPr>
          <w:rFonts w:hint="eastAsia" w:ascii="宋体" w:hAnsi="宋体"/>
          <w:b/>
          <w:bCs/>
          <w:sz w:val="28"/>
          <w:szCs w:val="28"/>
        </w:rPr>
        <w:t>6.2</w:t>
      </w:r>
      <w:r>
        <w:rPr>
          <w:rFonts w:hint="eastAsia" w:ascii="宋体" w:hAnsi="宋体"/>
          <w:b/>
          <w:bCs/>
          <w:sz w:val="28"/>
          <w:szCs w:val="28"/>
          <w:lang w:val="en-US" w:eastAsia="zh-CN"/>
        </w:rPr>
        <w:t xml:space="preserve">   </w:t>
      </w:r>
      <w:r>
        <w:rPr>
          <w:rFonts w:hint="eastAsia" w:ascii="宋体" w:hAnsi="宋体"/>
          <w:b/>
          <w:bCs/>
          <w:sz w:val="28"/>
          <w:szCs w:val="28"/>
        </w:rPr>
        <w:t>政府采购合同协议书</w:t>
      </w:r>
      <w:bookmarkEnd w:id="243"/>
      <w:r>
        <w:rPr>
          <w:rFonts w:hint="eastAsia" w:ascii="宋体" w:hAnsi="宋体"/>
          <w:b/>
          <w:bCs/>
          <w:sz w:val="28"/>
          <w:szCs w:val="28"/>
          <w:lang w:eastAsia="zh-CN"/>
        </w:rPr>
        <w:t>（</w:t>
      </w:r>
      <w:r>
        <w:rPr>
          <w:rFonts w:hint="eastAsia" w:ascii="宋体" w:hAnsi="宋体"/>
          <w:b/>
          <w:bCs/>
          <w:sz w:val="28"/>
          <w:szCs w:val="28"/>
          <w:lang w:val="en-US" w:eastAsia="zh-CN"/>
        </w:rPr>
        <w:t>草案</w:t>
      </w:r>
      <w:r>
        <w:rPr>
          <w:rFonts w:hint="eastAsia" w:ascii="宋体" w:hAnsi="宋体"/>
          <w:b/>
          <w:bCs/>
          <w:sz w:val="28"/>
          <w:szCs w:val="28"/>
          <w:lang w:eastAsia="zh-CN"/>
        </w:rPr>
        <w:t>）</w:t>
      </w:r>
    </w:p>
    <w:p>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采购合同编号： HT-(招标文件编号)</w:t>
      </w:r>
      <w:r>
        <w:rPr>
          <w:rFonts w:hint="eastAsia" w:ascii="仿宋" w:hAnsi="仿宋" w:eastAsia="仿宋" w:cs="仿宋"/>
          <w:sz w:val="28"/>
          <w:szCs w:val="28"/>
          <w:u w:val="single"/>
        </w:rPr>
        <w:t xml:space="preserve"> </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镇原县</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w:t>
      </w:r>
      <w:r>
        <w:rPr>
          <w:rFonts w:hint="eastAsia" w:ascii="仿宋" w:hAnsi="仿宋" w:eastAsia="仿宋" w:cs="仿宋"/>
          <w:sz w:val="28"/>
          <w:szCs w:val="28"/>
        </w:rPr>
        <w:t>以下简称需方）所需</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采购，经与</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协商一致，签订本合同。</w:t>
      </w:r>
    </w:p>
    <w:p>
      <w:pPr>
        <w:spacing w:line="360" w:lineRule="auto"/>
        <w:rPr>
          <w:rFonts w:ascii="仿宋" w:hAnsi="仿宋" w:eastAsia="仿宋" w:cs="仿宋"/>
          <w:sz w:val="28"/>
          <w:szCs w:val="28"/>
        </w:rPr>
      </w:pPr>
      <w:r>
        <w:rPr>
          <w:rFonts w:hint="eastAsia" w:ascii="仿宋" w:hAnsi="仿宋" w:eastAsia="仿宋" w:cs="仿宋"/>
          <w:sz w:val="28"/>
          <w:szCs w:val="28"/>
        </w:rPr>
        <w:t>一、合同编号：ZYZC202</w:t>
      </w:r>
      <w:r>
        <w:rPr>
          <w:rFonts w:hint="eastAsia" w:ascii="仿宋" w:hAnsi="仿宋" w:eastAsia="仿宋" w:cs="仿宋"/>
          <w:sz w:val="28"/>
          <w:szCs w:val="28"/>
          <w:lang w:val="en-US" w:eastAsia="zh-CN"/>
        </w:rPr>
        <w:t>1</w:t>
      </w:r>
      <w:r>
        <w:rPr>
          <w:rFonts w:hint="eastAsia" w:ascii="仿宋" w:hAnsi="仿宋" w:eastAsia="仿宋" w:cs="仿宋"/>
          <w:sz w:val="28"/>
          <w:szCs w:val="28"/>
        </w:rPr>
        <w:t>-</w:t>
      </w:r>
      <w:r>
        <w:rPr>
          <w:rFonts w:hint="eastAsia" w:ascii="仿宋" w:hAnsi="仿宋" w:eastAsia="仿宋" w:cs="仿宋"/>
          <w:sz w:val="28"/>
          <w:szCs w:val="28"/>
          <w:lang w:val="en-US" w:eastAsia="zh-CN"/>
        </w:rPr>
        <w:t>00</w:t>
      </w:r>
      <w:r>
        <w:rPr>
          <w:rFonts w:hint="eastAsia" w:ascii="仿宋" w:hAnsi="仿宋" w:eastAsia="仿宋" w:cs="仿宋"/>
          <w:sz w:val="28"/>
          <w:szCs w:val="28"/>
        </w:rPr>
        <w:t xml:space="preserve">         </w:t>
      </w:r>
    </w:p>
    <w:p>
      <w:pPr>
        <w:spacing w:line="360" w:lineRule="auto"/>
        <w:rPr>
          <w:rFonts w:hint="eastAsia" w:ascii="仿宋" w:hAnsi="仿宋" w:eastAsia="仿宋" w:cs="仿宋"/>
          <w:sz w:val="28"/>
          <w:szCs w:val="28"/>
        </w:rPr>
      </w:pPr>
      <w:r>
        <w:rPr>
          <w:rFonts w:hint="eastAsia" w:ascii="仿宋" w:hAnsi="仿宋" w:eastAsia="仿宋" w:cs="仿宋"/>
          <w:sz w:val="28"/>
          <w:szCs w:val="28"/>
        </w:rPr>
        <w:t>二、签订地点：</w:t>
      </w:r>
    </w:p>
    <w:p>
      <w:pPr>
        <w:spacing w:line="360" w:lineRule="auto"/>
        <w:rPr>
          <w:rFonts w:ascii="仿宋" w:hAnsi="仿宋" w:eastAsia="仿宋" w:cs="仿宋"/>
          <w:sz w:val="28"/>
          <w:szCs w:val="28"/>
        </w:rPr>
      </w:pPr>
      <w:r>
        <w:rPr>
          <w:rFonts w:hint="eastAsia" w:ascii="仿宋" w:hAnsi="仿宋" w:eastAsia="仿宋" w:cs="仿宋"/>
          <w:sz w:val="28"/>
          <w:szCs w:val="28"/>
        </w:rPr>
        <w:t>三、签订时间：   年   月   日</w:t>
      </w:r>
    </w:p>
    <w:p>
      <w:pPr>
        <w:spacing w:line="360" w:lineRule="auto"/>
        <w:rPr>
          <w:rFonts w:ascii="仿宋" w:hAnsi="仿宋" w:eastAsia="仿宋" w:cs="仿宋"/>
          <w:sz w:val="28"/>
          <w:szCs w:val="28"/>
        </w:rPr>
      </w:pPr>
      <w:r>
        <w:rPr>
          <w:rFonts w:hint="eastAsia" w:ascii="仿宋" w:hAnsi="仿宋" w:eastAsia="仿宋" w:cs="仿宋"/>
          <w:sz w:val="28"/>
          <w:szCs w:val="28"/>
        </w:rPr>
        <w:t>四、合同内容：根据《中华人民共和国合同法》及镇原县公共资源交易中心招标文件的规定，供需双方协商一致，签订本合同。</w:t>
      </w:r>
    </w:p>
    <w:p>
      <w:pPr>
        <w:spacing w:line="360" w:lineRule="auto"/>
        <w:rPr>
          <w:rFonts w:ascii="仿宋" w:hAnsi="仿宋" w:eastAsia="仿宋" w:cs="仿宋"/>
          <w:sz w:val="28"/>
          <w:szCs w:val="28"/>
        </w:rPr>
      </w:pPr>
      <w:r>
        <w:rPr>
          <w:rFonts w:hint="eastAsia" w:ascii="仿宋" w:hAnsi="仿宋" w:eastAsia="仿宋" w:cs="仿宋"/>
          <w:sz w:val="28"/>
          <w:szCs w:val="28"/>
        </w:rPr>
        <w:t>1、货物品名、生产厂商、规格、数量等信息如下：</w:t>
      </w:r>
    </w:p>
    <w:p>
      <w:pPr>
        <w:spacing w:line="360" w:lineRule="auto"/>
        <w:rPr>
          <w:rFonts w:ascii="仿宋" w:hAnsi="仿宋" w:eastAsia="仿宋" w:cs="仿宋"/>
          <w:sz w:val="28"/>
          <w:szCs w:val="28"/>
        </w:rPr>
      </w:pPr>
      <w:r>
        <w:rPr>
          <w:rFonts w:hint="eastAsia" w:ascii="仿宋" w:hAnsi="仿宋" w:eastAsia="仿宋" w:cs="仿宋"/>
          <w:sz w:val="28"/>
          <w:szCs w:val="28"/>
        </w:rPr>
        <w:t xml:space="preserve">生产厂家：                               </w:t>
      </w:r>
    </w:p>
    <w:p>
      <w:pPr>
        <w:spacing w:line="360" w:lineRule="auto"/>
        <w:rPr>
          <w:rFonts w:ascii="仿宋" w:hAnsi="仿宋" w:eastAsia="仿宋" w:cs="仿宋"/>
          <w:sz w:val="28"/>
          <w:szCs w:val="28"/>
        </w:rPr>
      </w:pPr>
      <w:r>
        <w:rPr>
          <w:rFonts w:hint="eastAsia" w:ascii="仿宋" w:hAnsi="仿宋" w:eastAsia="仿宋" w:cs="仿宋"/>
          <w:sz w:val="28"/>
          <w:szCs w:val="28"/>
        </w:rPr>
        <w:t xml:space="preserve">名称：                                   </w:t>
      </w:r>
    </w:p>
    <w:p>
      <w:pPr>
        <w:spacing w:line="360" w:lineRule="auto"/>
        <w:rPr>
          <w:rFonts w:ascii="仿宋" w:hAnsi="仿宋" w:eastAsia="仿宋" w:cs="仿宋"/>
          <w:sz w:val="28"/>
          <w:szCs w:val="28"/>
        </w:rPr>
      </w:pPr>
      <w:r>
        <w:rPr>
          <w:rFonts w:hint="eastAsia" w:ascii="仿宋" w:hAnsi="仿宋" w:eastAsia="仿宋" w:cs="仿宋"/>
          <w:sz w:val="28"/>
          <w:szCs w:val="28"/>
        </w:rPr>
        <w:t xml:space="preserve">数量：                                   </w:t>
      </w:r>
    </w:p>
    <w:p>
      <w:pPr>
        <w:spacing w:line="360" w:lineRule="auto"/>
        <w:rPr>
          <w:rFonts w:ascii="仿宋" w:hAnsi="仿宋" w:eastAsia="仿宋" w:cs="仿宋"/>
          <w:sz w:val="28"/>
          <w:szCs w:val="28"/>
        </w:rPr>
      </w:pPr>
      <w:r>
        <w:rPr>
          <w:rFonts w:hint="eastAsia" w:ascii="仿宋" w:hAnsi="仿宋" w:eastAsia="仿宋" w:cs="仿宋"/>
          <w:sz w:val="28"/>
          <w:szCs w:val="28"/>
        </w:rPr>
        <w:t xml:space="preserve">型号：                                   </w:t>
      </w:r>
    </w:p>
    <w:p>
      <w:pPr>
        <w:spacing w:line="360" w:lineRule="auto"/>
        <w:rPr>
          <w:rFonts w:ascii="仿宋" w:hAnsi="仿宋" w:eastAsia="仿宋" w:cs="仿宋"/>
          <w:sz w:val="28"/>
          <w:szCs w:val="28"/>
        </w:rPr>
      </w:pPr>
      <w:r>
        <w:rPr>
          <w:rFonts w:hint="eastAsia" w:ascii="仿宋" w:hAnsi="仿宋" w:eastAsia="仿宋" w:cs="仿宋"/>
          <w:sz w:val="28"/>
          <w:szCs w:val="28"/>
        </w:rPr>
        <w:t xml:space="preserve">2、价格解释：合同价格包括成本、税款、包装、运费、售后服务等全部费用，价格一次确定不再变更。 </w:t>
      </w:r>
    </w:p>
    <w:p>
      <w:pPr>
        <w:spacing w:line="360" w:lineRule="auto"/>
        <w:rPr>
          <w:rFonts w:ascii="仿宋" w:hAnsi="仿宋" w:eastAsia="仿宋" w:cs="仿宋"/>
          <w:sz w:val="28"/>
          <w:szCs w:val="28"/>
        </w:rPr>
      </w:pPr>
      <w:r>
        <w:rPr>
          <w:rFonts w:hint="eastAsia" w:ascii="仿宋" w:hAnsi="仿宋" w:eastAsia="仿宋" w:cs="仿宋"/>
          <w:sz w:val="28"/>
          <w:szCs w:val="28"/>
        </w:rPr>
        <w:t>3、包装要求：不论采取何种包装形式，供方均需确保无破损，无污染，且方便二次运输。因包装不当造成的损失由供方负责，包退包换。</w:t>
      </w:r>
    </w:p>
    <w:p>
      <w:pPr>
        <w:spacing w:line="360" w:lineRule="auto"/>
        <w:rPr>
          <w:rFonts w:ascii="仿宋" w:hAnsi="仿宋" w:eastAsia="仿宋" w:cs="仿宋"/>
          <w:sz w:val="28"/>
          <w:szCs w:val="28"/>
        </w:rPr>
      </w:pPr>
      <w:r>
        <w:rPr>
          <w:rFonts w:hint="eastAsia" w:ascii="仿宋" w:hAnsi="仿宋" w:eastAsia="仿宋" w:cs="仿宋"/>
          <w:sz w:val="28"/>
          <w:szCs w:val="28"/>
        </w:rPr>
        <w:t>五、招、投标文件，合同所附供货一览表均为本合同内容一部分。如果供货一览表的内容与招、投标文件不一致时，以招、投标文件和评标结果表为准。</w:t>
      </w:r>
    </w:p>
    <w:p>
      <w:pPr>
        <w:spacing w:line="360" w:lineRule="auto"/>
        <w:rPr>
          <w:rFonts w:ascii="仿宋" w:hAnsi="仿宋" w:eastAsia="仿宋" w:cs="仿宋"/>
          <w:sz w:val="28"/>
          <w:szCs w:val="28"/>
        </w:rPr>
      </w:pPr>
      <w:r>
        <w:rPr>
          <w:rFonts w:hint="eastAsia" w:ascii="仿宋" w:hAnsi="仿宋" w:eastAsia="仿宋" w:cs="仿宋"/>
          <w:sz w:val="28"/>
          <w:szCs w:val="28"/>
        </w:rPr>
        <w:t>六、合同金额：</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元 ,大写：                     </w:t>
      </w:r>
    </w:p>
    <w:p>
      <w:pPr>
        <w:spacing w:line="360" w:lineRule="auto"/>
        <w:rPr>
          <w:rFonts w:ascii="仿宋" w:hAnsi="仿宋" w:eastAsia="仿宋" w:cs="仿宋"/>
          <w:sz w:val="28"/>
          <w:szCs w:val="28"/>
        </w:rPr>
      </w:pPr>
      <w:r>
        <w:rPr>
          <w:rFonts w:hint="eastAsia" w:ascii="仿宋" w:hAnsi="仿宋" w:eastAsia="仿宋" w:cs="仿宋"/>
          <w:sz w:val="28"/>
          <w:szCs w:val="28"/>
        </w:rPr>
        <w:t>七、一般条款：</w:t>
      </w:r>
    </w:p>
    <w:p>
      <w:pPr>
        <w:spacing w:line="360" w:lineRule="auto"/>
        <w:rPr>
          <w:rFonts w:ascii="仿宋" w:hAnsi="仿宋" w:eastAsia="仿宋" w:cs="仿宋"/>
          <w:sz w:val="28"/>
          <w:szCs w:val="28"/>
        </w:rPr>
      </w:pPr>
      <w:r>
        <w:rPr>
          <w:rFonts w:hint="eastAsia" w:ascii="仿宋" w:hAnsi="仿宋" w:eastAsia="仿宋" w:cs="仿宋"/>
          <w:sz w:val="28"/>
          <w:szCs w:val="28"/>
        </w:rPr>
        <w:t>1、供方所提供的货物符合国家现行有效标准，并为正规制造厂商生产的合格产品，因质量问题而发生的任何故障由供方负责。</w:t>
      </w:r>
    </w:p>
    <w:p>
      <w:pPr>
        <w:spacing w:line="360" w:lineRule="auto"/>
        <w:rPr>
          <w:rFonts w:ascii="仿宋" w:hAnsi="仿宋" w:eastAsia="仿宋" w:cs="仿宋"/>
          <w:sz w:val="28"/>
          <w:szCs w:val="28"/>
        </w:rPr>
      </w:pPr>
      <w:r>
        <w:rPr>
          <w:rFonts w:hint="eastAsia" w:ascii="仿宋" w:hAnsi="仿宋" w:eastAsia="仿宋" w:cs="仿宋"/>
          <w:sz w:val="28"/>
          <w:szCs w:val="28"/>
        </w:rPr>
        <w:t>2、供方承担交货前的一切责任和费用（包括招投标产生的所有费用、运输费等全部费用）。</w:t>
      </w:r>
    </w:p>
    <w:p>
      <w:pPr>
        <w:spacing w:line="360" w:lineRule="auto"/>
        <w:rPr>
          <w:rFonts w:ascii="仿宋" w:hAnsi="仿宋" w:eastAsia="仿宋" w:cs="仿宋"/>
          <w:sz w:val="28"/>
          <w:szCs w:val="28"/>
        </w:rPr>
      </w:pPr>
      <w:r>
        <w:rPr>
          <w:rFonts w:hint="eastAsia" w:ascii="仿宋" w:hAnsi="仿宋" w:eastAsia="仿宋" w:cs="仿宋"/>
          <w:sz w:val="28"/>
          <w:szCs w:val="28"/>
        </w:rPr>
        <w:t>3、需方在交货地点验收，如发现损坏、缺件等问题，由供方负责。</w:t>
      </w:r>
    </w:p>
    <w:p>
      <w:pPr>
        <w:spacing w:line="360" w:lineRule="auto"/>
        <w:rPr>
          <w:rFonts w:ascii="仿宋" w:hAnsi="仿宋" w:eastAsia="仿宋" w:cs="仿宋"/>
          <w:sz w:val="28"/>
          <w:szCs w:val="28"/>
        </w:rPr>
      </w:pPr>
      <w:r>
        <w:rPr>
          <w:rFonts w:hint="eastAsia" w:ascii="仿宋" w:hAnsi="仿宋" w:eastAsia="仿宋" w:cs="仿宋"/>
          <w:sz w:val="28"/>
          <w:szCs w:val="28"/>
        </w:rPr>
        <w:t>4、供方在发运货物时需提供相应的技术文件，包括操作手册（使用说明）、装箱清单、产品合格证等。</w:t>
      </w:r>
    </w:p>
    <w:p>
      <w:pPr>
        <w:spacing w:line="360" w:lineRule="auto"/>
        <w:rPr>
          <w:rFonts w:ascii="仿宋" w:hAnsi="仿宋" w:eastAsia="仿宋" w:cs="仿宋"/>
          <w:sz w:val="28"/>
          <w:szCs w:val="28"/>
        </w:rPr>
      </w:pPr>
      <w:r>
        <w:rPr>
          <w:rFonts w:hint="eastAsia" w:ascii="仿宋" w:hAnsi="仿宋" w:eastAsia="仿宋" w:cs="仿宋"/>
          <w:sz w:val="28"/>
          <w:szCs w:val="28"/>
        </w:rPr>
        <w:t>5、免费培训需方2-3名操作人员。</w:t>
      </w:r>
    </w:p>
    <w:p>
      <w:pPr>
        <w:spacing w:line="360" w:lineRule="auto"/>
        <w:rPr>
          <w:rFonts w:ascii="仿宋" w:hAnsi="仿宋" w:eastAsia="仿宋" w:cs="仿宋"/>
          <w:sz w:val="28"/>
          <w:szCs w:val="28"/>
        </w:rPr>
      </w:pPr>
      <w:r>
        <w:rPr>
          <w:rFonts w:hint="eastAsia" w:ascii="仿宋" w:hAnsi="仿宋" w:eastAsia="仿宋" w:cs="仿宋"/>
          <w:sz w:val="28"/>
          <w:szCs w:val="28"/>
        </w:rPr>
        <w:t>6、供方对所供产品保质期应按生产厂商的承诺执行(附生产厂家承诺)，至少为1年，非人为损坏的，应于24小时内到达需方处并提供免费维修或更换。</w:t>
      </w:r>
    </w:p>
    <w:p>
      <w:pPr>
        <w:spacing w:line="360" w:lineRule="auto"/>
        <w:rPr>
          <w:rFonts w:ascii="仿宋" w:hAnsi="仿宋" w:eastAsia="仿宋" w:cs="仿宋"/>
          <w:sz w:val="28"/>
          <w:szCs w:val="28"/>
        </w:rPr>
      </w:pPr>
      <w:r>
        <w:rPr>
          <w:rFonts w:hint="eastAsia" w:ascii="仿宋" w:hAnsi="仿宋" w:eastAsia="仿宋" w:cs="仿宋"/>
          <w:sz w:val="28"/>
          <w:szCs w:val="28"/>
        </w:rPr>
        <w:t>7、供方按合同规定交货，供货完毕经验收合格后，使用满一个月无任何问题时支付60%货款、使用满六个月无任何问题再支付30%货款、剩余10%的货款作为保修金、设备运行正常满一年后再支付。</w:t>
      </w:r>
    </w:p>
    <w:p>
      <w:pPr>
        <w:spacing w:line="360" w:lineRule="auto"/>
        <w:rPr>
          <w:rFonts w:ascii="仿宋" w:hAnsi="仿宋" w:eastAsia="仿宋" w:cs="仿宋"/>
          <w:sz w:val="28"/>
          <w:szCs w:val="28"/>
        </w:rPr>
      </w:pPr>
      <w:r>
        <w:rPr>
          <w:rFonts w:hint="eastAsia" w:ascii="仿宋" w:hAnsi="仿宋" w:eastAsia="仿宋" w:cs="仿宋"/>
          <w:sz w:val="28"/>
          <w:szCs w:val="28"/>
        </w:rPr>
        <w:t>8、供方凭合同向需方供货,未见合同供货而造成的一切后果由供方负责。</w:t>
      </w:r>
    </w:p>
    <w:p>
      <w:pPr>
        <w:spacing w:line="360" w:lineRule="auto"/>
        <w:rPr>
          <w:rFonts w:ascii="仿宋" w:hAnsi="仿宋" w:eastAsia="仿宋" w:cs="仿宋"/>
          <w:sz w:val="28"/>
          <w:szCs w:val="28"/>
        </w:rPr>
      </w:pPr>
      <w:r>
        <w:rPr>
          <w:rFonts w:hint="eastAsia" w:ascii="仿宋" w:hAnsi="仿宋" w:eastAsia="仿宋" w:cs="仿宋"/>
          <w:sz w:val="28"/>
          <w:szCs w:val="28"/>
        </w:rPr>
        <w:t>9、供需双方签订的合同，交镇原县公共资源交易中心备案后生效。</w:t>
      </w:r>
    </w:p>
    <w:p>
      <w:pPr>
        <w:spacing w:line="360" w:lineRule="auto"/>
        <w:rPr>
          <w:rFonts w:ascii="仿宋" w:hAnsi="仿宋" w:eastAsia="仿宋" w:cs="仿宋"/>
          <w:sz w:val="28"/>
          <w:szCs w:val="28"/>
        </w:rPr>
      </w:pPr>
      <w:r>
        <w:rPr>
          <w:rFonts w:hint="eastAsia" w:ascii="仿宋" w:hAnsi="仿宋" w:eastAsia="仿宋" w:cs="仿宋"/>
          <w:sz w:val="28"/>
          <w:szCs w:val="28"/>
        </w:rPr>
        <w:t>10、违约责任：供方应依据合同规定时间按时交货，如不能，由此给需方带来的损失由供方负责。镇原县公共资源交易中心将根据供方实际违约情况没收其履约保证金，且上缴国库。情节严重的，将取消供方参加镇原县政府采购的资格，并且在甘肃省或中国政府采购网上予以通报。</w:t>
      </w:r>
    </w:p>
    <w:p>
      <w:pPr>
        <w:spacing w:line="360" w:lineRule="auto"/>
        <w:rPr>
          <w:rFonts w:ascii="仿宋" w:hAnsi="仿宋" w:eastAsia="仿宋" w:cs="仿宋"/>
          <w:sz w:val="28"/>
          <w:szCs w:val="28"/>
        </w:rPr>
      </w:pPr>
      <w:r>
        <w:rPr>
          <w:rFonts w:hint="eastAsia" w:ascii="仿宋" w:hAnsi="仿宋" w:eastAsia="仿宋" w:cs="仿宋"/>
          <w:sz w:val="28"/>
          <w:szCs w:val="28"/>
        </w:rPr>
        <w:t xml:space="preserve">11、质量验收： </w:t>
      </w:r>
    </w:p>
    <w:p>
      <w:pPr>
        <w:spacing w:line="360" w:lineRule="auto"/>
        <w:rPr>
          <w:rFonts w:ascii="仿宋" w:hAnsi="仿宋" w:eastAsia="仿宋" w:cs="仿宋"/>
          <w:sz w:val="28"/>
          <w:szCs w:val="28"/>
        </w:rPr>
      </w:pPr>
      <w:r>
        <w:rPr>
          <w:rFonts w:hint="eastAsia" w:ascii="仿宋" w:hAnsi="仿宋" w:eastAsia="仿宋" w:cs="仿宋"/>
          <w:sz w:val="28"/>
          <w:szCs w:val="28"/>
        </w:rPr>
        <w:t>（1）到货验收需方应当在1个工作日内完成，验收遵循谁验收谁负责的原则，验收合格后在验收单上签署 “验收合格”字样，逾期验收视为验收合格。</w:t>
      </w:r>
    </w:p>
    <w:p>
      <w:pPr>
        <w:spacing w:line="360" w:lineRule="auto"/>
        <w:rPr>
          <w:rFonts w:ascii="仿宋" w:hAnsi="仿宋" w:eastAsia="仿宋" w:cs="仿宋"/>
          <w:sz w:val="28"/>
          <w:szCs w:val="28"/>
        </w:rPr>
      </w:pPr>
      <w:r>
        <w:rPr>
          <w:rFonts w:hint="eastAsia" w:ascii="仿宋" w:hAnsi="仿宋" w:eastAsia="仿宋" w:cs="仿宋"/>
          <w:sz w:val="28"/>
          <w:szCs w:val="28"/>
        </w:rPr>
        <w:t>（2）需方在验收中发现货物质量不符合合同要求和验收标准或有异议时，应及时通知供方，供方应在接到通知后三天内给予答复，并负责处理，若需送法定质检部门检验，检验费用由供方承担。如发现货物质量严重不符合质量要求的，需方可通知供方停止供货，解除合同。</w:t>
      </w:r>
    </w:p>
    <w:p>
      <w:pPr>
        <w:spacing w:line="360" w:lineRule="auto"/>
        <w:rPr>
          <w:rFonts w:ascii="仿宋" w:hAnsi="仿宋" w:eastAsia="仿宋" w:cs="仿宋"/>
          <w:sz w:val="28"/>
          <w:szCs w:val="28"/>
        </w:rPr>
      </w:pPr>
      <w:r>
        <w:rPr>
          <w:rFonts w:hint="eastAsia" w:ascii="仿宋" w:hAnsi="仿宋" w:eastAsia="仿宋" w:cs="仿宋"/>
          <w:sz w:val="28"/>
          <w:szCs w:val="28"/>
        </w:rPr>
        <w:t>12、公开招标过程中产生的场地费等其他费用由中标企业承担</w:t>
      </w:r>
    </w:p>
    <w:p>
      <w:pPr>
        <w:spacing w:line="360" w:lineRule="auto"/>
        <w:rPr>
          <w:rFonts w:ascii="仿宋" w:hAnsi="仿宋" w:eastAsia="仿宋" w:cs="仿宋"/>
          <w:sz w:val="28"/>
          <w:szCs w:val="28"/>
        </w:rPr>
      </w:pPr>
      <w:r>
        <w:rPr>
          <w:rFonts w:hint="eastAsia" w:ascii="仿宋" w:hAnsi="仿宋" w:eastAsia="仿宋" w:cs="仿宋"/>
          <w:sz w:val="28"/>
          <w:szCs w:val="28"/>
        </w:rPr>
        <w:t>八、交货时间、交货地点和验收单位：</w:t>
      </w:r>
    </w:p>
    <w:p>
      <w:pPr>
        <w:spacing w:line="360" w:lineRule="auto"/>
        <w:rPr>
          <w:rFonts w:ascii="仿宋" w:hAnsi="仿宋" w:eastAsia="仿宋" w:cs="仿宋"/>
          <w:sz w:val="28"/>
          <w:szCs w:val="28"/>
        </w:rPr>
      </w:pPr>
      <w:r>
        <w:rPr>
          <w:rFonts w:hint="eastAsia" w:ascii="仿宋" w:hAnsi="仿宋" w:eastAsia="仿宋" w:cs="仿宋"/>
          <w:sz w:val="28"/>
          <w:szCs w:val="28"/>
        </w:rPr>
        <w:t>1、交货时间：2021年  月   日</w:t>
      </w:r>
    </w:p>
    <w:p>
      <w:pPr>
        <w:spacing w:line="360" w:lineRule="auto"/>
        <w:rPr>
          <w:rFonts w:ascii="仿宋" w:hAnsi="仿宋" w:eastAsia="仿宋" w:cs="仿宋"/>
          <w:sz w:val="28"/>
          <w:szCs w:val="28"/>
        </w:rPr>
      </w:pPr>
      <w:r>
        <w:rPr>
          <w:rFonts w:hint="eastAsia" w:ascii="仿宋" w:hAnsi="仿宋" w:eastAsia="仿宋" w:cs="仿宋"/>
          <w:sz w:val="28"/>
          <w:szCs w:val="28"/>
        </w:rPr>
        <w:t xml:space="preserve">2、交货地点： </w:t>
      </w:r>
    </w:p>
    <w:p>
      <w:pPr>
        <w:spacing w:line="360" w:lineRule="auto"/>
        <w:rPr>
          <w:rFonts w:ascii="仿宋" w:hAnsi="仿宋" w:eastAsia="仿宋" w:cs="仿宋"/>
          <w:sz w:val="28"/>
          <w:szCs w:val="28"/>
        </w:rPr>
      </w:pPr>
      <w:r>
        <w:rPr>
          <w:rFonts w:hint="eastAsia" w:ascii="仿宋" w:hAnsi="仿宋" w:eastAsia="仿宋" w:cs="仿宋"/>
          <w:sz w:val="28"/>
          <w:szCs w:val="28"/>
        </w:rPr>
        <w:t>3、验收单位：采购单位</w:t>
      </w:r>
    </w:p>
    <w:p>
      <w:pPr>
        <w:spacing w:line="360" w:lineRule="auto"/>
        <w:rPr>
          <w:rFonts w:ascii="仿宋" w:hAnsi="仿宋" w:eastAsia="仿宋" w:cs="仿宋"/>
          <w:sz w:val="28"/>
          <w:szCs w:val="28"/>
        </w:rPr>
      </w:pPr>
      <w:r>
        <w:rPr>
          <w:rFonts w:hint="eastAsia" w:ascii="仿宋" w:hAnsi="仿宋" w:eastAsia="仿宋" w:cs="仿宋"/>
          <w:sz w:val="28"/>
          <w:szCs w:val="28"/>
        </w:rPr>
        <w:t>九、经济责任：</w:t>
      </w:r>
      <w:r>
        <w:rPr>
          <w:rFonts w:hint="eastAsia" w:ascii="仿宋" w:hAnsi="仿宋" w:eastAsia="仿宋" w:cs="仿宋"/>
          <w:sz w:val="28"/>
          <w:szCs w:val="28"/>
        </w:rPr>
        <w:tab/>
      </w:r>
    </w:p>
    <w:p>
      <w:pPr>
        <w:spacing w:line="360" w:lineRule="auto"/>
        <w:rPr>
          <w:rFonts w:ascii="仿宋" w:hAnsi="仿宋" w:eastAsia="仿宋" w:cs="仿宋"/>
          <w:sz w:val="28"/>
          <w:szCs w:val="28"/>
        </w:rPr>
      </w:pPr>
      <w:r>
        <w:rPr>
          <w:rFonts w:hint="eastAsia" w:ascii="仿宋" w:hAnsi="仿宋" w:eastAsia="仿宋" w:cs="仿宋"/>
          <w:sz w:val="28"/>
          <w:szCs w:val="28"/>
        </w:rPr>
        <w:t xml:space="preserve">（一）供方责任：  </w:t>
      </w:r>
    </w:p>
    <w:p>
      <w:pPr>
        <w:spacing w:line="360" w:lineRule="auto"/>
        <w:rPr>
          <w:rFonts w:ascii="仿宋" w:hAnsi="仿宋" w:eastAsia="仿宋" w:cs="仿宋"/>
          <w:sz w:val="28"/>
          <w:szCs w:val="28"/>
        </w:rPr>
      </w:pPr>
      <w:r>
        <w:rPr>
          <w:rFonts w:hint="eastAsia" w:ascii="仿宋" w:hAnsi="仿宋" w:eastAsia="仿宋" w:cs="仿宋"/>
          <w:sz w:val="28"/>
          <w:szCs w:val="28"/>
        </w:rPr>
        <w:t>（1）供方保证不将中标项目转让或转包给其他任何公司或个人实施，保证不与其他公司或个人签定不为需方所知情的协议、合同，否则供方无条件退货，并赔偿需方货物总价款10%的违约金。</w:t>
      </w:r>
    </w:p>
    <w:p>
      <w:pPr>
        <w:spacing w:line="360" w:lineRule="auto"/>
        <w:rPr>
          <w:rFonts w:ascii="仿宋" w:hAnsi="仿宋" w:eastAsia="仿宋" w:cs="仿宋"/>
          <w:sz w:val="28"/>
          <w:szCs w:val="28"/>
        </w:rPr>
      </w:pPr>
      <w:r>
        <w:rPr>
          <w:rFonts w:hint="eastAsia" w:ascii="仿宋" w:hAnsi="仿宋" w:eastAsia="仿宋" w:cs="仿宋"/>
          <w:sz w:val="28"/>
          <w:szCs w:val="28"/>
        </w:rPr>
        <w:t>（2）供方不履行合同或交付的货物全部或部分不符合合同要求的，需方有权拒收不符合质量要求的全部或部分货物，供方须向需方支付拒收货物价款总额10%的违约金。</w:t>
      </w:r>
    </w:p>
    <w:p>
      <w:pPr>
        <w:spacing w:line="360" w:lineRule="auto"/>
        <w:rPr>
          <w:rFonts w:ascii="仿宋" w:hAnsi="仿宋" w:eastAsia="仿宋" w:cs="仿宋"/>
          <w:sz w:val="28"/>
          <w:szCs w:val="28"/>
        </w:rPr>
      </w:pPr>
      <w:r>
        <w:rPr>
          <w:rFonts w:hint="eastAsia" w:ascii="仿宋" w:hAnsi="仿宋" w:eastAsia="仿宋" w:cs="仿宋"/>
          <w:sz w:val="28"/>
          <w:szCs w:val="28"/>
        </w:rPr>
        <w:t>（3）货物质量不符合合同规定时，需方同意利用的按质论价，不能利用的，供方负责包退包换。由于上述原因导致延误交货时间的，每延误一日，供应方应按逾期交货部分货物价款总值的5‰向需方偿付违约金。</w:t>
      </w:r>
    </w:p>
    <w:p>
      <w:pPr>
        <w:spacing w:line="360" w:lineRule="auto"/>
        <w:rPr>
          <w:rFonts w:ascii="仿宋" w:hAnsi="仿宋" w:eastAsia="仿宋" w:cs="仿宋"/>
          <w:sz w:val="28"/>
          <w:szCs w:val="28"/>
        </w:rPr>
      </w:pPr>
      <w:r>
        <w:rPr>
          <w:rFonts w:hint="eastAsia" w:ascii="仿宋" w:hAnsi="仿宋" w:eastAsia="仿宋" w:cs="仿宋"/>
          <w:sz w:val="28"/>
          <w:szCs w:val="28"/>
        </w:rPr>
        <w:t>（4）供方必须按合同规定的日期交货，每逾期一日，供方必须向需方支付逾期交货部分货物总额5‰的违约金。逾期交货超过30日，需方有权解除合同，履约保证金不予退还，上缴国库。</w:t>
      </w:r>
    </w:p>
    <w:p>
      <w:pPr>
        <w:spacing w:line="360" w:lineRule="auto"/>
        <w:rPr>
          <w:rFonts w:ascii="仿宋" w:hAnsi="仿宋" w:eastAsia="仿宋" w:cs="仿宋"/>
          <w:sz w:val="28"/>
          <w:szCs w:val="28"/>
        </w:rPr>
      </w:pPr>
      <w:r>
        <w:rPr>
          <w:rFonts w:hint="eastAsia" w:ascii="仿宋" w:hAnsi="仿宋" w:eastAsia="仿宋" w:cs="仿宋"/>
          <w:sz w:val="28"/>
          <w:szCs w:val="28"/>
        </w:rPr>
        <w:t>（5）供方提供的不符合质量要求的（尺寸大小负责包换，不视为质量问题）货物超过本合同总量的10%时，视为整批货物不合格。</w:t>
      </w:r>
    </w:p>
    <w:p>
      <w:pPr>
        <w:spacing w:line="360" w:lineRule="auto"/>
        <w:rPr>
          <w:rFonts w:ascii="仿宋" w:hAnsi="仿宋" w:eastAsia="仿宋" w:cs="仿宋"/>
          <w:sz w:val="28"/>
          <w:szCs w:val="28"/>
        </w:rPr>
      </w:pPr>
      <w:r>
        <w:rPr>
          <w:rFonts w:hint="eastAsia" w:ascii="仿宋" w:hAnsi="仿宋" w:eastAsia="仿宋" w:cs="仿宋"/>
          <w:sz w:val="28"/>
          <w:szCs w:val="28"/>
        </w:rPr>
        <w:t>（二）、需方责任</w:t>
      </w:r>
    </w:p>
    <w:p>
      <w:pPr>
        <w:spacing w:line="360" w:lineRule="auto"/>
        <w:rPr>
          <w:rFonts w:ascii="仿宋" w:hAnsi="仿宋" w:eastAsia="仿宋" w:cs="仿宋"/>
          <w:sz w:val="28"/>
          <w:szCs w:val="28"/>
        </w:rPr>
      </w:pPr>
      <w:r>
        <w:rPr>
          <w:rFonts w:hint="eastAsia" w:ascii="仿宋" w:hAnsi="仿宋" w:eastAsia="仿宋" w:cs="仿宋"/>
          <w:sz w:val="28"/>
          <w:szCs w:val="28"/>
        </w:rPr>
        <w:t xml:space="preserve">需方无正当理由，中途退货或拒绝收货，应向供方支付退货部分货款总额10%的违约金，并承担因此造成的经济损失及运输费用。 </w:t>
      </w:r>
    </w:p>
    <w:p>
      <w:pPr>
        <w:spacing w:line="360" w:lineRule="auto"/>
        <w:rPr>
          <w:rFonts w:ascii="仿宋" w:hAnsi="仿宋" w:eastAsia="仿宋" w:cs="仿宋"/>
          <w:sz w:val="28"/>
          <w:szCs w:val="28"/>
        </w:rPr>
      </w:pPr>
      <w:r>
        <w:rPr>
          <w:rFonts w:hint="eastAsia" w:ascii="仿宋" w:hAnsi="仿宋" w:eastAsia="仿宋" w:cs="仿宋"/>
          <w:sz w:val="28"/>
          <w:szCs w:val="28"/>
        </w:rPr>
        <w:t xml:space="preserve">&lt;十、特殊条款&gt;                                                          </w:t>
      </w:r>
    </w:p>
    <w:p>
      <w:pPr>
        <w:spacing w:line="360" w:lineRule="auto"/>
        <w:rPr>
          <w:rFonts w:ascii="仿宋" w:hAnsi="仿宋" w:eastAsia="仿宋" w:cs="仿宋"/>
          <w:sz w:val="28"/>
          <w:szCs w:val="28"/>
        </w:rPr>
      </w:pPr>
      <w:r>
        <w:rPr>
          <w:rFonts w:hint="eastAsia" w:ascii="仿宋" w:hAnsi="仿宋" w:eastAsia="仿宋" w:cs="仿宋"/>
          <w:sz w:val="28"/>
          <w:szCs w:val="28"/>
        </w:rPr>
        <w:t>十一、合同解释：</w:t>
      </w:r>
    </w:p>
    <w:p>
      <w:pPr>
        <w:spacing w:line="360" w:lineRule="auto"/>
        <w:rPr>
          <w:rFonts w:ascii="仿宋" w:hAnsi="仿宋" w:eastAsia="仿宋" w:cs="仿宋"/>
          <w:sz w:val="28"/>
          <w:szCs w:val="28"/>
        </w:rPr>
      </w:pPr>
      <w:r>
        <w:rPr>
          <w:rFonts w:hint="eastAsia" w:ascii="仿宋" w:hAnsi="仿宋" w:eastAsia="仿宋" w:cs="仿宋"/>
          <w:sz w:val="28"/>
          <w:szCs w:val="28"/>
        </w:rPr>
        <w:t xml:space="preserve">如合同条文存在歧义，《合同法》又无明文规定，依照交易习惯和采购当事人订立合同的目的做合理并且善意的解释，以维护交易安全和社会的公序良俗。 </w:t>
      </w:r>
    </w:p>
    <w:p>
      <w:pPr>
        <w:spacing w:line="360" w:lineRule="auto"/>
        <w:rPr>
          <w:rFonts w:ascii="仿宋" w:hAnsi="仿宋" w:eastAsia="仿宋" w:cs="仿宋"/>
          <w:sz w:val="28"/>
          <w:szCs w:val="28"/>
        </w:rPr>
      </w:pPr>
      <w:r>
        <w:rPr>
          <w:rFonts w:hint="eastAsia" w:ascii="仿宋" w:hAnsi="仿宋" w:eastAsia="仿宋" w:cs="仿宋"/>
          <w:sz w:val="28"/>
          <w:szCs w:val="28"/>
        </w:rPr>
        <w:t>十二、合同执行过程中发生的一切争议，双方应通过友好协商解决，如协商不能解决，应按《中华人民共和国合同法》有关规定解决。</w:t>
      </w:r>
    </w:p>
    <w:p>
      <w:pPr>
        <w:spacing w:line="360" w:lineRule="auto"/>
        <w:rPr>
          <w:rFonts w:ascii="仿宋" w:hAnsi="仿宋" w:eastAsia="仿宋" w:cs="仿宋"/>
          <w:sz w:val="28"/>
          <w:szCs w:val="28"/>
        </w:rPr>
      </w:pPr>
      <w:r>
        <w:rPr>
          <w:rFonts w:hint="eastAsia" w:ascii="仿宋" w:hAnsi="仿宋" w:eastAsia="仿宋" w:cs="仿宋"/>
          <w:sz w:val="28"/>
          <w:szCs w:val="28"/>
        </w:rPr>
        <w:t>十三、其它未尽事宜由供需双方协商约定。</w:t>
      </w:r>
    </w:p>
    <w:p>
      <w:pPr>
        <w:spacing w:line="360" w:lineRule="auto"/>
        <w:rPr>
          <w:rFonts w:ascii="仿宋" w:hAnsi="仿宋" w:eastAsia="仿宋" w:cs="仿宋"/>
          <w:sz w:val="28"/>
          <w:szCs w:val="28"/>
        </w:rPr>
      </w:pPr>
      <w:r>
        <w:rPr>
          <w:rFonts w:hint="eastAsia" w:ascii="仿宋" w:hAnsi="仿宋" w:eastAsia="仿宋" w:cs="仿宋"/>
          <w:sz w:val="28"/>
          <w:szCs w:val="28"/>
        </w:rPr>
        <w:t>十四、本合同一式三份，经供需双方签字盖章后生效，需方一份，供方一份，交镇原县公共资源交易中心存档备案一份，均具有同等法律效力。</w:t>
      </w:r>
    </w:p>
    <w:p>
      <w:pPr>
        <w:spacing w:line="360" w:lineRule="auto"/>
        <w:rPr>
          <w:rFonts w:ascii="仿宋" w:hAnsi="仿宋" w:eastAsia="仿宋" w:cs="仿宋"/>
          <w:sz w:val="28"/>
          <w:szCs w:val="28"/>
        </w:rPr>
      </w:pPr>
      <w:r>
        <w:rPr>
          <w:rFonts w:hint="eastAsia" w:ascii="仿宋" w:hAnsi="仿宋" w:eastAsia="仿宋" w:cs="仿宋"/>
          <w:sz w:val="28"/>
          <w:szCs w:val="28"/>
        </w:rPr>
        <w:t>十五、采购单位在收到货物并经验收合格后，按有关规定处理账务。</w:t>
      </w:r>
    </w:p>
    <w:p>
      <w:pPr>
        <w:spacing w:line="360" w:lineRule="auto"/>
        <w:rPr>
          <w:rFonts w:ascii="仿宋" w:hAnsi="仿宋" w:eastAsia="仿宋" w:cs="仿宋"/>
          <w:sz w:val="28"/>
          <w:szCs w:val="28"/>
        </w:rPr>
      </w:pPr>
      <w:r>
        <w:rPr>
          <w:rFonts w:hint="eastAsia" w:ascii="仿宋" w:hAnsi="仿宋" w:eastAsia="仿宋" w:cs="仿宋"/>
          <w:sz w:val="28"/>
          <w:szCs w:val="28"/>
        </w:rPr>
        <w:t>以下无正文，本合同共4页</w:t>
      </w:r>
    </w:p>
    <w:tbl>
      <w:tblPr>
        <w:tblStyle w:val="27"/>
        <w:tblW w:w="0" w:type="auto"/>
        <w:tblInd w:w="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5"/>
        <w:gridCol w:w="4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0" w:hRule="atLeast"/>
        </w:trPr>
        <w:tc>
          <w:tcPr>
            <w:tcW w:w="40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 w:hAnsi="仿宋" w:eastAsia="仿宋" w:cs="仿宋"/>
                <w:sz w:val="28"/>
                <w:szCs w:val="28"/>
              </w:rPr>
            </w:pPr>
            <w:r>
              <w:rPr>
                <w:rFonts w:hint="eastAsia" w:ascii="仿宋" w:hAnsi="仿宋" w:eastAsia="仿宋" w:cs="仿宋"/>
                <w:sz w:val="28"/>
                <w:szCs w:val="28"/>
              </w:rPr>
              <w:t>需方:（章）</w:t>
            </w:r>
          </w:p>
          <w:p>
            <w:pPr>
              <w:spacing w:line="360" w:lineRule="auto"/>
              <w:rPr>
                <w:rFonts w:ascii="仿宋" w:hAnsi="仿宋" w:eastAsia="仿宋" w:cs="仿宋"/>
                <w:sz w:val="28"/>
                <w:szCs w:val="28"/>
              </w:rPr>
            </w:pPr>
            <w:r>
              <w:rPr>
                <w:rFonts w:hint="eastAsia" w:ascii="仿宋" w:hAnsi="仿宋" w:eastAsia="仿宋" w:cs="仿宋"/>
                <w:sz w:val="28"/>
                <w:szCs w:val="28"/>
              </w:rPr>
              <w:t>地址:</w:t>
            </w:r>
          </w:p>
          <w:p>
            <w:pPr>
              <w:spacing w:line="360" w:lineRule="auto"/>
              <w:rPr>
                <w:rFonts w:ascii="仿宋" w:hAnsi="仿宋" w:eastAsia="仿宋" w:cs="仿宋"/>
                <w:sz w:val="28"/>
                <w:szCs w:val="28"/>
              </w:rPr>
            </w:pPr>
            <w:r>
              <w:rPr>
                <w:rFonts w:hint="eastAsia" w:ascii="仿宋" w:hAnsi="仿宋" w:eastAsia="仿宋" w:cs="仿宋"/>
                <w:sz w:val="28"/>
                <w:szCs w:val="28"/>
              </w:rPr>
              <w:t>电话:</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 w:hAnsi="仿宋" w:eastAsia="仿宋" w:cs="仿宋"/>
                <w:sz w:val="28"/>
                <w:szCs w:val="28"/>
              </w:rPr>
            </w:pPr>
            <w:r>
              <w:rPr>
                <w:rFonts w:hint="eastAsia" w:ascii="仿宋" w:hAnsi="仿宋" w:eastAsia="仿宋" w:cs="仿宋"/>
                <w:sz w:val="28"/>
                <w:szCs w:val="28"/>
              </w:rPr>
              <w:t>供方:（章）</w:t>
            </w:r>
          </w:p>
          <w:p>
            <w:pPr>
              <w:spacing w:line="360" w:lineRule="auto"/>
              <w:rPr>
                <w:rFonts w:ascii="仿宋" w:hAnsi="仿宋" w:eastAsia="仿宋" w:cs="仿宋"/>
                <w:sz w:val="28"/>
                <w:szCs w:val="28"/>
              </w:rPr>
            </w:pPr>
            <w:r>
              <w:rPr>
                <w:rFonts w:hint="eastAsia" w:ascii="仿宋" w:hAnsi="仿宋" w:eastAsia="仿宋" w:cs="仿宋"/>
                <w:sz w:val="28"/>
                <w:szCs w:val="28"/>
              </w:rPr>
              <w:t>地址:</w:t>
            </w:r>
          </w:p>
          <w:p>
            <w:pPr>
              <w:spacing w:line="360" w:lineRule="auto"/>
              <w:rPr>
                <w:rFonts w:ascii="仿宋" w:hAnsi="仿宋" w:eastAsia="仿宋" w:cs="仿宋"/>
                <w:sz w:val="28"/>
                <w:szCs w:val="28"/>
              </w:rPr>
            </w:pPr>
            <w:r>
              <w:rPr>
                <w:rFonts w:hint="eastAsia" w:ascii="仿宋" w:hAnsi="仿宋" w:eastAsia="仿宋" w:cs="仿宋"/>
                <w:sz w:val="28"/>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0" w:hRule="atLeast"/>
        </w:trPr>
        <w:tc>
          <w:tcPr>
            <w:tcW w:w="40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 w:hAnsi="仿宋" w:eastAsia="仿宋" w:cs="仿宋"/>
                <w:sz w:val="28"/>
                <w:szCs w:val="28"/>
              </w:rPr>
            </w:pPr>
            <w:r>
              <w:rPr>
                <w:rFonts w:hint="eastAsia" w:ascii="仿宋" w:hAnsi="仿宋" w:eastAsia="仿宋" w:cs="仿宋"/>
                <w:sz w:val="28"/>
                <w:szCs w:val="28"/>
              </w:rPr>
              <w:t>法定代表人:</w:t>
            </w:r>
          </w:p>
          <w:p>
            <w:pPr>
              <w:spacing w:line="360" w:lineRule="auto"/>
              <w:rPr>
                <w:rFonts w:ascii="仿宋" w:hAnsi="仿宋" w:eastAsia="仿宋" w:cs="仿宋"/>
                <w:sz w:val="28"/>
                <w:szCs w:val="28"/>
              </w:rPr>
            </w:pPr>
            <w:r>
              <w:rPr>
                <w:rFonts w:hint="eastAsia" w:ascii="仿宋" w:hAnsi="仿宋" w:eastAsia="仿宋" w:cs="仿宋"/>
                <w:sz w:val="28"/>
                <w:szCs w:val="28"/>
              </w:rPr>
              <w:t>(或委托代理人)</w:t>
            </w:r>
          </w:p>
          <w:p>
            <w:pPr>
              <w:spacing w:line="360" w:lineRule="auto"/>
              <w:rPr>
                <w:rFonts w:ascii="仿宋" w:hAnsi="仿宋" w:eastAsia="仿宋" w:cs="仿宋"/>
                <w:sz w:val="28"/>
                <w:szCs w:val="28"/>
              </w:rPr>
            </w:pPr>
            <w:r>
              <w:rPr>
                <w:rFonts w:hint="eastAsia" w:ascii="仿宋" w:hAnsi="仿宋" w:eastAsia="仿宋" w:cs="仿宋"/>
                <w:sz w:val="28"/>
                <w:szCs w:val="28"/>
              </w:rPr>
              <w:t>签字日期:</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 w:hAnsi="仿宋" w:eastAsia="仿宋" w:cs="仿宋"/>
                <w:sz w:val="28"/>
                <w:szCs w:val="28"/>
              </w:rPr>
            </w:pPr>
            <w:r>
              <w:rPr>
                <w:rFonts w:hint="eastAsia" w:ascii="仿宋" w:hAnsi="仿宋" w:eastAsia="仿宋" w:cs="仿宋"/>
                <w:sz w:val="28"/>
                <w:szCs w:val="28"/>
              </w:rPr>
              <w:t>法定代表人:</w:t>
            </w:r>
          </w:p>
          <w:p>
            <w:pPr>
              <w:spacing w:line="360" w:lineRule="auto"/>
              <w:rPr>
                <w:rFonts w:ascii="仿宋" w:hAnsi="仿宋" w:eastAsia="仿宋" w:cs="仿宋"/>
                <w:sz w:val="28"/>
                <w:szCs w:val="28"/>
              </w:rPr>
            </w:pPr>
            <w:r>
              <w:rPr>
                <w:rFonts w:hint="eastAsia" w:ascii="仿宋" w:hAnsi="仿宋" w:eastAsia="仿宋" w:cs="仿宋"/>
                <w:sz w:val="28"/>
                <w:szCs w:val="28"/>
              </w:rPr>
              <w:t>(或委托代理人)</w:t>
            </w:r>
          </w:p>
          <w:p>
            <w:pPr>
              <w:spacing w:line="360" w:lineRule="auto"/>
              <w:rPr>
                <w:rFonts w:ascii="仿宋" w:hAnsi="仿宋" w:eastAsia="仿宋" w:cs="仿宋"/>
                <w:sz w:val="28"/>
                <w:szCs w:val="28"/>
              </w:rPr>
            </w:pPr>
            <w:r>
              <w:rPr>
                <w:rFonts w:hint="eastAsia" w:ascii="仿宋" w:hAnsi="仿宋" w:eastAsia="仿宋" w:cs="仿宋"/>
                <w:sz w:val="28"/>
                <w:szCs w:val="28"/>
              </w:rPr>
              <w:t>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9" w:hRule="exact"/>
        </w:trPr>
        <w:tc>
          <w:tcPr>
            <w:tcW w:w="40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 w:hAnsi="仿宋" w:eastAsia="仿宋" w:cs="仿宋"/>
                <w:sz w:val="28"/>
                <w:szCs w:val="28"/>
              </w:rPr>
            </w:pPr>
            <w:r>
              <w:rPr>
                <w:rFonts w:hint="eastAsia" w:ascii="仿宋" w:hAnsi="仿宋" w:eastAsia="仿宋" w:cs="仿宋"/>
                <w:sz w:val="28"/>
                <w:szCs w:val="28"/>
              </w:rPr>
              <w:t>经 办 人:</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 w:hAnsi="仿宋" w:eastAsia="仿宋" w:cs="仿宋"/>
                <w:sz w:val="28"/>
                <w:szCs w:val="28"/>
              </w:rPr>
            </w:pPr>
            <w:r>
              <w:rPr>
                <w:rFonts w:hint="eastAsia" w:ascii="仿宋" w:hAnsi="仿宋" w:eastAsia="仿宋" w:cs="仿宋"/>
                <w:sz w:val="28"/>
                <w:szCs w:val="28"/>
              </w:rPr>
              <w:t>经 办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exact"/>
        </w:trPr>
        <w:tc>
          <w:tcPr>
            <w:tcW w:w="4095" w:type="dxa"/>
            <w:tcBorders>
              <w:top w:val="single" w:color="auto" w:sz="4" w:space="0"/>
              <w:left w:val="single" w:color="auto" w:sz="4" w:space="0"/>
              <w:bottom w:val="single" w:color="auto" w:sz="12" w:space="0"/>
              <w:right w:val="single" w:color="auto" w:sz="4" w:space="0"/>
            </w:tcBorders>
            <w:noWrap w:val="0"/>
            <w:vAlign w:val="center"/>
          </w:tcPr>
          <w:p>
            <w:pPr>
              <w:spacing w:line="360" w:lineRule="auto"/>
              <w:rPr>
                <w:rFonts w:ascii="仿宋" w:hAnsi="仿宋" w:eastAsia="仿宋" w:cs="仿宋"/>
                <w:sz w:val="28"/>
                <w:szCs w:val="28"/>
              </w:rPr>
            </w:pPr>
            <w:r>
              <w:rPr>
                <w:rFonts w:hint="eastAsia" w:ascii="仿宋" w:hAnsi="仿宋" w:eastAsia="仿宋" w:cs="仿宋"/>
                <w:sz w:val="28"/>
                <w:szCs w:val="28"/>
              </w:rPr>
              <w:t>开户行:</w:t>
            </w:r>
          </w:p>
          <w:p>
            <w:pPr>
              <w:spacing w:line="360" w:lineRule="auto"/>
              <w:rPr>
                <w:rFonts w:ascii="仿宋" w:hAnsi="仿宋" w:eastAsia="仿宋" w:cs="仿宋"/>
                <w:sz w:val="28"/>
                <w:szCs w:val="28"/>
              </w:rPr>
            </w:pPr>
            <w:r>
              <w:rPr>
                <w:rFonts w:hint="eastAsia" w:ascii="仿宋" w:hAnsi="仿宋" w:eastAsia="仿宋" w:cs="仿宋"/>
                <w:sz w:val="28"/>
                <w:szCs w:val="28"/>
              </w:rPr>
              <w:t>账号:</w:t>
            </w:r>
          </w:p>
        </w:tc>
        <w:tc>
          <w:tcPr>
            <w:tcW w:w="4200" w:type="dxa"/>
            <w:tcBorders>
              <w:top w:val="single" w:color="auto" w:sz="4" w:space="0"/>
              <w:left w:val="single" w:color="auto" w:sz="4" w:space="0"/>
              <w:bottom w:val="single" w:color="auto" w:sz="12" w:space="0"/>
              <w:right w:val="single" w:color="auto" w:sz="4" w:space="0"/>
            </w:tcBorders>
            <w:noWrap w:val="0"/>
            <w:vAlign w:val="center"/>
          </w:tcPr>
          <w:p>
            <w:pPr>
              <w:spacing w:line="360" w:lineRule="auto"/>
              <w:rPr>
                <w:rFonts w:ascii="仿宋" w:hAnsi="仿宋" w:eastAsia="仿宋" w:cs="仿宋"/>
                <w:sz w:val="28"/>
                <w:szCs w:val="28"/>
              </w:rPr>
            </w:pPr>
            <w:r>
              <w:rPr>
                <w:rFonts w:hint="eastAsia" w:ascii="仿宋" w:hAnsi="仿宋" w:eastAsia="仿宋" w:cs="仿宋"/>
                <w:sz w:val="28"/>
                <w:szCs w:val="28"/>
              </w:rPr>
              <w:t>开户行:</w:t>
            </w:r>
          </w:p>
          <w:p>
            <w:pPr>
              <w:spacing w:line="360" w:lineRule="auto"/>
              <w:rPr>
                <w:rFonts w:ascii="仿宋" w:hAnsi="仿宋" w:eastAsia="仿宋" w:cs="仿宋"/>
                <w:sz w:val="28"/>
                <w:szCs w:val="28"/>
              </w:rPr>
            </w:pPr>
            <w:r>
              <w:rPr>
                <w:rFonts w:hint="eastAsia" w:ascii="仿宋" w:hAnsi="仿宋" w:eastAsia="仿宋" w:cs="仿宋"/>
                <w:sz w:val="28"/>
                <w:szCs w:val="28"/>
              </w:rPr>
              <w:t>账号:</w:t>
            </w:r>
          </w:p>
        </w:tc>
      </w:tr>
    </w:tbl>
    <w:p>
      <w:pPr>
        <w:spacing w:before="61"/>
        <w:ind w:left="2389" w:right="0" w:firstLine="0"/>
        <w:jc w:val="left"/>
      </w:pPr>
      <w:r>
        <w:rPr>
          <w:rFonts w:hint="eastAsia" w:ascii="仿宋" w:hAnsi="仿宋" w:eastAsia="仿宋" w:cs="仿宋"/>
          <w:sz w:val="28"/>
          <w:szCs w:val="28"/>
        </w:rPr>
        <w:t xml:space="preserve">             </w:t>
      </w:r>
      <w:bookmarkStart w:id="244" w:name="_Toc2260"/>
    </w:p>
    <w:p>
      <w:pPr>
        <w:pStyle w:val="4"/>
        <w:spacing w:before="0" w:after="0"/>
        <w:ind w:firstLine="419" w:firstLineChars="149"/>
        <w:rPr>
          <w:rFonts w:hint="eastAsia" w:ascii="宋体" w:hAnsi="宋体"/>
          <w:sz w:val="28"/>
          <w:szCs w:val="28"/>
        </w:rPr>
      </w:pPr>
      <w:r>
        <w:rPr>
          <w:rFonts w:hint="eastAsia" w:ascii="宋体" w:hAnsi="宋体"/>
          <w:sz w:val="28"/>
          <w:szCs w:val="28"/>
        </w:rPr>
        <w:t>6.</w:t>
      </w:r>
      <w:r>
        <w:rPr>
          <w:rFonts w:hint="eastAsia" w:ascii="宋体" w:hAnsi="宋体"/>
          <w:sz w:val="28"/>
          <w:szCs w:val="28"/>
          <w:lang w:val="en-US" w:eastAsia="zh-CN"/>
        </w:rPr>
        <w:t>3</w:t>
      </w:r>
      <w:r>
        <w:rPr>
          <w:rFonts w:hint="eastAsia" w:ascii="宋体" w:hAnsi="宋体"/>
          <w:sz w:val="28"/>
          <w:szCs w:val="28"/>
        </w:rPr>
        <w:t>、政府采购合同通用条款</w:t>
      </w:r>
      <w:bookmarkEnd w:id="244"/>
    </w:p>
    <w:p>
      <w:pPr>
        <w:tabs>
          <w:tab w:val="left" w:pos="8820"/>
          <w:tab w:val="left" w:pos="9345"/>
          <w:tab w:val="left" w:pos="9765"/>
        </w:tabs>
        <w:adjustRightInd w:val="0"/>
        <w:snapToGrid w:val="0"/>
        <w:spacing w:line="360" w:lineRule="auto"/>
        <w:ind w:right="384" w:rightChars="183"/>
        <w:rPr>
          <w:rFonts w:hint="eastAsia" w:ascii="仿宋" w:hAnsi="仿宋" w:eastAsia="仿宋" w:cs="仿宋"/>
          <w:b/>
          <w:bCs/>
          <w:sz w:val="28"/>
          <w:szCs w:val="28"/>
        </w:rPr>
      </w:pPr>
      <w:r>
        <w:rPr>
          <w:rFonts w:hint="eastAsia" w:ascii="仿宋" w:hAnsi="仿宋" w:eastAsia="仿宋" w:cs="仿宋"/>
          <w:b/>
          <w:sz w:val="28"/>
          <w:szCs w:val="28"/>
        </w:rPr>
        <w:t>1.</w:t>
      </w:r>
      <w:r>
        <w:rPr>
          <w:rFonts w:hint="eastAsia" w:ascii="仿宋" w:hAnsi="仿宋" w:eastAsia="仿宋" w:cs="仿宋"/>
          <w:b/>
          <w:bCs/>
          <w:sz w:val="28"/>
          <w:szCs w:val="28"/>
        </w:rPr>
        <w:t>定义</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1.1合同当事人</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（1）采购人(以下称甲方)是指使用财政性资金，通过政府采购程序向供应商购买货物、服务的国家机关、事业单位、团体组织。</w:t>
      </w:r>
    </w:p>
    <w:p>
      <w:pPr>
        <w:autoSpaceDE w:val="0"/>
        <w:autoSpaceDN w:val="0"/>
        <w:adjustRightInd w:val="0"/>
        <w:snapToGrid w:val="0"/>
        <w:spacing w:line="360" w:lineRule="auto"/>
        <w:ind w:firstLine="560" w:firstLineChars="200"/>
        <w:rPr>
          <w:rFonts w:hint="eastAsia" w:ascii="仿宋" w:hAnsi="仿宋" w:eastAsia="仿宋" w:cs="仿宋"/>
          <w:b/>
          <w:sz w:val="28"/>
          <w:szCs w:val="28"/>
        </w:rPr>
      </w:pPr>
      <w:r>
        <w:rPr>
          <w:rFonts w:hint="eastAsia" w:ascii="仿宋" w:hAnsi="仿宋" w:eastAsia="仿宋" w:cs="仿宋"/>
          <w:sz w:val="28"/>
          <w:szCs w:val="28"/>
        </w:rPr>
        <w:t>（2）供应商(以下称乙方)是指参加政府采购活动而取得投标资格，并向采购人提供货物、服务的法人、其他组织或者自然人。</w:t>
      </w:r>
    </w:p>
    <w:p>
      <w:pPr>
        <w:tabs>
          <w:tab w:val="left" w:pos="570"/>
          <w:tab w:val="left" w:pos="9240"/>
          <w:tab w:val="left" w:pos="9555"/>
        </w:tabs>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1.2本合同下列术语应解释为：</w:t>
      </w:r>
    </w:p>
    <w:p>
      <w:pPr>
        <w:tabs>
          <w:tab w:val="left" w:pos="570"/>
          <w:tab w:val="left" w:pos="9240"/>
          <w:tab w:val="left" w:pos="9555"/>
        </w:tabs>
        <w:adjustRightInd w:val="0"/>
        <w:snapToGrid w:val="0"/>
        <w:spacing w:line="360" w:lineRule="auto"/>
        <w:ind w:right="-92" w:rightChars="-44" w:firstLine="560" w:firstLineChars="200"/>
        <w:rPr>
          <w:rFonts w:hint="eastAsia" w:ascii="仿宋" w:hAnsi="仿宋" w:eastAsia="仿宋" w:cs="仿宋"/>
          <w:sz w:val="28"/>
          <w:szCs w:val="28"/>
        </w:rPr>
      </w:pPr>
      <w:r>
        <w:rPr>
          <w:rFonts w:hint="eastAsia" w:ascii="仿宋" w:hAnsi="仿宋" w:eastAsia="仿宋" w:cs="仿宋"/>
          <w:sz w:val="28"/>
          <w:szCs w:val="28"/>
        </w:rPr>
        <w:t>（1）“合同”系指甲乙双方签署的、政府采购合同协议书中载明的甲乙双方所达成的协议，包括所有的附件、附录和上述文件所提到的构成合同的所有文件。</w:t>
      </w:r>
    </w:p>
    <w:p>
      <w:pPr>
        <w:tabs>
          <w:tab w:val="left" w:pos="570"/>
          <w:tab w:val="left" w:pos="9240"/>
          <w:tab w:val="left" w:pos="9555"/>
        </w:tabs>
        <w:adjustRightInd w:val="0"/>
        <w:snapToGrid w:val="0"/>
        <w:spacing w:line="360" w:lineRule="auto"/>
        <w:ind w:right="-92" w:rightChars="-44" w:firstLine="560" w:firstLineChars="200"/>
        <w:rPr>
          <w:rFonts w:hint="eastAsia" w:ascii="仿宋" w:hAnsi="仿宋" w:eastAsia="仿宋" w:cs="仿宋"/>
          <w:sz w:val="28"/>
          <w:szCs w:val="28"/>
        </w:rPr>
      </w:pPr>
      <w:r>
        <w:rPr>
          <w:rFonts w:hint="eastAsia" w:ascii="仿宋" w:hAnsi="仿宋" w:eastAsia="仿宋" w:cs="仿宋"/>
          <w:sz w:val="28"/>
          <w:szCs w:val="28"/>
        </w:rPr>
        <w:t>（2）“合同价”系指根据本合同规定乙方在正确地完全履行合同义务后甲方应支付给乙方的价款。</w:t>
      </w:r>
    </w:p>
    <w:p>
      <w:pPr>
        <w:tabs>
          <w:tab w:val="left" w:pos="570"/>
          <w:tab w:val="left" w:pos="9240"/>
          <w:tab w:val="left" w:pos="9555"/>
        </w:tabs>
        <w:adjustRightInd w:val="0"/>
        <w:snapToGrid w:val="0"/>
        <w:spacing w:line="360" w:lineRule="auto"/>
        <w:ind w:right="-92" w:rightChars="-44" w:firstLine="560" w:firstLineChars="200"/>
        <w:rPr>
          <w:rFonts w:hint="eastAsia" w:ascii="仿宋" w:hAnsi="仿宋" w:eastAsia="仿宋" w:cs="仿宋"/>
          <w:sz w:val="28"/>
          <w:szCs w:val="28"/>
        </w:rPr>
      </w:pPr>
      <w:r>
        <w:rPr>
          <w:rFonts w:hint="eastAsia" w:ascii="仿宋" w:hAnsi="仿宋" w:eastAsia="仿宋" w:cs="仿宋"/>
          <w:sz w:val="28"/>
          <w:szCs w:val="28"/>
        </w:rPr>
        <w:t>（3）“货物”系指乙方根据本合同规定须向甲方提供的各种形态和种类的物品，包括原材料、产品(包括软件)及相关的其备品备件、工具、手册及其它技术资料和材料。</w:t>
      </w:r>
    </w:p>
    <w:p>
      <w:pPr>
        <w:tabs>
          <w:tab w:val="left" w:pos="570"/>
          <w:tab w:val="left" w:pos="8880"/>
          <w:tab w:val="left" w:pos="9555"/>
        </w:tabs>
        <w:adjustRightInd w:val="0"/>
        <w:snapToGrid w:val="0"/>
        <w:spacing w:line="360" w:lineRule="auto"/>
        <w:ind w:right="-92" w:rightChars="-44" w:firstLine="560" w:firstLineChars="200"/>
        <w:rPr>
          <w:rFonts w:hint="eastAsia" w:ascii="仿宋" w:hAnsi="仿宋" w:eastAsia="仿宋" w:cs="仿宋"/>
          <w:sz w:val="28"/>
          <w:szCs w:val="28"/>
        </w:rPr>
      </w:pPr>
      <w:r>
        <w:rPr>
          <w:rFonts w:hint="eastAsia" w:ascii="仿宋" w:hAnsi="仿宋" w:eastAsia="仿宋" w:cs="仿宋"/>
          <w:sz w:val="28"/>
          <w:szCs w:val="28"/>
        </w:rPr>
        <w:t>（4）“伴随服务”系指根据本合同规定乙方承担与供货有关的辅助服务，如运输、保</w:t>
      </w:r>
      <w:r>
        <w:rPr>
          <w:rFonts w:hint="eastAsia" w:ascii="仿宋" w:hAnsi="仿宋" w:eastAsia="仿宋" w:cs="仿宋"/>
          <w:spacing w:val="2"/>
          <w:sz w:val="28"/>
          <w:szCs w:val="28"/>
        </w:rPr>
        <w:t>险以及其它的伴随服务，例如安装、调试、提供技术</w:t>
      </w:r>
      <w:r>
        <w:rPr>
          <w:rFonts w:hint="eastAsia" w:ascii="仿宋" w:hAnsi="仿宋" w:eastAsia="仿宋" w:cs="仿宋"/>
          <w:sz w:val="28"/>
          <w:szCs w:val="28"/>
        </w:rPr>
        <w:t>协</w:t>
      </w:r>
      <w:r>
        <w:rPr>
          <w:rFonts w:hint="eastAsia" w:ascii="仿宋" w:hAnsi="仿宋" w:eastAsia="仿宋" w:cs="仿宋"/>
          <w:spacing w:val="2"/>
          <w:sz w:val="28"/>
          <w:szCs w:val="28"/>
        </w:rPr>
        <w:t>助、培训和合同中规定</w:t>
      </w:r>
      <w:r>
        <w:rPr>
          <w:rFonts w:hint="eastAsia" w:ascii="仿宋" w:hAnsi="仿宋" w:eastAsia="仿宋" w:cs="仿宋"/>
          <w:sz w:val="28"/>
          <w:szCs w:val="28"/>
        </w:rPr>
        <w:t>乙方应承担的其它义务。</w:t>
      </w:r>
    </w:p>
    <w:p>
      <w:pPr>
        <w:tabs>
          <w:tab w:val="left" w:pos="570"/>
          <w:tab w:val="left" w:pos="9240"/>
          <w:tab w:val="left" w:pos="9555"/>
        </w:tabs>
        <w:adjustRightInd w:val="0"/>
        <w:snapToGrid w:val="0"/>
        <w:spacing w:line="360" w:lineRule="auto"/>
        <w:ind w:right="-92" w:rightChars="-44" w:firstLine="560" w:firstLineChars="200"/>
        <w:rPr>
          <w:rFonts w:hint="eastAsia" w:ascii="仿宋" w:hAnsi="仿宋" w:eastAsia="仿宋" w:cs="仿宋"/>
          <w:sz w:val="28"/>
          <w:szCs w:val="28"/>
        </w:rPr>
      </w:pPr>
      <w:r>
        <w:rPr>
          <w:rFonts w:hint="eastAsia" w:ascii="仿宋" w:hAnsi="仿宋" w:eastAsia="仿宋" w:cs="仿宋"/>
          <w:sz w:val="28"/>
          <w:szCs w:val="28"/>
        </w:rPr>
        <w:t>（5）“合同条款”系指本合同条款。</w:t>
      </w:r>
    </w:p>
    <w:p>
      <w:pPr>
        <w:tabs>
          <w:tab w:val="left" w:pos="570"/>
          <w:tab w:val="left" w:pos="9240"/>
          <w:tab w:val="left" w:pos="9555"/>
        </w:tabs>
        <w:adjustRightInd w:val="0"/>
        <w:snapToGrid w:val="0"/>
        <w:spacing w:line="360" w:lineRule="auto"/>
        <w:ind w:right="-92" w:rightChars="-44" w:firstLine="560" w:firstLineChars="200"/>
        <w:rPr>
          <w:rFonts w:hint="eastAsia" w:ascii="仿宋" w:hAnsi="仿宋" w:eastAsia="仿宋" w:cs="仿宋"/>
          <w:sz w:val="28"/>
          <w:szCs w:val="28"/>
        </w:rPr>
      </w:pPr>
      <w:r>
        <w:rPr>
          <w:rFonts w:hint="eastAsia" w:ascii="仿宋" w:hAnsi="仿宋" w:eastAsia="仿宋" w:cs="仿宋"/>
          <w:sz w:val="28"/>
          <w:szCs w:val="28"/>
        </w:rPr>
        <w:t>（6）“项目现场”系指本合同项下货物安装、运行的现场，其名称在</w:t>
      </w:r>
      <w:r>
        <w:rPr>
          <w:rFonts w:hint="eastAsia" w:ascii="仿宋" w:hAnsi="仿宋" w:eastAsia="仿宋" w:cs="仿宋"/>
          <w:bCs/>
          <w:sz w:val="28"/>
          <w:szCs w:val="28"/>
        </w:rPr>
        <w:t>政府采购合同专用条款</w:t>
      </w:r>
      <w:r>
        <w:rPr>
          <w:rFonts w:hint="eastAsia" w:ascii="仿宋" w:hAnsi="仿宋" w:eastAsia="仿宋" w:cs="仿宋"/>
          <w:sz w:val="28"/>
          <w:szCs w:val="28"/>
        </w:rPr>
        <w:t>指明。</w:t>
      </w:r>
    </w:p>
    <w:p>
      <w:pPr>
        <w:autoSpaceDE w:val="0"/>
        <w:autoSpaceDN w:val="0"/>
        <w:adjustRightInd w:val="0"/>
        <w:snapToGrid w:val="0"/>
        <w:spacing w:line="360" w:lineRule="auto"/>
        <w:rPr>
          <w:rFonts w:hint="eastAsia" w:ascii="仿宋" w:hAnsi="仿宋" w:eastAsia="仿宋" w:cs="仿宋"/>
          <w:b/>
          <w:sz w:val="28"/>
          <w:szCs w:val="28"/>
        </w:rPr>
      </w:pPr>
      <w:r>
        <w:rPr>
          <w:rFonts w:hint="eastAsia" w:ascii="仿宋" w:hAnsi="仿宋" w:eastAsia="仿宋" w:cs="仿宋"/>
          <w:b/>
          <w:sz w:val="28"/>
          <w:szCs w:val="28"/>
        </w:rPr>
        <w:t>2.合同的适用范围</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2.1 本合同条款适用于没有被本合同其他部分的条款所取代的范围。</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 合同内容根据招标文件、投标文件而确定。</w:t>
      </w:r>
    </w:p>
    <w:p>
      <w:pPr>
        <w:autoSpaceDE w:val="0"/>
        <w:autoSpaceDN w:val="0"/>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3.</w:t>
      </w:r>
      <w:r>
        <w:rPr>
          <w:rFonts w:hint="eastAsia" w:ascii="仿宋" w:hAnsi="仿宋" w:eastAsia="仿宋" w:cs="仿宋"/>
          <w:b/>
          <w:sz w:val="28"/>
          <w:szCs w:val="28"/>
        </w:rPr>
        <w:t>合同标的及金额</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3.1 合同标的及金额应与招标结果一致，具体的货物名称、规格、型号、数量和价格见</w:t>
      </w:r>
      <w:r>
        <w:rPr>
          <w:rFonts w:hint="eastAsia" w:ascii="仿宋" w:hAnsi="仿宋" w:eastAsia="仿宋" w:cs="仿宋"/>
          <w:bCs/>
          <w:sz w:val="28"/>
          <w:szCs w:val="28"/>
        </w:rPr>
        <w:t>政府采购合同专用条款</w:t>
      </w:r>
      <w:r>
        <w:rPr>
          <w:rFonts w:hint="eastAsia" w:ascii="仿宋" w:hAnsi="仿宋" w:eastAsia="仿宋" w:cs="仿宋"/>
          <w:sz w:val="28"/>
          <w:szCs w:val="28"/>
        </w:rPr>
        <w:t>。</w:t>
      </w:r>
    </w:p>
    <w:p>
      <w:pPr>
        <w:autoSpaceDE w:val="0"/>
        <w:autoSpaceDN w:val="0"/>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4.</w:t>
      </w:r>
      <w:r>
        <w:rPr>
          <w:rFonts w:hint="eastAsia" w:ascii="仿宋" w:hAnsi="仿宋" w:eastAsia="仿宋" w:cs="仿宋"/>
          <w:b/>
          <w:sz w:val="28"/>
          <w:szCs w:val="28"/>
        </w:rPr>
        <w:t>合同价款</w:t>
      </w:r>
    </w:p>
    <w:p>
      <w:pPr>
        <w:adjustRightInd w:val="0"/>
        <w:snapToGrid w:val="0"/>
        <w:spacing w:line="360" w:lineRule="auto"/>
        <w:ind w:firstLine="560"/>
        <w:rPr>
          <w:rFonts w:hint="eastAsia" w:ascii="仿宋" w:hAnsi="仿宋" w:eastAsia="仿宋" w:cs="仿宋"/>
          <w:b/>
          <w:bCs/>
          <w:i/>
          <w:iCs/>
          <w:sz w:val="28"/>
          <w:szCs w:val="28"/>
        </w:rPr>
      </w:pPr>
      <w:r>
        <w:rPr>
          <w:rFonts w:hint="eastAsia" w:ascii="仿宋" w:hAnsi="仿宋" w:eastAsia="仿宋" w:cs="仿宋"/>
          <w:sz w:val="28"/>
          <w:szCs w:val="28"/>
        </w:rPr>
        <w:t>4.1具体合同价款见本合同第3.1项。乙方为履行本合同而发生的所有费用均应包含在合同价款中，甲方不再另行支付其它任何费用。</w:t>
      </w:r>
    </w:p>
    <w:p>
      <w:pPr>
        <w:adjustRightInd w:val="0"/>
        <w:snapToGrid w:val="0"/>
        <w:spacing w:line="360" w:lineRule="auto"/>
        <w:rPr>
          <w:rFonts w:hint="eastAsia" w:ascii="仿宋" w:hAnsi="仿宋" w:eastAsia="仿宋" w:cs="仿宋"/>
          <w:b/>
          <w:sz w:val="28"/>
          <w:szCs w:val="28"/>
        </w:rPr>
      </w:pPr>
      <w:r>
        <w:rPr>
          <w:rFonts w:hint="eastAsia" w:ascii="仿宋" w:hAnsi="仿宋" w:eastAsia="仿宋" w:cs="仿宋"/>
          <w:b/>
          <w:sz w:val="28"/>
          <w:szCs w:val="28"/>
        </w:rPr>
        <w:t>5.履行合同的时间、地点和方式</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5.1 乙方应当在甲方确定的时间、指定的地点履行合同，具体的交货时间、地点和方式见</w:t>
      </w:r>
      <w:r>
        <w:rPr>
          <w:rFonts w:hint="eastAsia" w:ascii="仿宋" w:hAnsi="仿宋" w:eastAsia="仿宋" w:cs="仿宋"/>
          <w:bCs/>
          <w:sz w:val="28"/>
          <w:szCs w:val="28"/>
        </w:rPr>
        <w:t>政府采购合同专用条款</w:t>
      </w:r>
      <w:r>
        <w:rPr>
          <w:rFonts w:hint="eastAsia" w:ascii="仿宋" w:hAnsi="仿宋" w:eastAsia="仿宋" w:cs="仿宋"/>
          <w:sz w:val="28"/>
          <w:szCs w:val="28"/>
        </w:rPr>
        <w:t>。</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5.2 乙方提供服务的应当在甲方指定的地点完成服务项目。</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6.</w:t>
      </w:r>
      <w:r>
        <w:rPr>
          <w:rFonts w:hint="eastAsia" w:ascii="仿宋" w:hAnsi="仿宋" w:eastAsia="仿宋" w:cs="仿宋"/>
          <w:b/>
          <w:sz w:val="28"/>
          <w:szCs w:val="28"/>
        </w:rPr>
        <w:t>货物的验收</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6.1 甲方在收到乙方交付的货物后应当及时组织验收。</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6.2 货物的表面瑕疵，甲方应在验收时当面提出；对质量问题有异议的应在安装调试后十个工作日内提出。</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6.3 在验收过程中发现数量不足或有质量、技术等问题，乙方应负责按照甲方的要求采取补足、更换或退货等处理措施，并承担由此发生的一切费用和损失。</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6.4 甲方在乙方按合同规定交货或安装、调试后，无正当理由而拖延接收、验收或拒绝接收、验收的，应承担因此给乙方造成的直接损失。</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6.5 甲方对货物进行检查验收合格后，应当收取发票并在《交货验收单》上签署验收意见及加盖单位印章。</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6.6 大型或者复杂的货物采购项目，甲方可以邀请国家认可的质量检测机构参加验收工作，并由其出具验收报告单。</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6.7 乙方提供的进口产品，乙方应出示中华人民共和国进出口商品检验部门出具的检验证书（招标文件另有约定的除外）。</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7.货物包装要求</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7.1 乙方所出售的全部货物均应按标准保护措施进行包装，包装应适应于远距离运输、防潮、防震、防锈和防野蛮装卸等要求，以确保货物安全无损地运抵指定现场。由于包装防护措施不妥而引起的损坏、丢失由乙方负责。</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7.2 每一个包装箱内应附一份详细装箱单、质量证书和保修保养证书。</w:t>
      </w:r>
    </w:p>
    <w:p>
      <w:pPr>
        <w:pStyle w:val="5"/>
        <w:adjustRightInd w:val="0"/>
        <w:snapToGrid w:val="0"/>
        <w:ind w:firstLine="0" w:firstLineChars="0"/>
        <w:rPr>
          <w:rFonts w:hint="eastAsia" w:ascii="仿宋" w:hAnsi="仿宋" w:eastAsia="仿宋" w:cs="仿宋"/>
          <w:bCs/>
          <w:sz w:val="28"/>
          <w:szCs w:val="28"/>
        </w:rPr>
      </w:pPr>
      <w:bookmarkStart w:id="245" w:name="_Toc34034521"/>
      <w:bookmarkStart w:id="246" w:name="_Toc31527"/>
      <w:bookmarkStart w:id="247" w:name="_Toc2575"/>
      <w:bookmarkStart w:id="248" w:name="_Toc20981"/>
      <w:bookmarkStart w:id="249" w:name="_Toc9290"/>
      <w:bookmarkStart w:id="250" w:name="_Toc2874"/>
      <w:r>
        <w:rPr>
          <w:rFonts w:hint="eastAsia" w:ascii="仿宋" w:hAnsi="仿宋" w:eastAsia="仿宋" w:cs="仿宋"/>
          <w:bCs/>
          <w:sz w:val="28"/>
          <w:szCs w:val="28"/>
        </w:rPr>
        <w:t>8.</w:t>
      </w:r>
      <w:r>
        <w:rPr>
          <w:rFonts w:hint="eastAsia" w:ascii="仿宋" w:hAnsi="仿宋" w:eastAsia="仿宋" w:cs="仿宋"/>
          <w:sz w:val="28"/>
          <w:szCs w:val="28"/>
        </w:rPr>
        <w:t>运输和保险</w:t>
      </w:r>
      <w:bookmarkEnd w:id="245"/>
      <w:bookmarkEnd w:id="246"/>
      <w:bookmarkEnd w:id="247"/>
      <w:bookmarkEnd w:id="248"/>
      <w:bookmarkEnd w:id="249"/>
      <w:bookmarkEnd w:id="250"/>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8.1乙方负责办理将货物运抵本合同第五条规定的交货地点的一切运输事项，相关费用应包括在合同总价中。</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8.2乙方应向保险公司投保以甲方为受益人的发运合同货物发票金额的110％运输一切险。</w:t>
      </w:r>
    </w:p>
    <w:p>
      <w:pPr>
        <w:adjustRightInd w:val="0"/>
        <w:snapToGrid w:val="0"/>
        <w:spacing w:line="360" w:lineRule="auto"/>
        <w:rPr>
          <w:rFonts w:hint="eastAsia" w:ascii="仿宋" w:hAnsi="仿宋" w:eastAsia="仿宋" w:cs="仿宋"/>
          <w:b/>
          <w:sz w:val="28"/>
          <w:szCs w:val="28"/>
        </w:rPr>
      </w:pPr>
      <w:r>
        <w:rPr>
          <w:rFonts w:hint="eastAsia" w:ascii="仿宋" w:hAnsi="仿宋" w:eastAsia="仿宋" w:cs="仿宋"/>
          <w:b/>
          <w:sz w:val="28"/>
          <w:szCs w:val="28"/>
        </w:rPr>
        <w:t>9.质量标准和保证</w:t>
      </w:r>
    </w:p>
    <w:p>
      <w:pPr>
        <w:pStyle w:val="17"/>
        <w:snapToGrid w:val="0"/>
        <w:spacing w:line="360" w:lineRule="auto"/>
        <w:ind w:firstLine="560" w:firstLineChars="200"/>
        <w:rPr>
          <w:rFonts w:hint="eastAsia" w:ascii="仿宋" w:hAnsi="仿宋" w:eastAsia="仿宋" w:cs="仿宋"/>
          <w:b/>
          <w:sz w:val="28"/>
          <w:szCs w:val="28"/>
        </w:rPr>
      </w:pPr>
      <w:r>
        <w:rPr>
          <w:rFonts w:hint="eastAsia" w:ascii="仿宋" w:hAnsi="仿宋" w:eastAsia="仿宋" w:cs="仿宋"/>
          <w:sz w:val="28"/>
          <w:szCs w:val="28"/>
        </w:rPr>
        <w:t>9.1 质量标准</w:t>
      </w:r>
    </w:p>
    <w:p>
      <w:pPr>
        <w:autoSpaceDE w:val="0"/>
        <w:autoSpaceDN w:val="0"/>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 xml:space="preserve">   （1）本合同下交付的货物应符合第八章采购需求所述的标准。如果没有提及适用标准，则应符合中华人民共和国有关机构发布的最新版本的标准。</w:t>
      </w:r>
    </w:p>
    <w:p>
      <w:pPr>
        <w:pStyle w:val="17"/>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（2）采用中华人民共和国法定计量单位。</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（3）乙方所出售的货物还应符合国家有关安全、环保、卫生之规定。</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9.2 保证</w:t>
      </w:r>
    </w:p>
    <w:p>
      <w:pPr>
        <w:numPr>
          <w:ilvl w:val="0"/>
          <w:numId w:val="5"/>
        </w:num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应保证所供货物是全新的、未使用过的，并完全符合合同规定的质量、规格和性能的要求。乙方应保证其货物在正确安装、正常使用和保养条件下，在其使用寿命期内应具有满意的性能，或者没有因乙方的行为或疏忽而产生的缺陷。在货物最终交付验收后不少于</w:t>
      </w:r>
      <w:r>
        <w:rPr>
          <w:rFonts w:hint="eastAsia" w:ascii="仿宋" w:hAnsi="仿宋" w:eastAsia="仿宋" w:cs="仿宋"/>
          <w:b/>
          <w:bCs/>
          <w:sz w:val="28"/>
          <w:szCs w:val="28"/>
        </w:rPr>
        <w:t>政府采购合同专用条款</w:t>
      </w:r>
      <w:r>
        <w:rPr>
          <w:rFonts w:hint="eastAsia" w:ascii="仿宋" w:hAnsi="仿宋" w:eastAsia="仿宋" w:cs="仿宋"/>
          <w:sz w:val="28"/>
          <w:szCs w:val="28"/>
        </w:rPr>
        <w:t>规定或乙方承诺（两者以较长的为准）的质量保证期内，本保证保持有效。</w:t>
      </w:r>
    </w:p>
    <w:p>
      <w:pPr>
        <w:autoSpaceDE w:val="0"/>
        <w:autoSpaceDN w:val="0"/>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bookmarkStart w:id="251" w:name="_Toc25946"/>
      <w:bookmarkStart w:id="252" w:name="_Toc1941"/>
      <w:r>
        <w:rPr>
          <w:rFonts w:hint="eastAsia" w:ascii="仿宋" w:hAnsi="仿宋" w:eastAsia="仿宋" w:cs="仿宋"/>
          <w:sz w:val="28"/>
          <w:szCs w:val="28"/>
        </w:rPr>
        <w:t>（2）在质量保证期内所发现的缺陷，甲方应尽快以书面形式通知乙方。</w:t>
      </w:r>
      <w:bookmarkEnd w:id="251"/>
      <w:bookmarkEnd w:id="252"/>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（3）乙方收到通知后应在政府采购合同专用条款规定的响应时间内以合理的速度免费维修或更换有缺陷的货物或部件。</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（4）在质量保证期内，如果货物的质量或规格与合同不符，或证实货物是有缺陷的，包括潜在的缺陷或使用不符合要求的材料等，甲方可以根据本合同第15.1项规定以书面形式向乙方提出补救措施或索赔。</w:t>
      </w:r>
    </w:p>
    <w:p>
      <w:pPr>
        <w:adjustRightInd w:val="0"/>
        <w:snapToGrid w:val="0"/>
        <w:spacing w:line="360" w:lineRule="auto"/>
        <w:ind w:firstLine="560" w:firstLineChars="200"/>
        <w:rPr>
          <w:rFonts w:hint="eastAsia" w:ascii="仿宋" w:hAnsi="仿宋" w:eastAsia="仿宋" w:cs="仿宋"/>
          <w:b/>
          <w:sz w:val="28"/>
          <w:szCs w:val="28"/>
        </w:rPr>
      </w:pPr>
      <w:r>
        <w:rPr>
          <w:rFonts w:hint="eastAsia" w:ascii="仿宋" w:hAnsi="仿宋" w:eastAsia="仿宋" w:cs="仿宋"/>
          <w:sz w:val="28"/>
          <w:szCs w:val="28"/>
        </w:rPr>
        <w:t>（5）乙方在约定的时间内未能弥补缺陷，甲方可采取必要的补救措施，但其风险和费用将由乙方承担，甲方根据合同规定对乙方行使的其他权利不受影响。</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10.权利瑕疵担保</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10.1 乙方保证对其出售的货物享有合法的权利。</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10.2 乙方保证在其出售的货物上不存在任何未曾向甲方透露的担保物权，如抵押权、质押权、留置权等。</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10.3 如甲方使用该货物构成上述侵权的，则由乙方承担全部责任。</w:t>
      </w:r>
    </w:p>
    <w:p>
      <w:pPr>
        <w:autoSpaceDE w:val="0"/>
        <w:autoSpaceDN w:val="0"/>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11.知识产权保护</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11.1 乙方对其所销售的货物应当享有知识产权或经权利人合法授权，保证没有侵犯任何第三人的知识产权和商业秘密等权利。</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11.2 甲方使用乙方提供的货物对第三人构成侵权的，应当由乙方承担全部法律责任，给甲方造成损害的，乙方应当承担赔偿责任。</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11.3 甲方委托乙方开发的产品，甲方享有知识产权，未经甲方许可不得转让任何第三人。</w:t>
      </w:r>
    </w:p>
    <w:p>
      <w:pPr>
        <w:autoSpaceDE w:val="0"/>
        <w:autoSpaceDN w:val="0"/>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12.保密义务</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12.1 甲、乙双方在采购和履行合同过程中所获悉的对方属于保密的内容，甲乙双方均有保密义务。</w:t>
      </w:r>
    </w:p>
    <w:p>
      <w:pPr>
        <w:autoSpaceDE w:val="0"/>
        <w:autoSpaceDN w:val="0"/>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13.合同价款支付</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13.1验收合格后，乙方出具正规发票给甲方，凭甲方开具的《政府采购合同验收报告单》办理合同价</w:t>
      </w:r>
      <w:r>
        <w:rPr>
          <w:rFonts w:hint="eastAsia" w:ascii="仿宋" w:hAnsi="仿宋" w:eastAsia="仿宋" w:cs="仿宋"/>
          <w:bCs/>
          <w:sz w:val="28"/>
          <w:szCs w:val="28"/>
        </w:rPr>
        <w:t>款</w:t>
      </w:r>
      <w:r>
        <w:rPr>
          <w:rFonts w:hint="eastAsia" w:ascii="仿宋" w:hAnsi="仿宋" w:eastAsia="仿宋" w:cs="仿宋"/>
          <w:sz w:val="28"/>
          <w:szCs w:val="28"/>
        </w:rPr>
        <w:t>结算手续。</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 合同价款构成中应当由财政支付的部分，甲方应当在货物验收合格后的十五个工作日内向国库管理部门申请支付，经国库管理部门审核后直接支付给乙方。</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13.3 合同价款构成中应当由甲方自行支付的部分，甲方应当在货物验收合格后十五个工作内支付。</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13.4支付合同价</w:t>
      </w:r>
      <w:r>
        <w:rPr>
          <w:rFonts w:hint="eastAsia" w:ascii="仿宋" w:hAnsi="仿宋" w:eastAsia="仿宋" w:cs="仿宋"/>
          <w:bCs/>
          <w:sz w:val="28"/>
          <w:szCs w:val="28"/>
        </w:rPr>
        <w:t>款</w:t>
      </w:r>
      <w:r>
        <w:rPr>
          <w:rFonts w:hint="eastAsia" w:ascii="仿宋" w:hAnsi="仿宋" w:eastAsia="仿宋" w:cs="仿宋"/>
          <w:sz w:val="28"/>
          <w:szCs w:val="28"/>
        </w:rPr>
        <w:t>时，一律不向乙方以外的任何第三方办理付款手续。开户行和帐号以签订的政府采购合同为准，如果乙方要求变更，则乙方必须提供加盖财务专用章、法人代表签字的证明文件，报经甲方审查核准，并报财政部门备案。</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13.5 合同价款支付方式</w:t>
      </w:r>
      <w:r>
        <w:rPr>
          <w:rFonts w:hint="eastAsia" w:ascii="仿宋" w:hAnsi="仿宋" w:eastAsia="仿宋" w:cs="仿宋"/>
          <w:bCs/>
          <w:sz w:val="28"/>
          <w:szCs w:val="28"/>
        </w:rPr>
        <w:t>和条件在政府采购合同专用条款</w:t>
      </w:r>
      <w:r>
        <w:rPr>
          <w:rFonts w:hint="eastAsia" w:ascii="仿宋" w:hAnsi="仿宋" w:eastAsia="仿宋" w:cs="仿宋"/>
          <w:sz w:val="28"/>
          <w:szCs w:val="28"/>
        </w:rPr>
        <w:t>中另有规定。</w:t>
      </w:r>
    </w:p>
    <w:p>
      <w:pPr>
        <w:autoSpaceDE w:val="0"/>
        <w:autoSpaceDN w:val="0"/>
        <w:adjustRightInd w:val="0"/>
        <w:snapToGrid w:val="0"/>
        <w:spacing w:line="360" w:lineRule="auto"/>
        <w:rPr>
          <w:rFonts w:hint="eastAsia" w:ascii="仿宋" w:hAnsi="仿宋" w:eastAsia="仿宋" w:cs="仿宋"/>
          <w:b/>
          <w:sz w:val="28"/>
          <w:szCs w:val="28"/>
        </w:rPr>
      </w:pPr>
      <w:r>
        <w:rPr>
          <w:rFonts w:hint="eastAsia" w:ascii="仿宋" w:hAnsi="仿宋" w:eastAsia="仿宋" w:cs="仿宋"/>
          <w:b/>
          <w:bCs/>
          <w:sz w:val="28"/>
          <w:szCs w:val="28"/>
        </w:rPr>
        <w:t>14.</w:t>
      </w:r>
      <w:r>
        <w:rPr>
          <w:rFonts w:hint="eastAsia" w:ascii="仿宋" w:hAnsi="仿宋" w:eastAsia="仿宋" w:cs="仿宋"/>
          <w:b/>
          <w:sz w:val="28"/>
          <w:szCs w:val="28"/>
        </w:rPr>
        <w:t>伴随服务</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14.1 乙方应向甲方提交所提供货物的技术文件，包括相应的中文技术文件，如：产品目录、图纸、操作手册、使用说明、维护手册或服务指南。这些文件应包装好随同货物一起发运。</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14.2 乙方还应提供下列服务：</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（1）货物的现场移动、安装、调试、启动监督及技术支持；</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（2）提供货物组装和维修所需的专用工具和辅助材料；</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（3）在合同各方商定的一定期限内对所有的货物实施运行监督、维修，但前提条件是该服务并不能免除乙方在质量保证期内所承担的义务；</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（4）在制造商或项目现场就货物的安装、启动、运营、维护对甲方操作人员进行培训。</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bCs/>
          <w:sz w:val="28"/>
          <w:szCs w:val="28"/>
        </w:rPr>
        <w:t>政府采购合同专用条款</w:t>
      </w:r>
      <w:r>
        <w:rPr>
          <w:rFonts w:hint="eastAsia" w:ascii="仿宋" w:hAnsi="仿宋" w:eastAsia="仿宋" w:cs="仿宋"/>
          <w:sz w:val="28"/>
          <w:szCs w:val="28"/>
        </w:rPr>
        <w:t>与第八章采购需求规定的其他伴随服务</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14.3 乙方提供的伴随服务的费用应包含在合同价款中，甲方不再另行支付。</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15.违约责任</w:t>
      </w:r>
    </w:p>
    <w:p>
      <w:pPr>
        <w:adjustRightInd w:val="0"/>
        <w:snapToGrid w:val="0"/>
        <w:spacing w:line="360" w:lineRule="auto"/>
        <w:ind w:firstLine="420" w:firstLineChars="150"/>
        <w:rPr>
          <w:rFonts w:hint="eastAsia" w:ascii="仿宋" w:hAnsi="仿宋" w:eastAsia="仿宋" w:cs="仿宋"/>
          <w:bCs/>
          <w:sz w:val="28"/>
          <w:szCs w:val="28"/>
        </w:rPr>
      </w:pPr>
      <w:r>
        <w:rPr>
          <w:rFonts w:hint="eastAsia" w:ascii="仿宋" w:hAnsi="仿宋" w:eastAsia="仿宋" w:cs="仿宋"/>
          <w:bCs/>
          <w:sz w:val="28"/>
          <w:szCs w:val="28"/>
        </w:rPr>
        <w:t xml:space="preserve"> 15.1质量瑕疵的补救措施和索赔</w:t>
      </w:r>
    </w:p>
    <w:p>
      <w:pPr>
        <w:autoSpaceDE w:val="0"/>
        <w:autoSpaceDN w:val="0"/>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 xml:space="preserve">   （1）如果乙方提供的产品不符合质量标准或存在产品质量缺陷，而甲方在合同条款第9条或合同的其他条款规定的检验、安装、调试、验收和质量保证期内，根据法定质量检测部门出具的检验证书向乙方提出了索赔，乙方应按照甲方同意的下列一种或几种方式结合起来解决索赔事宜：</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①乙方同意退货并将货款退还给甲方，由此发生的一切费用和损失由乙方承担。</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②根据货物的质量状况以及甲方所遭受的损失，经过甲乙双方商定降低货物的价格。</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③乙方应在接到甲方通知后七日内负责采用符合合同规定的规格、质量和性能要求的新零件、部件和设备来更换有缺陷的部分或修补缺陷部分，其费用由乙方负担。同时，乙方应在约定的质量保证期基础上相应延长修补和更换件的质量保证期。</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如果在甲方发出索赔通知后十日内乙方未作答复，上述索赔应视为已被乙方接受。如果乙方未能在甲方发出索赔通知后十日内或甲方同意延长的期限内，按照上述规定的任何一种方法采取补救措施，甲方有权从应付货款中扣除索赔金额或者没收质量保证金，如不足以弥补甲方损失的，甲方有权进一步要求乙方赔偿。</w:t>
      </w:r>
    </w:p>
    <w:p>
      <w:pPr>
        <w:autoSpaceDE w:val="0"/>
        <w:autoSpaceDN w:val="0"/>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 xml:space="preserve"> 15.2 迟延交货的违约责任</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乙方应按照本合同规定的时间、地点交货和提供服务。在履行合同过程中，如果乙方遇到可能妨碍按时交货和提供服务的情形时，应及时以书面形式将迟延的事实、可能迟延的期限和理由通知甲方。甲方在收到乙方通知后，应尽快对情况进行评价，并确定是否同意迟延交货时间或延期提供服务。</w:t>
      </w:r>
    </w:p>
    <w:p>
      <w:pPr>
        <w:autoSpaceDE w:val="0"/>
        <w:autoSpaceDN w:val="0"/>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 xml:space="preserve">   （2）除本合同</w:t>
      </w:r>
      <w:r>
        <w:rPr>
          <w:rFonts w:hint="eastAsia" w:ascii="仿宋" w:hAnsi="仿宋" w:eastAsia="仿宋" w:cs="仿宋"/>
          <w:bCs/>
          <w:sz w:val="28"/>
          <w:szCs w:val="28"/>
        </w:rPr>
        <w:t>第19条</w:t>
      </w:r>
      <w:r>
        <w:rPr>
          <w:rFonts w:hint="eastAsia" w:ascii="仿宋" w:hAnsi="仿宋" w:eastAsia="仿宋" w:cs="仿宋"/>
          <w:sz w:val="28"/>
          <w:szCs w:val="28"/>
        </w:rPr>
        <w:t>规定情况外，如果乙方没有按照合同规定的时间交货和提供服务，甲方有权从货款中扣除误期赔偿费而不影响合同项下的其他补救方法，赔偿费按每周（一周按七日计算，不足七日按一周计算）赔偿迟交货物的交货价或延期服务的服务费用的百分之零点五（0.5%）计收，直至交货或提供服务为止。但误期赔偿费的最高限额不超过合同价的百分之五（5%）。一旦达到误期赔偿的最高限额，甲方可以终止合同。</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如果乙方迟延交货，甲方有权终止全部或部分合同，并依其认为适当的条件和方法购买与未交货物类似的货物，乙方应对购买类似货物所超出的那部分费用负责。但是，乙方应继续执行合同中未终止的部分。</w:t>
      </w:r>
    </w:p>
    <w:p>
      <w:pPr>
        <w:autoSpaceDE w:val="0"/>
        <w:autoSpaceDN w:val="0"/>
        <w:adjustRightInd w:val="0"/>
        <w:snapToGrid w:val="0"/>
        <w:spacing w:line="420" w:lineRule="exact"/>
        <w:rPr>
          <w:rFonts w:hint="eastAsia" w:ascii="仿宋" w:hAnsi="仿宋" w:eastAsia="仿宋" w:cs="仿宋"/>
          <w:b/>
          <w:sz w:val="28"/>
          <w:szCs w:val="28"/>
        </w:rPr>
      </w:pPr>
      <w:r>
        <w:rPr>
          <w:rFonts w:hint="eastAsia" w:ascii="仿宋" w:hAnsi="仿宋" w:eastAsia="仿宋" w:cs="仿宋"/>
          <w:b/>
          <w:sz w:val="28"/>
          <w:szCs w:val="28"/>
        </w:rPr>
        <w:t>16.合同的变更</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16.1 在合同履行过程中，甲、乙双方可就合同履行的时间、地点和方式等协商进行变更。协商一致后，双方应签订书面的补充协议。</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16.2 在不改变合同其他条款的前提下，甲方有权在合同价款百分之十的范围内追加与合同标的相同的货物或服务，并就此与乙方签订补充合同，乙方不得拒绝。</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16.3 除双方签署书面协议，并成为合同不可分割的一部分外，本合同条件不得有任何变更。</w:t>
      </w:r>
    </w:p>
    <w:p>
      <w:pPr>
        <w:autoSpaceDE w:val="0"/>
        <w:autoSpaceDN w:val="0"/>
        <w:adjustRightInd w:val="0"/>
        <w:snapToGrid w:val="0"/>
        <w:spacing w:line="420" w:lineRule="exact"/>
        <w:rPr>
          <w:rFonts w:hint="eastAsia" w:ascii="仿宋" w:hAnsi="仿宋" w:eastAsia="仿宋" w:cs="仿宋"/>
          <w:b/>
          <w:sz w:val="28"/>
          <w:szCs w:val="28"/>
        </w:rPr>
      </w:pPr>
      <w:r>
        <w:rPr>
          <w:rFonts w:hint="eastAsia" w:ascii="仿宋" w:hAnsi="仿宋" w:eastAsia="仿宋" w:cs="仿宋"/>
          <w:b/>
          <w:sz w:val="28"/>
          <w:szCs w:val="28"/>
        </w:rPr>
        <w:t>17.合同中止与终止</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17.1合同的中止</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（1）合同在履行过程中，因采购计划调整，甲方可以要求中止履行，待计划确定后继续履行；</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（2）合同履行过程中因供应商就采购过程或结果提起投诉的，甲方认为有必要或财政部门责令中止的，应当中止合同的履行。</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17.2合同的终止</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（1）合同因有效期限届满而终止；</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（2）乙方未能依照本合同约定条件履行合同，已构成根本性违约的，甲方有权终止本合同，并追究乙方的违约责任。</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（3）如果乙方丧失履约能力或被宣告破产，甲方可在任何时候以书面形式通知乙方终止合同而不给乙方补偿。</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（4）如果乙方在履行合同过程中有不正当竞争行为，甲方有权解除合同，并按《中华人民共和国反不正当竞争法》规定由有关部门追究其法律责任。</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（5）如果合同的履行将损害国家利益或社会公共利益，甲方有权终止合同的履行，给乙方造成损失的予以相应补偿。</w:t>
      </w:r>
    </w:p>
    <w:p>
      <w:pPr>
        <w:autoSpaceDE w:val="0"/>
        <w:autoSpaceDN w:val="0"/>
        <w:adjustRightInd w:val="0"/>
        <w:snapToGrid w:val="0"/>
        <w:spacing w:line="420" w:lineRule="exact"/>
        <w:rPr>
          <w:rFonts w:hint="eastAsia" w:ascii="仿宋" w:hAnsi="仿宋" w:eastAsia="仿宋" w:cs="仿宋"/>
          <w:b/>
          <w:bCs/>
          <w:sz w:val="28"/>
          <w:szCs w:val="28"/>
        </w:rPr>
      </w:pPr>
      <w:r>
        <w:rPr>
          <w:rFonts w:hint="eastAsia" w:ascii="仿宋" w:hAnsi="仿宋" w:eastAsia="仿宋" w:cs="仿宋"/>
          <w:b/>
          <w:bCs/>
          <w:sz w:val="28"/>
          <w:szCs w:val="28"/>
        </w:rPr>
        <w:t>18.合同转让和分包</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18.1 乙方不得以任何形式将合同转包。</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18.2 乙方未在响应文件中说明，且未经甲方书面同意，乙方不得将合同的主体、关键性工作分包给他人。</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18.3 根据政府采购支持中小企业发展政策规定，经甲方同意，获得政府采购合同的大型企业可依法向中小企业分包。</w:t>
      </w:r>
    </w:p>
    <w:p>
      <w:pPr>
        <w:autoSpaceDE w:val="0"/>
        <w:autoSpaceDN w:val="0"/>
        <w:adjustRightInd w:val="0"/>
        <w:snapToGrid w:val="0"/>
        <w:spacing w:line="420" w:lineRule="exact"/>
        <w:rPr>
          <w:rFonts w:hint="eastAsia" w:ascii="仿宋" w:hAnsi="仿宋" w:eastAsia="仿宋" w:cs="仿宋"/>
          <w:b/>
          <w:bCs/>
          <w:sz w:val="28"/>
          <w:szCs w:val="28"/>
        </w:rPr>
      </w:pPr>
      <w:r>
        <w:rPr>
          <w:rFonts w:hint="eastAsia" w:ascii="仿宋" w:hAnsi="仿宋" w:eastAsia="仿宋" w:cs="仿宋"/>
          <w:b/>
          <w:bCs/>
          <w:sz w:val="28"/>
          <w:szCs w:val="28"/>
        </w:rPr>
        <w:t>19.不可抗力</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19.1 不可抗力是指合同双方不可预见、不可避免、不可克服的自然灾害和社会事件。</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19.2 任何一方对由于不可抗力造成的部分或全部不能履行合同不承担违约责任。但迟延履行后发生不可抗力的，不能免除责任。</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19.3 遇有不可抗力的一方，应在三日内将事件的情况以书面形式通知另一方，并在事件发生后十日内，向另一方提交合同不能履行或部分不能履行或需要延期履行理由的报告。</w:t>
      </w:r>
    </w:p>
    <w:p>
      <w:pPr>
        <w:autoSpaceDE w:val="0"/>
        <w:autoSpaceDN w:val="0"/>
        <w:adjustRightInd w:val="0"/>
        <w:snapToGrid w:val="0"/>
        <w:spacing w:line="420" w:lineRule="exact"/>
        <w:rPr>
          <w:rFonts w:hint="eastAsia" w:ascii="仿宋" w:hAnsi="仿宋" w:eastAsia="仿宋" w:cs="仿宋"/>
          <w:b/>
          <w:bCs/>
          <w:sz w:val="28"/>
          <w:szCs w:val="28"/>
        </w:rPr>
      </w:pPr>
      <w:r>
        <w:rPr>
          <w:rFonts w:hint="eastAsia" w:ascii="仿宋" w:hAnsi="仿宋" w:eastAsia="仿宋" w:cs="仿宋"/>
          <w:b/>
          <w:bCs/>
          <w:sz w:val="28"/>
          <w:szCs w:val="28"/>
        </w:rPr>
        <w:t>20.解决争议的方法</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20.1 合同各方应通过友好协商，解决在执行合同过程中所发生的或与合同有关的一切争端。如从协商开始后十日内仍不能解决，可以向财政部门提请调解。</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20.2 调解不成可以按政府采购合同专用条款中规定下列方式之一提起仲裁或诉讼：</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（1）向甲方所在地仲裁机构提起仲裁；</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（2）向甲方所在地人民法院提起诉讼。</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20.3 如仲裁或诉讼事项不影响合同其它部分的履行，则在仲裁或诉讼期间，除正在进行仲裁或诉讼的部分外，合同的其它部分应继续执行。</w:t>
      </w:r>
    </w:p>
    <w:p>
      <w:pPr>
        <w:autoSpaceDE w:val="0"/>
        <w:autoSpaceDN w:val="0"/>
        <w:adjustRightInd w:val="0"/>
        <w:snapToGrid w:val="0"/>
        <w:spacing w:line="420" w:lineRule="exact"/>
        <w:rPr>
          <w:rFonts w:hint="eastAsia" w:ascii="仿宋" w:hAnsi="仿宋" w:eastAsia="仿宋" w:cs="仿宋"/>
          <w:b/>
          <w:sz w:val="28"/>
          <w:szCs w:val="28"/>
        </w:rPr>
      </w:pPr>
      <w:r>
        <w:rPr>
          <w:rFonts w:hint="eastAsia" w:ascii="仿宋" w:hAnsi="仿宋" w:eastAsia="仿宋" w:cs="仿宋"/>
          <w:b/>
          <w:sz w:val="28"/>
          <w:szCs w:val="28"/>
        </w:rPr>
        <w:t>21.法律适用</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21.1 本合同适用中华人民共和国现行法律、行政法规和规章，如合同条款与法律、行政法规和规章不一致的，按照法律、行政法规和规章修改本合同。</w:t>
      </w:r>
    </w:p>
    <w:p>
      <w:pPr>
        <w:autoSpaceDE w:val="0"/>
        <w:autoSpaceDN w:val="0"/>
        <w:adjustRightInd w:val="0"/>
        <w:snapToGrid w:val="0"/>
        <w:spacing w:line="420" w:lineRule="exact"/>
        <w:rPr>
          <w:rFonts w:hint="eastAsia" w:ascii="仿宋" w:hAnsi="仿宋" w:eastAsia="仿宋" w:cs="仿宋"/>
          <w:b/>
          <w:sz w:val="28"/>
          <w:szCs w:val="28"/>
        </w:rPr>
      </w:pPr>
      <w:r>
        <w:rPr>
          <w:rFonts w:hint="eastAsia" w:ascii="仿宋" w:hAnsi="仿宋" w:eastAsia="仿宋" w:cs="仿宋"/>
          <w:b/>
          <w:bCs/>
          <w:sz w:val="28"/>
          <w:szCs w:val="28"/>
        </w:rPr>
        <w:t>22.</w:t>
      </w:r>
      <w:r>
        <w:rPr>
          <w:rFonts w:hint="eastAsia" w:ascii="仿宋" w:hAnsi="仿宋" w:eastAsia="仿宋" w:cs="仿宋"/>
          <w:b/>
          <w:sz w:val="28"/>
          <w:szCs w:val="28"/>
        </w:rPr>
        <w:t>通知</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22.1本合同一方给另一方的通知均应采用书面形式，传真或快递送到本合同中规定的对方的地址和办理签收手续，</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22.2通知以送到之日或通知书中规定的生效之日起生效，两者中以较迟之日为准。</w:t>
      </w:r>
    </w:p>
    <w:p>
      <w:pPr>
        <w:adjustRightInd w:val="0"/>
        <w:snapToGrid w:val="0"/>
        <w:spacing w:line="420" w:lineRule="exact"/>
        <w:rPr>
          <w:rFonts w:hint="eastAsia" w:ascii="仿宋" w:hAnsi="仿宋" w:eastAsia="仿宋" w:cs="仿宋"/>
          <w:b/>
          <w:bCs/>
          <w:sz w:val="28"/>
          <w:szCs w:val="28"/>
        </w:rPr>
      </w:pPr>
      <w:r>
        <w:rPr>
          <w:rFonts w:hint="eastAsia" w:ascii="仿宋" w:hAnsi="仿宋" w:eastAsia="仿宋" w:cs="仿宋"/>
          <w:b/>
          <w:bCs/>
          <w:sz w:val="28"/>
          <w:szCs w:val="28"/>
        </w:rPr>
        <w:t>23.合同生效</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23.1 本合同在合同各方签字盖章后生效</w:t>
      </w:r>
    </w:p>
    <w:p>
      <w:pPr>
        <w:pStyle w:val="17"/>
        <w:snapToGrid w:val="0"/>
        <w:spacing w:line="420" w:lineRule="exact"/>
        <w:rPr>
          <w:rFonts w:hint="eastAsia" w:ascii="仿宋" w:hAnsi="仿宋" w:eastAsia="仿宋" w:cs="仿宋"/>
          <w:b/>
          <w:color w:val="000000"/>
          <w:sz w:val="28"/>
          <w:szCs w:val="28"/>
        </w:rPr>
      </w:pPr>
      <w:r>
        <w:rPr>
          <w:rFonts w:hint="eastAsia" w:ascii="仿宋" w:hAnsi="仿宋" w:eastAsia="仿宋" w:cs="仿宋"/>
          <w:b/>
          <w:color w:val="000000"/>
          <w:sz w:val="28"/>
          <w:szCs w:val="28"/>
        </w:rPr>
        <w:t>24.附则</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24.1本合同未尽事宜，见政府采购合同专用条款。</w:t>
      </w:r>
    </w:p>
    <w:p>
      <w:pPr>
        <w:pStyle w:val="2"/>
        <w:rPr>
          <w:rFonts w:hint="eastAsia" w:ascii="仿宋" w:hAnsi="仿宋" w:eastAsia="仿宋" w:cs="仿宋"/>
          <w:sz w:val="28"/>
          <w:szCs w:val="28"/>
        </w:rPr>
      </w:pPr>
    </w:p>
    <w:p>
      <w:pPr>
        <w:rPr>
          <w:rFonts w:hint="eastAsia" w:ascii="仿宋" w:hAnsi="仿宋" w:eastAsia="仿宋" w:cs="仿宋"/>
          <w:sz w:val="28"/>
          <w:szCs w:val="28"/>
        </w:rPr>
      </w:pPr>
    </w:p>
    <w:p>
      <w:pPr>
        <w:pStyle w:val="2"/>
        <w:rPr>
          <w:rFonts w:hint="eastAsia" w:ascii="仿宋" w:hAnsi="仿宋" w:eastAsia="仿宋" w:cs="仿宋"/>
          <w:sz w:val="28"/>
          <w:szCs w:val="28"/>
        </w:rPr>
      </w:pPr>
    </w:p>
    <w:p>
      <w:pPr>
        <w:rPr>
          <w:rFonts w:hint="eastAsia" w:ascii="仿宋" w:hAnsi="仿宋" w:eastAsia="仿宋" w:cs="仿宋"/>
          <w:sz w:val="28"/>
          <w:szCs w:val="28"/>
        </w:rPr>
      </w:pPr>
    </w:p>
    <w:p>
      <w:pPr>
        <w:autoSpaceDE w:val="0"/>
        <w:autoSpaceDN w:val="0"/>
        <w:adjustRightInd w:val="0"/>
        <w:snapToGrid w:val="0"/>
        <w:spacing w:line="360" w:lineRule="auto"/>
        <w:ind w:firstLine="560" w:firstLineChars="200"/>
        <w:rPr>
          <w:rFonts w:hint="eastAsia" w:ascii="仿宋" w:hAnsi="仿宋" w:eastAsia="仿宋" w:cs="仿宋"/>
          <w:sz w:val="28"/>
          <w:szCs w:val="28"/>
        </w:rPr>
      </w:pPr>
    </w:p>
    <w:p>
      <w:pPr>
        <w:autoSpaceDE w:val="0"/>
        <w:autoSpaceDN w:val="0"/>
        <w:adjustRightInd w:val="0"/>
        <w:snapToGrid w:val="0"/>
        <w:spacing w:line="360" w:lineRule="auto"/>
        <w:ind w:firstLine="560" w:firstLineChars="200"/>
        <w:rPr>
          <w:rFonts w:hint="eastAsia" w:ascii="仿宋" w:hAnsi="仿宋" w:eastAsia="仿宋" w:cs="仿宋"/>
          <w:sz w:val="28"/>
          <w:szCs w:val="28"/>
        </w:rPr>
      </w:pPr>
      <w:bookmarkStart w:id="253" w:name="_Toc21112"/>
      <w:bookmarkStart w:id="254" w:name="_Toc21489"/>
    </w:p>
    <w:p>
      <w:pPr>
        <w:pStyle w:val="3"/>
        <w:spacing w:before="0" w:after="0"/>
        <w:jc w:val="center"/>
        <w:rPr>
          <w:rFonts w:hint="eastAsia"/>
          <w:kern w:val="0"/>
          <w:sz w:val="40"/>
        </w:rPr>
      </w:pPr>
      <w:r>
        <w:rPr>
          <w:rFonts w:hint="eastAsia"/>
          <w:kern w:val="0"/>
          <w:sz w:val="40"/>
        </w:rPr>
        <w:t>7、验收</w:t>
      </w:r>
      <w:bookmarkEnd w:id="253"/>
      <w:bookmarkEnd w:id="254"/>
    </w:p>
    <w:p>
      <w:pPr>
        <w:autoSpaceDE w:val="0"/>
        <w:autoSpaceDN w:val="0"/>
        <w:adjustRightInd w:val="0"/>
        <w:snapToGrid w:val="0"/>
        <w:spacing w:line="420" w:lineRule="exact"/>
        <w:ind w:firstLine="480" w:firstLineChars="200"/>
        <w:rPr>
          <w:rFonts w:hint="eastAsia" w:ascii="宋体" w:hAnsi="宋体" w:cs="宋体"/>
          <w:sz w:val="24"/>
          <w:szCs w:val="24"/>
        </w:rPr>
      </w:pPr>
    </w:p>
    <w:p>
      <w:pPr>
        <w:autoSpaceDE w:val="0"/>
        <w:autoSpaceDN w:val="0"/>
        <w:adjustRightInd w:val="0"/>
        <w:snapToGrid w:val="0"/>
        <w:spacing w:line="420" w:lineRule="exact"/>
        <w:ind w:firstLine="480" w:firstLineChars="200"/>
        <w:rPr>
          <w:rFonts w:hint="eastAsia" w:ascii="宋体" w:hAnsi="宋体" w:cs="宋体"/>
          <w:sz w:val="24"/>
          <w:szCs w:val="24"/>
        </w:rPr>
      </w:pPr>
    </w:p>
    <w:p>
      <w:pPr>
        <w:autoSpaceDE w:val="0"/>
        <w:autoSpaceDN w:val="0"/>
        <w:adjustRightInd w:val="0"/>
        <w:snapToGrid w:val="0"/>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1、组织程序：项目建设完成后由采购单位按照项目有关规定，负责组织验收工作。</w:t>
      </w:r>
    </w:p>
    <w:p>
      <w:pPr>
        <w:autoSpaceDE w:val="0"/>
        <w:autoSpaceDN w:val="0"/>
        <w:adjustRightInd w:val="0"/>
        <w:snapToGrid w:val="0"/>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2、参与人员：采购单位和</w:t>
      </w:r>
      <w:r>
        <w:rPr>
          <w:rFonts w:hint="eastAsia" w:ascii="仿宋" w:hAnsi="仿宋" w:eastAsia="仿宋" w:cs="仿宋"/>
          <w:sz w:val="28"/>
          <w:szCs w:val="28"/>
          <w:lang w:eastAsia="zh-CN"/>
        </w:rPr>
        <w:t>成交</w:t>
      </w:r>
      <w:r>
        <w:rPr>
          <w:rFonts w:hint="eastAsia" w:ascii="仿宋" w:hAnsi="仿宋" w:eastAsia="仿宋" w:cs="仿宋"/>
          <w:sz w:val="28"/>
          <w:szCs w:val="28"/>
        </w:rPr>
        <w:t>供应商双方，也可邀请相关专家或其他第三方人员。</w:t>
      </w:r>
    </w:p>
    <w:p>
      <w:pPr>
        <w:autoSpaceDE w:val="0"/>
        <w:autoSpaceDN w:val="0"/>
        <w:adjustRightInd w:val="0"/>
        <w:snapToGrid w:val="0"/>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3、验收标准：严格执行有关行业标准、招标文件及合同的规定；</w:t>
      </w:r>
    </w:p>
    <w:p>
      <w:pPr>
        <w:autoSpaceDE w:val="0"/>
        <w:autoSpaceDN w:val="0"/>
        <w:adjustRightInd w:val="0"/>
        <w:snapToGrid w:val="0"/>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4、验收时间及地点：采购单位自行确定。</w:t>
      </w:r>
      <w:bookmarkEnd w:id="240"/>
      <w:bookmarkEnd w:id="241"/>
    </w:p>
    <w:p>
      <w:pPr>
        <w:autoSpaceDE w:val="0"/>
        <w:autoSpaceDN w:val="0"/>
        <w:adjustRightInd w:val="0"/>
        <w:snapToGrid w:val="0"/>
        <w:spacing w:line="420" w:lineRule="exact"/>
        <w:ind w:firstLine="560" w:firstLineChars="200"/>
        <w:rPr>
          <w:rFonts w:hint="eastAsia" w:ascii="仿宋" w:hAnsi="仿宋" w:eastAsia="仿宋" w:cs="仿宋"/>
          <w:sz w:val="28"/>
          <w:szCs w:val="28"/>
        </w:rPr>
      </w:pPr>
    </w:p>
    <w:p>
      <w:pPr>
        <w:autoSpaceDE w:val="0"/>
        <w:autoSpaceDN w:val="0"/>
        <w:adjustRightInd w:val="0"/>
        <w:snapToGrid w:val="0"/>
        <w:spacing w:line="420" w:lineRule="exact"/>
        <w:rPr>
          <w:rFonts w:hint="eastAsia" w:ascii="仿宋" w:hAnsi="仿宋" w:eastAsia="仿宋" w:cs="仿宋"/>
          <w:sz w:val="28"/>
          <w:szCs w:val="28"/>
        </w:rPr>
      </w:pPr>
    </w:p>
    <w:p>
      <w:pPr>
        <w:pStyle w:val="2"/>
        <w:rPr>
          <w:rFonts w:hint="eastAsia"/>
        </w:rPr>
      </w:pPr>
    </w:p>
    <w:p>
      <w:pPr>
        <w:pStyle w:val="3"/>
        <w:spacing w:before="0" w:after="0"/>
        <w:jc w:val="center"/>
        <w:rPr>
          <w:rFonts w:hint="eastAsia"/>
          <w:kern w:val="0"/>
          <w:sz w:val="40"/>
        </w:rPr>
      </w:pPr>
      <w:bookmarkStart w:id="255" w:name="_Toc27878"/>
      <w:bookmarkStart w:id="256" w:name="_Toc23571"/>
      <w:r>
        <w:rPr>
          <w:rFonts w:hint="eastAsia"/>
          <w:kern w:val="0"/>
          <w:sz w:val="40"/>
        </w:rPr>
        <w:t>8、附件</w:t>
      </w:r>
      <w:bookmarkEnd w:id="255"/>
      <w:bookmarkEnd w:id="256"/>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附件1：投标函</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附件2：法人授权函</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附件3：投标报价表</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附件4：项目组成人员表</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附件5：</w:t>
      </w:r>
      <w:r>
        <w:rPr>
          <w:rFonts w:hint="eastAsia" w:ascii="仿宋" w:hAnsi="仿宋" w:eastAsia="仿宋" w:cs="仿宋"/>
          <w:sz w:val="28"/>
          <w:szCs w:val="28"/>
        </w:rPr>
        <w:t>小微企业价格评审优惠申请及承诺函</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附件6：政府采购促进中小企业发展暂行办法</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7</w:t>
      </w:r>
      <w:r>
        <w:rPr>
          <w:rFonts w:hint="eastAsia" w:ascii="仿宋" w:hAnsi="仿宋" w:eastAsia="仿宋" w:cs="仿宋"/>
          <w:sz w:val="28"/>
          <w:szCs w:val="28"/>
        </w:rPr>
        <w:t>：供应商信用承诺书</w:t>
      </w:r>
    </w:p>
    <w:p>
      <w:pPr>
        <w:spacing w:line="360" w:lineRule="auto"/>
        <w:rPr>
          <w:rFonts w:hint="eastAsia" w:ascii="仿宋" w:hAnsi="仿宋" w:eastAsia="仿宋" w:cs="仿宋"/>
          <w:sz w:val="28"/>
          <w:szCs w:val="28"/>
        </w:rPr>
      </w:pP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(以上附件内容详见后附件)</w:t>
      </w:r>
    </w:p>
    <w:p>
      <w:pPr>
        <w:pStyle w:val="14"/>
        <w:spacing w:line="360" w:lineRule="auto"/>
        <w:ind w:firstLine="316" w:firstLineChars="150"/>
        <w:rPr>
          <w:b/>
          <w:szCs w:val="21"/>
        </w:rPr>
      </w:pPr>
    </w:p>
    <w:p>
      <w:pPr>
        <w:rPr>
          <w:b/>
          <w:szCs w:val="21"/>
        </w:rPr>
      </w:pPr>
      <w:r>
        <w:rPr>
          <w:rFonts w:hint="eastAsia"/>
          <w:b/>
          <w:szCs w:val="21"/>
        </w:rPr>
        <w:t>附件1</w:t>
      </w:r>
      <w:bookmarkStart w:id="257" w:name="_Toc139965361"/>
    </w:p>
    <w:p>
      <w:pPr>
        <w:pStyle w:val="4"/>
        <w:spacing w:before="0" w:after="0"/>
        <w:rPr>
          <w:szCs w:val="21"/>
        </w:rPr>
      </w:pPr>
      <w:bookmarkStart w:id="258" w:name="_Toc31398"/>
      <w:bookmarkStart w:id="259" w:name="_Toc8200"/>
      <w:bookmarkStart w:id="260" w:name="_Toc239047347"/>
      <w:r>
        <w:rPr>
          <w:rFonts w:hint="eastAsia" w:ascii="宋体" w:hAnsi="宋体"/>
          <w:sz w:val="21"/>
          <w:szCs w:val="21"/>
        </w:rPr>
        <w:t>投   标   函</w:t>
      </w:r>
      <w:bookmarkEnd w:id="257"/>
      <w:bookmarkEnd w:id="258"/>
      <w:bookmarkEnd w:id="259"/>
      <w:bookmarkEnd w:id="260"/>
    </w:p>
    <w:p>
      <w:pPr>
        <w:keepNext w:val="0"/>
        <w:keepLines w:val="0"/>
        <w:pageBreakBefore w:val="0"/>
        <w:widowControl w:val="0"/>
        <w:kinsoku/>
        <w:wordWrap/>
        <w:overflowPunct/>
        <w:topLinePunct w:val="0"/>
        <w:autoSpaceDE/>
        <w:autoSpaceDN/>
        <w:bidi w:val="0"/>
        <w:spacing w:line="46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致：镇原县公共资源交易中心</w:t>
      </w:r>
    </w:p>
    <w:p>
      <w:pPr>
        <w:keepNext w:val="0"/>
        <w:keepLines w:val="0"/>
        <w:pageBreakBefore w:val="0"/>
        <w:widowControl w:val="0"/>
        <w:kinsoku/>
        <w:wordWrap/>
        <w:overflowPunct/>
        <w:topLinePunct w:val="0"/>
        <w:autoSpaceDE/>
        <w:autoSpaceDN/>
        <w:bidi w:val="0"/>
        <w:spacing w:line="4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根据已收到的招标编号为</w:t>
      </w:r>
      <w:r>
        <w:rPr>
          <w:rFonts w:hint="eastAsia" w:ascii="仿宋" w:hAnsi="仿宋" w:eastAsia="仿宋" w:cs="仿宋"/>
          <w:sz w:val="24"/>
          <w:szCs w:val="24"/>
          <w:u w:val="single"/>
        </w:rPr>
        <w:t xml:space="preserve">          </w:t>
      </w:r>
      <w:r>
        <w:rPr>
          <w:rFonts w:hint="eastAsia" w:ascii="仿宋" w:hAnsi="仿宋" w:eastAsia="仿宋" w:cs="仿宋"/>
          <w:sz w:val="24"/>
          <w:szCs w:val="24"/>
        </w:rPr>
        <w:t>的</w:t>
      </w:r>
      <w:r>
        <w:rPr>
          <w:rFonts w:hint="eastAsia" w:ascii="仿宋" w:hAnsi="仿宋" w:eastAsia="仿宋" w:cs="仿宋"/>
          <w:sz w:val="24"/>
          <w:szCs w:val="24"/>
          <w:u w:val="single"/>
        </w:rPr>
        <w:t xml:space="preserve">                           项目</w:t>
      </w:r>
      <w:r>
        <w:rPr>
          <w:rFonts w:hint="eastAsia" w:ascii="仿宋" w:hAnsi="仿宋" w:eastAsia="仿宋" w:cs="仿宋"/>
          <w:sz w:val="24"/>
          <w:szCs w:val="24"/>
        </w:rPr>
        <w:t>招标文件，我单位经认真研究上述招标文件，决定参加本次投标。我方提交投标文件正本份、副本份并保证其真实性。我方愿承担该项目的实施和保修任务，履行招标文件中对</w:t>
      </w:r>
      <w:r>
        <w:rPr>
          <w:rFonts w:hint="eastAsia" w:ascii="仿宋" w:hAnsi="仿宋" w:eastAsia="仿宋" w:cs="仿宋"/>
          <w:sz w:val="24"/>
          <w:szCs w:val="24"/>
          <w:lang w:eastAsia="zh-CN"/>
        </w:rPr>
        <w:t>成交</w:t>
      </w:r>
      <w:r>
        <w:rPr>
          <w:rFonts w:hint="eastAsia" w:ascii="仿宋" w:hAnsi="仿宋" w:eastAsia="仿宋" w:cs="仿宋"/>
          <w:sz w:val="24"/>
          <w:szCs w:val="24"/>
        </w:rPr>
        <w:t>单位的要求和应承担的责任和义务。同时我方郑重做出如下声明：</w:t>
      </w:r>
    </w:p>
    <w:p>
      <w:pPr>
        <w:keepNext w:val="0"/>
        <w:keepLines w:val="0"/>
        <w:pageBreakBefore w:val="0"/>
        <w:widowControl w:val="0"/>
        <w:kinsoku/>
        <w:wordWrap/>
        <w:overflowPunct/>
        <w:topLinePunct w:val="0"/>
        <w:autoSpaceDE/>
        <w:autoSpaceDN/>
        <w:bidi w:val="0"/>
        <w:spacing w:line="4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1、我方完全接受招标文件中的内容，并将按招标文件的规定履行责任、义务。</w:t>
      </w:r>
    </w:p>
    <w:p>
      <w:pPr>
        <w:keepNext w:val="0"/>
        <w:keepLines w:val="0"/>
        <w:pageBreakBefore w:val="0"/>
        <w:widowControl w:val="0"/>
        <w:kinsoku/>
        <w:wordWrap/>
        <w:overflowPunct/>
        <w:topLinePunct w:val="0"/>
        <w:autoSpaceDE/>
        <w:autoSpaceDN/>
        <w:bidi w:val="0"/>
        <w:spacing w:line="4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2、我方已详细审查全部招标文件，包括修改文件、参考资料及有关附件，无其他不明事项。</w:t>
      </w:r>
    </w:p>
    <w:p>
      <w:pPr>
        <w:keepNext w:val="0"/>
        <w:keepLines w:val="0"/>
        <w:pageBreakBefore w:val="0"/>
        <w:widowControl w:val="0"/>
        <w:kinsoku/>
        <w:wordWrap/>
        <w:overflowPunct/>
        <w:topLinePunct w:val="0"/>
        <w:autoSpaceDE/>
        <w:autoSpaceDN/>
        <w:bidi w:val="0"/>
        <w:spacing w:line="4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3、我方同意提供贵方可能要求的与投标有关的任何证据或资料。</w:t>
      </w:r>
    </w:p>
    <w:p>
      <w:pPr>
        <w:keepNext w:val="0"/>
        <w:keepLines w:val="0"/>
        <w:pageBreakBefore w:val="0"/>
        <w:widowControl w:val="0"/>
        <w:kinsoku/>
        <w:wordWrap/>
        <w:overflowPunct/>
        <w:topLinePunct w:val="0"/>
        <w:autoSpaceDE/>
        <w:autoSpaceDN/>
        <w:bidi w:val="0"/>
        <w:spacing w:line="4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4、如果我方</w:t>
      </w:r>
      <w:r>
        <w:rPr>
          <w:rFonts w:hint="eastAsia" w:ascii="仿宋" w:hAnsi="仿宋" w:eastAsia="仿宋" w:cs="仿宋"/>
          <w:sz w:val="24"/>
          <w:szCs w:val="24"/>
          <w:lang w:eastAsia="zh-CN"/>
        </w:rPr>
        <w:t>成交</w:t>
      </w:r>
      <w:r>
        <w:rPr>
          <w:rFonts w:hint="eastAsia" w:ascii="仿宋" w:hAnsi="仿宋" w:eastAsia="仿宋" w:cs="仿宋"/>
          <w:sz w:val="24"/>
          <w:szCs w:val="24"/>
        </w:rPr>
        <w:t>，我方将按《</w:t>
      </w:r>
      <w:r>
        <w:rPr>
          <w:rFonts w:hint="eastAsia" w:ascii="仿宋" w:hAnsi="仿宋" w:eastAsia="仿宋" w:cs="仿宋"/>
          <w:sz w:val="24"/>
          <w:szCs w:val="24"/>
          <w:lang w:eastAsia="zh-CN"/>
        </w:rPr>
        <w:t>成交</w:t>
      </w:r>
      <w:r>
        <w:rPr>
          <w:rFonts w:hint="eastAsia" w:ascii="仿宋" w:hAnsi="仿宋" w:eastAsia="仿宋" w:cs="仿宋"/>
          <w:sz w:val="24"/>
          <w:szCs w:val="24"/>
        </w:rPr>
        <w:t>通知书》要求签订、履行合同，承担责任、义务。</w:t>
      </w:r>
    </w:p>
    <w:p>
      <w:pPr>
        <w:keepNext w:val="0"/>
        <w:keepLines w:val="0"/>
        <w:pageBreakBefore w:val="0"/>
        <w:widowControl w:val="0"/>
        <w:kinsoku/>
        <w:wordWrap/>
        <w:overflowPunct/>
        <w:topLinePunct w:val="0"/>
        <w:autoSpaceDE/>
        <w:autoSpaceDN/>
        <w:bidi w:val="0"/>
        <w:spacing w:line="4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5、我方同意所递交的投标文件在天的投标有效期内有效，在此期间我方将受此约束。</w:t>
      </w:r>
    </w:p>
    <w:p>
      <w:pPr>
        <w:keepNext w:val="0"/>
        <w:keepLines w:val="0"/>
        <w:pageBreakBefore w:val="0"/>
        <w:widowControl w:val="0"/>
        <w:kinsoku/>
        <w:wordWrap/>
        <w:overflowPunct/>
        <w:topLinePunct w:val="0"/>
        <w:autoSpaceDE/>
        <w:autoSpaceDN/>
        <w:bidi w:val="0"/>
        <w:spacing w:line="4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6、我们理解贵方不一定要接受最低报价的投标或收到的任何投标。</w:t>
      </w:r>
    </w:p>
    <w:p>
      <w:pPr>
        <w:keepNext w:val="0"/>
        <w:keepLines w:val="0"/>
        <w:pageBreakBefore w:val="0"/>
        <w:widowControl w:val="0"/>
        <w:kinsoku/>
        <w:wordWrap/>
        <w:overflowPunct/>
        <w:topLinePunct w:val="0"/>
        <w:autoSpaceDE/>
        <w:autoSpaceDN/>
        <w:bidi w:val="0"/>
        <w:spacing w:line="4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7、投标有关的一切资金往来请使用以下帐户：</w:t>
      </w:r>
    </w:p>
    <w:p>
      <w:pPr>
        <w:keepNext w:val="0"/>
        <w:keepLines w:val="0"/>
        <w:pageBreakBefore w:val="0"/>
        <w:widowControl w:val="0"/>
        <w:kinsoku/>
        <w:wordWrap/>
        <w:overflowPunct/>
        <w:topLinePunct w:val="0"/>
        <w:autoSpaceDE/>
        <w:autoSpaceDN/>
        <w:bidi w:val="0"/>
        <w:spacing w:line="460" w:lineRule="exact"/>
        <w:ind w:left="0" w:leftChars="0" w:firstLine="900" w:firstLineChars="375"/>
        <w:textAlignment w:val="auto"/>
        <w:rPr>
          <w:rFonts w:hint="eastAsia" w:ascii="仿宋" w:hAnsi="仿宋" w:eastAsia="仿宋" w:cs="仿宋"/>
          <w:sz w:val="24"/>
          <w:szCs w:val="24"/>
        </w:rPr>
      </w:pPr>
      <w:r>
        <w:rPr>
          <w:rFonts w:hint="eastAsia" w:ascii="仿宋" w:hAnsi="仿宋" w:eastAsia="仿宋" w:cs="仿宋"/>
          <w:sz w:val="24"/>
          <w:szCs w:val="24"/>
        </w:rPr>
        <w:t>开户行：</w:t>
      </w:r>
    </w:p>
    <w:p>
      <w:pPr>
        <w:keepNext w:val="0"/>
        <w:keepLines w:val="0"/>
        <w:pageBreakBefore w:val="0"/>
        <w:widowControl w:val="0"/>
        <w:kinsoku/>
        <w:wordWrap/>
        <w:overflowPunct/>
        <w:topLinePunct w:val="0"/>
        <w:autoSpaceDE/>
        <w:autoSpaceDN/>
        <w:bidi w:val="0"/>
        <w:spacing w:line="460" w:lineRule="exact"/>
        <w:ind w:left="0" w:leftChars="0" w:firstLine="900" w:firstLineChars="375"/>
        <w:textAlignment w:val="auto"/>
        <w:rPr>
          <w:rFonts w:hint="eastAsia" w:ascii="仿宋" w:hAnsi="仿宋" w:eastAsia="仿宋" w:cs="仿宋"/>
          <w:sz w:val="24"/>
          <w:szCs w:val="24"/>
        </w:rPr>
      </w:pPr>
      <w:r>
        <w:rPr>
          <w:rFonts w:hint="eastAsia" w:ascii="仿宋" w:hAnsi="仿宋" w:eastAsia="仿宋" w:cs="仿宋"/>
          <w:sz w:val="24"/>
          <w:szCs w:val="24"/>
        </w:rPr>
        <w:t>户  名：</w:t>
      </w:r>
    </w:p>
    <w:p>
      <w:pPr>
        <w:keepNext w:val="0"/>
        <w:keepLines w:val="0"/>
        <w:pageBreakBefore w:val="0"/>
        <w:widowControl w:val="0"/>
        <w:kinsoku/>
        <w:wordWrap/>
        <w:overflowPunct/>
        <w:topLinePunct w:val="0"/>
        <w:autoSpaceDE/>
        <w:autoSpaceDN/>
        <w:bidi w:val="0"/>
        <w:spacing w:line="460" w:lineRule="exact"/>
        <w:ind w:left="0" w:leftChars="0" w:firstLine="900" w:firstLineChars="375"/>
        <w:textAlignment w:val="auto"/>
        <w:rPr>
          <w:rFonts w:hint="eastAsia" w:ascii="仿宋" w:hAnsi="仿宋" w:eastAsia="仿宋" w:cs="仿宋"/>
          <w:sz w:val="24"/>
          <w:szCs w:val="24"/>
        </w:rPr>
      </w:pPr>
      <w:r>
        <w:rPr>
          <w:rFonts w:hint="eastAsia" w:ascii="仿宋" w:hAnsi="仿宋" w:eastAsia="仿宋" w:cs="仿宋"/>
          <w:sz w:val="24"/>
          <w:szCs w:val="24"/>
        </w:rPr>
        <w:t>账  号：</w:t>
      </w:r>
    </w:p>
    <w:p>
      <w:pPr>
        <w:keepNext w:val="0"/>
        <w:keepLines w:val="0"/>
        <w:pageBreakBefore w:val="0"/>
        <w:widowControl w:val="0"/>
        <w:kinsoku/>
        <w:wordWrap/>
        <w:overflowPunct/>
        <w:topLinePunct w:val="0"/>
        <w:autoSpaceDE/>
        <w:autoSpaceDN/>
        <w:bidi w:val="0"/>
        <w:spacing w:line="4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8、与投标有关的一切正式信函请使用以下地址：</w:t>
      </w:r>
    </w:p>
    <w:p>
      <w:pPr>
        <w:keepNext w:val="0"/>
        <w:keepLines w:val="0"/>
        <w:pageBreakBefore w:val="0"/>
        <w:widowControl w:val="0"/>
        <w:kinsoku/>
        <w:wordWrap/>
        <w:overflowPunct/>
        <w:topLinePunct w:val="0"/>
        <w:autoSpaceDE/>
        <w:autoSpaceDN/>
        <w:bidi w:val="0"/>
        <w:spacing w:line="460" w:lineRule="exact"/>
        <w:ind w:left="0" w:leftChars="0" w:firstLine="900" w:firstLineChars="375"/>
        <w:textAlignment w:val="auto"/>
        <w:rPr>
          <w:rFonts w:hint="eastAsia" w:ascii="仿宋" w:hAnsi="仿宋" w:eastAsia="仿宋" w:cs="仿宋"/>
          <w:sz w:val="24"/>
          <w:szCs w:val="24"/>
        </w:rPr>
      </w:pPr>
      <w:r>
        <w:rPr>
          <w:rFonts w:hint="eastAsia" w:ascii="仿宋" w:hAnsi="仿宋" w:eastAsia="仿宋" w:cs="仿宋"/>
          <w:sz w:val="24"/>
          <w:szCs w:val="24"/>
        </w:rPr>
        <w:t>地      址：</w:t>
      </w:r>
    </w:p>
    <w:p>
      <w:pPr>
        <w:keepNext w:val="0"/>
        <w:keepLines w:val="0"/>
        <w:pageBreakBefore w:val="0"/>
        <w:widowControl w:val="0"/>
        <w:kinsoku/>
        <w:wordWrap/>
        <w:overflowPunct/>
        <w:topLinePunct w:val="0"/>
        <w:autoSpaceDE/>
        <w:autoSpaceDN/>
        <w:bidi w:val="0"/>
        <w:spacing w:line="460" w:lineRule="exact"/>
        <w:ind w:left="0" w:leftChars="0" w:firstLine="900" w:firstLineChars="375"/>
        <w:textAlignment w:val="auto"/>
        <w:rPr>
          <w:rFonts w:hint="eastAsia" w:ascii="仿宋" w:hAnsi="仿宋" w:eastAsia="仿宋" w:cs="仿宋"/>
          <w:sz w:val="24"/>
          <w:szCs w:val="24"/>
        </w:rPr>
      </w:pPr>
      <w:r>
        <w:rPr>
          <w:rFonts w:hint="eastAsia" w:ascii="仿宋" w:hAnsi="仿宋" w:eastAsia="仿宋" w:cs="仿宋"/>
          <w:sz w:val="24"/>
          <w:szCs w:val="24"/>
        </w:rPr>
        <w:t>邮      编：</w:t>
      </w:r>
    </w:p>
    <w:p>
      <w:pPr>
        <w:keepNext w:val="0"/>
        <w:keepLines w:val="0"/>
        <w:pageBreakBefore w:val="0"/>
        <w:widowControl w:val="0"/>
        <w:kinsoku/>
        <w:wordWrap/>
        <w:overflowPunct/>
        <w:topLinePunct w:val="0"/>
        <w:autoSpaceDE/>
        <w:autoSpaceDN/>
        <w:bidi w:val="0"/>
        <w:spacing w:line="460" w:lineRule="exact"/>
        <w:ind w:left="0" w:leftChars="0" w:firstLine="900" w:firstLineChars="375"/>
        <w:textAlignment w:val="auto"/>
        <w:rPr>
          <w:rFonts w:hint="eastAsia" w:ascii="仿宋" w:hAnsi="仿宋" w:eastAsia="仿宋" w:cs="仿宋"/>
          <w:sz w:val="24"/>
          <w:szCs w:val="24"/>
        </w:rPr>
      </w:pPr>
      <w:r>
        <w:rPr>
          <w:rFonts w:hint="eastAsia" w:ascii="仿宋" w:hAnsi="仿宋" w:eastAsia="仿宋" w:cs="仿宋"/>
          <w:sz w:val="24"/>
          <w:szCs w:val="24"/>
        </w:rPr>
        <w:t>电      话：</w:t>
      </w:r>
    </w:p>
    <w:p>
      <w:pPr>
        <w:keepNext w:val="0"/>
        <w:keepLines w:val="0"/>
        <w:pageBreakBefore w:val="0"/>
        <w:widowControl w:val="0"/>
        <w:kinsoku/>
        <w:wordWrap/>
        <w:overflowPunct/>
        <w:topLinePunct w:val="0"/>
        <w:autoSpaceDE/>
        <w:autoSpaceDN/>
        <w:bidi w:val="0"/>
        <w:spacing w:line="460" w:lineRule="exact"/>
        <w:ind w:left="0" w:leftChars="0" w:firstLine="900" w:firstLineChars="375"/>
        <w:textAlignment w:val="auto"/>
        <w:rPr>
          <w:rFonts w:hint="eastAsia" w:ascii="仿宋" w:hAnsi="仿宋" w:eastAsia="仿宋" w:cs="仿宋"/>
          <w:sz w:val="24"/>
          <w:szCs w:val="24"/>
        </w:rPr>
      </w:pPr>
      <w:r>
        <w:rPr>
          <w:rFonts w:hint="eastAsia" w:ascii="仿宋" w:hAnsi="仿宋" w:eastAsia="仿宋" w:cs="仿宋"/>
          <w:sz w:val="24"/>
          <w:szCs w:val="24"/>
        </w:rPr>
        <w:t>传      真：</w:t>
      </w:r>
    </w:p>
    <w:p>
      <w:pPr>
        <w:keepNext w:val="0"/>
        <w:keepLines w:val="0"/>
        <w:pageBreakBefore w:val="0"/>
        <w:widowControl w:val="0"/>
        <w:kinsoku/>
        <w:wordWrap/>
        <w:overflowPunct/>
        <w:topLinePunct w:val="0"/>
        <w:autoSpaceDE/>
        <w:autoSpaceDN/>
        <w:bidi w:val="0"/>
        <w:spacing w:line="460" w:lineRule="exact"/>
        <w:ind w:left="0" w:leftChars="0" w:firstLine="900" w:firstLineChars="375"/>
        <w:textAlignment w:val="auto"/>
        <w:rPr>
          <w:rFonts w:hint="eastAsia" w:ascii="仿宋" w:hAnsi="仿宋" w:eastAsia="仿宋" w:cs="仿宋"/>
          <w:sz w:val="24"/>
          <w:szCs w:val="24"/>
          <w:u w:val="single"/>
        </w:rPr>
      </w:pPr>
      <w:r>
        <w:rPr>
          <w:rFonts w:hint="eastAsia" w:ascii="仿宋" w:hAnsi="仿宋" w:eastAsia="仿宋" w:cs="仿宋"/>
          <w:sz w:val="24"/>
          <w:szCs w:val="24"/>
        </w:rPr>
        <w:t>单位公章：</w:t>
      </w:r>
    </w:p>
    <w:p>
      <w:pPr>
        <w:keepNext w:val="0"/>
        <w:keepLines w:val="0"/>
        <w:pageBreakBefore w:val="0"/>
        <w:widowControl w:val="0"/>
        <w:kinsoku/>
        <w:wordWrap/>
        <w:overflowPunct/>
        <w:topLinePunct w:val="0"/>
        <w:autoSpaceDE/>
        <w:autoSpaceDN/>
        <w:bidi w:val="0"/>
        <w:spacing w:line="460" w:lineRule="exact"/>
        <w:ind w:left="0" w:leftChars="0" w:firstLine="900" w:firstLineChars="375"/>
        <w:textAlignment w:val="auto"/>
        <w:rPr>
          <w:rFonts w:hint="eastAsia" w:ascii="仿宋" w:hAnsi="仿宋" w:eastAsia="仿宋" w:cs="仿宋"/>
          <w:sz w:val="24"/>
          <w:szCs w:val="24"/>
        </w:rPr>
      </w:pPr>
      <w:r>
        <w:rPr>
          <w:rFonts w:hint="eastAsia" w:ascii="仿宋" w:hAnsi="仿宋" w:eastAsia="仿宋" w:cs="仿宋"/>
          <w:sz w:val="24"/>
          <w:szCs w:val="24"/>
        </w:rPr>
        <w:t>法定代表人或授权代表人签字：</w:t>
      </w:r>
    </w:p>
    <w:p>
      <w:pPr>
        <w:pStyle w:val="18"/>
        <w:keepNext w:val="0"/>
        <w:keepLines w:val="0"/>
        <w:pageBreakBefore w:val="0"/>
        <w:widowControl w:val="0"/>
        <w:kinsoku/>
        <w:wordWrap/>
        <w:overflowPunct/>
        <w:topLinePunct w:val="0"/>
        <w:autoSpaceDE/>
        <w:autoSpaceDN/>
        <w:bidi w:val="0"/>
        <w:spacing w:line="460" w:lineRule="exact"/>
        <w:ind w:left="0" w:leftChars="0" w:right="560"/>
        <w:textAlignment w:val="auto"/>
        <w:rPr>
          <w:rFonts w:hint="eastAsia" w:ascii="仿宋" w:hAnsi="仿宋" w:eastAsia="仿宋" w:cs="仿宋"/>
          <w:sz w:val="24"/>
          <w:szCs w:val="24"/>
        </w:rPr>
      </w:pPr>
    </w:p>
    <w:p>
      <w:pPr>
        <w:pStyle w:val="18"/>
        <w:keepNext w:val="0"/>
        <w:keepLines w:val="0"/>
        <w:pageBreakBefore w:val="0"/>
        <w:widowControl w:val="0"/>
        <w:kinsoku/>
        <w:wordWrap/>
        <w:overflowPunct/>
        <w:topLinePunct w:val="0"/>
        <w:autoSpaceDE/>
        <w:autoSpaceDN/>
        <w:bidi w:val="0"/>
        <w:spacing w:line="460" w:lineRule="exact"/>
        <w:ind w:right="560"/>
        <w:textAlignment w:val="auto"/>
        <w:rPr>
          <w:rFonts w:hint="eastAsia" w:ascii="仿宋" w:hAnsi="仿宋" w:eastAsia="仿宋" w:cs="仿宋"/>
          <w:sz w:val="24"/>
          <w:szCs w:val="24"/>
        </w:rPr>
      </w:pPr>
      <w:r>
        <w:rPr>
          <w:rFonts w:hint="eastAsia" w:ascii="仿宋" w:hAnsi="仿宋" w:eastAsia="仿宋" w:cs="仿宋"/>
          <w:sz w:val="24"/>
          <w:szCs w:val="24"/>
        </w:rPr>
        <w:t>年    月   日</w:t>
      </w:r>
    </w:p>
    <w:p>
      <w:pPr>
        <w:rPr>
          <w:b/>
          <w:szCs w:val="21"/>
        </w:rPr>
      </w:pPr>
      <w:r>
        <w:rPr>
          <w:rFonts w:hint="eastAsia"/>
          <w:b/>
          <w:szCs w:val="21"/>
        </w:rPr>
        <w:t>附件2：</w:t>
      </w:r>
      <w:bookmarkStart w:id="261" w:name="_Toc139965362"/>
    </w:p>
    <w:p>
      <w:pPr>
        <w:pStyle w:val="4"/>
        <w:spacing w:before="0" w:after="0"/>
        <w:rPr>
          <w:sz w:val="21"/>
          <w:szCs w:val="21"/>
        </w:rPr>
      </w:pPr>
      <w:bookmarkStart w:id="262" w:name="_Toc26489"/>
      <w:bookmarkStart w:id="263" w:name="_Toc30091"/>
      <w:bookmarkStart w:id="264" w:name="_Toc239047348"/>
      <w:r>
        <w:rPr>
          <w:rFonts w:hint="eastAsia"/>
          <w:sz w:val="21"/>
          <w:szCs w:val="21"/>
        </w:rPr>
        <w:t>法人授权</w:t>
      </w:r>
      <w:bookmarkEnd w:id="261"/>
      <w:r>
        <w:rPr>
          <w:rFonts w:hint="eastAsia"/>
          <w:sz w:val="21"/>
          <w:szCs w:val="21"/>
        </w:rPr>
        <w:t>函</w:t>
      </w:r>
      <w:bookmarkEnd w:id="262"/>
      <w:bookmarkEnd w:id="263"/>
      <w:bookmarkEnd w:id="264"/>
    </w:p>
    <w:p>
      <w:pPr>
        <w:spacing w:line="300" w:lineRule="auto"/>
        <w:rPr>
          <w:szCs w:val="21"/>
        </w:rPr>
      </w:pPr>
    </w:p>
    <w:p>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致 ：镇原县公共资源交易中心</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本授权函声明：</w:t>
      </w:r>
      <w:r>
        <w:rPr>
          <w:rFonts w:hint="eastAsia" w:ascii="仿宋" w:hAnsi="仿宋" w:eastAsia="仿宋" w:cs="仿宋"/>
          <w:sz w:val="24"/>
          <w:szCs w:val="24"/>
          <w:u w:val="single"/>
        </w:rPr>
        <w:t xml:space="preserve">            （投标人全称）         </w:t>
      </w:r>
      <w:r>
        <w:rPr>
          <w:rFonts w:hint="eastAsia" w:ascii="仿宋" w:hAnsi="仿宋" w:eastAsia="仿宋" w:cs="仿宋"/>
          <w:sz w:val="24"/>
          <w:szCs w:val="24"/>
        </w:rPr>
        <w:t>任命</w:t>
      </w:r>
      <w:r>
        <w:rPr>
          <w:rFonts w:hint="eastAsia" w:ascii="仿宋" w:hAnsi="仿宋" w:eastAsia="仿宋" w:cs="仿宋"/>
          <w:sz w:val="24"/>
          <w:szCs w:val="24"/>
          <w:u w:val="single"/>
        </w:rPr>
        <w:t xml:space="preserve"> （被授权人姓名、职务）   </w:t>
      </w:r>
      <w:r>
        <w:rPr>
          <w:rFonts w:hint="eastAsia" w:ascii="仿宋" w:hAnsi="仿宋" w:eastAsia="仿宋" w:cs="仿宋"/>
          <w:sz w:val="24"/>
          <w:szCs w:val="24"/>
        </w:rPr>
        <w:t>为我公司的授权代表人，参与招标编号为</w:t>
      </w:r>
      <w:r>
        <w:rPr>
          <w:rFonts w:hint="eastAsia" w:ascii="仿宋" w:hAnsi="仿宋" w:eastAsia="仿宋" w:cs="仿宋"/>
          <w:sz w:val="24"/>
          <w:szCs w:val="24"/>
          <w:u w:val="single"/>
        </w:rPr>
        <w:t xml:space="preserve">            </w:t>
      </w:r>
      <w:r>
        <w:rPr>
          <w:rFonts w:hint="eastAsia" w:ascii="仿宋" w:hAnsi="仿宋" w:eastAsia="仿宋" w:cs="仿宋"/>
          <w:sz w:val="24"/>
          <w:szCs w:val="24"/>
        </w:rPr>
        <w:t>的</w:t>
      </w:r>
      <w:r>
        <w:rPr>
          <w:rFonts w:hint="eastAsia" w:ascii="仿宋" w:hAnsi="仿宋" w:eastAsia="仿宋" w:cs="仿宋"/>
          <w:sz w:val="24"/>
          <w:szCs w:val="24"/>
          <w:u w:val="single"/>
        </w:rPr>
        <w:t xml:space="preserve">                              </w:t>
      </w:r>
      <w:r>
        <w:rPr>
          <w:rFonts w:hint="eastAsia" w:ascii="仿宋" w:hAnsi="仿宋" w:eastAsia="仿宋" w:cs="仿宋"/>
          <w:sz w:val="24"/>
          <w:szCs w:val="24"/>
        </w:rPr>
        <w:t>项目投标活动，以投标人的名义签署投标文件、进行合同谈判、签署合同和全权处理与之有关的一切事务。</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2246"/>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特签字如下，以资证明。</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投标人名称：（公章）</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single"/>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投标人地址：</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法定代表人：（签字或印章）</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被授权人：（签字或印章）：</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被授权人信息：性别：</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2160" w:firstLineChars="900"/>
        <w:textAlignment w:val="auto"/>
        <w:rPr>
          <w:rFonts w:hint="eastAsia" w:ascii="仿宋" w:hAnsi="仿宋" w:eastAsia="仿宋" w:cs="仿宋"/>
          <w:sz w:val="24"/>
          <w:szCs w:val="24"/>
          <w:u w:val="single"/>
        </w:rPr>
      </w:pPr>
      <w:r>
        <w:rPr>
          <w:rFonts w:hint="eastAsia" w:ascii="仿宋" w:hAnsi="仿宋" w:eastAsia="仿宋" w:cs="仿宋"/>
          <w:sz w:val="24"/>
          <w:szCs w:val="24"/>
        </w:rPr>
        <w:t>年龄：</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2160" w:firstLineChars="900"/>
        <w:textAlignment w:val="auto"/>
        <w:rPr>
          <w:rFonts w:hint="eastAsia" w:ascii="仿宋" w:hAnsi="仿宋" w:eastAsia="仿宋" w:cs="仿宋"/>
          <w:sz w:val="24"/>
          <w:szCs w:val="24"/>
          <w:u w:val="single"/>
        </w:rPr>
      </w:pPr>
      <w:r>
        <w:rPr>
          <w:rFonts w:hint="eastAsia" w:ascii="仿宋" w:hAnsi="仿宋" w:eastAsia="仿宋" w:cs="仿宋"/>
          <w:sz w:val="24"/>
          <w:szCs w:val="24"/>
        </w:rPr>
        <w:t>身份证号：</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57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3360" w:firstLineChars="140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4560" w:firstLineChars="1900"/>
        <w:textAlignment w:val="auto"/>
        <w:rPr>
          <w:rFonts w:hint="eastAsia" w:ascii="仿宋" w:hAnsi="仿宋" w:eastAsia="仿宋" w:cs="仿宋"/>
          <w:sz w:val="24"/>
          <w:szCs w:val="24"/>
        </w:rPr>
      </w:pPr>
      <w:r>
        <w:rPr>
          <w:rFonts w:hint="eastAsia" w:ascii="仿宋" w:hAnsi="仿宋" w:eastAsia="仿宋" w:cs="仿宋"/>
          <w:sz w:val="24"/>
          <w:szCs w:val="24"/>
        </w:rPr>
        <w:t>授权日期：  年  月  日</w:t>
      </w:r>
    </w:p>
    <w:p>
      <w:pPr>
        <w:pStyle w:val="14"/>
      </w:pPr>
    </w:p>
    <w:p>
      <w:pPr>
        <w:rPr>
          <w:rFonts w:hint="eastAsia"/>
          <w:b/>
          <w:szCs w:val="21"/>
        </w:rPr>
      </w:pPr>
    </w:p>
    <w:p>
      <w:pPr>
        <w:rPr>
          <w:rFonts w:hint="eastAsia"/>
          <w:b/>
          <w:szCs w:val="21"/>
        </w:rPr>
      </w:pPr>
    </w:p>
    <w:p>
      <w:pPr>
        <w:rPr>
          <w:rFonts w:hint="eastAsia"/>
          <w:b/>
          <w:szCs w:val="21"/>
        </w:rPr>
      </w:pPr>
    </w:p>
    <w:p>
      <w:pPr>
        <w:rPr>
          <w:rFonts w:hint="eastAsia"/>
          <w:b/>
          <w:szCs w:val="21"/>
        </w:rPr>
      </w:pPr>
    </w:p>
    <w:p>
      <w:pPr>
        <w:rPr>
          <w:rFonts w:hint="eastAsia"/>
          <w:b/>
          <w:szCs w:val="21"/>
        </w:rPr>
      </w:pPr>
    </w:p>
    <w:p>
      <w:pPr>
        <w:rPr>
          <w:rFonts w:hint="eastAsia"/>
          <w:b/>
          <w:szCs w:val="21"/>
        </w:rPr>
      </w:pPr>
    </w:p>
    <w:p>
      <w:pPr>
        <w:rPr>
          <w:b/>
          <w:szCs w:val="21"/>
        </w:rPr>
      </w:pPr>
      <w:r>
        <w:rPr>
          <w:rFonts w:hint="eastAsia"/>
          <w:b/>
          <w:szCs w:val="21"/>
        </w:rPr>
        <w:t>附件3：</w:t>
      </w:r>
      <w:bookmarkStart w:id="265" w:name="_Toc139965363"/>
    </w:p>
    <w:p>
      <w:pPr>
        <w:pStyle w:val="4"/>
        <w:spacing w:before="0" w:after="0"/>
        <w:rPr>
          <w:rFonts w:ascii="宋体" w:hAnsi="宋体"/>
          <w:sz w:val="21"/>
          <w:szCs w:val="21"/>
        </w:rPr>
      </w:pPr>
      <w:bookmarkStart w:id="266" w:name="_Toc11667"/>
      <w:bookmarkStart w:id="267" w:name="_Toc239047349"/>
      <w:bookmarkStart w:id="268" w:name="_Toc5944"/>
      <w:r>
        <w:rPr>
          <w:rFonts w:hint="eastAsia" w:ascii="宋体" w:hAnsi="宋体"/>
          <w:sz w:val="21"/>
          <w:szCs w:val="21"/>
        </w:rPr>
        <w:t>投标报价表</w:t>
      </w:r>
      <w:bookmarkEnd w:id="265"/>
      <w:bookmarkEnd w:id="266"/>
      <w:bookmarkEnd w:id="267"/>
      <w:bookmarkEnd w:id="268"/>
    </w:p>
    <w:p>
      <w:pPr>
        <w:pStyle w:val="3"/>
        <w:jc w:val="center"/>
      </w:pPr>
      <w:bookmarkStart w:id="269" w:name="_Toc15369"/>
      <w:bookmarkStart w:id="270" w:name="_Toc17845"/>
      <w:r>
        <w:rPr>
          <w:rFonts w:hint="eastAsia"/>
        </w:rPr>
        <w:t>开标一览表</w:t>
      </w:r>
      <w:bookmarkEnd w:id="269"/>
      <w:bookmarkEnd w:id="270"/>
    </w:p>
    <w:p>
      <w:pPr>
        <w:keepNext w:val="0"/>
        <w:keepLines w:val="0"/>
        <w:pageBreakBefore w:val="0"/>
        <w:widowControl w:val="0"/>
        <w:kinsoku/>
        <w:wordWrap/>
        <w:overflowPunct/>
        <w:topLinePunct w:val="0"/>
        <w:autoSpaceDE/>
        <w:autoSpaceDN/>
        <w:bidi w:val="0"/>
        <w:adjustRightInd w:val="0"/>
        <w:snapToGrid w:val="0"/>
        <w:spacing w:line="46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项目名称：</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招标文件编号：</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6240" w:firstLineChars="2600"/>
        <w:textAlignment w:val="auto"/>
        <w:rPr>
          <w:rFonts w:hint="eastAsia" w:ascii="仿宋" w:hAnsi="仿宋" w:eastAsia="仿宋" w:cs="仿宋"/>
          <w:sz w:val="24"/>
          <w:szCs w:val="24"/>
        </w:rPr>
      </w:pPr>
      <w:r>
        <w:rPr>
          <w:rFonts w:hint="eastAsia" w:ascii="仿宋" w:hAnsi="仿宋" w:eastAsia="仿宋" w:cs="仿宋"/>
          <w:sz w:val="24"/>
          <w:szCs w:val="24"/>
        </w:rPr>
        <w:t>金额单位：人民币（元 ）</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8"/>
        <w:gridCol w:w="2858"/>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4458" w:type="dxa"/>
            <w:noWrap w:val="0"/>
            <w:vAlign w:val="center"/>
          </w:tcPr>
          <w:p>
            <w:pPr>
              <w:pStyle w:val="56"/>
              <w:keepNext w:val="0"/>
              <w:keepLines w:val="0"/>
              <w:pageBreakBefore w:val="0"/>
              <w:widowControl w:val="0"/>
              <w:kinsoku/>
              <w:wordWrap/>
              <w:overflowPunct/>
              <w:topLinePunct w:val="0"/>
              <w:autoSpaceDE/>
              <w:autoSpaceDN/>
              <w:bidi w:val="0"/>
              <w:adjustRightInd/>
              <w:spacing w:before="0" w:after="0" w:line="460" w:lineRule="exact"/>
              <w:ind w:left="0" w:leftChars="0"/>
              <w:textAlignment w:val="auto"/>
              <w:rPr>
                <w:rFonts w:hint="eastAsia" w:ascii="仿宋" w:hAnsi="仿宋" w:eastAsia="仿宋" w:cs="仿宋"/>
                <w:snapToGrid/>
                <w:spacing w:val="0"/>
                <w:kern w:val="2"/>
                <w:sz w:val="24"/>
                <w:szCs w:val="24"/>
              </w:rPr>
            </w:pPr>
            <w:r>
              <w:rPr>
                <w:rFonts w:hint="eastAsia" w:ascii="仿宋" w:hAnsi="仿宋" w:eastAsia="仿宋" w:cs="仿宋"/>
                <w:sz w:val="24"/>
                <w:szCs w:val="24"/>
              </w:rPr>
              <w:t>投标人名称</w:t>
            </w:r>
          </w:p>
        </w:tc>
        <w:tc>
          <w:tcPr>
            <w:tcW w:w="2858" w:type="dxa"/>
            <w:noWrap w:val="0"/>
            <w:vAlign w:val="center"/>
          </w:tcPr>
          <w:p>
            <w:pPr>
              <w:keepNext w:val="0"/>
              <w:keepLines w:val="0"/>
              <w:pageBreakBefore w:val="0"/>
              <w:widowControl w:val="0"/>
              <w:kinsoku/>
              <w:wordWrap/>
              <w:overflowPunct/>
              <w:topLinePunct w:val="0"/>
              <w:autoSpaceDE/>
              <w:autoSpaceDN/>
              <w:bidi w:val="0"/>
              <w:spacing w:line="460" w:lineRule="exact"/>
              <w:ind w:left="0" w:leftChars="0"/>
              <w:jc w:val="center"/>
              <w:textAlignment w:val="auto"/>
              <w:rPr>
                <w:rFonts w:hint="eastAsia" w:ascii="仿宋" w:hAnsi="仿宋" w:eastAsia="仿宋" w:cs="仿宋"/>
                <w:sz w:val="24"/>
                <w:szCs w:val="24"/>
              </w:rPr>
            </w:pPr>
            <w:r>
              <w:rPr>
                <w:rFonts w:hint="eastAsia" w:ascii="仿宋" w:hAnsi="仿宋" w:eastAsia="仿宋" w:cs="仿宋"/>
                <w:sz w:val="24"/>
                <w:szCs w:val="24"/>
              </w:rPr>
              <w:t>投标总报价</w:t>
            </w:r>
          </w:p>
        </w:tc>
        <w:tc>
          <w:tcPr>
            <w:tcW w:w="1664" w:type="dxa"/>
            <w:noWrap w:val="0"/>
            <w:vAlign w:val="center"/>
          </w:tcPr>
          <w:p>
            <w:pPr>
              <w:keepNext w:val="0"/>
              <w:keepLines w:val="0"/>
              <w:pageBreakBefore w:val="0"/>
              <w:widowControl w:val="0"/>
              <w:kinsoku/>
              <w:wordWrap/>
              <w:overflowPunct/>
              <w:topLinePunct w:val="0"/>
              <w:autoSpaceDE/>
              <w:autoSpaceDN/>
              <w:bidi w:val="0"/>
              <w:spacing w:line="460" w:lineRule="exact"/>
              <w:ind w:left="0" w:leftChars="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供货期限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4458" w:type="dxa"/>
            <w:noWrap w:val="0"/>
            <w:vAlign w:val="center"/>
          </w:tcPr>
          <w:p>
            <w:pPr>
              <w:pStyle w:val="56"/>
              <w:keepNext w:val="0"/>
              <w:keepLines w:val="0"/>
              <w:pageBreakBefore w:val="0"/>
              <w:widowControl w:val="0"/>
              <w:kinsoku/>
              <w:wordWrap/>
              <w:overflowPunct/>
              <w:topLinePunct w:val="0"/>
              <w:autoSpaceDE/>
              <w:autoSpaceDN/>
              <w:bidi w:val="0"/>
              <w:adjustRightInd/>
              <w:spacing w:before="0" w:after="0" w:line="460" w:lineRule="exact"/>
              <w:ind w:left="0" w:leftChars="0"/>
              <w:textAlignment w:val="auto"/>
              <w:rPr>
                <w:rFonts w:hint="eastAsia" w:ascii="仿宋" w:hAnsi="仿宋" w:eastAsia="仿宋" w:cs="仿宋"/>
                <w:snapToGrid/>
                <w:spacing w:val="0"/>
                <w:kern w:val="2"/>
                <w:sz w:val="24"/>
                <w:szCs w:val="24"/>
              </w:rPr>
            </w:pPr>
          </w:p>
        </w:tc>
        <w:tc>
          <w:tcPr>
            <w:tcW w:w="2858" w:type="dxa"/>
            <w:noWrap w:val="0"/>
            <w:vAlign w:val="center"/>
          </w:tcPr>
          <w:p>
            <w:pPr>
              <w:pStyle w:val="23"/>
              <w:keepNext w:val="0"/>
              <w:keepLines w:val="0"/>
              <w:pageBreakBefore w:val="0"/>
              <w:widowControl w:val="0"/>
              <w:tabs>
                <w:tab w:val="right" w:leader="dot" w:pos="8296"/>
              </w:tabs>
              <w:kinsoku/>
              <w:wordWrap/>
              <w:overflowPunct/>
              <w:topLinePunct w:val="0"/>
              <w:autoSpaceDE/>
              <w:autoSpaceDN/>
              <w:bidi w:val="0"/>
              <w:spacing w:line="460" w:lineRule="exact"/>
              <w:ind w:left="0" w:leftChars="0"/>
              <w:textAlignment w:val="auto"/>
              <w:rPr>
                <w:rFonts w:hint="eastAsia" w:ascii="仿宋" w:hAnsi="仿宋" w:eastAsia="仿宋" w:cs="仿宋"/>
                <w:sz w:val="24"/>
                <w:szCs w:val="24"/>
              </w:rPr>
            </w:pPr>
          </w:p>
        </w:tc>
        <w:tc>
          <w:tcPr>
            <w:tcW w:w="1664" w:type="dxa"/>
            <w:noWrap w:val="0"/>
            <w:vAlign w:val="center"/>
          </w:tcPr>
          <w:p>
            <w:pPr>
              <w:keepNext w:val="0"/>
              <w:keepLines w:val="0"/>
              <w:pageBreakBefore w:val="0"/>
              <w:widowControl w:val="0"/>
              <w:kinsoku/>
              <w:wordWrap/>
              <w:overflowPunct/>
              <w:topLinePunct w:val="0"/>
              <w:autoSpaceDE/>
              <w:autoSpaceDN/>
              <w:bidi w:val="0"/>
              <w:spacing w:line="460" w:lineRule="exact"/>
              <w:ind w:left="0" w:leftChars="0"/>
              <w:jc w:val="lef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8980" w:type="dxa"/>
            <w:gridSpan w:val="3"/>
            <w:noWrap w:val="0"/>
            <w:vAlign w:val="center"/>
          </w:tcPr>
          <w:p>
            <w:pPr>
              <w:keepNext w:val="0"/>
              <w:keepLines w:val="0"/>
              <w:pageBreakBefore w:val="0"/>
              <w:widowControl w:val="0"/>
              <w:kinsoku/>
              <w:wordWrap/>
              <w:overflowPunct/>
              <w:topLinePunct w:val="0"/>
              <w:autoSpaceDE/>
              <w:autoSpaceDN/>
              <w:bidi w:val="0"/>
              <w:spacing w:line="4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898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投标保证金金额大写：</w:t>
            </w:r>
          </w:p>
        </w:tc>
      </w:tr>
    </w:tbl>
    <w:p>
      <w:pPr>
        <w:keepNext w:val="0"/>
        <w:keepLines w:val="0"/>
        <w:pageBreakBefore w:val="0"/>
        <w:widowControl w:val="0"/>
        <w:kinsoku/>
        <w:wordWrap/>
        <w:overflowPunct/>
        <w:topLinePunct w:val="0"/>
        <w:autoSpaceDE/>
        <w:autoSpaceDN/>
        <w:bidi w:val="0"/>
        <w:adjustRightInd w:val="0"/>
        <w:snapToGrid w:val="0"/>
        <w:spacing w:line="460" w:lineRule="exact"/>
        <w:ind w:left="0" w:leftChars="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val="0"/>
        <w:snapToGrid w:val="0"/>
        <w:spacing w:line="46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 xml:space="preserve">                    投标人名称（盖公章）：</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val="0"/>
        <w:snapToGrid w:val="0"/>
        <w:spacing w:line="46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 xml:space="preserve">                    法定代表人或其授权的代理人(签字)：</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val="0"/>
        <w:snapToGrid w:val="0"/>
        <w:spacing w:line="46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 xml:space="preserve">                    日期：年   月     日</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注：1、此表必须单独提交一份，装在一个小信封内，密封并盖章，在递交投标文件时一并递交，用于开标时唱标。</w:t>
      </w:r>
    </w:p>
    <w:p>
      <w:pPr>
        <w:keepNext w:val="0"/>
        <w:keepLines w:val="0"/>
        <w:pageBreakBefore w:val="0"/>
        <w:widowControl w:val="0"/>
        <w:numPr>
          <w:ilvl w:val="0"/>
          <w:numId w:val="6"/>
        </w:numPr>
        <w:kinsoku/>
        <w:wordWrap/>
        <w:overflowPunct/>
        <w:topLinePunct w:val="0"/>
        <w:autoSpaceDE/>
        <w:autoSpaceDN/>
        <w:bidi w:val="0"/>
        <w:adjustRightInd w:val="0"/>
        <w:snapToGrid w:val="0"/>
        <w:spacing w:line="460" w:lineRule="exact"/>
        <w:ind w:left="360" w:leftChars="0" w:hanging="360" w:hangingChars="150"/>
        <w:textAlignment w:val="auto"/>
        <w:rPr>
          <w:rFonts w:hint="eastAsia" w:ascii="仿宋" w:hAnsi="仿宋" w:eastAsia="仿宋" w:cs="仿宋"/>
          <w:sz w:val="24"/>
          <w:szCs w:val="24"/>
        </w:rPr>
      </w:pPr>
      <w:r>
        <w:rPr>
          <w:rFonts w:hint="eastAsia" w:ascii="仿宋" w:hAnsi="仿宋" w:eastAsia="仿宋" w:cs="仿宋"/>
          <w:sz w:val="24"/>
          <w:szCs w:val="24"/>
        </w:rPr>
        <w:t>装入（法人身份证明）或者（法人授权函和授权人、被授权人身份证复印件）。</w:t>
      </w:r>
    </w:p>
    <w:p>
      <w:pPr>
        <w:keepNext w:val="0"/>
        <w:keepLines w:val="0"/>
        <w:pageBreakBefore w:val="0"/>
        <w:widowControl w:val="0"/>
        <w:numPr>
          <w:ilvl w:val="0"/>
          <w:numId w:val="6"/>
        </w:numPr>
        <w:kinsoku/>
        <w:wordWrap/>
        <w:overflowPunct/>
        <w:topLinePunct w:val="0"/>
        <w:autoSpaceDE/>
        <w:autoSpaceDN/>
        <w:bidi w:val="0"/>
        <w:adjustRightInd w:val="0"/>
        <w:snapToGrid w:val="0"/>
        <w:spacing w:line="460" w:lineRule="exact"/>
        <w:ind w:left="360" w:leftChars="0" w:hanging="360" w:hangingChars="150"/>
        <w:textAlignment w:val="auto"/>
        <w:rPr>
          <w:rFonts w:hint="eastAsia" w:ascii="仿宋" w:hAnsi="仿宋" w:eastAsia="仿宋" w:cs="仿宋"/>
          <w:sz w:val="24"/>
          <w:szCs w:val="24"/>
        </w:rPr>
      </w:pPr>
      <w:r>
        <w:rPr>
          <w:rFonts w:hint="eastAsia" w:ascii="仿宋" w:hAnsi="仿宋" w:eastAsia="仿宋" w:cs="仿宋"/>
          <w:sz w:val="24"/>
          <w:szCs w:val="24"/>
        </w:rPr>
        <w:t>装入保证金缴纳凭证复印件。</w:t>
      </w:r>
    </w:p>
    <w:p>
      <w:pPr>
        <w:keepNext w:val="0"/>
        <w:keepLines w:val="0"/>
        <w:pageBreakBefore w:val="0"/>
        <w:widowControl w:val="0"/>
        <w:numPr>
          <w:ilvl w:val="0"/>
          <w:numId w:val="6"/>
        </w:numPr>
        <w:kinsoku/>
        <w:wordWrap/>
        <w:overflowPunct/>
        <w:topLinePunct w:val="0"/>
        <w:autoSpaceDE/>
        <w:autoSpaceDN/>
        <w:bidi w:val="0"/>
        <w:adjustRightInd w:val="0"/>
        <w:snapToGrid w:val="0"/>
        <w:spacing w:line="460" w:lineRule="exact"/>
        <w:ind w:left="360" w:leftChars="0" w:hanging="360" w:hangingChars="150"/>
        <w:textAlignment w:val="auto"/>
        <w:rPr>
          <w:rFonts w:hint="eastAsia" w:ascii="仿宋" w:hAnsi="仿宋" w:eastAsia="仿宋" w:cs="仿宋"/>
          <w:sz w:val="24"/>
          <w:szCs w:val="24"/>
        </w:rPr>
      </w:pPr>
      <w:r>
        <w:rPr>
          <w:rFonts w:hint="eastAsia" w:ascii="仿宋" w:hAnsi="仿宋" w:eastAsia="仿宋" w:cs="仿宋"/>
          <w:sz w:val="24"/>
          <w:szCs w:val="24"/>
        </w:rPr>
        <w:t>装入投标文件电子U盘一份。</w:t>
      </w:r>
    </w:p>
    <w:p>
      <w:pPr>
        <w:keepNext w:val="0"/>
        <w:keepLines w:val="0"/>
        <w:pageBreakBefore w:val="0"/>
        <w:widowControl w:val="0"/>
        <w:kinsoku/>
        <w:wordWrap/>
        <w:overflowPunct/>
        <w:topLinePunct w:val="0"/>
        <w:autoSpaceDE/>
        <w:autoSpaceDN/>
        <w:bidi w:val="0"/>
        <w:spacing w:line="460" w:lineRule="exact"/>
        <w:ind w:left="0" w:leftChars="0"/>
        <w:textAlignment w:val="auto"/>
        <w:rPr>
          <w:rFonts w:hint="eastAsia" w:ascii="仿宋" w:hAnsi="仿宋" w:eastAsia="仿宋" w:cs="仿宋"/>
          <w:sz w:val="28"/>
          <w:szCs w:val="28"/>
        </w:rPr>
      </w:pPr>
    </w:p>
    <w:p>
      <w:pPr>
        <w:pStyle w:val="14"/>
        <w:rPr>
          <w:rFonts w:hint="eastAsia"/>
          <w:szCs w:val="21"/>
        </w:rPr>
      </w:pPr>
    </w:p>
    <w:p>
      <w:pPr>
        <w:adjustRightInd w:val="0"/>
        <w:snapToGrid w:val="0"/>
        <w:spacing w:line="360" w:lineRule="auto"/>
        <w:ind w:firstLine="3092" w:firstLineChars="700"/>
        <w:rPr>
          <w:rFonts w:hint="eastAsia"/>
          <w:b/>
          <w:bCs/>
          <w:kern w:val="44"/>
          <w:sz w:val="44"/>
          <w:szCs w:val="44"/>
        </w:rPr>
      </w:pPr>
      <w:r>
        <w:rPr>
          <w:rFonts w:hint="eastAsia"/>
          <w:b/>
          <w:bCs/>
          <w:kern w:val="44"/>
          <w:sz w:val="44"/>
          <w:szCs w:val="44"/>
        </w:rPr>
        <w:t>分项报价一览表</w:t>
      </w:r>
    </w:p>
    <w:p>
      <w:pPr>
        <w:adjustRightInd w:val="0"/>
        <w:snapToGrid w:val="0"/>
        <w:spacing w:line="360" w:lineRule="auto"/>
        <w:ind w:left="-88" w:leftChars="-42"/>
        <w:rPr>
          <w:rFonts w:hint="eastAsia" w:ascii="仿宋" w:hAnsi="仿宋" w:eastAsia="仿宋" w:cs="仿宋"/>
          <w:sz w:val="24"/>
          <w:szCs w:val="24"/>
          <w:u w:val="single"/>
        </w:rPr>
      </w:pPr>
      <w:r>
        <w:rPr>
          <w:rFonts w:hint="eastAsia" w:ascii="仿宋" w:hAnsi="仿宋" w:eastAsia="仿宋" w:cs="仿宋"/>
          <w:sz w:val="24"/>
          <w:szCs w:val="24"/>
        </w:rPr>
        <w:t>项目名称：</w:t>
      </w:r>
    </w:p>
    <w:p>
      <w:pPr>
        <w:adjustRightInd w:val="0"/>
        <w:snapToGrid w:val="0"/>
        <w:spacing w:line="360" w:lineRule="auto"/>
        <w:ind w:left="-88" w:leftChars="-42"/>
        <w:rPr>
          <w:rFonts w:hint="eastAsia" w:ascii="仿宋" w:hAnsi="仿宋" w:eastAsia="仿宋" w:cs="仿宋"/>
          <w:sz w:val="24"/>
          <w:szCs w:val="24"/>
        </w:rPr>
      </w:pPr>
      <w:r>
        <w:rPr>
          <w:rFonts w:hint="eastAsia" w:ascii="仿宋" w:hAnsi="仿宋" w:eastAsia="仿宋" w:cs="仿宋"/>
          <w:sz w:val="24"/>
          <w:szCs w:val="24"/>
        </w:rPr>
        <w:t xml:space="preserve">招标文件编号： </w:t>
      </w:r>
    </w:p>
    <w:p>
      <w:pPr>
        <w:adjustRightInd w:val="0"/>
        <w:snapToGrid w:val="0"/>
        <w:spacing w:line="360" w:lineRule="auto"/>
        <w:ind w:left="-88" w:leftChars="-42"/>
        <w:rPr>
          <w:rFonts w:hint="eastAsia" w:ascii="仿宋" w:hAnsi="仿宋" w:eastAsia="仿宋" w:cs="仿宋"/>
          <w:b/>
          <w:bCs/>
          <w:kern w:val="44"/>
          <w:sz w:val="24"/>
          <w:szCs w:val="24"/>
        </w:rPr>
      </w:pPr>
      <w:r>
        <w:rPr>
          <w:rFonts w:hint="eastAsia" w:ascii="仿宋" w:hAnsi="仿宋" w:eastAsia="仿宋" w:cs="仿宋"/>
          <w:sz w:val="24"/>
          <w:szCs w:val="24"/>
        </w:rPr>
        <w:t>投标包号：</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43"/>
        <w:gridCol w:w="1380"/>
        <w:gridCol w:w="1250"/>
        <w:gridCol w:w="1251"/>
        <w:gridCol w:w="784"/>
        <w:gridCol w:w="795"/>
        <w:gridCol w:w="885"/>
        <w:gridCol w:w="945"/>
        <w:gridCol w:w="6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4" w:hRule="atLeast"/>
          <w:jc w:val="center"/>
        </w:trPr>
        <w:tc>
          <w:tcPr>
            <w:tcW w:w="543" w:type="dxa"/>
            <w:vMerge w:val="restart"/>
            <w:noWrap w:val="0"/>
            <w:vAlign w:val="center"/>
          </w:tcPr>
          <w:p>
            <w:pPr>
              <w:spacing w:before="156" w:beforeLines="50"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1380" w:type="dxa"/>
            <w:vMerge w:val="restart"/>
            <w:noWrap w:val="0"/>
            <w:vAlign w:val="center"/>
          </w:tcPr>
          <w:p>
            <w:pPr>
              <w:spacing w:before="156" w:beforeLines="50" w:line="360" w:lineRule="auto"/>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2501" w:type="dxa"/>
            <w:gridSpan w:val="2"/>
            <w:noWrap w:val="0"/>
            <w:vAlign w:val="center"/>
          </w:tcPr>
          <w:p>
            <w:pPr>
              <w:spacing w:before="156" w:beforeLines="50" w:line="360" w:lineRule="auto"/>
              <w:jc w:val="center"/>
              <w:rPr>
                <w:rFonts w:hint="eastAsia" w:ascii="仿宋" w:hAnsi="仿宋" w:eastAsia="仿宋" w:cs="仿宋"/>
                <w:sz w:val="24"/>
                <w:szCs w:val="24"/>
              </w:rPr>
            </w:pPr>
            <w:r>
              <w:rPr>
                <w:rFonts w:hint="eastAsia" w:ascii="仿宋" w:hAnsi="仿宋" w:eastAsia="仿宋" w:cs="仿宋"/>
                <w:sz w:val="24"/>
                <w:szCs w:val="24"/>
              </w:rPr>
              <w:t>项目特征描述</w:t>
            </w:r>
          </w:p>
        </w:tc>
        <w:tc>
          <w:tcPr>
            <w:tcW w:w="784" w:type="dxa"/>
            <w:vMerge w:val="restart"/>
            <w:noWrap w:val="0"/>
            <w:vAlign w:val="center"/>
          </w:tcPr>
          <w:p>
            <w:pPr>
              <w:spacing w:before="156" w:beforeLines="50" w:line="360" w:lineRule="auto"/>
              <w:jc w:val="center"/>
              <w:rPr>
                <w:rFonts w:hint="eastAsia" w:ascii="仿宋" w:hAnsi="仿宋" w:eastAsia="仿宋" w:cs="仿宋"/>
                <w:sz w:val="24"/>
                <w:szCs w:val="24"/>
              </w:rPr>
            </w:pPr>
            <w:r>
              <w:rPr>
                <w:rFonts w:hint="eastAsia" w:ascii="仿宋" w:hAnsi="仿宋" w:eastAsia="仿宋" w:cs="仿宋"/>
                <w:sz w:val="24"/>
                <w:szCs w:val="24"/>
              </w:rPr>
              <w:t>单位</w:t>
            </w:r>
          </w:p>
        </w:tc>
        <w:tc>
          <w:tcPr>
            <w:tcW w:w="795" w:type="dxa"/>
            <w:vMerge w:val="restart"/>
            <w:noWrap w:val="0"/>
            <w:vAlign w:val="center"/>
          </w:tcPr>
          <w:p>
            <w:pPr>
              <w:spacing w:before="156" w:beforeLines="50" w:line="360" w:lineRule="auto"/>
              <w:jc w:val="center"/>
              <w:rPr>
                <w:rFonts w:hint="eastAsia" w:ascii="仿宋" w:hAnsi="仿宋" w:eastAsia="仿宋" w:cs="仿宋"/>
                <w:sz w:val="24"/>
                <w:szCs w:val="24"/>
              </w:rPr>
            </w:pPr>
            <w:r>
              <w:rPr>
                <w:rFonts w:hint="eastAsia" w:ascii="仿宋" w:hAnsi="仿宋" w:eastAsia="仿宋" w:cs="仿宋"/>
                <w:sz w:val="24"/>
                <w:szCs w:val="24"/>
              </w:rPr>
              <w:t>数量</w:t>
            </w:r>
          </w:p>
        </w:tc>
        <w:tc>
          <w:tcPr>
            <w:tcW w:w="885" w:type="dxa"/>
            <w:vMerge w:val="restart"/>
            <w:noWrap w:val="0"/>
            <w:vAlign w:val="center"/>
          </w:tcPr>
          <w:p>
            <w:pPr>
              <w:spacing w:before="156" w:beforeLines="50" w:line="360" w:lineRule="auto"/>
              <w:jc w:val="center"/>
              <w:rPr>
                <w:rFonts w:hint="eastAsia" w:ascii="仿宋" w:hAnsi="仿宋" w:eastAsia="仿宋" w:cs="仿宋"/>
                <w:sz w:val="24"/>
                <w:szCs w:val="24"/>
              </w:rPr>
            </w:pPr>
            <w:r>
              <w:rPr>
                <w:rFonts w:hint="eastAsia" w:ascii="仿宋" w:hAnsi="仿宋" w:eastAsia="仿宋" w:cs="仿宋"/>
                <w:sz w:val="24"/>
                <w:szCs w:val="24"/>
              </w:rPr>
              <w:t>单价</w:t>
            </w:r>
          </w:p>
        </w:tc>
        <w:tc>
          <w:tcPr>
            <w:tcW w:w="945" w:type="dxa"/>
            <w:vMerge w:val="restart"/>
            <w:noWrap w:val="0"/>
            <w:vAlign w:val="center"/>
          </w:tcPr>
          <w:p>
            <w:pPr>
              <w:spacing w:before="156" w:beforeLines="50" w:line="360" w:lineRule="auto"/>
              <w:jc w:val="center"/>
              <w:rPr>
                <w:rFonts w:hint="eastAsia" w:ascii="仿宋" w:hAnsi="仿宋" w:eastAsia="仿宋" w:cs="仿宋"/>
                <w:sz w:val="24"/>
                <w:szCs w:val="24"/>
              </w:rPr>
            </w:pPr>
            <w:r>
              <w:rPr>
                <w:rFonts w:hint="eastAsia" w:ascii="仿宋" w:hAnsi="仿宋" w:eastAsia="仿宋" w:cs="仿宋"/>
                <w:sz w:val="24"/>
                <w:szCs w:val="24"/>
              </w:rPr>
              <w:t>总价</w:t>
            </w:r>
          </w:p>
        </w:tc>
        <w:tc>
          <w:tcPr>
            <w:tcW w:w="661" w:type="dxa"/>
            <w:vMerge w:val="restart"/>
            <w:noWrap w:val="0"/>
            <w:vAlign w:val="center"/>
          </w:tcPr>
          <w:p>
            <w:pPr>
              <w:spacing w:before="156" w:beforeLines="50" w:line="360" w:lineRule="auto"/>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9" w:hRule="atLeast"/>
          <w:jc w:val="center"/>
        </w:trPr>
        <w:tc>
          <w:tcPr>
            <w:tcW w:w="543" w:type="dxa"/>
            <w:vMerge w:val="continue"/>
            <w:noWrap w:val="0"/>
            <w:vAlign w:val="center"/>
          </w:tcPr>
          <w:p>
            <w:pPr>
              <w:spacing w:before="156" w:beforeLines="50" w:line="360" w:lineRule="auto"/>
              <w:jc w:val="center"/>
            </w:pPr>
          </w:p>
        </w:tc>
        <w:tc>
          <w:tcPr>
            <w:tcW w:w="1380" w:type="dxa"/>
            <w:vMerge w:val="continue"/>
            <w:noWrap w:val="0"/>
            <w:vAlign w:val="center"/>
          </w:tcPr>
          <w:p>
            <w:pPr>
              <w:spacing w:before="156" w:beforeLines="50" w:line="360" w:lineRule="auto"/>
              <w:jc w:val="center"/>
            </w:pPr>
          </w:p>
        </w:tc>
        <w:tc>
          <w:tcPr>
            <w:tcW w:w="1250" w:type="dxa"/>
            <w:noWrap w:val="0"/>
            <w:vAlign w:val="center"/>
          </w:tcPr>
          <w:p>
            <w:pPr>
              <w:spacing w:before="156" w:beforeLines="50"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规格型号</w:t>
            </w:r>
          </w:p>
        </w:tc>
        <w:tc>
          <w:tcPr>
            <w:tcW w:w="1251" w:type="dxa"/>
            <w:noWrap w:val="0"/>
            <w:vAlign w:val="center"/>
          </w:tcPr>
          <w:p>
            <w:pPr>
              <w:spacing w:before="156" w:beforeLines="50"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生产厂家</w:t>
            </w:r>
          </w:p>
        </w:tc>
        <w:tc>
          <w:tcPr>
            <w:tcW w:w="784" w:type="dxa"/>
            <w:vMerge w:val="continue"/>
            <w:noWrap w:val="0"/>
            <w:vAlign w:val="center"/>
          </w:tcPr>
          <w:p>
            <w:pPr>
              <w:spacing w:before="156" w:beforeLines="50" w:line="360" w:lineRule="auto"/>
              <w:jc w:val="center"/>
            </w:pPr>
          </w:p>
        </w:tc>
        <w:tc>
          <w:tcPr>
            <w:tcW w:w="795" w:type="dxa"/>
            <w:vMerge w:val="continue"/>
            <w:noWrap w:val="0"/>
            <w:vAlign w:val="center"/>
          </w:tcPr>
          <w:p>
            <w:pPr>
              <w:spacing w:before="156" w:beforeLines="50" w:line="360" w:lineRule="auto"/>
              <w:jc w:val="center"/>
            </w:pPr>
          </w:p>
        </w:tc>
        <w:tc>
          <w:tcPr>
            <w:tcW w:w="885" w:type="dxa"/>
            <w:vMerge w:val="continue"/>
            <w:noWrap w:val="0"/>
            <w:vAlign w:val="center"/>
          </w:tcPr>
          <w:p>
            <w:pPr>
              <w:spacing w:before="156" w:beforeLines="50" w:line="360" w:lineRule="auto"/>
              <w:jc w:val="center"/>
            </w:pPr>
          </w:p>
        </w:tc>
        <w:tc>
          <w:tcPr>
            <w:tcW w:w="945" w:type="dxa"/>
            <w:vMerge w:val="continue"/>
            <w:noWrap w:val="0"/>
            <w:vAlign w:val="center"/>
          </w:tcPr>
          <w:p>
            <w:pPr>
              <w:spacing w:before="156" w:beforeLines="50" w:line="360" w:lineRule="auto"/>
              <w:jc w:val="center"/>
            </w:pPr>
          </w:p>
        </w:tc>
        <w:tc>
          <w:tcPr>
            <w:tcW w:w="661" w:type="dxa"/>
            <w:vMerge w:val="continue"/>
            <w:noWrap w:val="0"/>
            <w:vAlign w:val="center"/>
          </w:tcPr>
          <w:p>
            <w:pPr>
              <w:spacing w:before="156" w:beforeLines="50" w:line="360" w:lineRule="auto"/>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92" w:hRule="atLeast"/>
          <w:jc w:val="center"/>
        </w:trPr>
        <w:tc>
          <w:tcPr>
            <w:tcW w:w="543"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380" w:type="dxa"/>
            <w:noWrap w:val="0"/>
            <w:vAlign w:val="center"/>
          </w:tcPr>
          <w:p>
            <w:pPr>
              <w:spacing w:line="360" w:lineRule="auto"/>
              <w:jc w:val="center"/>
              <w:rPr>
                <w:rFonts w:hint="eastAsia" w:ascii="仿宋" w:hAnsi="仿宋" w:eastAsia="仿宋" w:cs="仿宋"/>
                <w:sz w:val="24"/>
                <w:szCs w:val="24"/>
              </w:rPr>
            </w:pPr>
          </w:p>
        </w:tc>
        <w:tc>
          <w:tcPr>
            <w:tcW w:w="1250" w:type="dxa"/>
            <w:noWrap w:val="0"/>
            <w:vAlign w:val="center"/>
          </w:tcPr>
          <w:p>
            <w:pPr>
              <w:spacing w:line="360" w:lineRule="auto"/>
              <w:jc w:val="center"/>
              <w:rPr>
                <w:rFonts w:hint="eastAsia" w:ascii="仿宋" w:hAnsi="仿宋" w:eastAsia="仿宋" w:cs="仿宋"/>
                <w:sz w:val="24"/>
                <w:szCs w:val="24"/>
              </w:rPr>
            </w:pPr>
          </w:p>
        </w:tc>
        <w:tc>
          <w:tcPr>
            <w:tcW w:w="1251" w:type="dxa"/>
            <w:noWrap w:val="0"/>
            <w:vAlign w:val="center"/>
          </w:tcPr>
          <w:p>
            <w:pPr>
              <w:spacing w:line="360" w:lineRule="auto"/>
              <w:jc w:val="center"/>
              <w:rPr>
                <w:rFonts w:hint="eastAsia" w:ascii="仿宋" w:hAnsi="仿宋" w:eastAsia="仿宋" w:cs="仿宋"/>
                <w:sz w:val="24"/>
                <w:szCs w:val="24"/>
              </w:rPr>
            </w:pPr>
          </w:p>
        </w:tc>
        <w:tc>
          <w:tcPr>
            <w:tcW w:w="784" w:type="dxa"/>
            <w:noWrap w:val="0"/>
            <w:vAlign w:val="center"/>
          </w:tcPr>
          <w:p>
            <w:pPr>
              <w:spacing w:line="360" w:lineRule="auto"/>
              <w:jc w:val="center"/>
              <w:rPr>
                <w:rFonts w:hint="eastAsia" w:ascii="仿宋" w:hAnsi="仿宋" w:eastAsia="仿宋" w:cs="仿宋"/>
                <w:sz w:val="24"/>
                <w:szCs w:val="24"/>
              </w:rPr>
            </w:pPr>
          </w:p>
        </w:tc>
        <w:tc>
          <w:tcPr>
            <w:tcW w:w="795" w:type="dxa"/>
            <w:noWrap w:val="0"/>
            <w:vAlign w:val="center"/>
          </w:tcPr>
          <w:p>
            <w:pPr>
              <w:spacing w:line="360" w:lineRule="auto"/>
              <w:jc w:val="center"/>
              <w:rPr>
                <w:rFonts w:hint="eastAsia" w:ascii="仿宋" w:hAnsi="仿宋" w:eastAsia="仿宋" w:cs="仿宋"/>
                <w:sz w:val="24"/>
                <w:szCs w:val="24"/>
              </w:rPr>
            </w:pPr>
          </w:p>
        </w:tc>
        <w:tc>
          <w:tcPr>
            <w:tcW w:w="885" w:type="dxa"/>
            <w:noWrap w:val="0"/>
            <w:vAlign w:val="center"/>
          </w:tcPr>
          <w:p>
            <w:pPr>
              <w:spacing w:line="360" w:lineRule="auto"/>
              <w:jc w:val="center"/>
              <w:rPr>
                <w:rFonts w:hint="eastAsia" w:ascii="仿宋" w:hAnsi="仿宋" w:eastAsia="仿宋" w:cs="仿宋"/>
                <w:sz w:val="24"/>
                <w:szCs w:val="24"/>
              </w:rPr>
            </w:pPr>
          </w:p>
        </w:tc>
        <w:tc>
          <w:tcPr>
            <w:tcW w:w="945" w:type="dxa"/>
            <w:noWrap w:val="0"/>
            <w:vAlign w:val="center"/>
          </w:tcPr>
          <w:p>
            <w:pPr>
              <w:spacing w:line="360" w:lineRule="auto"/>
              <w:jc w:val="center"/>
              <w:rPr>
                <w:rFonts w:hint="eastAsia" w:ascii="仿宋" w:hAnsi="仿宋" w:eastAsia="仿宋" w:cs="仿宋"/>
                <w:sz w:val="24"/>
                <w:szCs w:val="24"/>
              </w:rPr>
            </w:pPr>
          </w:p>
        </w:tc>
        <w:tc>
          <w:tcPr>
            <w:tcW w:w="661" w:type="dxa"/>
            <w:noWrap w:val="0"/>
            <w:vAlign w:val="center"/>
          </w:tcPr>
          <w:p>
            <w:pPr>
              <w:spacing w:line="360" w:lineRule="auto"/>
              <w:jc w:val="center"/>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03" w:hRule="atLeast"/>
          <w:jc w:val="center"/>
        </w:trPr>
        <w:tc>
          <w:tcPr>
            <w:tcW w:w="543"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380" w:type="dxa"/>
            <w:noWrap w:val="0"/>
            <w:vAlign w:val="center"/>
          </w:tcPr>
          <w:p>
            <w:pPr>
              <w:spacing w:line="360" w:lineRule="auto"/>
              <w:jc w:val="center"/>
              <w:rPr>
                <w:rFonts w:hint="eastAsia" w:ascii="仿宋" w:hAnsi="仿宋" w:eastAsia="仿宋" w:cs="仿宋"/>
                <w:sz w:val="24"/>
                <w:szCs w:val="24"/>
              </w:rPr>
            </w:pPr>
          </w:p>
        </w:tc>
        <w:tc>
          <w:tcPr>
            <w:tcW w:w="1250" w:type="dxa"/>
            <w:noWrap w:val="0"/>
            <w:vAlign w:val="center"/>
          </w:tcPr>
          <w:p>
            <w:pPr>
              <w:spacing w:line="360" w:lineRule="auto"/>
              <w:jc w:val="center"/>
              <w:rPr>
                <w:rFonts w:hint="eastAsia" w:ascii="仿宋" w:hAnsi="仿宋" w:eastAsia="仿宋" w:cs="仿宋"/>
                <w:sz w:val="24"/>
                <w:szCs w:val="24"/>
              </w:rPr>
            </w:pPr>
          </w:p>
        </w:tc>
        <w:tc>
          <w:tcPr>
            <w:tcW w:w="1251" w:type="dxa"/>
            <w:noWrap w:val="0"/>
            <w:vAlign w:val="center"/>
          </w:tcPr>
          <w:p>
            <w:pPr>
              <w:spacing w:line="360" w:lineRule="auto"/>
              <w:jc w:val="center"/>
              <w:rPr>
                <w:rFonts w:hint="eastAsia" w:ascii="仿宋" w:hAnsi="仿宋" w:eastAsia="仿宋" w:cs="仿宋"/>
                <w:sz w:val="24"/>
                <w:szCs w:val="24"/>
              </w:rPr>
            </w:pPr>
          </w:p>
        </w:tc>
        <w:tc>
          <w:tcPr>
            <w:tcW w:w="784" w:type="dxa"/>
            <w:noWrap w:val="0"/>
            <w:vAlign w:val="center"/>
          </w:tcPr>
          <w:p>
            <w:pPr>
              <w:spacing w:line="360" w:lineRule="auto"/>
              <w:jc w:val="center"/>
              <w:rPr>
                <w:rFonts w:hint="eastAsia" w:ascii="仿宋" w:hAnsi="仿宋" w:eastAsia="仿宋" w:cs="仿宋"/>
                <w:sz w:val="24"/>
                <w:szCs w:val="24"/>
              </w:rPr>
            </w:pPr>
          </w:p>
        </w:tc>
        <w:tc>
          <w:tcPr>
            <w:tcW w:w="795" w:type="dxa"/>
            <w:noWrap w:val="0"/>
            <w:vAlign w:val="center"/>
          </w:tcPr>
          <w:p>
            <w:pPr>
              <w:spacing w:line="360" w:lineRule="auto"/>
              <w:jc w:val="center"/>
              <w:rPr>
                <w:rFonts w:hint="eastAsia" w:ascii="仿宋" w:hAnsi="仿宋" w:eastAsia="仿宋" w:cs="仿宋"/>
                <w:sz w:val="24"/>
                <w:szCs w:val="24"/>
              </w:rPr>
            </w:pPr>
          </w:p>
        </w:tc>
        <w:tc>
          <w:tcPr>
            <w:tcW w:w="885" w:type="dxa"/>
            <w:noWrap w:val="0"/>
            <w:vAlign w:val="center"/>
          </w:tcPr>
          <w:p>
            <w:pPr>
              <w:spacing w:line="360" w:lineRule="auto"/>
              <w:jc w:val="center"/>
              <w:rPr>
                <w:rFonts w:hint="eastAsia" w:ascii="仿宋" w:hAnsi="仿宋" w:eastAsia="仿宋" w:cs="仿宋"/>
                <w:sz w:val="24"/>
                <w:szCs w:val="24"/>
              </w:rPr>
            </w:pPr>
          </w:p>
        </w:tc>
        <w:tc>
          <w:tcPr>
            <w:tcW w:w="945" w:type="dxa"/>
            <w:noWrap w:val="0"/>
            <w:vAlign w:val="center"/>
          </w:tcPr>
          <w:p>
            <w:pPr>
              <w:spacing w:line="360" w:lineRule="auto"/>
              <w:jc w:val="center"/>
              <w:rPr>
                <w:rFonts w:hint="eastAsia" w:ascii="仿宋" w:hAnsi="仿宋" w:eastAsia="仿宋" w:cs="仿宋"/>
                <w:sz w:val="24"/>
                <w:szCs w:val="24"/>
              </w:rPr>
            </w:pPr>
          </w:p>
        </w:tc>
        <w:tc>
          <w:tcPr>
            <w:tcW w:w="661" w:type="dxa"/>
            <w:noWrap w:val="0"/>
            <w:vAlign w:val="center"/>
          </w:tcPr>
          <w:p>
            <w:pPr>
              <w:spacing w:line="360" w:lineRule="auto"/>
              <w:jc w:val="center"/>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83" w:hRule="atLeast"/>
          <w:jc w:val="center"/>
        </w:trPr>
        <w:tc>
          <w:tcPr>
            <w:tcW w:w="543"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w:t>
            </w:r>
          </w:p>
        </w:tc>
        <w:tc>
          <w:tcPr>
            <w:tcW w:w="1380" w:type="dxa"/>
            <w:noWrap w:val="0"/>
            <w:vAlign w:val="center"/>
          </w:tcPr>
          <w:p>
            <w:pPr>
              <w:spacing w:line="360" w:lineRule="auto"/>
              <w:jc w:val="center"/>
              <w:rPr>
                <w:rFonts w:hint="eastAsia" w:ascii="仿宋" w:hAnsi="仿宋" w:eastAsia="仿宋" w:cs="仿宋"/>
                <w:sz w:val="24"/>
                <w:szCs w:val="24"/>
              </w:rPr>
            </w:pPr>
          </w:p>
        </w:tc>
        <w:tc>
          <w:tcPr>
            <w:tcW w:w="1250" w:type="dxa"/>
            <w:noWrap w:val="0"/>
            <w:vAlign w:val="center"/>
          </w:tcPr>
          <w:p>
            <w:pPr>
              <w:spacing w:line="360" w:lineRule="auto"/>
              <w:jc w:val="center"/>
              <w:rPr>
                <w:rFonts w:hint="eastAsia" w:ascii="仿宋" w:hAnsi="仿宋" w:eastAsia="仿宋" w:cs="仿宋"/>
                <w:sz w:val="24"/>
                <w:szCs w:val="24"/>
              </w:rPr>
            </w:pPr>
          </w:p>
        </w:tc>
        <w:tc>
          <w:tcPr>
            <w:tcW w:w="1251" w:type="dxa"/>
            <w:noWrap w:val="0"/>
            <w:vAlign w:val="center"/>
          </w:tcPr>
          <w:p>
            <w:pPr>
              <w:spacing w:line="360" w:lineRule="auto"/>
              <w:jc w:val="center"/>
              <w:rPr>
                <w:rFonts w:hint="eastAsia" w:ascii="仿宋" w:hAnsi="仿宋" w:eastAsia="仿宋" w:cs="仿宋"/>
                <w:sz w:val="24"/>
                <w:szCs w:val="24"/>
              </w:rPr>
            </w:pPr>
          </w:p>
        </w:tc>
        <w:tc>
          <w:tcPr>
            <w:tcW w:w="784" w:type="dxa"/>
            <w:noWrap w:val="0"/>
            <w:vAlign w:val="center"/>
          </w:tcPr>
          <w:p>
            <w:pPr>
              <w:spacing w:line="360" w:lineRule="auto"/>
              <w:jc w:val="center"/>
              <w:rPr>
                <w:rFonts w:hint="eastAsia" w:ascii="仿宋" w:hAnsi="仿宋" w:eastAsia="仿宋" w:cs="仿宋"/>
                <w:sz w:val="24"/>
                <w:szCs w:val="24"/>
              </w:rPr>
            </w:pPr>
          </w:p>
        </w:tc>
        <w:tc>
          <w:tcPr>
            <w:tcW w:w="795" w:type="dxa"/>
            <w:noWrap w:val="0"/>
            <w:vAlign w:val="center"/>
          </w:tcPr>
          <w:p>
            <w:pPr>
              <w:spacing w:line="360" w:lineRule="auto"/>
              <w:jc w:val="center"/>
              <w:rPr>
                <w:rFonts w:hint="eastAsia" w:ascii="仿宋" w:hAnsi="仿宋" w:eastAsia="仿宋" w:cs="仿宋"/>
                <w:sz w:val="24"/>
                <w:szCs w:val="24"/>
              </w:rPr>
            </w:pPr>
          </w:p>
        </w:tc>
        <w:tc>
          <w:tcPr>
            <w:tcW w:w="885" w:type="dxa"/>
            <w:noWrap w:val="0"/>
            <w:vAlign w:val="center"/>
          </w:tcPr>
          <w:p>
            <w:pPr>
              <w:spacing w:line="360" w:lineRule="auto"/>
              <w:jc w:val="center"/>
              <w:rPr>
                <w:rFonts w:hint="eastAsia" w:ascii="仿宋" w:hAnsi="仿宋" w:eastAsia="仿宋" w:cs="仿宋"/>
                <w:sz w:val="24"/>
                <w:szCs w:val="24"/>
              </w:rPr>
            </w:pPr>
          </w:p>
        </w:tc>
        <w:tc>
          <w:tcPr>
            <w:tcW w:w="945" w:type="dxa"/>
            <w:noWrap w:val="0"/>
            <w:vAlign w:val="center"/>
          </w:tcPr>
          <w:p>
            <w:pPr>
              <w:spacing w:line="360" w:lineRule="auto"/>
              <w:jc w:val="center"/>
              <w:rPr>
                <w:rFonts w:hint="eastAsia" w:ascii="仿宋" w:hAnsi="仿宋" w:eastAsia="仿宋" w:cs="仿宋"/>
                <w:sz w:val="24"/>
                <w:szCs w:val="24"/>
              </w:rPr>
            </w:pPr>
          </w:p>
        </w:tc>
        <w:tc>
          <w:tcPr>
            <w:tcW w:w="661" w:type="dxa"/>
            <w:noWrap w:val="0"/>
            <w:vAlign w:val="center"/>
          </w:tcPr>
          <w:p>
            <w:pPr>
              <w:spacing w:line="360" w:lineRule="auto"/>
              <w:jc w:val="center"/>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73" w:hRule="atLeast"/>
          <w:jc w:val="center"/>
        </w:trPr>
        <w:tc>
          <w:tcPr>
            <w:tcW w:w="1923" w:type="dxa"/>
            <w:gridSpan w:val="2"/>
            <w:noWrap w:val="0"/>
            <w:vAlign w:val="center"/>
          </w:tcPr>
          <w:p>
            <w:pPr>
              <w:tabs>
                <w:tab w:val="left" w:pos="410"/>
              </w:tabs>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完成本项目</w:t>
            </w:r>
          </w:p>
          <w:p>
            <w:pPr>
              <w:tabs>
                <w:tab w:val="left" w:pos="410"/>
              </w:tabs>
              <w:spacing w:line="360" w:lineRule="auto"/>
              <w:jc w:val="center"/>
              <w:rPr>
                <w:rFonts w:hint="eastAsia" w:ascii="仿宋" w:hAnsi="仿宋" w:eastAsia="仿宋" w:cs="仿宋"/>
                <w:sz w:val="24"/>
                <w:szCs w:val="24"/>
              </w:rPr>
            </w:pPr>
            <w:r>
              <w:rPr>
                <w:rFonts w:hint="eastAsia" w:ascii="仿宋" w:hAnsi="仿宋" w:eastAsia="仿宋" w:cs="仿宋"/>
                <w:sz w:val="24"/>
                <w:szCs w:val="24"/>
              </w:rPr>
              <w:t>的其他费用：</w:t>
            </w:r>
          </w:p>
        </w:tc>
        <w:tc>
          <w:tcPr>
            <w:tcW w:w="6571" w:type="dxa"/>
            <w:gridSpan w:val="7"/>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1、</w:t>
            </w:r>
          </w:p>
          <w:p>
            <w:pPr>
              <w:pStyle w:val="14"/>
              <w:rPr>
                <w:rFonts w:hint="eastAsia" w:ascii="仿宋" w:hAnsi="仿宋" w:eastAsia="仿宋" w:cs="仿宋"/>
                <w:sz w:val="24"/>
                <w:szCs w:val="24"/>
              </w:rPr>
            </w:pPr>
            <w:r>
              <w:rPr>
                <w:rFonts w:hint="eastAsia" w:ascii="仿宋" w:hAnsi="仿宋" w:eastAsia="仿宋" w:cs="仿宋"/>
                <w:sz w:val="24"/>
                <w:szCs w:val="24"/>
              </w:rPr>
              <w:t>2、</w:t>
            </w:r>
          </w:p>
          <w:p>
            <w:pPr>
              <w:pStyle w:val="14"/>
              <w:rPr>
                <w:rFonts w:hint="eastAsia" w:ascii="仿宋" w:hAnsi="仿宋" w:eastAsia="仿宋" w:cs="仿宋"/>
                <w:sz w:val="24"/>
                <w:szCs w:val="24"/>
              </w:rPr>
            </w:pPr>
            <w:r>
              <w:rPr>
                <w:rFonts w:hint="eastAsia" w:ascii="仿宋" w:hAnsi="仿宋" w:eastAsia="仿宋" w:cs="仿宋"/>
                <w:sz w:val="24"/>
                <w:szCs w:val="24"/>
              </w:rPr>
              <w:t>3、</w:t>
            </w:r>
          </w:p>
          <w:p>
            <w:pPr>
              <w:pStyle w:val="14"/>
              <w:rPr>
                <w:rFonts w:hint="eastAsia" w:ascii="仿宋" w:hAnsi="仿宋" w:eastAsia="仿宋" w:cs="仿宋"/>
                <w:sz w:val="24"/>
                <w:szCs w:val="24"/>
              </w:rPr>
            </w:pPr>
            <w:r>
              <w:rPr>
                <w:rFonts w:hint="eastAsia" w:ascii="仿宋" w:hAnsi="仿宋" w:eastAsia="仿宋" w:cs="仿宋"/>
                <w:sz w:val="24"/>
                <w:szCs w:val="24"/>
              </w:rPr>
              <w:t>.........</w:t>
            </w:r>
          </w:p>
          <w:p>
            <w:pPr>
              <w:pStyle w:val="14"/>
              <w:rPr>
                <w:rFonts w:hint="eastAsia" w:ascii="仿宋" w:hAnsi="仿宋" w:eastAsia="仿宋" w:cs="仿宋"/>
                <w:sz w:val="24"/>
                <w:szCs w:val="24"/>
              </w:rPr>
            </w:pPr>
            <w:r>
              <w:rPr>
                <w:rFonts w:hint="eastAsia" w:ascii="仿宋" w:hAnsi="仿宋" w:eastAsia="仿宋" w:cs="仿宋"/>
                <w:sz w:val="24"/>
                <w:szCs w:val="24"/>
              </w:rPr>
              <w:t>小计：.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73" w:hRule="atLeast"/>
          <w:jc w:val="center"/>
        </w:trPr>
        <w:tc>
          <w:tcPr>
            <w:tcW w:w="1923" w:type="dxa"/>
            <w:gridSpan w:val="2"/>
            <w:noWrap w:val="0"/>
            <w:vAlign w:val="center"/>
          </w:tcPr>
          <w:p>
            <w:pPr>
              <w:tabs>
                <w:tab w:val="left" w:pos="410"/>
              </w:tabs>
              <w:spacing w:line="360" w:lineRule="auto"/>
              <w:jc w:val="center"/>
              <w:rPr>
                <w:rFonts w:hint="eastAsia" w:ascii="仿宋" w:hAnsi="仿宋" w:eastAsia="仿宋" w:cs="仿宋"/>
                <w:sz w:val="24"/>
                <w:szCs w:val="24"/>
              </w:rPr>
            </w:pPr>
            <w:r>
              <w:rPr>
                <w:rFonts w:hint="eastAsia" w:ascii="仿宋" w:hAnsi="仿宋" w:eastAsia="仿宋" w:cs="仿宋"/>
                <w:sz w:val="24"/>
                <w:szCs w:val="24"/>
              </w:rPr>
              <w:t>合计</w:t>
            </w:r>
          </w:p>
        </w:tc>
        <w:tc>
          <w:tcPr>
            <w:tcW w:w="6571" w:type="dxa"/>
            <w:gridSpan w:val="7"/>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小写：</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大写：</w:t>
            </w:r>
          </w:p>
        </w:tc>
      </w:tr>
    </w:tbl>
    <w:p>
      <w:pPr>
        <w:rPr>
          <w:rFonts w:hint="eastAsia" w:ascii="仿宋" w:hAnsi="仿宋" w:eastAsia="仿宋" w:cs="仿宋"/>
          <w:b/>
          <w:sz w:val="24"/>
          <w:szCs w:val="24"/>
        </w:rPr>
      </w:pPr>
    </w:p>
    <w:p>
      <w:pPr>
        <w:rPr>
          <w:b/>
          <w:szCs w:val="21"/>
        </w:rPr>
      </w:pPr>
    </w:p>
    <w:p>
      <w:pPr>
        <w:rPr>
          <w:b/>
          <w:szCs w:val="21"/>
        </w:rPr>
      </w:pPr>
    </w:p>
    <w:p>
      <w:pPr>
        <w:rPr>
          <w:b/>
          <w:szCs w:val="21"/>
        </w:rPr>
      </w:pPr>
    </w:p>
    <w:p>
      <w:pPr>
        <w:rPr>
          <w:b/>
          <w:szCs w:val="21"/>
        </w:rPr>
      </w:pPr>
    </w:p>
    <w:p>
      <w:pPr>
        <w:pStyle w:val="14"/>
        <w:rPr>
          <w:b/>
          <w:szCs w:val="21"/>
        </w:rPr>
      </w:pPr>
    </w:p>
    <w:p>
      <w:pPr>
        <w:pStyle w:val="14"/>
        <w:rPr>
          <w:rFonts w:hint="eastAsia"/>
          <w:b/>
          <w:szCs w:val="21"/>
        </w:rPr>
      </w:pPr>
    </w:p>
    <w:p>
      <w:pPr>
        <w:rPr>
          <w:b/>
          <w:szCs w:val="21"/>
        </w:rPr>
      </w:pPr>
      <w:r>
        <w:rPr>
          <w:rFonts w:hint="eastAsia"/>
          <w:b/>
          <w:szCs w:val="21"/>
        </w:rPr>
        <w:t>附件4：</w:t>
      </w:r>
      <w:bookmarkStart w:id="271" w:name="_Toc139965364"/>
    </w:p>
    <w:p>
      <w:pPr>
        <w:pStyle w:val="4"/>
        <w:spacing w:before="0" w:after="0"/>
        <w:rPr>
          <w:rFonts w:ascii="宋体" w:hAnsi="宋体"/>
          <w:sz w:val="21"/>
          <w:szCs w:val="21"/>
        </w:rPr>
      </w:pPr>
      <w:bookmarkStart w:id="272" w:name="_Toc239047350"/>
      <w:bookmarkStart w:id="273" w:name="_Toc16079"/>
      <w:bookmarkStart w:id="274" w:name="_Toc11610"/>
      <w:r>
        <w:rPr>
          <w:rFonts w:hint="eastAsia" w:ascii="宋体" w:hAnsi="宋体"/>
          <w:sz w:val="21"/>
          <w:szCs w:val="21"/>
        </w:rPr>
        <w:t>项目组成人员表</w:t>
      </w:r>
      <w:bookmarkEnd w:id="271"/>
      <w:bookmarkEnd w:id="272"/>
      <w:bookmarkEnd w:id="273"/>
      <w:bookmarkEnd w:id="274"/>
    </w:p>
    <w:p>
      <w:pPr>
        <w:adjustRightInd w:val="0"/>
        <w:snapToGrid w:val="0"/>
        <w:spacing w:line="360" w:lineRule="auto"/>
        <w:ind w:left="-88" w:leftChars="-42"/>
        <w:rPr>
          <w:rFonts w:hint="eastAsia" w:ascii="仿宋" w:hAnsi="仿宋" w:eastAsia="仿宋" w:cs="仿宋"/>
          <w:sz w:val="24"/>
          <w:szCs w:val="24"/>
          <w:u w:val="single"/>
        </w:rPr>
      </w:pPr>
      <w:r>
        <w:rPr>
          <w:rFonts w:hint="eastAsia" w:ascii="仿宋" w:hAnsi="仿宋" w:eastAsia="仿宋" w:cs="仿宋"/>
          <w:sz w:val="24"/>
          <w:szCs w:val="24"/>
        </w:rPr>
        <w:t>项目名称：</w:t>
      </w:r>
    </w:p>
    <w:p>
      <w:pPr>
        <w:adjustRightInd w:val="0"/>
        <w:snapToGrid w:val="0"/>
        <w:spacing w:line="360" w:lineRule="auto"/>
        <w:ind w:left="-88" w:leftChars="-42"/>
        <w:rPr>
          <w:rFonts w:hint="eastAsia" w:ascii="仿宋" w:hAnsi="仿宋" w:eastAsia="仿宋" w:cs="仿宋"/>
          <w:sz w:val="24"/>
          <w:szCs w:val="24"/>
        </w:rPr>
      </w:pPr>
      <w:r>
        <w:rPr>
          <w:rFonts w:hint="eastAsia" w:ascii="仿宋" w:hAnsi="仿宋" w:eastAsia="仿宋" w:cs="仿宋"/>
          <w:sz w:val="24"/>
          <w:szCs w:val="24"/>
        </w:rPr>
        <w:t xml:space="preserve">招标文件编号： </w:t>
      </w:r>
    </w:p>
    <w:tbl>
      <w:tblPr>
        <w:tblStyle w:val="27"/>
        <w:tblW w:w="0" w:type="auto"/>
        <w:tblInd w:w="-165" w:type="dxa"/>
        <w:tblLayout w:type="fixed"/>
        <w:tblCellMar>
          <w:top w:w="0" w:type="dxa"/>
          <w:left w:w="0" w:type="dxa"/>
          <w:bottom w:w="0" w:type="dxa"/>
          <w:right w:w="0" w:type="dxa"/>
        </w:tblCellMar>
      </w:tblPr>
      <w:tblGrid>
        <w:gridCol w:w="1025"/>
        <w:gridCol w:w="924"/>
        <w:gridCol w:w="1213"/>
        <w:gridCol w:w="1043"/>
        <w:gridCol w:w="1335"/>
        <w:gridCol w:w="1020"/>
        <w:gridCol w:w="1545"/>
        <w:gridCol w:w="1510"/>
      </w:tblGrid>
      <w:tr>
        <w:tblPrEx>
          <w:tblCellMar>
            <w:top w:w="0" w:type="dxa"/>
            <w:left w:w="0" w:type="dxa"/>
            <w:bottom w:w="0" w:type="dxa"/>
            <w:right w:w="0" w:type="dxa"/>
          </w:tblCellMar>
        </w:tblPrEx>
        <w:trPr>
          <w:cantSplit/>
          <w:trHeight w:val="822" w:hRule="atLeast"/>
        </w:trPr>
        <w:tc>
          <w:tcPr>
            <w:tcW w:w="10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92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姓名</w:t>
            </w:r>
          </w:p>
        </w:tc>
        <w:tc>
          <w:tcPr>
            <w:tcW w:w="121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学历</w:t>
            </w:r>
          </w:p>
        </w:tc>
        <w:tc>
          <w:tcPr>
            <w:tcW w:w="104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职称</w:t>
            </w:r>
          </w:p>
        </w:tc>
        <w:tc>
          <w:tcPr>
            <w:tcW w:w="13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专业</w:t>
            </w:r>
          </w:p>
        </w:tc>
        <w:tc>
          <w:tcPr>
            <w:tcW w:w="10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经验年限</w:t>
            </w:r>
          </w:p>
        </w:tc>
        <w:tc>
          <w:tcPr>
            <w:tcW w:w="154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拟担任职务</w:t>
            </w:r>
          </w:p>
        </w:tc>
        <w:tc>
          <w:tcPr>
            <w:tcW w:w="1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简历所在页码</w:t>
            </w:r>
          </w:p>
        </w:tc>
      </w:tr>
      <w:tr>
        <w:tblPrEx>
          <w:tblCellMar>
            <w:top w:w="0" w:type="dxa"/>
            <w:left w:w="0" w:type="dxa"/>
            <w:bottom w:w="0" w:type="dxa"/>
            <w:right w:w="0" w:type="dxa"/>
          </w:tblCellMar>
        </w:tblPrEx>
        <w:trPr>
          <w:trHeight w:val="390" w:hRule="atLeast"/>
        </w:trPr>
        <w:tc>
          <w:tcPr>
            <w:tcW w:w="102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92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　</w:t>
            </w:r>
          </w:p>
        </w:tc>
        <w:tc>
          <w:tcPr>
            <w:tcW w:w="121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sz w:val="24"/>
                <w:szCs w:val="24"/>
              </w:rPr>
            </w:pPr>
          </w:p>
        </w:tc>
        <w:tc>
          <w:tcPr>
            <w:tcW w:w="104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　</w:t>
            </w:r>
          </w:p>
        </w:tc>
        <w:tc>
          <w:tcPr>
            <w:tcW w:w="13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sz w:val="24"/>
                <w:szCs w:val="24"/>
              </w:rPr>
            </w:pPr>
          </w:p>
        </w:tc>
        <w:tc>
          <w:tcPr>
            <w:tcW w:w="10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sz w:val="24"/>
                <w:szCs w:val="24"/>
              </w:rPr>
            </w:pPr>
          </w:p>
        </w:tc>
        <w:tc>
          <w:tcPr>
            <w:tcW w:w="154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sz w:val="24"/>
                <w:szCs w:val="24"/>
              </w:rPr>
            </w:pPr>
          </w:p>
        </w:tc>
        <w:tc>
          <w:tcPr>
            <w:tcW w:w="1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sz w:val="24"/>
                <w:szCs w:val="24"/>
              </w:rPr>
            </w:pPr>
          </w:p>
        </w:tc>
      </w:tr>
      <w:tr>
        <w:tblPrEx>
          <w:tblCellMar>
            <w:top w:w="0" w:type="dxa"/>
            <w:left w:w="0" w:type="dxa"/>
            <w:bottom w:w="0" w:type="dxa"/>
            <w:right w:w="0" w:type="dxa"/>
          </w:tblCellMar>
        </w:tblPrEx>
        <w:trPr>
          <w:trHeight w:val="402" w:hRule="atLeast"/>
        </w:trPr>
        <w:tc>
          <w:tcPr>
            <w:tcW w:w="102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92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　</w:t>
            </w:r>
          </w:p>
        </w:tc>
        <w:tc>
          <w:tcPr>
            <w:tcW w:w="121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　</w:t>
            </w:r>
          </w:p>
        </w:tc>
        <w:tc>
          <w:tcPr>
            <w:tcW w:w="104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ind w:left="-15" w:leftChars="-7"/>
              <w:jc w:val="center"/>
              <w:rPr>
                <w:rFonts w:hint="eastAsia" w:ascii="仿宋" w:hAnsi="仿宋" w:eastAsia="仿宋" w:cs="仿宋"/>
                <w:sz w:val="24"/>
                <w:szCs w:val="24"/>
              </w:rPr>
            </w:pPr>
            <w:r>
              <w:rPr>
                <w:rFonts w:hint="eastAsia" w:ascii="仿宋" w:hAnsi="仿宋" w:eastAsia="仿宋" w:cs="仿宋"/>
                <w:sz w:val="24"/>
                <w:szCs w:val="24"/>
              </w:rPr>
              <w:t>　</w:t>
            </w:r>
          </w:p>
        </w:tc>
        <w:tc>
          <w:tcPr>
            <w:tcW w:w="13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ind w:left="-15" w:leftChars="-7"/>
              <w:jc w:val="center"/>
              <w:rPr>
                <w:rFonts w:hint="eastAsia" w:ascii="仿宋" w:hAnsi="仿宋" w:eastAsia="仿宋" w:cs="仿宋"/>
                <w:sz w:val="24"/>
                <w:szCs w:val="24"/>
              </w:rPr>
            </w:pPr>
          </w:p>
        </w:tc>
        <w:tc>
          <w:tcPr>
            <w:tcW w:w="10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ind w:left="-15" w:leftChars="-7"/>
              <w:jc w:val="center"/>
              <w:rPr>
                <w:rFonts w:hint="eastAsia" w:ascii="仿宋" w:hAnsi="仿宋" w:eastAsia="仿宋" w:cs="仿宋"/>
                <w:sz w:val="24"/>
                <w:szCs w:val="24"/>
              </w:rPr>
            </w:pPr>
          </w:p>
        </w:tc>
        <w:tc>
          <w:tcPr>
            <w:tcW w:w="154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ind w:left="-15" w:leftChars="-7"/>
              <w:jc w:val="center"/>
              <w:rPr>
                <w:rFonts w:hint="eastAsia" w:ascii="仿宋" w:hAnsi="仿宋" w:eastAsia="仿宋" w:cs="仿宋"/>
                <w:sz w:val="24"/>
                <w:szCs w:val="24"/>
              </w:rPr>
            </w:pPr>
          </w:p>
        </w:tc>
        <w:tc>
          <w:tcPr>
            <w:tcW w:w="1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ind w:left="-15" w:leftChars="-7"/>
              <w:jc w:val="center"/>
              <w:rPr>
                <w:rFonts w:hint="eastAsia" w:ascii="仿宋" w:hAnsi="仿宋" w:eastAsia="仿宋" w:cs="仿宋"/>
                <w:sz w:val="24"/>
                <w:szCs w:val="24"/>
              </w:rPr>
            </w:pPr>
          </w:p>
        </w:tc>
      </w:tr>
      <w:tr>
        <w:tblPrEx>
          <w:tblCellMar>
            <w:top w:w="0" w:type="dxa"/>
            <w:left w:w="0" w:type="dxa"/>
            <w:bottom w:w="0" w:type="dxa"/>
            <w:right w:w="0" w:type="dxa"/>
          </w:tblCellMar>
        </w:tblPrEx>
        <w:trPr>
          <w:trHeight w:val="402" w:hRule="atLeast"/>
        </w:trPr>
        <w:tc>
          <w:tcPr>
            <w:tcW w:w="102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92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　</w:t>
            </w:r>
          </w:p>
        </w:tc>
        <w:tc>
          <w:tcPr>
            <w:tcW w:w="121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　</w:t>
            </w:r>
          </w:p>
        </w:tc>
        <w:tc>
          <w:tcPr>
            <w:tcW w:w="104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　</w:t>
            </w:r>
          </w:p>
        </w:tc>
        <w:tc>
          <w:tcPr>
            <w:tcW w:w="133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sz w:val="24"/>
                <w:szCs w:val="24"/>
              </w:rPr>
            </w:pPr>
          </w:p>
        </w:tc>
        <w:tc>
          <w:tcPr>
            <w:tcW w:w="102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sz w:val="24"/>
                <w:szCs w:val="24"/>
              </w:rPr>
            </w:pPr>
          </w:p>
        </w:tc>
        <w:tc>
          <w:tcPr>
            <w:tcW w:w="154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sz w:val="24"/>
                <w:szCs w:val="24"/>
              </w:rPr>
            </w:pPr>
          </w:p>
        </w:tc>
        <w:tc>
          <w:tcPr>
            <w:tcW w:w="151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sz w:val="24"/>
                <w:szCs w:val="24"/>
              </w:rPr>
            </w:pPr>
          </w:p>
        </w:tc>
      </w:tr>
      <w:tr>
        <w:tblPrEx>
          <w:tblCellMar>
            <w:top w:w="0" w:type="dxa"/>
            <w:left w:w="0" w:type="dxa"/>
            <w:bottom w:w="0" w:type="dxa"/>
            <w:right w:w="0" w:type="dxa"/>
          </w:tblCellMar>
        </w:tblPrEx>
        <w:trPr>
          <w:trHeight w:val="402" w:hRule="atLeast"/>
        </w:trPr>
        <w:tc>
          <w:tcPr>
            <w:tcW w:w="102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w:t>
            </w:r>
          </w:p>
        </w:tc>
        <w:tc>
          <w:tcPr>
            <w:tcW w:w="92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　</w:t>
            </w:r>
          </w:p>
        </w:tc>
        <w:tc>
          <w:tcPr>
            <w:tcW w:w="121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　</w:t>
            </w:r>
          </w:p>
        </w:tc>
        <w:tc>
          <w:tcPr>
            <w:tcW w:w="104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left"/>
              <w:rPr>
                <w:rFonts w:hint="eastAsia" w:ascii="仿宋" w:hAnsi="仿宋" w:eastAsia="仿宋" w:cs="仿宋"/>
                <w:sz w:val="24"/>
                <w:szCs w:val="24"/>
              </w:rPr>
            </w:pPr>
            <w:r>
              <w:rPr>
                <w:rFonts w:hint="eastAsia" w:ascii="仿宋" w:hAnsi="仿宋" w:eastAsia="仿宋" w:cs="仿宋"/>
                <w:sz w:val="24"/>
                <w:szCs w:val="24"/>
              </w:rPr>
              <w:t>　</w:t>
            </w:r>
          </w:p>
        </w:tc>
        <w:tc>
          <w:tcPr>
            <w:tcW w:w="133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left"/>
              <w:rPr>
                <w:rFonts w:hint="eastAsia" w:ascii="仿宋" w:hAnsi="仿宋" w:eastAsia="仿宋" w:cs="仿宋"/>
                <w:sz w:val="24"/>
                <w:szCs w:val="24"/>
              </w:rPr>
            </w:pPr>
          </w:p>
        </w:tc>
        <w:tc>
          <w:tcPr>
            <w:tcW w:w="10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left"/>
              <w:rPr>
                <w:rFonts w:hint="eastAsia" w:ascii="仿宋" w:hAnsi="仿宋" w:eastAsia="仿宋" w:cs="仿宋"/>
                <w:sz w:val="24"/>
                <w:szCs w:val="24"/>
              </w:rPr>
            </w:pPr>
          </w:p>
        </w:tc>
        <w:tc>
          <w:tcPr>
            <w:tcW w:w="15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left"/>
              <w:rPr>
                <w:rFonts w:hint="eastAsia" w:ascii="仿宋" w:hAnsi="仿宋" w:eastAsia="仿宋" w:cs="仿宋"/>
                <w:sz w:val="24"/>
                <w:szCs w:val="24"/>
              </w:rPr>
            </w:pPr>
          </w:p>
        </w:tc>
        <w:tc>
          <w:tcPr>
            <w:tcW w:w="151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left"/>
              <w:rPr>
                <w:rFonts w:hint="eastAsia" w:ascii="仿宋" w:hAnsi="仿宋" w:eastAsia="仿宋" w:cs="仿宋"/>
                <w:sz w:val="24"/>
                <w:szCs w:val="24"/>
              </w:rPr>
            </w:pPr>
          </w:p>
        </w:tc>
      </w:tr>
      <w:tr>
        <w:tblPrEx>
          <w:tblCellMar>
            <w:top w:w="0" w:type="dxa"/>
            <w:left w:w="0" w:type="dxa"/>
            <w:bottom w:w="0" w:type="dxa"/>
            <w:right w:w="0" w:type="dxa"/>
          </w:tblCellMar>
        </w:tblPrEx>
        <w:trPr>
          <w:trHeight w:val="402" w:hRule="atLeast"/>
        </w:trPr>
        <w:tc>
          <w:tcPr>
            <w:tcW w:w="102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pPr>
              <w:rPr>
                <w:rFonts w:hint="eastAsia" w:ascii="仿宋" w:hAnsi="仿宋" w:eastAsia="仿宋" w:cs="仿宋"/>
                <w:sz w:val="24"/>
                <w:szCs w:val="24"/>
              </w:rPr>
            </w:pPr>
            <w:r>
              <w:rPr>
                <w:rFonts w:hint="eastAsia" w:ascii="仿宋" w:hAnsi="仿宋" w:eastAsia="仿宋" w:cs="仿宋"/>
                <w:sz w:val="24"/>
                <w:szCs w:val="24"/>
              </w:rPr>
              <w:t>　</w:t>
            </w:r>
          </w:p>
        </w:tc>
        <w:tc>
          <w:tcPr>
            <w:tcW w:w="924"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pPr>
              <w:rPr>
                <w:rFonts w:hint="eastAsia" w:ascii="仿宋" w:hAnsi="仿宋" w:eastAsia="仿宋" w:cs="仿宋"/>
                <w:sz w:val="24"/>
                <w:szCs w:val="24"/>
              </w:rPr>
            </w:pPr>
            <w:r>
              <w:rPr>
                <w:rFonts w:hint="eastAsia" w:ascii="仿宋" w:hAnsi="仿宋" w:eastAsia="仿宋" w:cs="仿宋"/>
                <w:sz w:val="24"/>
                <w:szCs w:val="24"/>
              </w:rPr>
              <w:t>　</w:t>
            </w:r>
          </w:p>
        </w:tc>
        <w:tc>
          <w:tcPr>
            <w:tcW w:w="121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pPr>
              <w:jc w:val="center"/>
              <w:rPr>
                <w:rFonts w:hint="eastAsia" w:ascii="仿宋" w:hAnsi="仿宋" w:eastAsia="仿宋" w:cs="仿宋"/>
                <w:sz w:val="24"/>
                <w:szCs w:val="24"/>
              </w:rPr>
            </w:pPr>
            <w:r>
              <w:rPr>
                <w:rFonts w:hint="eastAsia" w:ascii="仿宋" w:hAnsi="仿宋" w:eastAsia="仿宋" w:cs="仿宋"/>
                <w:sz w:val="24"/>
                <w:szCs w:val="24"/>
              </w:rPr>
              <w:t>　</w:t>
            </w:r>
          </w:p>
        </w:tc>
        <w:tc>
          <w:tcPr>
            <w:tcW w:w="104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pPr>
              <w:rPr>
                <w:rFonts w:hint="eastAsia" w:ascii="仿宋" w:hAnsi="仿宋" w:eastAsia="仿宋" w:cs="仿宋"/>
                <w:sz w:val="24"/>
                <w:szCs w:val="24"/>
              </w:rPr>
            </w:pPr>
            <w:r>
              <w:rPr>
                <w:rFonts w:hint="eastAsia" w:ascii="仿宋" w:hAnsi="仿宋" w:eastAsia="仿宋" w:cs="仿宋"/>
                <w:sz w:val="24"/>
                <w:szCs w:val="24"/>
              </w:rPr>
              <w:t>　</w:t>
            </w:r>
          </w:p>
        </w:tc>
        <w:tc>
          <w:tcPr>
            <w:tcW w:w="1335"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pPr>
              <w:rPr>
                <w:rFonts w:hint="eastAsia" w:ascii="仿宋" w:hAnsi="仿宋" w:eastAsia="仿宋" w:cs="仿宋"/>
                <w:sz w:val="24"/>
                <w:szCs w:val="24"/>
              </w:rPr>
            </w:pPr>
          </w:p>
        </w:tc>
        <w:tc>
          <w:tcPr>
            <w:tcW w:w="102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pPr>
              <w:rPr>
                <w:rFonts w:hint="eastAsia" w:ascii="仿宋" w:hAnsi="仿宋" w:eastAsia="仿宋" w:cs="仿宋"/>
                <w:sz w:val="24"/>
                <w:szCs w:val="24"/>
              </w:rPr>
            </w:pPr>
          </w:p>
        </w:tc>
        <w:tc>
          <w:tcPr>
            <w:tcW w:w="1545"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pPr>
              <w:rPr>
                <w:rFonts w:hint="eastAsia" w:ascii="仿宋" w:hAnsi="仿宋" w:eastAsia="仿宋" w:cs="仿宋"/>
                <w:sz w:val="24"/>
                <w:szCs w:val="24"/>
              </w:rPr>
            </w:pPr>
          </w:p>
        </w:tc>
        <w:tc>
          <w:tcPr>
            <w:tcW w:w="151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pPr>
              <w:rPr>
                <w:rFonts w:hint="eastAsia" w:ascii="仿宋" w:hAnsi="仿宋" w:eastAsia="仿宋" w:cs="仿宋"/>
                <w:sz w:val="24"/>
                <w:szCs w:val="24"/>
              </w:rPr>
            </w:pPr>
          </w:p>
        </w:tc>
      </w:tr>
      <w:tr>
        <w:tblPrEx>
          <w:tblCellMar>
            <w:top w:w="0" w:type="dxa"/>
            <w:left w:w="0" w:type="dxa"/>
            <w:bottom w:w="0" w:type="dxa"/>
            <w:right w:w="0" w:type="dxa"/>
          </w:tblCellMar>
        </w:tblPrEx>
        <w:trPr>
          <w:trHeight w:val="402" w:hRule="atLeast"/>
        </w:trPr>
        <w:tc>
          <w:tcPr>
            <w:tcW w:w="102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pPr>
              <w:rPr>
                <w:rFonts w:hint="eastAsia" w:ascii="仿宋" w:hAnsi="仿宋" w:eastAsia="仿宋" w:cs="仿宋"/>
                <w:sz w:val="24"/>
                <w:szCs w:val="24"/>
              </w:rPr>
            </w:pPr>
            <w:r>
              <w:rPr>
                <w:rFonts w:hint="eastAsia" w:ascii="仿宋" w:hAnsi="仿宋" w:eastAsia="仿宋" w:cs="仿宋"/>
                <w:sz w:val="24"/>
                <w:szCs w:val="24"/>
              </w:rPr>
              <w:t>　</w:t>
            </w:r>
          </w:p>
        </w:tc>
        <w:tc>
          <w:tcPr>
            <w:tcW w:w="924"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pPr>
              <w:rPr>
                <w:rFonts w:hint="eastAsia" w:ascii="仿宋" w:hAnsi="仿宋" w:eastAsia="仿宋" w:cs="仿宋"/>
                <w:sz w:val="24"/>
                <w:szCs w:val="24"/>
              </w:rPr>
            </w:pPr>
            <w:r>
              <w:rPr>
                <w:rFonts w:hint="eastAsia" w:ascii="仿宋" w:hAnsi="仿宋" w:eastAsia="仿宋" w:cs="仿宋"/>
                <w:sz w:val="24"/>
                <w:szCs w:val="24"/>
              </w:rPr>
              <w:t>　</w:t>
            </w:r>
          </w:p>
        </w:tc>
        <w:tc>
          <w:tcPr>
            <w:tcW w:w="121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pPr>
              <w:jc w:val="center"/>
              <w:rPr>
                <w:rFonts w:hint="eastAsia" w:ascii="仿宋" w:hAnsi="仿宋" w:eastAsia="仿宋" w:cs="仿宋"/>
                <w:sz w:val="24"/>
                <w:szCs w:val="24"/>
              </w:rPr>
            </w:pPr>
            <w:r>
              <w:rPr>
                <w:rFonts w:hint="eastAsia" w:ascii="仿宋" w:hAnsi="仿宋" w:eastAsia="仿宋" w:cs="仿宋"/>
                <w:sz w:val="24"/>
                <w:szCs w:val="24"/>
              </w:rPr>
              <w:t>　</w:t>
            </w:r>
          </w:p>
        </w:tc>
        <w:tc>
          <w:tcPr>
            <w:tcW w:w="104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pPr>
              <w:rPr>
                <w:rFonts w:hint="eastAsia" w:ascii="仿宋" w:hAnsi="仿宋" w:eastAsia="仿宋" w:cs="仿宋"/>
                <w:sz w:val="24"/>
                <w:szCs w:val="24"/>
              </w:rPr>
            </w:pPr>
            <w:r>
              <w:rPr>
                <w:rFonts w:hint="eastAsia" w:ascii="仿宋" w:hAnsi="仿宋" w:eastAsia="仿宋" w:cs="仿宋"/>
                <w:sz w:val="24"/>
                <w:szCs w:val="24"/>
              </w:rPr>
              <w:t>　</w:t>
            </w:r>
          </w:p>
        </w:tc>
        <w:tc>
          <w:tcPr>
            <w:tcW w:w="1335"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pPr>
              <w:rPr>
                <w:rFonts w:hint="eastAsia" w:ascii="仿宋" w:hAnsi="仿宋" w:eastAsia="仿宋" w:cs="仿宋"/>
                <w:sz w:val="24"/>
                <w:szCs w:val="24"/>
              </w:rPr>
            </w:pPr>
          </w:p>
        </w:tc>
        <w:tc>
          <w:tcPr>
            <w:tcW w:w="102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pPr>
              <w:rPr>
                <w:rFonts w:hint="eastAsia" w:ascii="仿宋" w:hAnsi="仿宋" w:eastAsia="仿宋" w:cs="仿宋"/>
                <w:sz w:val="24"/>
                <w:szCs w:val="24"/>
              </w:rPr>
            </w:pPr>
          </w:p>
        </w:tc>
        <w:tc>
          <w:tcPr>
            <w:tcW w:w="1545"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pPr>
              <w:rPr>
                <w:rFonts w:hint="eastAsia" w:ascii="仿宋" w:hAnsi="仿宋" w:eastAsia="仿宋" w:cs="仿宋"/>
                <w:sz w:val="24"/>
                <w:szCs w:val="24"/>
              </w:rPr>
            </w:pPr>
          </w:p>
        </w:tc>
        <w:tc>
          <w:tcPr>
            <w:tcW w:w="151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pPr>
              <w:rPr>
                <w:rFonts w:hint="eastAsia" w:ascii="仿宋" w:hAnsi="仿宋" w:eastAsia="仿宋" w:cs="仿宋"/>
                <w:sz w:val="24"/>
                <w:szCs w:val="24"/>
              </w:rPr>
            </w:pPr>
          </w:p>
        </w:tc>
      </w:tr>
    </w:tbl>
    <w:p>
      <w:pPr>
        <w:spacing w:line="300" w:lineRule="auto"/>
        <w:rPr>
          <w:rFonts w:hint="eastAsia" w:ascii="仿宋" w:hAnsi="仿宋" w:eastAsia="仿宋" w:cs="仿宋"/>
          <w:bCs/>
          <w:sz w:val="24"/>
          <w:szCs w:val="24"/>
        </w:rPr>
      </w:pPr>
    </w:p>
    <w:p>
      <w:pPr>
        <w:tabs>
          <w:tab w:val="left" w:pos="1130"/>
        </w:tabs>
        <w:spacing w:line="360" w:lineRule="auto"/>
        <w:rPr>
          <w:rFonts w:hint="eastAsia" w:ascii="仿宋" w:hAnsi="仿宋" w:eastAsia="仿宋" w:cs="仿宋"/>
          <w:bCs/>
          <w:sz w:val="24"/>
          <w:szCs w:val="24"/>
        </w:rPr>
      </w:pPr>
      <w:r>
        <w:rPr>
          <w:rFonts w:hint="eastAsia" w:ascii="仿宋" w:hAnsi="仿宋" w:eastAsia="仿宋" w:cs="仿宋"/>
          <w:bCs/>
          <w:sz w:val="24"/>
          <w:szCs w:val="24"/>
        </w:rPr>
        <w:t>注：</w:t>
      </w:r>
    </w:p>
    <w:p>
      <w:pPr>
        <w:tabs>
          <w:tab w:val="left" w:pos="1130"/>
        </w:tabs>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1、上表中， “拟担任职务”指：项目负责人、技术负责人、其他成员；项目负责人、技术负责人只能拟定 1 名，不得拟定多名。项目负责人、技术负责人和主要技术人员必须按照合同的约定，亲自承担或参与项目的相关技术活动，在未征得采购人同意的情况下不得随意更换项目负责人、技术负责人和主要技术人员。</w:t>
      </w:r>
    </w:p>
    <w:p>
      <w:pPr>
        <w:tabs>
          <w:tab w:val="left" w:pos="1130"/>
        </w:tabs>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2、投标人须附上有关人员学历或职称等证明资料复印件。</w:t>
      </w:r>
    </w:p>
    <w:p>
      <w:pPr>
        <w:tabs>
          <w:tab w:val="left" w:pos="1130"/>
        </w:tabs>
        <w:spacing w:line="360" w:lineRule="auto"/>
        <w:rPr>
          <w:rFonts w:hint="eastAsia" w:ascii="仿宋" w:hAnsi="仿宋" w:eastAsia="仿宋" w:cs="仿宋"/>
          <w:bCs/>
          <w:sz w:val="24"/>
          <w:szCs w:val="24"/>
        </w:rPr>
      </w:pPr>
    </w:p>
    <w:p>
      <w:pPr>
        <w:tabs>
          <w:tab w:val="left" w:pos="1130"/>
        </w:tabs>
        <w:spacing w:line="360" w:lineRule="auto"/>
        <w:rPr>
          <w:rFonts w:hint="eastAsia" w:ascii="仿宋" w:hAnsi="仿宋" w:eastAsia="仿宋" w:cs="仿宋"/>
          <w:bCs/>
          <w:sz w:val="24"/>
          <w:szCs w:val="24"/>
        </w:rPr>
      </w:pPr>
    </w:p>
    <w:p>
      <w:pPr>
        <w:tabs>
          <w:tab w:val="left" w:pos="1130"/>
        </w:tabs>
        <w:spacing w:line="360" w:lineRule="auto"/>
        <w:rPr>
          <w:rFonts w:hint="eastAsia" w:ascii="仿宋" w:hAnsi="仿宋" w:eastAsia="仿宋" w:cs="仿宋"/>
          <w:bCs/>
          <w:sz w:val="24"/>
          <w:szCs w:val="24"/>
        </w:rPr>
      </w:pPr>
    </w:p>
    <w:p>
      <w:pPr>
        <w:tabs>
          <w:tab w:val="left" w:pos="1130"/>
        </w:tabs>
        <w:spacing w:line="360" w:lineRule="auto"/>
        <w:ind w:firstLine="6480" w:firstLineChars="2700"/>
        <w:rPr>
          <w:rFonts w:hint="eastAsia" w:ascii="仿宋" w:hAnsi="仿宋" w:eastAsia="仿宋" w:cs="仿宋"/>
          <w:bCs/>
          <w:sz w:val="24"/>
          <w:szCs w:val="24"/>
        </w:rPr>
      </w:pPr>
      <w:r>
        <w:rPr>
          <w:rFonts w:hint="eastAsia" w:ascii="仿宋" w:hAnsi="仿宋" w:eastAsia="仿宋" w:cs="仿宋"/>
          <w:bCs/>
          <w:sz w:val="24"/>
          <w:szCs w:val="24"/>
        </w:rPr>
        <w:t>投标人全称（盖章） ：</w:t>
      </w:r>
    </w:p>
    <w:p>
      <w:pPr>
        <w:tabs>
          <w:tab w:val="left" w:pos="1130"/>
        </w:tabs>
        <w:spacing w:line="360" w:lineRule="auto"/>
        <w:rPr>
          <w:rFonts w:hint="eastAsia" w:ascii="仿宋" w:hAnsi="仿宋" w:eastAsia="仿宋" w:cs="仿宋"/>
          <w:bCs/>
          <w:sz w:val="24"/>
          <w:szCs w:val="24"/>
        </w:rPr>
      </w:pPr>
    </w:p>
    <w:p>
      <w:pPr>
        <w:tabs>
          <w:tab w:val="left" w:pos="1130"/>
        </w:tabs>
        <w:spacing w:line="360" w:lineRule="auto"/>
        <w:ind w:firstLine="6480" w:firstLineChars="2700"/>
        <w:rPr>
          <w:rFonts w:hint="eastAsia" w:ascii="仿宋" w:hAnsi="仿宋" w:eastAsia="仿宋" w:cs="仿宋"/>
          <w:bCs/>
          <w:sz w:val="24"/>
          <w:szCs w:val="24"/>
        </w:rPr>
      </w:pPr>
      <w:r>
        <w:rPr>
          <w:rFonts w:hint="eastAsia" w:ascii="仿宋" w:hAnsi="仿宋" w:eastAsia="仿宋" w:cs="仿宋"/>
          <w:bCs/>
          <w:sz w:val="24"/>
          <w:szCs w:val="24"/>
        </w:rPr>
        <w:t>授权代表（签名） ：</w:t>
      </w:r>
    </w:p>
    <w:p>
      <w:pPr>
        <w:tabs>
          <w:tab w:val="left" w:pos="1130"/>
        </w:tabs>
        <w:spacing w:line="360" w:lineRule="auto"/>
        <w:rPr>
          <w:rFonts w:hint="eastAsia" w:ascii="仿宋" w:hAnsi="仿宋" w:eastAsia="仿宋" w:cs="仿宋"/>
          <w:bCs/>
          <w:sz w:val="24"/>
          <w:szCs w:val="24"/>
        </w:rPr>
      </w:pPr>
    </w:p>
    <w:p>
      <w:pPr>
        <w:tabs>
          <w:tab w:val="left" w:pos="1130"/>
        </w:tabs>
        <w:spacing w:line="360" w:lineRule="auto"/>
        <w:ind w:firstLine="6720" w:firstLineChars="2800"/>
        <w:rPr>
          <w:rFonts w:hint="eastAsia" w:ascii="仿宋" w:hAnsi="仿宋" w:eastAsia="仿宋" w:cs="仿宋"/>
          <w:bCs/>
          <w:sz w:val="24"/>
          <w:szCs w:val="24"/>
        </w:rPr>
      </w:pPr>
      <w:r>
        <w:rPr>
          <w:rFonts w:hint="eastAsia" w:ascii="仿宋" w:hAnsi="仿宋" w:eastAsia="仿宋" w:cs="仿宋"/>
          <w:bCs/>
          <w:sz w:val="24"/>
          <w:szCs w:val="24"/>
        </w:rPr>
        <w:t>日 期： 年 月 日</w:t>
      </w:r>
    </w:p>
    <w:p>
      <w:pPr>
        <w:widowControl/>
        <w:jc w:val="left"/>
        <w:rPr>
          <w:rFonts w:hint="eastAsia" w:ascii="仿宋" w:hAnsi="仿宋" w:eastAsia="仿宋" w:cs="仿宋"/>
          <w:sz w:val="24"/>
          <w:szCs w:val="24"/>
        </w:rPr>
      </w:pPr>
    </w:p>
    <w:p>
      <w:pPr>
        <w:pStyle w:val="14"/>
        <w:rPr>
          <w:rFonts w:hint="eastAsia" w:ascii="仿宋" w:hAnsi="仿宋" w:eastAsia="仿宋" w:cs="仿宋"/>
          <w:sz w:val="24"/>
          <w:szCs w:val="24"/>
        </w:rPr>
      </w:pPr>
    </w:p>
    <w:p>
      <w:pPr>
        <w:pStyle w:val="4"/>
        <w:spacing w:before="0"/>
        <w:jc w:val="left"/>
        <w:rPr>
          <w:rFonts w:ascii="Times New Roman" w:hAnsi="Times New Roman"/>
          <w:kern w:val="44"/>
          <w:sz w:val="22"/>
          <w:szCs w:val="22"/>
        </w:rPr>
      </w:pPr>
      <w:bookmarkStart w:id="275" w:name="_Toc1609"/>
      <w:bookmarkStart w:id="276" w:name="_Toc34034529"/>
      <w:r>
        <w:rPr>
          <w:rFonts w:hint="eastAsia" w:ascii="Times New Roman" w:hAnsi="Times New Roman"/>
          <w:kern w:val="44"/>
          <w:sz w:val="22"/>
          <w:szCs w:val="22"/>
        </w:rPr>
        <w:t>附件5：</w:t>
      </w:r>
      <w:bookmarkEnd w:id="275"/>
      <w:bookmarkEnd w:id="276"/>
    </w:p>
    <w:p>
      <w:pPr>
        <w:pStyle w:val="4"/>
        <w:spacing w:before="0" w:after="0"/>
        <w:rPr>
          <w:rFonts w:ascii="宋体" w:hAnsi="宋体"/>
          <w:sz w:val="21"/>
          <w:szCs w:val="21"/>
        </w:rPr>
      </w:pPr>
      <w:bookmarkStart w:id="277" w:name="_Toc20554"/>
      <w:r>
        <w:rPr>
          <w:rFonts w:hint="eastAsia" w:ascii="宋体" w:hAnsi="宋体"/>
          <w:sz w:val="21"/>
          <w:szCs w:val="21"/>
        </w:rPr>
        <w:t>小微企业价格评审优惠申请及承诺函</w:t>
      </w:r>
      <w:bookmarkEnd w:id="277"/>
    </w:p>
    <w:p>
      <w:pPr>
        <w:adjustRightInd w:val="0"/>
        <w:snapToGrid w:val="0"/>
        <w:spacing w:line="360" w:lineRule="auto"/>
        <w:ind w:firstLine="640" w:firstLineChars="200"/>
        <w:jc w:val="center"/>
        <w:rPr>
          <w:rFonts w:hint="eastAsia" w:ascii="仿宋" w:hAnsi="仿宋" w:eastAsia="仿宋" w:cs="仿宋"/>
          <w:sz w:val="32"/>
          <w:szCs w:val="28"/>
        </w:rPr>
      </w:pPr>
    </w:p>
    <w:p>
      <w:pPr>
        <w:adjustRightInd w:val="0"/>
        <w:snapToGrid w:val="0"/>
        <w:spacing w:line="360" w:lineRule="auto"/>
        <w:jc w:val="left"/>
        <w:rPr>
          <w:rFonts w:hint="eastAsia" w:ascii="仿宋" w:hAnsi="仿宋" w:eastAsia="仿宋" w:cs="仿宋"/>
          <w:sz w:val="24"/>
        </w:rPr>
      </w:pPr>
      <w:r>
        <w:rPr>
          <w:rFonts w:hint="eastAsia" w:ascii="仿宋" w:hAnsi="仿宋" w:eastAsia="仿宋" w:cs="仿宋"/>
          <w:sz w:val="24"/>
        </w:rPr>
        <w:t>致：镇原县公共资源交易中心</w:t>
      </w:r>
    </w:p>
    <w:p>
      <w:pPr>
        <w:adjustRightInd w:val="0"/>
        <w:snapToGrid w:val="0"/>
        <w:spacing w:line="360" w:lineRule="auto"/>
        <w:ind w:firstLine="480" w:firstLineChars="200"/>
        <w:rPr>
          <w:rFonts w:hint="eastAsia" w:ascii="仿宋" w:hAnsi="仿宋" w:eastAsia="仿宋" w:cs="仿宋"/>
          <w:bCs/>
          <w:sz w:val="24"/>
        </w:rPr>
      </w:pPr>
      <w:r>
        <w:rPr>
          <w:rFonts w:hint="eastAsia" w:ascii="仿宋" w:hAnsi="仿宋" w:eastAsia="仿宋" w:cs="仿宋"/>
          <w:sz w:val="24"/>
        </w:rPr>
        <w:t>我</w:t>
      </w:r>
      <w:r>
        <w:rPr>
          <w:rFonts w:hint="eastAsia" w:ascii="仿宋" w:hAnsi="仿宋" w:eastAsia="仿宋" w:cs="仿宋"/>
          <w:sz w:val="24"/>
          <w:u w:val="single"/>
        </w:rPr>
        <w:t xml:space="preserve">            供应商名称        </w:t>
      </w:r>
      <w:r>
        <w:rPr>
          <w:rFonts w:hint="eastAsia" w:ascii="仿宋" w:hAnsi="仿宋" w:eastAsia="仿宋" w:cs="仿宋"/>
          <w:sz w:val="24"/>
        </w:rPr>
        <w:t xml:space="preserve"> 符合</w:t>
      </w:r>
      <w:r>
        <w:rPr>
          <w:rFonts w:hint="eastAsia" w:ascii="仿宋" w:hAnsi="仿宋" w:eastAsia="仿宋" w:cs="仿宋"/>
          <w:bCs/>
          <w:sz w:val="24"/>
        </w:rPr>
        <w:t>（工信部联企业[2011]300号）和《财政部工业和信息化部关于印发＜政府采购促进中小企业发展暂行办法＞的通知》(财库[2011]181号)相关规定，属于小微企业，现申请在本项目投标中享受相关的评审优惠政策，我</w:t>
      </w:r>
      <w:r>
        <w:rPr>
          <w:rFonts w:hint="eastAsia" w:ascii="仿宋" w:hAnsi="仿宋" w:eastAsia="仿宋" w:cs="仿宋"/>
          <w:sz w:val="24"/>
          <w:u w:val="single"/>
        </w:rPr>
        <w:t>供应商名称</w:t>
      </w:r>
      <w:r>
        <w:rPr>
          <w:rFonts w:hint="eastAsia" w:ascii="仿宋" w:hAnsi="仿宋" w:eastAsia="仿宋" w:cs="仿宋"/>
          <w:bCs/>
          <w:sz w:val="24"/>
        </w:rPr>
        <w:t>现郑重承诺我们提交的相关证明材料情况真实，无任何虚假证明文件，若有虚假，我公司为此承担全部法律责任。</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附件1：本企业上一年度经第三方审计的财务报告；</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附件2：企业基本情况说明</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附件3：本企业员工花名册</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附件4：开户银行出具的近三个月进出账明细记录表（由本企业开户银行出具并逐页加盖银行公章）。</w:t>
      </w:r>
    </w:p>
    <w:p>
      <w:pPr>
        <w:autoSpaceDN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不提供者不得享受小微企业价格扣除的优惠政策，提供虚假财务审计报告或开户银行证明的按照无效投标处理并承担相应法律责任。</w:t>
      </w:r>
    </w:p>
    <w:p>
      <w:pPr>
        <w:adjustRightInd w:val="0"/>
        <w:snapToGrid w:val="0"/>
        <w:spacing w:line="360" w:lineRule="auto"/>
        <w:rPr>
          <w:rFonts w:hint="eastAsia" w:ascii="仿宋" w:hAnsi="仿宋" w:eastAsia="仿宋" w:cs="仿宋"/>
          <w:bCs/>
          <w:sz w:val="24"/>
        </w:rPr>
      </w:pPr>
    </w:p>
    <w:p>
      <w:pPr>
        <w:adjustRightInd w:val="0"/>
        <w:snapToGrid w:val="0"/>
        <w:spacing w:line="360" w:lineRule="auto"/>
        <w:ind w:firstLine="480" w:firstLineChars="200"/>
        <w:rPr>
          <w:rFonts w:hint="eastAsia" w:ascii="仿宋" w:hAnsi="仿宋" w:eastAsia="仿宋" w:cs="仿宋"/>
          <w:bCs/>
          <w:sz w:val="24"/>
        </w:rPr>
      </w:pPr>
    </w:p>
    <w:p>
      <w:pPr>
        <w:adjustRightInd w:val="0"/>
        <w:snapToGrid w:val="0"/>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 xml:space="preserve">                         申请人：（盖章）</w:t>
      </w:r>
    </w:p>
    <w:p>
      <w:pPr>
        <w:adjustRightInd w:val="0"/>
        <w:snapToGrid w:val="0"/>
        <w:spacing w:line="360" w:lineRule="auto"/>
        <w:ind w:firstLine="480" w:firstLineChars="200"/>
        <w:rPr>
          <w:rFonts w:hint="eastAsia" w:ascii="仿宋" w:hAnsi="仿宋" w:eastAsia="仿宋" w:cs="仿宋"/>
          <w:bCs/>
          <w:sz w:val="24"/>
          <w:u w:val="single"/>
        </w:rPr>
      </w:pPr>
      <w:r>
        <w:rPr>
          <w:rFonts w:hint="eastAsia" w:ascii="仿宋" w:hAnsi="仿宋" w:eastAsia="仿宋" w:cs="仿宋"/>
          <w:bCs/>
          <w:sz w:val="24"/>
        </w:rPr>
        <w:t xml:space="preserve">                         承诺人：（法人代表签字）</w:t>
      </w:r>
    </w:p>
    <w:p>
      <w:pPr>
        <w:adjustRightInd w:val="0"/>
        <w:snapToGrid w:val="0"/>
        <w:spacing w:line="360" w:lineRule="auto"/>
        <w:ind w:firstLine="480" w:firstLineChars="200"/>
        <w:rPr>
          <w:rFonts w:hint="eastAsia" w:ascii="仿宋" w:hAnsi="仿宋" w:eastAsia="仿宋" w:cs="仿宋"/>
          <w:bCs/>
          <w:sz w:val="24"/>
          <w:u w:val="single"/>
        </w:rPr>
      </w:pPr>
    </w:p>
    <w:p>
      <w:pPr>
        <w:adjustRightInd w:val="0"/>
        <w:snapToGrid w:val="0"/>
        <w:spacing w:line="360" w:lineRule="auto"/>
        <w:ind w:firstLine="480" w:firstLineChars="200"/>
        <w:rPr>
          <w:rFonts w:hint="eastAsia" w:ascii="仿宋" w:hAnsi="仿宋" w:eastAsia="仿宋" w:cs="仿宋"/>
          <w:bCs/>
          <w:sz w:val="24"/>
          <w:u w:val="single"/>
        </w:rPr>
      </w:pPr>
    </w:p>
    <w:p>
      <w:pPr>
        <w:pStyle w:val="3"/>
        <w:ind w:firstLine="4320" w:firstLineChars="1800"/>
        <w:rPr>
          <w:rFonts w:hint="eastAsia" w:ascii="仿宋" w:hAnsi="仿宋" w:eastAsia="仿宋" w:cs="仿宋"/>
          <w:sz w:val="24"/>
        </w:rPr>
      </w:pPr>
      <w:bookmarkStart w:id="278" w:name="_Toc8585"/>
      <w:bookmarkStart w:id="279" w:name="_Toc34034531"/>
      <w:r>
        <w:rPr>
          <w:rFonts w:hint="eastAsia" w:ascii="仿宋" w:hAnsi="仿宋" w:eastAsia="仿宋" w:cs="仿宋"/>
          <w:b w:val="0"/>
          <w:kern w:val="2"/>
          <w:sz w:val="24"/>
          <w:szCs w:val="24"/>
        </w:rPr>
        <w:t>年     月    日</w:t>
      </w:r>
      <w:bookmarkEnd w:id="278"/>
      <w:bookmarkEnd w:id="279"/>
      <w:r>
        <w:rPr>
          <w:rFonts w:hint="eastAsia" w:ascii="仿宋" w:hAnsi="仿宋" w:eastAsia="仿宋" w:cs="仿宋"/>
          <w:b w:val="0"/>
          <w:kern w:val="2"/>
          <w:sz w:val="24"/>
          <w:szCs w:val="24"/>
        </w:rPr>
        <w:t xml:space="preserve">  </w:t>
      </w:r>
    </w:p>
    <w:p>
      <w:pPr>
        <w:adjustRightInd w:val="0"/>
        <w:snapToGrid w:val="0"/>
        <w:spacing w:line="360" w:lineRule="auto"/>
        <w:ind w:firstLine="480" w:firstLineChars="200"/>
        <w:rPr>
          <w:rFonts w:ascii="宋体" w:hAnsi="宋体"/>
          <w:bCs/>
          <w:sz w:val="24"/>
          <w:u w:val="single"/>
        </w:rPr>
      </w:pPr>
    </w:p>
    <w:p>
      <w:pPr>
        <w:adjustRightInd w:val="0"/>
        <w:snapToGrid w:val="0"/>
        <w:spacing w:line="360" w:lineRule="auto"/>
        <w:rPr>
          <w:rFonts w:hint="eastAsia" w:ascii="宋体" w:hAnsi="宋体"/>
          <w:bCs/>
          <w:sz w:val="24"/>
          <w:u w:val="single"/>
        </w:rPr>
      </w:pPr>
    </w:p>
    <w:p>
      <w:pPr>
        <w:pStyle w:val="17"/>
        <w:snapToGrid w:val="0"/>
        <w:spacing w:before="156" w:beforeLines="50" w:line="360" w:lineRule="auto"/>
        <w:jc w:val="left"/>
        <w:rPr>
          <w:rFonts w:hAnsi="宋体"/>
          <w:b/>
          <w:sz w:val="24"/>
          <w:szCs w:val="24"/>
        </w:rPr>
      </w:pPr>
      <w:r>
        <w:rPr>
          <w:rFonts w:hint="eastAsia"/>
          <w:b/>
          <w:bCs/>
          <w:sz w:val="24"/>
          <w:szCs w:val="24"/>
        </w:rPr>
        <w:t>附件</w:t>
      </w:r>
      <w:r>
        <w:rPr>
          <w:rFonts w:hint="eastAsia"/>
          <w:b/>
          <w:bCs/>
          <w:sz w:val="24"/>
          <w:szCs w:val="24"/>
          <w:lang w:val="en-US" w:eastAsia="zh-CN"/>
        </w:rPr>
        <w:t>6</w:t>
      </w:r>
      <w:r>
        <w:rPr>
          <w:rFonts w:hint="eastAsia"/>
          <w:b/>
          <w:bCs/>
          <w:sz w:val="24"/>
          <w:szCs w:val="24"/>
        </w:rPr>
        <w:t>：</w:t>
      </w:r>
      <w:bookmarkStart w:id="280" w:name="_Toc387653055"/>
    </w:p>
    <w:bookmarkEnd w:id="280"/>
    <w:p>
      <w:pPr>
        <w:pStyle w:val="4"/>
        <w:spacing w:before="0" w:after="0"/>
        <w:rPr>
          <w:rFonts w:ascii="宋体" w:hAnsi="宋体"/>
          <w:sz w:val="21"/>
          <w:szCs w:val="21"/>
        </w:rPr>
      </w:pPr>
      <w:bookmarkStart w:id="281" w:name="_Toc22264"/>
      <w:r>
        <w:rPr>
          <w:rFonts w:hint="eastAsia" w:ascii="宋体" w:hAnsi="宋体"/>
          <w:sz w:val="21"/>
          <w:szCs w:val="21"/>
        </w:rPr>
        <w:t>政府采购促进中小企业发展暂行办法</w:t>
      </w:r>
      <w:bookmarkEnd w:id="281"/>
    </w:p>
    <w:p>
      <w:pPr>
        <w:spacing w:line="360" w:lineRule="auto"/>
        <w:ind w:left="960" w:hanging="960"/>
        <w:rPr>
          <w:rFonts w:hint="eastAsia" w:ascii="仿宋" w:hAnsi="仿宋" w:eastAsia="仿宋" w:cs="仿宋"/>
          <w:sz w:val="24"/>
        </w:rPr>
      </w:pPr>
      <w:r>
        <w:rPr>
          <w:rFonts w:hint="eastAsia"/>
          <w:sz w:val="24"/>
        </w:rPr>
        <w:t xml:space="preserve"> </w:t>
      </w:r>
      <w:r>
        <w:rPr>
          <w:rFonts w:hint="eastAsia" w:ascii="仿宋" w:hAnsi="仿宋" w:eastAsia="仿宋" w:cs="仿宋"/>
          <w:sz w:val="24"/>
        </w:rPr>
        <w:t>财库〔2011〕181号</w:t>
      </w:r>
    </w:p>
    <w:p>
      <w:pPr>
        <w:spacing w:line="360" w:lineRule="auto"/>
        <w:ind w:left="960" w:hanging="960"/>
        <w:rPr>
          <w:rFonts w:hint="eastAsia" w:ascii="仿宋" w:hAnsi="仿宋" w:eastAsia="仿宋" w:cs="仿宋"/>
          <w:sz w:val="24"/>
        </w:rPr>
      </w:pPr>
      <w:r>
        <w:rPr>
          <w:rFonts w:hint="eastAsia" w:ascii="仿宋" w:hAnsi="仿宋" w:eastAsia="仿宋" w:cs="仿宋"/>
          <w:sz w:val="24"/>
        </w:rPr>
        <w:t>　　第一条 为了发挥政府采购的政策功能，促进符合国家经济和社会发展政策目标，产品、服务、信誉较好的中小企业发展，根据《中华人民共和国政府采购法》、《中华人民共和国中小企业促进法》等有关法律法规，制定本办法。</w:t>
      </w:r>
    </w:p>
    <w:p>
      <w:pPr>
        <w:spacing w:line="360" w:lineRule="auto"/>
        <w:ind w:left="960" w:hanging="960"/>
        <w:rPr>
          <w:rFonts w:hint="eastAsia" w:ascii="仿宋" w:hAnsi="仿宋" w:eastAsia="仿宋" w:cs="仿宋"/>
          <w:sz w:val="24"/>
        </w:rPr>
      </w:pPr>
      <w:r>
        <w:rPr>
          <w:rFonts w:hint="eastAsia" w:ascii="仿宋" w:hAnsi="仿宋" w:eastAsia="仿宋" w:cs="仿宋"/>
          <w:sz w:val="24"/>
        </w:rPr>
        <w:t>　　第二条 本办法所称中小企业（含中型、小型、微型企业，下同）应当同时符合以下条件：</w:t>
      </w:r>
    </w:p>
    <w:p>
      <w:pPr>
        <w:spacing w:line="360" w:lineRule="auto"/>
        <w:ind w:left="960" w:hanging="960"/>
        <w:rPr>
          <w:rFonts w:hint="eastAsia" w:ascii="仿宋" w:hAnsi="仿宋" w:eastAsia="仿宋" w:cs="仿宋"/>
          <w:sz w:val="24"/>
        </w:rPr>
      </w:pPr>
      <w:r>
        <w:rPr>
          <w:rFonts w:hint="eastAsia" w:ascii="仿宋" w:hAnsi="仿宋" w:eastAsia="仿宋" w:cs="仿宋"/>
          <w:sz w:val="24"/>
        </w:rPr>
        <w:t>　　（一）符合中小企业划分标准；</w:t>
      </w:r>
    </w:p>
    <w:p>
      <w:pPr>
        <w:spacing w:line="360" w:lineRule="auto"/>
        <w:ind w:left="960" w:hanging="960"/>
        <w:rPr>
          <w:rFonts w:hint="eastAsia" w:ascii="仿宋" w:hAnsi="仿宋" w:eastAsia="仿宋" w:cs="仿宋"/>
          <w:sz w:val="24"/>
        </w:rPr>
      </w:pPr>
      <w:r>
        <w:rPr>
          <w:rFonts w:hint="eastAsia" w:ascii="仿宋" w:hAnsi="仿宋" w:eastAsia="仿宋" w:cs="仿宋"/>
          <w:sz w:val="24"/>
        </w:rPr>
        <w:t>　　（二）提供本企业制造的货物、承担的工程或者服务，或者提供其他中小企业制造的货物。本项所称货物不包括使用大型企业注册商标的货物。</w:t>
      </w:r>
    </w:p>
    <w:p>
      <w:pPr>
        <w:spacing w:line="360" w:lineRule="auto"/>
        <w:ind w:left="960" w:hanging="960"/>
        <w:rPr>
          <w:rFonts w:hint="eastAsia" w:ascii="仿宋" w:hAnsi="仿宋" w:eastAsia="仿宋" w:cs="仿宋"/>
          <w:sz w:val="24"/>
        </w:rPr>
      </w:pPr>
      <w:r>
        <w:rPr>
          <w:rFonts w:hint="eastAsia" w:ascii="仿宋" w:hAnsi="仿宋" w:eastAsia="仿宋" w:cs="仿宋"/>
          <w:sz w:val="24"/>
        </w:rPr>
        <w:t>　　本办法所称中小企业划分标准，是指国务院有关部门根据企业从业人员、营业收入、资产总额等指标制定的中小企业划型标准。</w:t>
      </w:r>
    </w:p>
    <w:p>
      <w:pPr>
        <w:spacing w:line="360" w:lineRule="auto"/>
        <w:ind w:left="960" w:hanging="960"/>
        <w:rPr>
          <w:rFonts w:hint="eastAsia" w:ascii="仿宋" w:hAnsi="仿宋" w:eastAsia="仿宋" w:cs="仿宋"/>
          <w:sz w:val="24"/>
        </w:rPr>
      </w:pPr>
      <w:r>
        <w:rPr>
          <w:rFonts w:hint="eastAsia" w:ascii="仿宋" w:hAnsi="仿宋" w:eastAsia="仿宋" w:cs="仿宋"/>
          <w:sz w:val="24"/>
        </w:rPr>
        <w:t>　　小型、微型企业提供中型企业制造的货物的，视同为中型企业。</w:t>
      </w:r>
    </w:p>
    <w:p>
      <w:pPr>
        <w:spacing w:line="360" w:lineRule="auto"/>
        <w:ind w:left="960" w:hanging="960"/>
        <w:rPr>
          <w:rFonts w:hint="eastAsia" w:ascii="仿宋" w:hAnsi="仿宋" w:eastAsia="仿宋" w:cs="仿宋"/>
          <w:sz w:val="24"/>
        </w:rPr>
      </w:pPr>
      <w:r>
        <w:rPr>
          <w:rFonts w:hint="eastAsia" w:ascii="仿宋" w:hAnsi="仿宋" w:eastAsia="仿宋" w:cs="仿宋"/>
          <w:sz w:val="24"/>
        </w:rPr>
        <w:t>　　第三条 任何单位和个人不得阻挠和限制中小企业自由进入本地区和本行业的政府采购市场，政府采购活动不得以注册资本金、资产总额、营业收入、从业人员、利润、纳税额等供应商的规模条件对中小企业实行差别待遇或者歧视待遇。</w:t>
      </w:r>
    </w:p>
    <w:p>
      <w:pPr>
        <w:spacing w:line="360" w:lineRule="auto"/>
        <w:ind w:left="960" w:hanging="960"/>
        <w:rPr>
          <w:rFonts w:hint="eastAsia" w:ascii="仿宋" w:hAnsi="仿宋" w:eastAsia="仿宋" w:cs="仿宋"/>
          <w:sz w:val="24"/>
        </w:rPr>
      </w:pPr>
      <w:r>
        <w:rPr>
          <w:rFonts w:hint="eastAsia" w:ascii="仿宋" w:hAnsi="仿宋" w:eastAsia="仿宋" w:cs="仿宋"/>
          <w:sz w:val="24"/>
        </w:rPr>
        <w:t>　　第四条 负有编制部门预算职责的各部门（以下简称各部门），应当加强政府采购计划的编制工作，制定向中小企业采购的具体方案，统筹确定本部门（含所属各单位，下同）面向中小企业采购的项目。在满足机构自身运转和提供公共服务基本需求的前提下，应当预留本部门年度政府采购项目预算总额的30%以上，专门面向中小企业采购，其中，预留给小型和微型企业的比例不低于60%。</w:t>
      </w:r>
    </w:p>
    <w:p>
      <w:pPr>
        <w:spacing w:line="360" w:lineRule="auto"/>
        <w:ind w:left="960" w:hanging="960"/>
        <w:rPr>
          <w:rFonts w:hint="eastAsia" w:ascii="仿宋" w:hAnsi="仿宋" w:eastAsia="仿宋" w:cs="仿宋"/>
          <w:sz w:val="24"/>
        </w:rPr>
      </w:pPr>
      <w:r>
        <w:rPr>
          <w:rFonts w:hint="eastAsia" w:ascii="仿宋" w:hAnsi="仿宋" w:eastAsia="仿宋" w:cs="仿宋"/>
          <w:sz w:val="24"/>
        </w:rPr>
        <w:t>　　采购人或者采购代理机构在组织采购活动时，应当在招标文件或谈判文件、投标文件中注明该项目专门面向中小企业或小型、微型企业采购。</w:t>
      </w:r>
    </w:p>
    <w:p>
      <w:pPr>
        <w:spacing w:line="360" w:lineRule="auto"/>
        <w:ind w:left="960" w:hanging="960"/>
        <w:rPr>
          <w:rFonts w:hint="eastAsia" w:ascii="仿宋" w:hAnsi="仿宋" w:eastAsia="仿宋" w:cs="仿宋"/>
          <w:sz w:val="24"/>
        </w:rPr>
      </w:pPr>
      <w:r>
        <w:rPr>
          <w:rFonts w:hint="eastAsia" w:ascii="仿宋" w:hAnsi="仿宋" w:eastAsia="仿宋" w:cs="仿宋"/>
          <w:sz w:val="24"/>
        </w:rPr>
        <w:t>　　第五条 对于非专门面向中小企业的项目，采购人或者采购代理机构应当在招标文件或者谈判文件、投标文件中作出规定，对小型和微型企业产品的价格给予6%-10%的扣除，用扣除后的价格参与评审，具体扣除比例由采购人或者采购代理机构确定。</w:t>
      </w:r>
    </w:p>
    <w:p>
      <w:pPr>
        <w:spacing w:line="360" w:lineRule="auto"/>
        <w:ind w:left="960" w:hanging="960"/>
        <w:rPr>
          <w:rFonts w:hint="eastAsia" w:ascii="仿宋" w:hAnsi="仿宋" w:eastAsia="仿宋" w:cs="仿宋"/>
          <w:sz w:val="24"/>
        </w:rPr>
      </w:pPr>
      <w:r>
        <w:rPr>
          <w:rFonts w:hint="eastAsia" w:ascii="仿宋" w:hAnsi="仿宋" w:eastAsia="仿宋" w:cs="仿宋"/>
          <w:sz w:val="24"/>
        </w:rPr>
        <w:t>　　参加政府采购活动的中小企业应当提供本办法规定的《中小企业声明函》（见附件）。</w:t>
      </w:r>
    </w:p>
    <w:p>
      <w:pPr>
        <w:spacing w:line="360" w:lineRule="auto"/>
        <w:ind w:left="960" w:hanging="960"/>
        <w:rPr>
          <w:rFonts w:hint="eastAsia" w:ascii="仿宋" w:hAnsi="仿宋" w:eastAsia="仿宋" w:cs="仿宋"/>
          <w:sz w:val="24"/>
        </w:rPr>
      </w:pPr>
      <w:r>
        <w:rPr>
          <w:rFonts w:hint="eastAsia" w:ascii="仿宋" w:hAnsi="仿宋" w:eastAsia="仿宋" w:cs="仿宋"/>
          <w:sz w:val="24"/>
        </w:rPr>
        <w:t>　　第六条 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w:t>
      </w:r>
    </w:p>
    <w:p>
      <w:pPr>
        <w:spacing w:line="360" w:lineRule="auto"/>
        <w:ind w:left="960" w:hanging="960"/>
        <w:rPr>
          <w:rFonts w:hint="eastAsia" w:ascii="仿宋" w:hAnsi="仿宋" w:eastAsia="仿宋" w:cs="仿宋"/>
          <w:sz w:val="24"/>
        </w:rPr>
      </w:pPr>
      <w:r>
        <w:rPr>
          <w:rFonts w:hint="eastAsia" w:ascii="仿宋" w:hAnsi="仿宋" w:eastAsia="仿宋" w:cs="仿宋"/>
          <w:sz w:val="24"/>
        </w:rPr>
        <w:t>　　联合体各方均为小型、微型企业的，联合体视同为小型、微型企业享受本办法第四条、第五条规定的扶持政策。</w:t>
      </w:r>
    </w:p>
    <w:p>
      <w:pPr>
        <w:spacing w:line="360" w:lineRule="auto"/>
        <w:ind w:left="960" w:hanging="960"/>
        <w:rPr>
          <w:rFonts w:hint="eastAsia" w:ascii="仿宋" w:hAnsi="仿宋" w:eastAsia="仿宋" w:cs="仿宋"/>
          <w:sz w:val="24"/>
        </w:rPr>
      </w:pPr>
      <w:r>
        <w:rPr>
          <w:rFonts w:hint="eastAsia" w:ascii="仿宋" w:hAnsi="仿宋" w:eastAsia="仿宋" w:cs="仿宋"/>
          <w:sz w:val="24"/>
        </w:rPr>
        <w:t xml:space="preserve">　　组成联合体的大中型企业和其他自然人、法人或者其他组织，与小型、微型企业之间不得存在投资关系。 </w:t>
      </w:r>
    </w:p>
    <w:p>
      <w:pPr>
        <w:spacing w:line="360" w:lineRule="auto"/>
        <w:ind w:left="960" w:hanging="960"/>
        <w:rPr>
          <w:rFonts w:hint="eastAsia" w:ascii="仿宋" w:hAnsi="仿宋" w:eastAsia="仿宋" w:cs="仿宋"/>
          <w:sz w:val="24"/>
        </w:rPr>
      </w:pPr>
      <w:r>
        <w:rPr>
          <w:rFonts w:hint="eastAsia" w:ascii="仿宋" w:hAnsi="仿宋" w:eastAsia="仿宋" w:cs="仿宋"/>
          <w:sz w:val="24"/>
        </w:rPr>
        <w:t>　　第七条 中小企业依据本办法第四条、第五条、第六条规定的政策获取政府采购合同后，小型、微型企业不得分包或转包给大型、中型企业，中型企业不得分包或转包给大型企业。</w:t>
      </w:r>
    </w:p>
    <w:p>
      <w:pPr>
        <w:spacing w:line="360" w:lineRule="auto"/>
        <w:ind w:left="960" w:hanging="960"/>
        <w:rPr>
          <w:rFonts w:hint="eastAsia" w:ascii="仿宋" w:hAnsi="仿宋" w:eastAsia="仿宋" w:cs="仿宋"/>
          <w:sz w:val="24"/>
        </w:rPr>
      </w:pPr>
      <w:r>
        <w:rPr>
          <w:rFonts w:hint="eastAsia" w:ascii="仿宋" w:hAnsi="仿宋" w:eastAsia="仿宋" w:cs="仿宋"/>
          <w:sz w:val="24"/>
        </w:rPr>
        <w:t>　　第八条 鼓励采购人允许获得政府采购合同的大型企业依法向中小企业分包。</w:t>
      </w:r>
    </w:p>
    <w:p>
      <w:pPr>
        <w:spacing w:line="360" w:lineRule="auto"/>
        <w:ind w:left="960" w:hanging="960"/>
        <w:rPr>
          <w:rFonts w:hint="eastAsia" w:ascii="仿宋" w:hAnsi="仿宋" w:eastAsia="仿宋" w:cs="仿宋"/>
          <w:sz w:val="24"/>
        </w:rPr>
      </w:pPr>
      <w:r>
        <w:rPr>
          <w:rFonts w:hint="eastAsia" w:ascii="仿宋" w:hAnsi="仿宋" w:eastAsia="仿宋" w:cs="仿宋"/>
          <w:sz w:val="24"/>
        </w:rPr>
        <w:t>　　大型企业向中小企业分包的金额，计入面向中小企业采购的统计数额。</w:t>
      </w:r>
    </w:p>
    <w:p>
      <w:pPr>
        <w:spacing w:line="360" w:lineRule="auto"/>
        <w:ind w:left="960" w:hanging="960"/>
        <w:rPr>
          <w:rFonts w:hint="eastAsia" w:ascii="仿宋" w:hAnsi="仿宋" w:eastAsia="仿宋" w:cs="仿宋"/>
          <w:sz w:val="24"/>
        </w:rPr>
      </w:pPr>
      <w:r>
        <w:rPr>
          <w:rFonts w:hint="eastAsia" w:ascii="仿宋" w:hAnsi="仿宋" w:eastAsia="仿宋" w:cs="仿宋"/>
          <w:sz w:val="24"/>
        </w:rPr>
        <w:t>　　第九条 鼓励采购人在与中小企业签订政府采购合同时，在履约保证金、付款期限、付款方式等方面给予中小企业适当支持。采购人应当按照合同约定按时足额支付采购资金。</w:t>
      </w:r>
    </w:p>
    <w:p>
      <w:pPr>
        <w:spacing w:line="360" w:lineRule="auto"/>
        <w:ind w:left="960" w:hanging="960"/>
        <w:rPr>
          <w:rFonts w:hint="eastAsia" w:ascii="仿宋" w:hAnsi="仿宋" w:eastAsia="仿宋" w:cs="仿宋"/>
          <w:sz w:val="24"/>
        </w:rPr>
      </w:pPr>
      <w:r>
        <w:rPr>
          <w:rFonts w:hint="eastAsia" w:ascii="仿宋" w:hAnsi="仿宋" w:eastAsia="仿宋" w:cs="仿宋"/>
          <w:sz w:val="24"/>
        </w:rPr>
        <w:t>　　第十条 鼓励在政府采购活动中引入信用担保手段，为中小企业在融资、投标保证、履约保证等方面提供专业化的担保服务。</w:t>
      </w:r>
    </w:p>
    <w:p>
      <w:pPr>
        <w:spacing w:line="360" w:lineRule="auto"/>
        <w:ind w:left="960" w:hanging="960"/>
        <w:rPr>
          <w:rFonts w:hint="eastAsia" w:ascii="仿宋" w:hAnsi="仿宋" w:eastAsia="仿宋" w:cs="仿宋"/>
          <w:sz w:val="24"/>
        </w:rPr>
      </w:pPr>
      <w:r>
        <w:rPr>
          <w:rFonts w:hint="eastAsia" w:ascii="仿宋" w:hAnsi="仿宋" w:eastAsia="仿宋" w:cs="仿宋"/>
          <w:sz w:val="24"/>
        </w:rPr>
        <w:t>　　第十一条 各级财政部门和有关部门应当加大对中小企业参与政府采购的培训指导及专业化咨询服务力度，提高中小企业参与政府采购活动的能力。</w:t>
      </w:r>
    </w:p>
    <w:p>
      <w:pPr>
        <w:spacing w:line="360" w:lineRule="auto"/>
        <w:ind w:left="960" w:hanging="960"/>
        <w:rPr>
          <w:rFonts w:hint="eastAsia" w:ascii="仿宋" w:hAnsi="仿宋" w:eastAsia="仿宋" w:cs="仿宋"/>
          <w:sz w:val="24"/>
        </w:rPr>
      </w:pPr>
      <w:r>
        <w:rPr>
          <w:rFonts w:hint="eastAsia" w:ascii="仿宋" w:hAnsi="仿宋" w:eastAsia="仿宋" w:cs="仿宋"/>
          <w:sz w:val="24"/>
        </w:rPr>
        <w:t xml:space="preserve">　　第十二条 各部门应当每年第一季度向同级财政部门报告本部门上一年度面向中小企业采购的具体情况，并在财政部指定的政府采购发布媒体公开预留项目执行情况以及本部门其他项目面向中小企业采购的情况。 </w:t>
      </w:r>
    </w:p>
    <w:p>
      <w:pPr>
        <w:spacing w:line="360" w:lineRule="auto"/>
        <w:ind w:left="960" w:hanging="960"/>
        <w:rPr>
          <w:rFonts w:hint="eastAsia" w:ascii="仿宋" w:hAnsi="仿宋" w:eastAsia="仿宋" w:cs="仿宋"/>
          <w:sz w:val="24"/>
        </w:rPr>
      </w:pPr>
      <w:r>
        <w:rPr>
          <w:rFonts w:hint="eastAsia" w:ascii="仿宋" w:hAnsi="仿宋" w:eastAsia="仿宋" w:cs="仿宋"/>
          <w:sz w:val="24"/>
        </w:rPr>
        <w:t>　　第十三条 各级财政部门应当积极推进政府采购信息化建设，提高政府采购信息发布透明度，提供便于中小企业获取政府采购信息的稳定渠道。</w:t>
      </w:r>
    </w:p>
    <w:p>
      <w:pPr>
        <w:spacing w:line="360" w:lineRule="auto"/>
        <w:ind w:left="960" w:hanging="960"/>
        <w:rPr>
          <w:rFonts w:hint="eastAsia" w:ascii="仿宋" w:hAnsi="仿宋" w:eastAsia="仿宋" w:cs="仿宋"/>
          <w:sz w:val="24"/>
        </w:rPr>
      </w:pPr>
      <w:r>
        <w:rPr>
          <w:rFonts w:hint="eastAsia" w:ascii="仿宋" w:hAnsi="仿宋" w:eastAsia="仿宋" w:cs="仿宋"/>
          <w:sz w:val="24"/>
        </w:rPr>
        <w:t>　　第十四条 各级财政部门会同中小企业主管部门建立健全政府采购促进中小企业发展的有关制度，加强有关政策执行情况的监督检查。</w:t>
      </w:r>
    </w:p>
    <w:p>
      <w:pPr>
        <w:spacing w:line="360" w:lineRule="auto"/>
        <w:ind w:left="960" w:hanging="960"/>
        <w:rPr>
          <w:rFonts w:hint="eastAsia" w:ascii="仿宋" w:hAnsi="仿宋" w:eastAsia="仿宋" w:cs="仿宋"/>
          <w:sz w:val="24"/>
        </w:rPr>
      </w:pPr>
      <w:r>
        <w:rPr>
          <w:rFonts w:hint="eastAsia" w:ascii="仿宋" w:hAnsi="仿宋" w:eastAsia="仿宋" w:cs="仿宋"/>
          <w:sz w:val="24"/>
        </w:rPr>
        <w:t>　　各部门负责对本部门政府采购促进中小企业发展各项工作的执行和管理。</w:t>
      </w:r>
    </w:p>
    <w:p>
      <w:pPr>
        <w:spacing w:line="360" w:lineRule="auto"/>
        <w:ind w:left="960" w:hanging="960"/>
        <w:rPr>
          <w:rFonts w:hint="eastAsia" w:ascii="仿宋" w:hAnsi="仿宋" w:eastAsia="仿宋" w:cs="仿宋"/>
          <w:sz w:val="24"/>
        </w:rPr>
      </w:pPr>
      <w:r>
        <w:rPr>
          <w:rFonts w:hint="eastAsia" w:ascii="仿宋" w:hAnsi="仿宋" w:eastAsia="仿宋" w:cs="仿宋"/>
          <w:sz w:val="24"/>
        </w:rPr>
        <w:t>　　第十五条 政府采购监督检查和投诉处理中对中小企业的认定，由企业所在地的县级以上中小企业主管部门负责。</w:t>
      </w:r>
    </w:p>
    <w:p>
      <w:pPr>
        <w:spacing w:line="360" w:lineRule="auto"/>
        <w:ind w:left="960" w:hanging="960"/>
        <w:rPr>
          <w:rFonts w:hint="eastAsia" w:ascii="仿宋" w:hAnsi="仿宋" w:eastAsia="仿宋" w:cs="仿宋"/>
          <w:sz w:val="24"/>
        </w:rPr>
      </w:pPr>
      <w:r>
        <w:rPr>
          <w:rFonts w:hint="eastAsia" w:ascii="仿宋" w:hAnsi="仿宋" w:eastAsia="仿宋" w:cs="仿宋"/>
          <w:sz w:val="24"/>
        </w:rPr>
        <w:t>　　第十六条 采购人、采购代理机构或者中小企业在政府采购活动中有违法违规行为的，依照政府采购法及有关法律法规处理。</w:t>
      </w:r>
    </w:p>
    <w:p>
      <w:pPr>
        <w:spacing w:line="360" w:lineRule="auto"/>
        <w:ind w:left="960" w:hanging="960"/>
        <w:rPr>
          <w:rFonts w:hint="eastAsia" w:ascii="仿宋" w:hAnsi="仿宋" w:eastAsia="仿宋" w:cs="仿宋"/>
          <w:sz w:val="24"/>
        </w:rPr>
      </w:pPr>
      <w:r>
        <w:rPr>
          <w:rFonts w:hint="eastAsia" w:ascii="仿宋" w:hAnsi="仿宋" w:eastAsia="仿宋" w:cs="仿宋"/>
          <w:sz w:val="24"/>
        </w:rPr>
        <w:t>　　第十七条 本办法由财政部、工业和信息化部负责解释。</w:t>
      </w:r>
    </w:p>
    <w:p>
      <w:pPr>
        <w:spacing w:line="360" w:lineRule="auto"/>
        <w:ind w:left="960" w:hanging="960"/>
        <w:rPr>
          <w:rFonts w:hint="eastAsia" w:ascii="仿宋" w:hAnsi="仿宋" w:eastAsia="仿宋" w:cs="仿宋"/>
          <w:sz w:val="24"/>
        </w:rPr>
      </w:pPr>
      <w:r>
        <w:rPr>
          <w:rFonts w:hint="eastAsia" w:ascii="仿宋" w:hAnsi="仿宋" w:eastAsia="仿宋" w:cs="仿宋"/>
          <w:sz w:val="24"/>
        </w:rPr>
        <w:t>　　第十八条 本办法自2012年1月1日起施行。</w:t>
      </w:r>
    </w:p>
    <w:p>
      <w:pPr>
        <w:pStyle w:val="14"/>
        <w:rPr>
          <w:rFonts w:hint="eastAsia" w:ascii="仿宋" w:hAnsi="仿宋" w:eastAsia="仿宋" w:cs="仿宋"/>
        </w:rPr>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rPr>
          <w:rFonts w:hint="eastAsia"/>
        </w:rPr>
      </w:pPr>
    </w:p>
    <w:p>
      <w:pPr>
        <w:rPr>
          <w:rFonts w:ascii="仿宋_GB2312" w:hAnsi="方正小标宋简体" w:cs="方正小标宋简体"/>
          <w:b/>
          <w:bCs/>
          <w:sz w:val="32"/>
          <w:szCs w:val="32"/>
        </w:rPr>
      </w:pPr>
      <w:r>
        <w:rPr>
          <w:rFonts w:hint="eastAsia"/>
          <w:b/>
          <w:bCs/>
          <w:sz w:val="24"/>
        </w:rPr>
        <w:t>附件7：</w:t>
      </w:r>
    </w:p>
    <w:p>
      <w:pPr>
        <w:pStyle w:val="4"/>
        <w:spacing w:before="0" w:after="0"/>
        <w:rPr>
          <w:rFonts w:ascii="宋体" w:hAnsi="宋体"/>
          <w:sz w:val="21"/>
          <w:szCs w:val="21"/>
        </w:rPr>
      </w:pPr>
      <w:bookmarkStart w:id="282" w:name="_Toc22101"/>
      <w:r>
        <w:rPr>
          <w:rFonts w:hint="eastAsia" w:ascii="宋体" w:hAnsi="宋体"/>
          <w:sz w:val="21"/>
          <w:szCs w:val="21"/>
        </w:rPr>
        <w:t>供应商信用承诺书</w:t>
      </w:r>
      <w:bookmarkEnd w:id="282"/>
    </w:p>
    <w:p>
      <w:pPr>
        <w:rPr>
          <w:sz w:val="24"/>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4"/>
        </w:rPr>
      </w:pPr>
      <w:r>
        <w:rPr>
          <w:rFonts w:hint="eastAsia" w:ascii="仿宋" w:hAnsi="仿宋" w:eastAsia="仿宋" w:cs="仿宋"/>
          <w:sz w:val="24"/>
        </w:rPr>
        <w:t>致： （采购人或采购代理机构名称）</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统一社会信用代码为          的我方          （供应商名称）自愿参加贵单位组织的编号为       （采购项目编号）的      项目（采购项目名称）的政府采购活动，我方已知悉并理解本项目采购文件的各项要求。为贯彻公开、公平、公正和诚实信用的政府采购原则，共同维护庆阳市政府采购市场良好秩序，我方郑重声明和承诺如下：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一、在参加本次政府采购活动中严格遵守《中</w:t>
      </w:r>
      <w:r>
        <w:rPr>
          <w:rFonts w:hint="eastAsia" w:ascii="仿宋" w:hAnsi="仿宋" w:eastAsia="仿宋" w:cs="仿宋"/>
          <w:sz w:val="24"/>
          <w:lang w:val="en-US" w:eastAsia="zh-CN"/>
        </w:rPr>
        <w:t>华</w:t>
      </w:r>
      <w:r>
        <w:rPr>
          <w:rFonts w:hint="eastAsia" w:ascii="仿宋" w:hAnsi="仿宋" w:eastAsia="仿宋" w:cs="仿宋"/>
          <w:sz w:val="24"/>
        </w:rPr>
        <w:t>人民共和国政府采购法》等法律、法规、规章及庆阳市有关规定。</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二、我方郑重声明，在参加本次政府采购活动前三年内，无因违法经营受到刑事处罚或者责令停产停业、吊销许可证或者执照、较大数额罚款等重大违法记录。我方同时声明，在参加本次政府采购活动前，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我方对以上声明的真实性负责，接受采购人、采购代理机构根据相关政策规定进行的信用记录查询。如发现以上声明不实，我方承担相应后果。</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三、我方郑重承诺，在参加本次政府采购活动中：</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（1）不向采购人、采购代理机构和评审专家提供任何形式的商业贿赂或者提供其他不正当利益。对索取或接受商业贿赂的单位和个人，及时向财政部门和监察机关举报；</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（2）不与其他供应商串通采取围标、陪标等商业欺诈手段谋取</w:t>
      </w:r>
      <w:r>
        <w:rPr>
          <w:rFonts w:hint="eastAsia" w:ascii="仿宋" w:hAnsi="仿宋" w:eastAsia="仿宋" w:cs="仿宋"/>
          <w:sz w:val="24"/>
          <w:lang w:eastAsia="zh-CN"/>
        </w:rPr>
        <w:t>成交</w:t>
      </w:r>
      <w:r>
        <w:rPr>
          <w:rFonts w:hint="eastAsia" w:ascii="仿宋" w:hAnsi="仿宋" w:eastAsia="仿宋" w:cs="仿宋"/>
          <w:sz w:val="24"/>
        </w:rPr>
        <w:t>（成交）；</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（3）不出借或借用资质；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（4）不与采购人、采购代理机构、评审专家恶意串通；</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（5）不采取不正当手段诋毁、排挤其他供应商；</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（6）不以虚假材料谋取</w:t>
      </w:r>
      <w:r>
        <w:rPr>
          <w:rFonts w:hint="eastAsia" w:ascii="仿宋" w:hAnsi="仿宋" w:eastAsia="仿宋" w:cs="仿宋"/>
          <w:sz w:val="24"/>
          <w:lang w:eastAsia="zh-CN"/>
        </w:rPr>
        <w:t>成交</w:t>
      </w:r>
      <w:r>
        <w:rPr>
          <w:rFonts w:hint="eastAsia" w:ascii="仿宋" w:hAnsi="仿宋" w:eastAsia="仿宋" w:cs="仿宋"/>
          <w:sz w:val="24"/>
        </w:rPr>
        <w:t>（成交）；</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（7）不以低于成本价或恶意低价竞争；</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（8）不与采购人在招标采购过程中进行协商谈判；</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（9）</w:t>
      </w:r>
      <w:r>
        <w:rPr>
          <w:rFonts w:hint="eastAsia" w:ascii="仿宋" w:hAnsi="仿宋" w:eastAsia="仿宋" w:cs="仿宋"/>
          <w:sz w:val="24"/>
          <w:lang w:eastAsia="zh-CN"/>
        </w:rPr>
        <w:t>成交</w:t>
      </w:r>
      <w:r>
        <w:rPr>
          <w:rFonts w:hint="eastAsia" w:ascii="仿宋" w:hAnsi="仿宋" w:eastAsia="仿宋" w:cs="仿宋"/>
          <w:sz w:val="24"/>
        </w:rPr>
        <w:t>或者成交后不得提供假冒伪劣产品；</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（10）</w:t>
      </w:r>
      <w:r>
        <w:rPr>
          <w:rFonts w:hint="eastAsia" w:ascii="仿宋" w:hAnsi="仿宋" w:eastAsia="仿宋" w:cs="仿宋"/>
          <w:sz w:val="24"/>
          <w:lang w:eastAsia="zh-CN"/>
        </w:rPr>
        <w:t>成交</w:t>
      </w:r>
      <w:r>
        <w:rPr>
          <w:rFonts w:hint="eastAsia" w:ascii="仿宋" w:hAnsi="仿宋" w:eastAsia="仿宋" w:cs="仿宋"/>
          <w:sz w:val="24"/>
        </w:rPr>
        <w:t>或者成交后非因不可抗力不得变更投标（响应）文件中承诺的项目管理实施人员；</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eastAsia="zh-CN"/>
        </w:rPr>
        <w:t>成交</w:t>
      </w:r>
      <w:r>
        <w:rPr>
          <w:rFonts w:hint="eastAsia" w:ascii="仿宋" w:hAnsi="仿宋" w:eastAsia="仿宋" w:cs="仿宋"/>
          <w:sz w:val="24"/>
        </w:rPr>
        <w:t>或者成交后无正当理由不得拒不与采购人签订政府采购合同；</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（12）不得有未按照采购文件确定的事项与采购人签订政府采购合同，或者与采购人另行订立背离合同实质性内容协议的行为；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（13）不转包或违法分包政府采购合同，不擅自变更、中止或者终止政府采购合同；</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（14）不捏造事实、提供虚假材料或者以非法手段取得证明材料进行质疑、投诉；</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（15）不得有拒绝有关部门监督检查或者提供虚假情况的行为；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（16）不得有其他违反国家法律法规和规章要求的违法犯罪或者失信行为。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四、如有违反以上声明或者承诺之一情形的，我方知悉并接受采购人、采购代理机构和政府采购监督管理部门等政府职能部门将采取以下一种或几种方式追究我方责任：</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1、投标（响应）无效；</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2、不予退还投标保证金或者履约保证金；</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3、约谈法人代表或者主要负责人，责令整改；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eastAsia="zh-CN"/>
        </w:rPr>
        <w:t>成交</w:t>
      </w:r>
      <w:r>
        <w:rPr>
          <w:rFonts w:hint="eastAsia" w:ascii="仿宋" w:hAnsi="仿宋" w:eastAsia="仿宋" w:cs="仿宋"/>
          <w:sz w:val="24"/>
        </w:rPr>
        <w:t>（成交）无效；</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5、处以采购金额千分之五以上千分之十以下的罚款，列入不良行为记录名单，在一至三年内禁止参加政府采购活动；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6、没收违法得所得；</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7、吊销营业执照；</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8、政府相关部门的联合惩戒措施；</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9、追究民事责任；</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10、追究刑事责任；</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11、法律法规规定的其他处理处罚措施。</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snapToGrid/>
        <w:spacing w:line="520" w:lineRule="exact"/>
        <w:ind w:firstLine="4320" w:firstLineChars="1800"/>
        <w:textAlignment w:val="auto"/>
        <w:rPr>
          <w:rFonts w:hint="eastAsia" w:ascii="仿宋" w:hAnsi="仿宋" w:eastAsia="仿宋" w:cs="仿宋"/>
          <w:sz w:val="24"/>
        </w:rPr>
      </w:pPr>
      <w:r>
        <w:rPr>
          <w:rFonts w:hint="eastAsia" w:ascii="仿宋" w:hAnsi="仿宋" w:eastAsia="仿宋" w:cs="仿宋"/>
          <w:sz w:val="24"/>
        </w:rPr>
        <w:t>供应商名称（盖章）：</w:t>
      </w:r>
    </w:p>
    <w:p>
      <w:pPr>
        <w:keepNext w:val="0"/>
        <w:keepLines w:val="0"/>
        <w:pageBreakBefore w:val="0"/>
        <w:widowControl w:val="0"/>
        <w:kinsoku/>
        <w:wordWrap/>
        <w:overflowPunct/>
        <w:topLinePunct w:val="0"/>
        <w:autoSpaceDE/>
        <w:autoSpaceDN/>
        <w:bidi w:val="0"/>
        <w:adjustRightInd/>
        <w:snapToGrid/>
        <w:spacing w:line="520" w:lineRule="exact"/>
        <w:ind w:firstLine="3600" w:firstLineChars="1500"/>
        <w:textAlignment w:val="auto"/>
        <w:rPr>
          <w:rFonts w:hint="eastAsia" w:ascii="仿宋" w:hAnsi="仿宋" w:eastAsia="仿宋" w:cs="仿宋"/>
          <w:sz w:val="24"/>
        </w:rPr>
      </w:pPr>
      <w:r>
        <w:rPr>
          <w:rFonts w:hint="eastAsia" w:ascii="仿宋" w:hAnsi="仿宋" w:eastAsia="仿宋" w:cs="仿宋"/>
          <w:sz w:val="24"/>
        </w:rPr>
        <w:t>法人代表（主要负责人）签字：</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snapToGrid/>
        <w:spacing w:line="520" w:lineRule="exact"/>
        <w:ind w:firstLine="4800" w:firstLineChars="2000"/>
        <w:textAlignment w:val="auto"/>
        <w:rPr>
          <w:rFonts w:hint="eastAsia" w:ascii="仿宋" w:hAnsi="仿宋" w:eastAsia="仿宋" w:cs="仿宋"/>
          <w:sz w:val="24"/>
        </w:rPr>
      </w:pPr>
      <w:r>
        <w:rPr>
          <w:rFonts w:hint="eastAsia" w:ascii="仿宋" w:hAnsi="仿宋" w:eastAsia="仿宋" w:cs="仿宋"/>
          <w:sz w:val="24"/>
        </w:rPr>
        <w:t>年  月  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snapToGrid/>
        <w:spacing w:line="520" w:lineRule="exact"/>
        <w:ind w:left="480" w:hanging="480" w:hangingChars="200"/>
        <w:textAlignment w:val="auto"/>
        <w:rPr>
          <w:rFonts w:hint="eastAsia" w:ascii="仿宋" w:hAnsi="仿宋" w:eastAsia="仿宋" w:cs="仿宋"/>
          <w:sz w:val="24"/>
        </w:rPr>
      </w:pPr>
      <w:r>
        <w:rPr>
          <w:rFonts w:hint="eastAsia" w:ascii="仿宋" w:hAnsi="仿宋" w:eastAsia="仿宋" w:cs="仿宋"/>
          <w:sz w:val="24"/>
        </w:rPr>
        <w:t>注：1、信用承诺书须供应商法人代表（主要负责人）签字，否则视为无效投标；</w:t>
      </w:r>
    </w:p>
    <w:p>
      <w:pPr>
        <w:keepNext w:val="0"/>
        <w:keepLines w:val="0"/>
        <w:pageBreakBefore w:val="0"/>
        <w:widowControl w:val="0"/>
        <w:kinsoku/>
        <w:wordWrap/>
        <w:overflowPunct/>
        <w:topLinePunct w:val="0"/>
        <w:autoSpaceDE/>
        <w:autoSpaceDN/>
        <w:bidi w:val="0"/>
        <w:adjustRightInd/>
        <w:snapToGrid/>
        <w:spacing w:line="520" w:lineRule="exact"/>
        <w:ind w:left="479" w:leftChars="228"/>
        <w:textAlignment w:val="auto"/>
        <w:rPr>
          <w:rFonts w:hint="eastAsia" w:ascii="仿宋" w:hAnsi="仿宋" w:eastAsia="仿宋" w:cs="仿宋"/>
          <w:sz w:val="24"/>
        </w:rPr>
      </w:pPr>
      <w:r>
        <w:rPr>
          <w:rFonts w:hint="eastAsia" w:ascii="仿宋" w:hAnsi="仿宋" w:eastAsia="仿宋" w:cs="仿宋"/>
          <w:sz w:val="24"/>
        </w:rPr>
        <w:t>2、供应商未承诺的，视同自愿放弃投标（响应）资格；</w:t>
      </w:r>
    </w:p>
    <w:p>
      <w:pPr>
        <w:keepNext w:val="0"/>
        <w:keepLines w:val="0"/>
        <w:pageBreakBefore w:val="0"/>
        <w:widowControl w:val="0"/>
        <w:kinsoku/>
        <w:wordWrap/>
        <w:overflowPunct/>
        <w:topLinePunct w:val="0"/>
        <w:autoSpaceDE/>
        <w:autoSpaceDN/>
        <w:bidi w:val="0"/>
        <w:adjustRightInd/>
        <w:snapToGrid/>
        <w:spacing w:line="520" w:lineRule="exact"/>
        <w:ind w:left="479" w:leftChars="228"/>
        <w:textAlignment w:val="auto"/>
        <w:rPr>
          <w:rFonts w:hint="eastAsia" w:ascii="仿宋" w:hAnsi="仿宋" w:eastAsia="仿宋" w:cs="仿宋"/>
          <w:sz w:val="24"/>
        </w:rPr>
      </w:pPr>
      <w:r>
        <w:rPr>
          <w:rFonts w:hint="eastAsia" w:ascii="仿宋" w:hAnsi="仿宋" w:eastAsia="仿宋" w:cs="仿宋"/>
          <w:sz w:val="24"/>
        </w:rPr>
        <w:t>3、未履行或未全面履行承诺的，依法依规处罚，并记入不良行为记录名单；</w:t>
      </w:r>
    </w:p>
    <w:p>
      <w:pPr>
        <w:keepNext w:val="0"/>
        <w:keepLines w:val="0"/>
        <w:pageBreakBefore w:val="0"/>
        <w:widowControl w:val="0"/>
        <w:kinsoku/>
        <w:wordWrap/>
        <w:overflowPunct/>
        <w:topLinePunct w:val="0"/>
        <w:autoSpaceDE/>
        <w:autoSpaceDN/>
        <w:bidi w:val="0"/>
        <w:adjustRightInd/>
        <w:snapToGrid/>
        <w:spacing w:line="520" w:lineRule="exact"/>
        <w:ind w:left="479" w:leftChars="228"/>
        <w:textAlignment w:val="auto"/>
        <w:rPr>
          <w:rFonts w:hint="eastAsia" w:ascii="仿宋" w:hAnsi="仿宋" w:eastAsia="仿宋" w:cs="仿宋"/>
          <w:sz w:val="24"/>
        </w:rPr>
      </w:pPr>
      <w:r>
        <w:rPr>
          <w:rFonts w:hint="eastAsia" w:ascii="仿宋" w:hAnsi="仿宋" w:eastAsia="仿宋" w:cs="仿宋"/>
          <w:sz w:val="24"/>
        </w:rPr>
        <w:t>4、对本承诺书的承诺内容作出任何改动的将被视为无效投标。</w:t>
      </w:r>
    </w:p>
    <w:p>
      <w:pPr>
        <w:adjustRightInd w:val="0"/>
        <w:snapToGrid w:val="0"/>
        <w:spacing w:line="360" w:lineRule="auto"/>
        <w:ind w:firstLine="480" w:firstLineChars="200"/>
        <w:rPr>
          <w:rFonts w:hint="eastAsia"/>
          <w:sz w:val="24"/>
        </w:rPr>
      </w:pPr>
    </w:p>
    <w:p>
      <w:pPr>
        <w:widowControl/>
        <w:snapToGrid w:val="0"/>
        <w:spacing w:line="600" w:lineRule="exact"/>
        <w:ind w:firstLine="529"/>
        <w:rPr>
          <w:rFonts w:hint="eastAsia"/>
          <w:b/>
          <w:bCs/>
          <w:sz w:val="24"/>
        </w:rPr>
      </w:pPr>
    </w:p>
    <w:p>
      <w:pPr>
        <w:widowControl/>
        <w:snapToGrid w:val="0"/>
        <w:spacing w:line="600" w:lineRule="exact"/>
        <w:ind w:firstLine="529"/>
        <w:rPr>
          <w:rFonts w:hint="eastAsia"/>
          <w:b/>
          <w:bCs/>
          <w:sz w:val="24"/>
        </w:rPr>
      </w:pPr>
    </w:p>
    <w:bookmarkEnd w:id="15"/>
    <w:p>
      <w:pPr>
        <w:widowControl/>
        <w:tabs>
          <w:tab w:val="left" w:pos="3000"/>
        </w:tabs>
        <w:snapToGrid w:val="0"/>
        <w:spacing w:line="600" w:lineRule="exact"/>
        <w:jc w:val="center"/>
        <w:rPr>
          <w:rFonts w:hint="eastAsia" w:ascii="宋体" w:hAnsi="宋体"/>
          <w:kern w:val="0"/>
          <w:sz w:val="28"/>
          <w:szCs w:val="28"/>
        </w:rPr>
      </w:pPr>
    </w:p>
    <w:p>
      <w:pPr>
        <w:widowControl/>
        <w:snapToGrid w:val="0"/>
        <w:spacing w:line="600" w:lineRule="atLeast"/>
        <w:jc w:val="left"/>
        <w:rPr>
          <w:rFonts w:hint="eastAsia" w:ascii="宋体" w:hAnsi="宋体"/>
          <w:sz w:val="28"/>
          <w:szCs w:val="28"/>
        </w:rPr>
      </w:pPr>
    </w:p>
    <w:sectPr>
      <w:footerReference r:id="rId12" w:type="default"/>
      <w:footerReference r:id="rId13" w:type="even"/>
      <w:type w:val="oddPage"/>
      <w:pgSz w:w="11906" w:h="16838"/>
      <w:pgMar w:top="1814" w:right="1474" w:bottom="1588" w:left="1588"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iKN8BAAC/AwAADgAAAGRycy9lMm9Eb2MueG1srVPBjtMwEL0j8Q+W&#10;7zTZSIuqqukKtlqEhABp4QNcx2ks2R5r7DYpHwB/wIkLd76r38HYSbqwXPbAJRnPjN/MezNe3wzW&#10;sKPCoMHV/GpRcqachEa7fc0/f7p7seQsROEaYcCpmp9U4Deb58/WvV+pCjowjUJGIC6sel/zLka/&#10;KoogO2VFWIBXjoItoBWRjrgvGhQ9oVtTVGX5sugBG48gVQjk3Y5BPiHiUwChbbVUW5AHq1wcUVEZ&#10;EYlS6LQPfJO7bVsl44e2DSoyU3NiGvOXipC9S99isxarPQrfaTm1IJ7SwiNOVmhHRS9QWxEFO6D+&#10;B8pqiRCgjQsJthiJZEWIxVX5SJv7TniVuZDUwV9ED/8PVr4/fkSmm5pfc+aEpYGfv387//h1/vmV&#10;VVXSp/dhRWn3nhLj8BoG2prZH8iZaA8t2vQnQozipO7poq4aIpPp0rJaLksKSYrNB8IvHq57DPGN&#10;AsuSUXOk8WVVxfFdiGPqnJKqObjTxuQRGveXgzCTp0i9jz0mKw67YSK0g+ZEfOgdUJ0O8AtnPW1B&#10;zR0tPWfmrSOR08LMBs7GbjaEk3Sx5pGz0byN42IdPOp9l1ctNRX8q0OkTjOB1MZYe+qO5polmHYw&#10;Lc6f55z18O42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r/HiKN8BAAC/AwAADgAAAAAA&#10;AAABACAAAAAeAQAAZHJzL2Uyb0RvYy54bWxQSwUGAAAAAAYABgBZAQAAbwUAAAAA&#10;">
              <v:fill on="f" focussize="0,0"/>
              <v:stroke on="f"/>
              <v:imagedata o:title=""/>
              <o:lock v:ext="edit" aspectratio="f"/>
              <v:textbox inset="0mm,0mm,0mm,0mm" style="mso-fit-shape-to-text:t;">
                <w:txbxContent>
                  <w:p>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- 24 -</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ztXgt8BAAC/AwAADgAAAGRycy9lMm9Eb2MueG1srVPBjtMwEL0j8Q+W&#10;7zTZIq2qqOkKqBYhIUBa9gNcx2ks2R7LnjYpHwB/wIkLd76r38HYSbqwXPbAJRnPjN/MezNe3wzW&#10;sKMKUYOr+dWi5Ew5CY12+5rff759seIsonCNMOBUzU8q8pvN82fr3ldqCR2YRgVGIC5Wva95h+ir&#10;ooiyU1bEBXjlKNhCsALpGPZFE0RP6NYUy7K8LnoIjQ8gVYzk3Y5BPiGGpwBC22qptiAPVjkcUYMy&#10;AolS7LSPfJO7bVsl8WPbRoXM1JyYYv5SEbJ36Vts1qLaB+E7LacWxFNaeMTJCu2o6AVqK1CwQ9D/&#10;QFktA0RocSHBFiORrAixuCofaXPXCa8yF5I6+ovo8f/Byg/HT4HppubXnDlhaeDn79/OP36df35l&#10;y5dJn97HitLuPCXi8BoG2prZH8mZaA9tsOlPhBjFSd3TRV01IJPp0mq5WpUUkhSbD4RfPFz3IeJb&#10;BZYlo+aBxpdVFcf3EcfUOSVVc3CrjckjNO4vB2EmT5F6H3tMFg67YSK0g+ZEfOgdUJ0OwhfOetqC&#10;mjtaes7MO0cip4WZjTAbu9kQTtLFmiNno/kGx8U6+KD3XV611FT0rw5InWYCqY2x9tQdzTVLMO1g&#10;Wpw/zznr4d1t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lztXgt8BAAC/AwAADgAAAAAA&#10;AAABACAAAAAeAQAAZHJzL2Uyb0RvYy54bWxQSwUGAAAAAAYABgBZAQAAbwUAAAAA&#10;">
              <v:fill on="f" focussize="0,0"/>
              <v:stroke on="f"/>
              <v:imagedata o:title=""/>
              <o:lock v:ext="edit" aspectratio="f"/>
              <v:textbox inset="0mm,0mm,0mm,0mm" style="mso-fit-shape-to-text:t;">
                <w:txbxContent>
                  <w:p>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- 24 -</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- 23 -</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h6RId8BAAC/AwAADgAAAGRycy9lMm9Eb2MueG1srVPBjtMwEL0j8Q+W&#10;7zTZCkEVNV0B1SIkBEgLH+A6TmPJ9lj2tEn5APgDTly48139jh07SReWyx64JOOZ8Zt5b8br68Ea&#10;dlQhanA1v1qUnCknodFuX/Mvn2+erTiLKFwjDDhV85OK/Hrz9Mm695VaQgemUYERiItV72veIfqq&#10;KKLslBVxAV45CrYQrEA6hn3RBNETujXFsixfFD2ExgeQKkbybscgnxDDYwChbbVUW5AHqxyOqEEZ&#10;gUQpdtpHvsndtq2S+LFto0Jmak5MMX+pCNm79C02a1Htg/CdllML4jEtPOBkhXZU9AK1FSjYIeh/&#10;oKyWASK0uJBgi5FIVoRYXJUPtLnthFeZC0kd/UX0+P9g5Yfjp8B0U/OXnDlhaeDnH9/PP3+ff31j&#10;y+dJn97HitJuPSXi8BoG2prZH8mZaA9tsOlPhBjFSd3TRV01IJPp0mq5WpUUkhSbD4Rf3F/3IeJb&#10;BZYlo+aBxpdVFcf3EcfUOSVVc3CjjckjNO4vB2EmT5F6H3tMFg67YSK0g+ZEfOgdUJ0OwlfOetqC&#10;mjtaes7MO0cip4WZjTAbu9kQTtLFmiNno/kGx8U6+KD3XV611FT0rw5InWYCqY2x9tQdzTVLMO1g&#10;Wpw/zznr/t1t7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gh6RId8BAAC/AwAADgAAAAAA&#10;AAABACAAAAAeAQAAZHJzL2Uyb0RvYy54bWxQSwUGAAAAAAYABgBZAQAAbwUAAAAA&#10;">
              <v:fill on="f" focussize="0,0"/>
              <v:stroke on="f"/>
              <v:imagedata o:title=""/>
              <o:lock v:ext="edit" aspectratio="f"/>
              <v:textbox inset="0mm,0mm,0mm,0mm" style="mso-fit-shape-to-text:t;">
                <w:txbxContent>
                  <w:p>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- 23 -</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rPr>
                              <w:rStyle w:val="31"/>
                            </w:rPr>
                          </w:pPr>
                          <w:r>
                            <w:fldChar w:fldCharType="begin"/>
                          </w:r>
                          <w:r>
                            <w:rPr>
                              <w:rStyle w:val="31"/>
                            </w:rPr>
                            <w:instrText xml:space="preserve">PAGE  </w:instrText>
                          </w:r>
                          <w:r>
                            <w:fldChar w:fldCharType="separate"/>
                          </w:r>
                          <w:r>
                            <w:rPr>
                              <w:rStyle w:val="31"/>
                            </w:rPr>
                            <w:t>48</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KFoN4BAAC+AwAADgAAAGRycy9lMm9Eb2MueG1srVNLjhMxEN0jcQfL&#10;e+Kej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cUoWg3gEAAL4DAAAOAAAAAAAA&#10;AAEAIAAAAB4BAABkcnMvZTJvRG9jLnhtbFBLBQYAAAAABgAGAFkBAABuBQAAAAA=&#10;">
              <v:fill on="f" focussize="0,0"/>
              <v:stroke on="f"/>
              <v:imagedata o:title=""/>
              <o:lock v:ext="edit" aspectratio="f"/>
              <v:textbox inset="0mm,0mm,0mm,0mm" style="mso-fit-shape-to-text:t;">
                <w:txbxContent>
                  <w:p>
                    <w:pPr>
                      <w:pStyle w:val="21"/>
                      <w:rPr>
                        <w:rStyle w:val="31"/>
                      </w:rPr>
                    </w:pPr>
                    <w:r>
                      <w:fldChar w:fldCharType="begin"/>
                    </w:r>
                    <w:r>
                      <w:rPr>
                        <w:rStyle w:val="31"/>
                      </w:rPr>
                      <w:instrText xml:space="preserve">PAGE  </w:instrText>
                    </w:r>
                    <w:r>
                      <w:fldChar w:fldCharType="separate"/>
                    </w:r>
                    <w:r>
                      <w:rPr>
                        <w:rStyle w:val="31"/>
                      </w:rPr>
                      <w:t>48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1"/>
      </w:rPr>
    </w:pPr>
    <w:r>
      <w:fldChar w:fldCharType="begin"/>
    </w:r>
    <w:r>
      <w:rPr>
        <w:rStyle w:val="31"/>
      </w:rPr>
      <w:instrText xml:space="preserve">PAGE  </w:instrText>
    </w:r>
    <w:r>
      <w:fldChar w:fldCharType="separate"/>
    </w:r>
    <w:r>
      <w:fldChar w:fldCharType="end"/>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right"/>
      <w:rPr>
        <w:rFonts w:hint="default"/>
        <w:b/>
        <w:bCs/>
        <w:sz w:val="15"/>
        <w:szCs w:val="15"/>
        <w:lang w:val="en-US"/>
      </w:rPr>
    </w:pPr>
    <w:r>
      <w:rPr>
        <w:sz w:val="22"/>
      </w:rPr>
      <mc:AlternateContent>
        <mc:Choice Requires="wps">
          <w:drawing>
            <wp:anchor distT="0" distB="0" distL="114300" distR="114300" simplePos="0" relativeHeight="251662336" behindDoc="0" locked="0" layoutInCell="1" allowOverlap="1">
              <wp:simplePos x="0" y="0"/>
              <wp:positionH relativeFrom="column">
                <wp:posOffset>27940</wp:posOffset>
              </wp:positionH>
              <wp:positionV relativeFrom="paragraph">
                <wp:posOffset>211455</wp:posOffset>
              </wp:positionV>
              <wp:extent cx="5905500" cy="635"/>
              <wp:effectExtent l="0" t="28575" r="0" b="46990"/>
              <wp:wrapNone/>
              <wp:docPr id="4" name="直线 21"/>
              <wp:cNvGraphicFramePr/>
              <a:graphic xmlns:a="http://schemas.openxmlformats.org/drawingml/2006/main">
                <a:graphicData uri="http://schemas.microsoft.com/office/word/2010/wordprocessingShape">
                  <wps:wsp>
                    <wps:cNvCnPr/>
                    <wps:spPr>
                      <a:xfrm>
                        <a:off x="0" y="0"/>
                        <a:ext cx="5905500" cy="635"/>
                      </a:xfrm>
                      <a:prstGeom prst="line">
                        <a:avLst/>
                      </a:prstGeom>
                      <a:ln w="57150" cap="flat" cmpd="thinThick">
                        <a:solidFill>
                          <a:srgbClr val="000000"/>
                        </a:solidFill>
                        <a:prstDash val="solid"/>
                        <a:headEnd type="none" w="med" len="med"/>
                        <a:tailEnd type="none" w="med" len="med"/>
                      </a:ln>
                    </wps:spPr>
                    <wps:bodyPr upright="1"/>
                  </wps:wsp>
                </a:graphicData>
              </a:graphic>
            </wp:anchor>
          </w:drawing>
        </mc:Choice>
        <mc:Fallback>
          <w:pict>
            <v:line id="直线 21" o:spid="_x0000_s1026" o:spt="20" style="position:absolute;left:0pt;margin-left:2.2pt;margin-top:16.65pt;height:0.05pt;width:465pt;z-index:251662336;mso-width-relative:page;mso-height-relative:page;" filled="f" stroked="t" coordsize="21600,21600" o:gfxdata="UEsDBAoAAAAAAIdO4kAAAAAAAAAAAAAAAAAEAAAAZHJzL1BLAwQUAAAACACHTuJA/W3DWdUAAAAH&#10;AQAADwAAAGRycy9kb3ducmV2LnhtbE2OO0/DMBSFd6T+B+sisVTUKY6qEOJ0qMrCgNTHAJsbX5KI&#10;+Dq13Sbw63EmOp6HzvmK9Wg6dkXnW0sSlosEGFJldUu1hOPh9TED5oMirTpLKOEHPazL2V2hcm0H&#10;2uF1H2oWR8jnSkITQp9z7qsGjfIL2yPF7Ms6o0KUrubaqSGOm44/JcmKG9VSfGhUj5sGq+/9xUjQ&#10;O++3mzH7Fe/u7Xz+yOafw2Eu5cP9MnkBFnAM/2WY8CM6lJHpZC+kPeskpGksShBCAIvxs5iM02Sk&#10;wMuC3/KXf1BLAwQUAAAACACHTuJAfhvLZO0BAADlAwAADgAAAGRycy9lMm9Eb2MueG1srVNLktMw&#10;EN1TxR1U2hM7gQyMK84sJgwbClLFcICOJMcq9Cu1Eidn4Rqs2HCcuQYtOWSGYZMFXsgt6emp3+vW&#10;4uZgDduriNq7lk8nNWfKCS+127b86/3dq3ecYQInwXinWn5UyG+WL18shtCome+9kSoyInHYDKHl&#10;fUqhqSoUvbKAEx+Uo83ORwuJpnFbyQgDsVtTzer6qhp8lCF6oRBpdTVu8hNjvITQd50WauXFziqX&#10;RtaoDCSShL0OyJcl265TIn3uOlSJmZaT0lRGuoTiTR6r5QKabYTQa3FKAS5J4ZkmC9rRpWeqFSRg&#10;u6j/obJaRI++SxPhbTUKKY6Qimn9zJsvPQRVtJDVGM6m4/+jFZ/268i0bPkbzhxYKvjD9x8PP3+x&#10;2TSbMwRsCHPr1vE0w7COWemhizb/SQM7FEOPZ0PVITFBi/Prej6vyWtBe1ev55mxejwaIqYPyluW&#10;g5Yb7bJaaGD/EdMI/QPJy8axgTjfTueZEaj3Oqo5hTZQ/qnX7p6q+K1QoDda3mlj8kGM282tiWwP&#10;uQvKd8rkL1i+awXYj7iylWHQ9ArkeydZOgbyx9Gz4DkTqyRnRtErylFBJtDmEiSZYBx5ke0dDc3R&#10;xssjVWMXot72ZEipQMFQ9Ytzp07N7fV0XpgeX+f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1t&#10;w1nVAAAABwEAAA8AAAAAAAAAAQAgAAAAIgAAAGRycy9kb3ducmV2LnhtbFBLAQIUABQAAAAIAIdO&#10;4kB+G8tk7QEAAOUDAAAOAAAAAAAAAAEAIAAAACQBAABkcnMvZTJvRG9jLnhtbFBLBQYAAAAABgAG&#10;AFkBAACDBQAAAAA=&#10;">
              <v:fill on="f" focussize="0,0"/>
              <v:stroke weight="4.5pt" color="#000000" linestyle="thinThick" joinstyle="round"/>
              <v:imagedata o:title=""/>
              <o:lock v:ext="edit" aspectratio="f"/>
            </v:line>
          </w:pict>
        </mc:Fallback>
      </mc:AlternateContent>
    </w:r>
    <w:r>
      <w:rPr>
        <w:rFonts w:hint="eastAsia" w:ascii="仿宋" w:hAnsi="仿宋" w:eastAsia="仿宋"/>
        <w:b/>
        <w:bCs/>
        <w:kern w:val="2"/>
        <w:sz w:val="22"/>
        <w:szCs w:val="22"/>
        <w:lang w:val="en-US" w:eastAsia="zh-CN" w:bidi="ar-SA"/>
      </w:rPr>
      <w:t>镇原县环境卫生管理局多功能抑尘车辆采购项目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right"/>
    </w:pPr>
    <w:r>
      <w:rPr>
        <w:sz w:val="20"/>
      </w:rPr>
      <mc:AlternateContent>
        <mc:Choice Requires="wps">
          <w:drawing>
            <wp:anchor distT="0" distB="0" distL="114300" distR="114300" simplePos="0" relativeHeight="251661312" behindDoc="0" locked="0" layoutInCell="1" allowOverlap="1">
              <wp:simplePos x="0" y="0"/>
              <wp:positionH relativeFrom="column">
                <wp:posOffset>18415</wp:posOffset>
              </wp:positionH>
              <wp:positionV relativeFrom="paragraph">
                <wp:posOffset>227330</wp:posOffset>
              </wp:positionV>
              <wp:extent cx="5915025" cy="635"/>
              <wp:effectExtent l="0" t="28575" r="9525" b="46990"/>
              <wp:wrapNone/>
              <wp:docPr id="3" name="直线 14"/>
              <wp:cNvGraphicFramePr/>
              <a:graphic xmlns:a="http://schemas.openxmlformats.org/drawingml/2006/main">
                <a:graphicData uri="http://schemas.microsoft.com/office/word/2010/wordprocessingShape">
                  <wps:wsp>
                    <wps:cNvCnPr/>
                    <wps:spPr>
                      <a:xfrm>
                        <a:off x="0" y="0"/>
                        <a:ext cx="5915025" cy="635"/>
                      </a:xfrm>
                      <a:prstGeom prst="line">
                        <a:avLst/>
                      </a:prstGeom>
                      <a:ln w="57150" cap="flat" cmpd="thinThick">
                        <a:solidFill>
                          <a:srgbClr val="000000"/>
                        </a:solidFill>
                        <a:prstDash val="solid"/>
                        <a:headEnd type="none" w="med" len="med"/>
                        <a:tailEnd type="none" w="med" len="med"/>
                      </a:ln>
                    </wps:spPr>
                    <wps:bodyPr upright="1"/>
                  </wps:wsp>
                </a:graphicData>
              </a:graphic>
            </wp:anchor>
          </w:drawing>
        </mc:Choice>
        <mc:Fallback>
          <w:pict>
            <v:line id="直线 14" o:spid="_x0000_s1026" o:spt="20" style="position:absolute;left:0pt;margin-left:1.45pt;margin-top:17.9pt;height:0.05pt;width:465.75pt;z-index:251661312;mso-width-relative:page;mso-height-relative:page;" filled="f" stroked="t" coordsize="21600,21600" o:gfxdata="UEsDBAoAAAAAAIdO4kAAAAAAAAAAAAAAAAAEAAAAZHJzL1BLAwQUAAAACACHTuJAljVnPdgAAAAH&#10;AQAADwAAAGRycy9kb3ducmV2LnhtbE2PMU/DMBCFdyT+g3VILBV12hSUhDgdKlgYkNoywObGRxIR&#10;n1PbbQK/nusE47v39N535XqyvTijD50jBYt5AgKpdqajRsHb/vkuAxGiJqN7R6jgGwOsq+urUhfG&#10;jbTF8y42gksoFFpBG+NQSBnqFq0OczcgsffpvNWRpW+k8XrkctvLZZI8SKs74oVWD7hpsf7anawC&#10;sw3haTNlP+mrfzke37PZx7ifKXV7s0geQUSc4l8YLviMDhUzHdyJTBC9gmXOQQXpPT/Adp6uViAO&#10;l0MOsirlf/7qF1BLAwQUAAAACACHTuJA7dPM3u4BAADlAwAADgAAAGRycy9lMm9Eb2MueG1srVNL&#10;ktMwEN1TxR1U2hMnGTKAK84sJgwbClI1wwE6khyr0K/USpychWuwYsNx5hq0ZJOBYZMFXsgt9dNT&#10;v9fS8uZoDTuoiNq7hs8mU86UE15qt2v4l4e7V285wwROgvFONfykkN+sXr5Y9qFWc995I1VkROKw&#10;7kPDu5RCXVUoOmUBJz4oR8nWRwuJpnFXyQg9sVtTzafT66r3UYbohUKk1fWQ5CNjvITQt60Wau3F&#10;3iqXBtaoDCSShJ0OyFel2rZVIn1uW1SJmYaT0lRGOoTibR6r1RLqXYTQaTGWAJeU8EyTBe3o0DPV&#10;GhKwfdT/UFktokffponwthqEFEdIxWz6zJv7DoIqWshqDGfT8f/Rik+HTWRaNvyKMweWGv747fvj&#10;j59s9jqb0wesCXPrNnGcYdjErPTYRpv/pIEdi6Gns6HqmJigxcW72WI6X3AmKHd9tciM1dPWEDF9&#10;UN6yHDTcaJfVQg2Hj5gG6G9IXjaO9cT5hjiJEejutdRzCm2g+lOn3QN18WuhQG+0vNPG5I0Yd9tb&#10;E9kB8i0o31jJX7B81hqwG3AllWFQdwrkeydZOgXyx9Gz4LkSqyRnRtErylFBJtDmEiSZYBx5ke0d&#10;DM3R1ssTdWMfot51ZMisVJkz1P3i3HhT8/X6c16Ynl7n6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WNWc92AAAAAcBAAAPAAAAAAAAAAEAIAAAACIAAABkcnMvZG93bnJldi54bWxQSwECFAAUAAAA&#10;CACHTuJA7dPM3u4BAADlAwAADgAAAAAAAAABACAAAAAnAQAAZHJzL2Uyb0RvYy54bWxQSwUGAAAA&#10;AAYABgBZAQAAhwUAAAAA&#10;">
              <v:fill on="f" focussize="0,0"/>
              <v:stroke weight="4.5pt" color="#000000" linestyle="thinThick" joinstyle="round"/>
              <v:imagedata o:title=""/>
              <o:lock v:ext="edit" aspectratio="f"/>
            </v:line>
          </w:pict>
        </mc:Fallback>
      </mc:AlternateContent>
    </w:r>
    <w:r>
      <w:rPr>
        <w:rFonts w:hint="eastAsia" w:ascii="宋体" w:hAnsi="宋体" w:cs="宋体"/>
        <w:b/>
        <w:sz w:val="20"/>
        <w:szCs w:val="20"/>
        <w:lang w:eastAsia="zh-CN"/>
      </w:rPr>
      <w:t>镇原县水务局2020年中央财政水利救灾资金监测预警站点维修项目</w:t>
    </w:r>
    <w:r>
      <w:rPr>
        <w:rFonts w:hint="eastAsia" w:ascii="宋体" w:hAnsi="宋体" w:eastAsia="宋体" w:cs="宋体"/>
        <w:b/>
        <w:sz w:val="20"/>
        <w:szCs w:val="20"/>
        <w:lang w:val="en-US" w:eastAsia="zh-CN"/>
      </w:rPr>
      <w:t>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keepNext w:val="0"/>
      <w:keepLines w:val="0"/>
      <w:pageBreakBefore w:val="0"/>
      <w:widowControl w:val="0"/>
      <w:pBdr>
        <w:bottom w:val="none" w:color="auto" w:sz="0" w:space="0"/>
      </w:pBdr>
      <w:kinsoku/>
      <w:wordWrap/>
      <w:overflowPunct/>
      <w:topLinePunct w:val="0"/>
      <w:autoSpaceDE/>
      <w:autoSpaceDN/>
      <w:bidi w:val="0"/>
      <w:adjustRightInd/>
      <w:snapToGrid w:val="0"/>
      <w:spacing w:line="500" w:lineRule="exact"/>
      <w:jc w:val="right"/>
      <w:textAlignment w:val="auto"/>
      <w:rPr>
        <w:rFonts w:hint="eastAsia" w:ascii="仿宋" w:hAnsi="仿宋" w:eastAsia="仿宋" w:cs="仿宋"/>
        <w:sz w:val="22"/>
        <w:szCs w:val="22"/>
        <w:lang w:val="en-US"/>
      </w:rPr>
    </w:pPr>
    <w:r>
      <w:rPr>
        <w:rFonts w:hint="eastAsia" w:ascii="仿宋" w:hAnsi="仿宋" w:eastAsia="仿宋" w:cs="仿宋"/>
        <w:sz w:val="22"/>
        <w:szCs w:val="22"/>
      </w:rPr>
      <mc:AlternateContent>
        <mc:Choice Requires="wps">
          <w:drawing>
            <wp:anchor distT="0" distB="0" distL="114300" distR="114300" simplePos="0" relativeHeight="251660288" behindDoc="0" locked="0" layoutInCell="1" allowOverlap="1">
              <wp:simplePos x="0" y="0"/>
              <wp:positionH relativeFrom="column">
                <wp:posOffset>56515</wp:posOffset>
              </wp:positionH>
              <wp:positionV relativeFrom="paragraph">
                <wp:posOffset>365760</wp:posOffset>
              </wp:positionV>
              <wp:extent cx="5895975" cy="635"/>
              <wp:effectExtent l="0" t="28575" r="9525" b="46990"/>
              <wp:wrapNone/>
              <wp:docPr id="2" name="直线 4"/>
              <wp:cNvGraphicFramePr/>
              <a:graphic xmlns:a="http://schemas.openxmlformats.org/drawingml/2006/main">
                <a:graphicData uri="http://schemas.microsoft.com/office/word/2010/wordprocessingShape">
                  <wps:wsp>
                    <wps:cNvCnPr/>
                    <wps:spPr>
                      <a:xfrm>
                        <a:off x="0" y="0"/>
                        <a:ext cx="5895975" cy="635"/>
                      </a:xfrm>
                      <a:prstGeom prst="line">
                        <a:avLst/>
                      </a:prstGeom>
                      <a:ln w="57150" cap="flat" cmpd="thinThick">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4.45pt;margin-top:28.8pt;height:0.05pt;width:464.25pt;z-index:251660288;mso-width-relative:page;mso-height-relative:page;" filled="f" stroked="t" coordsize="21600,21600" o:gfxdata="UEsDBAoAAAAAAIdO4kAAAAAAAAAAAAAAAAAEAAAAZHJzL1BLAwQUAAAACACHTuJAcD6t79cAAAAH&#10;AQAADwAAAGRycy9kb3ducmV2LnhtbE2OvU7DMBSFdyTewbpILBV1SqFJQ5wOFSwMSG0ZYHPjSxIR&#10;X6e22wSentuJjudH53zFarSdOKEPrSMFs2kCAqlypqVawfvu5S4DEaImoztHqOAHA6zK66tC58YN&#10;tMHTNtaCRyjkWkETY59LGaoGrQ5T1yNx9uW81ZGlr6XxeuBx28n7JFlIq1vih0b3uG6w+t4erQKz&#10;CeF5PWa/8zf/ejh8ZJPPYTdR6vZmljyBiDjG/zKc8RkdSmbauyOZIDoF2ZKLCh7TBQiOl/P0AcT+&#10;bKQgy0Je8pd/UEsDBBQAAAAIAIdO4kDDl7fQ7wEAAOQDAAAOAAAAZHJzL2Uyb0RvYy54bWytU0uO&#10;EzEQ3SNxB8t70kkg82mlM4sJwwZBpBkOULHdaQv/5HLSyVm4Bis2HGeuQdkdMh82WdALd9n1/Fzv&#10;lT2/2VvDdiqi9q7hk9GYM+WEl9ptGv7t4e7dFWeYwEkw3qmGHxTym8XbN/M+1GrqO2+kioxIHNZ9&#10;aHiXUqirCkWnLODIB+Uo2fpoIdE0bioZoSd2a6rpeHxR9T7KEL1QiLS6HJL8yBjPIfRtq4VaerG1&#10;yqWBNSoDiSRhpwPyRam2bZVIX9sWVWKm4aQ0lZEOoXidx2oxh3oTIXRaHEuAc0p4pcmCdnToiWoJ&#10;Cdg26n+orBbRo2/TSHhbDUKKI6RiMn7lzX0HQRUtZDWGk+n4/2jFl90qMi0bPuXMgaWGP/74+fjr&#10;N/uQvekD1gS5dat4nGFYxSx030ab/ySB7Yufh5Ofap+YoMXZ1fXs+nLGmaDcxftZZqyetoaI6ZPy&#10;luWg4Ua7LBZq2H3GNED/QvKycawnzsvJjJongK5eSy2n0AYqP3XaPVATvxcK9EbLO21M3ohxs741&#10;ke0gX4LyHSt5ActnLQG7AVdSGQZ1p0B+dJKlQyB7HL0KniuxSnJmFD2iHBVkAm3OQZIJxpEX2d7B&#10;0BytvTxQM7Yh6k1HhkxKlTlDzS/OHS9qvl3P54Xp6XEu/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wPq3v1wAAAAcBAAAPAAAAAAAAAAEAIAAAACIAAABkcnMvZG93bnJldi54bWxQSwECFAAUAAAA&#10;CACHTuJAw5e30O8BAADkAwAADgAAAAAAAAABACAAAAAmAQAAZHJzL2Uyb0RvYy54bWxQSwUGAAAA&#10;AAYABgBZAQAAhwUAAAAA&#10;">
              <v:fill on="f" focussize="0,0"/>
              <v:stroke weight="4.5pt" color="#000000" linestyle="thinThick" joinstyle="round"/>
              <v:imagedata o:title=""/>
              <o:lock v:ext="edit" aspectratio="f"/>
            </v:line>
          </w:pict>
        </mc:Fallback>
      </mc:AlternateContent>
    </w:r>
    <w:r>
      <w:rPr>
        <w:rFonts w:hint="eastAsia" w:ascii="仿宋" w:hAnsi="仿宋" w:eastAsia="仿宋" w:cs="仿宋"/>
        <w:b/>
        <w:sz w:val="22"/>
        <w:szCs w:val="22"/>
        <w:lang w:eastAsia="zh-CN"/>
      </w:rPr>
      <w:t>镇原县环境卫生管理局多功能抑尘车辆采购项目</w:t>
    </w:r>
    <w:r>
      <w:rPr>
        <w:rFonts w:hint="eastAsia" w:ascii="仿宋" w:hAnsi="仿宋" w:eastAsia="仿宋" w:cs="仿宋"/>
        <w:b/>
        <w:sz w:val="22"/>
        <w:szCs w:val="22"/>
        <w:lang w:val="en-US" w:eastAsia="zh-CN"/>
      </w:rPr>
      <w:t>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91B663"/>
    <w:multiLevelType w:val="singleLevel"/>
    <w:tmpl w:val="1291B663"/>
    <w:lvl w:ilvl="0" w:tentative="0">
      <w:start w:val="1"/>
      <w:numFmt w:val="decimal"/>
      <w:suff w:val="nothing"/>
      <w:lvlText w:val="%1）"/>
      <w:lvlJc w:val="left"/>
    </w:lvl>
  </w:abstractNum>
  <w:abstractNum w:abstractNumId="1">
    <w:nsid w:val="16ED3CF2"/>
    <w:multiLevelType w:val="singleLevel"/>
    <w:tmpl w:val="16ED3CF2"/>
    <w:lvl w:ilvl="0" w:tentative="0">
      <w:start w:val="1"/>
      <w:numFmt w:val="chineseCounting"/>
      <w:suff w:val="nothing"/>
      <w:lvlText w:val="%1、"/>
      <w:lvlJc w:val="left"/>
      <w:rPr>
        <w:rFonts w:hint="eastAsia"/>
      </w:rPr>
    </w:lvl>
  </w:abstractNum>
  <w:abstractNum w:abstractNumId="2">
    <w:nsid w:val="55781C0F"/>
    <w:multiLevelType w:val="singleLevel"/>
    <w:tmpl w:val="55781C0F"/>
    <w:lvl w:ilvl="0" w:tentative="0">
      <w:start w:val="2"/>
      <w:numFmt w:val="decimal"/>
      <w:suff w:val="nothing"/>
      <w:lvlText w:val="%1、"/>
      <w:lvlJc w:val="left"/>
    </w:lvl>
  </w:abstractNum>
  <w:abstractNum w:abstractNumId="3">
    <w:nsid w:val="5A264A55"/>
    <w:multiLevelType w:val="singleLevel"/>
    <w:tmpl w:val="5A264A55"/>
    <w:lvl w:ilvl="0" w:tentative="0">
      <w:start w:val="1"/>
      <w:numFmt w:val="decimal"/>
      <w:suff w:val="nothing"/>
      <w:lvlText w:val="（%1）"/>
      <w:lvlJc w:val="left"/>
    </w:lvl>
  </w:abstractNum>
  <w:abstractNum w:abstractNumId="4">
    <w:nsid w:val="61C23DE1"/>
    <w:multiLevelType w:val="singleLevel"/>
    <w:tmpl w:val="61C23DE1"/>
    <w:lvl w:ilvl="0" w:tentative="0">
      <w:start w:val="1"/>
      <w:numFmt w:val="decimal"/>
      <w:suff w:val="nothing"/>
      <w:lvlText w:val="（%1）"/>
      <w:lvlJc w:val="left"/>
    </w:lvl>
  </w:abstractNum>
  <w:abstractNum w:abstractNumId="5">
    <w:nsid w:val="69843D02"/>
    <w:multiLevelType w:val="multilevel"/>
    <w:tmpl w:val="69843D02"/>
    <w:lvl w:ilvl="0" w:tentative="0">
      <w:start w:val="1"/>
      <w:numFmt w:val="japaneseCounting"/>
      <w:pStyle w:val="45"/>
      <w:lvlText w:val="%1、"/>
      <w:lvlJc w:val="left"/>
      <w:pPr>
        <w:tabs>
          <w:tab w:val="left" w:pos="1361"/>
        </w:tabs>
        <w:ind w:left="1361" w:hanging="720"/>
      </w:pPr>
      <w:rPr>
        <w:rFonts w:hint="default"/>
      </w:rPr>
    </w:lvl>
    <w:lvl w:ilvl="1" w:tentative="0">
      <w:start w:val="1"/>
      <w:numFmt w:val="lowerLetter"/>
      <w:lvlText w:val="%2)"/>
      <w:lvlJc w:val="left"/>
      <w:pPr>
        <w:tabs>
          <w:tab w:val="left" w:pos="1481"/>
        </w:tabs>
        <w:ind w:left="1481" w:hanging="420"/>
      </w:pPr>
    </w:lvl>
    <w:lvl w:ilvl="2" w:tentative="0">
      <w:start w:val="1"/>
      <w:numFmt w:val="lowerRoman"/>
      <w:lvlText w:val="%3."/>
      <w:lvlJc w:val="right"/>
      <w:pPr>
        <w:tabs>
          <w:tab w:val="left" w:pos="1901"/>
        </w:tabs>
        <w:ind w:left="1901" w:hanging="420"/>
      </w:pPr>
    </w:lvl>
    <w:lvl w:ilvl="3" w:tentative="0">
      <w:start w:val="1"/>
      <w:numFmt w:val="decimal"/>
      <w:lvlText w:val="%4."/>
      <w:lvlJc w:val="left"/>
      <w:pPr>
        <w:tabs>
          <w:tab w:val="left" w:pos="2321"/>
        </w:tabs>
        <w:ind w:left="2321" w:hanging="420"/>
      </w:pPr>
    </w:lvl>
    <w:lvl w:ilvl="4" w:tentative="0">
      <w:start w:val="1"/>
      <w:numFmt w:val="lowerLetter"/>
      <w:lvlText w:val="%5)"/>
      <w:lvlJc w:val="left"/>
      <w:pPr>
        <w:tabs>
          <w:tab w:val="left" w:pos="2741"/>
        </w:tabs>
        <w:ind w:left="2741" w:hanging="420"/>
      </w:pPr>
    </w:lvl>
    <w:lvl w:ilvl="5" w:tentative="0">
      <w:start w:val="1"/>
      <w:numFmt w:val="lowerRoman"/>
      <w:lvlText w:val="%6."/>
      <w:lvlJc w:val="right"/>
      <w:pPr>
        <w:tabs>
          <w:tab w:val="left" w:pos="3161"/>
        </w:tabs>
        <w:ind w:left="3161" w:hanging="420"/>
      </w:pPr>
    </w:lvl>
    <w:lvl w:ilvl="6" w:tentative="0">
      <w:start w:val="1"/>
      <w:numFmt w:val="decimal"/>
      <w:lvlText w:val="%7."/>
      <w:lvlJc w:val="left"/>
      <w:pPr>
        <w:tabs>
          <w:tab w:val="left" w:pos="3581"/>
        </w:tabs>
        <w:ind w:left="3581" w:hanging="420"/>
      </w:pPr>
    </w:lvl>
    <w:lvl w:ilvl="7" w:tentative="0">
      <w:start w:val="1"/>
      <w:numFmt w:val="lowerLetter"/>
      <w:lvlText w:val="%8)"/>
      <w:lvlJc w:val="left"/>
      <w:pPr>
        <w:tabs>
          <w:tab w:val="left" w:pos="4001"/>
        </w:tabs>
        <w:ind w:left="4001" w:hanging="420"/>
      </w:pPr>
    </w:lvl>
    <w:lvl w:ilvl="8" w:tentative="0">
      <w:start w:val="1"/>
      <w:numFmt w:val="lowerRoman"/>
      <w:lvlText w:val="%9."/>
      <w:lvlJc w:val="right"/>
      <w:pPr>
        <w:tabs>
          <w:tab w:val="left" w:pos="4421"/>
        </w:tabs>
        <w:ind w:left="4421" w:hanging="420"/>
      </w:p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539"/>
    <w:rsid w:val="00001C3E"/>
    <w:rsid w:val="00004678"/>
    <w:rsid w:val="00005D2C"/>
    <w:rsid w:val="00005EEA"/>
    <w:rsid w:val="000061D0"/>
    <w:rsid w:val="000079B5"/>
    <w:rsid w:val="000115D2"/>
    <w:rsid w:val="0001271C"/>
    <w:rsid w:val="00012BCC"/>
    <w:rsid w:val="00013ACC"/>
    <w:rsid w:val="00016004"/>
    <w:rsid w:val="00021A51"/>
    <w:rsid w:val="00023CCD"/>
    <w:rsid w:val="00023D69"/>
    <w:rsid w:val="000267C7"/>
    <w:rsid w:val="00032C83"/>
    <w:rsid w:val="00033030"/>
    <w:rsid w:val="000338E1"/>
    <w:rsid w:val="00033BA7"/>
    <w:rsid w:val="00034BCC"/>
    <w:rsid w:val="0003554F"/>
    <w:rsid w:val="0004174C"/>
    <w:rsid w:val="000423AE"/>
    <w:rsid w:val="00044781"/>
    <w:rsid w:val="00046CC8"/>
    <w:rsid w:val="0005166A"/>
    <w:rsid w:val="00054C46"/>
    <w:rsid w:val="00057784"/>
    <w:rsid w:val="0006232A"/>
    <w:rsid w:val="000625F7"/>
    <w:rsid w:val="000626E2"/>
    <w:rsid w:val="00063310"/>
    <w:rsid w:val="0006478B"/>
    <w:rsid w:val="000648A6"/>
    <w:rsid w:val="00073495"/>
    <w:rsid w:val="0007480A"/>
    <w:rsid w:val="00081189"/>
    <w:rsid w:val="0008151E"/>
    <w:rsid w:val="00081672"/>
    <w:rsid w:val="000817B2"/>
    <w:rsid w:val="0008209A"/>
    <w:rsid w:val="000828EB"/>
    <w:rsid w:val="0008295B"/>
    <w:rsid w:val="000841E6"/>
    <w:rsid w:val="0008489C"/>
    <w:rsid w:val="000955BC"/>
    <w:rsid w:val="000A3DC5"/>
    <w:rsid w:val="000A3F5B"/>
    <w:rsid w:val="000B00FC"/>
    <w:rsid w:val="000B0B3D"/>
    <w:rsid w:val="000B1D56"/>
    <w:rsid w:val="000B3B86"/>
    <w:rsid w:val="000B5C90"/>
    <w:rsid w:val="000C02FB"/>
    <w:rsid w:val="000C224A"/>
    <w:rsid w:val="000C5124"/>
    <w:rsid w:val="000D1C34"/>
    <w:rsid w:val="000D2481"/>
    <w:rsid w:val="000D302B"/>
    <w:rsid w:val="000D38E5"/>
    <w:rsid w:val="000D406B"/>
    <w:rsid w:val="000E5146"/>
    <w:rsid w:val="000E5866"/>
    <w:rsid w:val="000F0E93"/>
    <w:rsid w:val="000F1FDB"/>
    <w:rsid w:val="000F2C20"/>
    <w:rsid w:val="000F37C2"/>
    <w:rsid w:val="000F4A70"/>
    <w:rsid w:val="000F6F5C"/>
    <w:rsid w:val="00100040"/>
    <w:rsid w:val="00100484"/>
    <w:rsid w:val="00101683"/>
    <w:rsid w:val="00103602"/>
    <w:rsid w:val="0010540D"/>
    <w:rsid w:val="001066E9"/>
    <w:rsid w:val="00112DB6"/>
    <w:rsid w:val="00113F67"/>
    <w:rsid w:val="00117B38"/>
    <w:rsid w:val="001210FC"/>
    <w:rsid w:val="00123822"/>
    <w:rsid w:val="00124945"/>
    <w:rsid w:val="001250A6"/>
    <w:rsid w:val="00126503"/>
    <w:rsid w:val="0012798A"/>
    <w:rsid w:val="00130E41"/>
    <w:rsid w:val="00131BD2"/>
    <w:rsid w:val="001331FB"/>
    <w:rsid w:val="001344AF"/>
    <w:rsid w:val="00134A2C"/>
    <w:rsid w:val="001369CA"/>
    <w:rsid w:val="00136D12"/>
    <w:rsid w:val="00142489"/>
    <w:rsid w:val="00143955"/>
    <w:rsid w:val="001439FF"/>
    <w:rsid w:val="00143F99"/>
    <w:rsid w:val="00145ABC"/>
    <w:rsid w:val="00147E17"/>
    <w:rsid w:val="0015055C"/>
    <w:rsid w:val="001511BD"/>
    <w:rsid w:val="001531DB"/>
    <w:rsid w:val="00154F0B"/>
    <w:rsid w:val="001557A2"/>
    <w:rsid w:val="001567DD"/>
    <w:rsid w:val="00160403"/>
    <w:rsid w:val="001615C2"/>
    <w:rsid w:val="001616B3"/>
    <w:rsid w:val="001627D2"/>
    <w:rsid w:val="00164B5C"/>
    <w:rsid w:val="001661B3"/>
    <w:rsid w:val="001664DB"/>
    <w:rsid w:val="00170812"/>
    <w:rsid w:val="00170915"/>
    <w:rsid w:val="00173BA1"/>
    <w:rsid w:val="001746CD"/>
    <w:rsid w:val="00176419"/>
    <w:rsid w:val="0018082E"/>
    <w:rsid w:val="00183438"/>
    <w:rsid w:val="00183633"/>
    <w:rsid w:val="0018486E"/>
    <w:rsid w:val="00184C36"/>
    <w:rsid w:val="0018558B"/>
    <w:rsid w:val="00186D77"/>
    <w:rsid w:val="001914F5"/>
    <w:rsid w:val="00191EAA"/>
    <w:rsid w:val="001928ED"/>
    <w:rsid w:val="001A106A"/>
    <w:rsid w:val="001A1508"/>
    <w:rsid w:val="001A27D2"/>
    <w:rsid w:val="001A3260"/>
    <w:rsid w:val="001A3713"/>
    <w:rsid w:val="001A3809"/>
    <w:rsid w:val="001A5FA7"/>
    <w:rsid w:val="001A6505"/>
    <w:rsid w:val="001B45E2"/>
    <w:rsid w:val="001B4B96"/>
    <w:rsid w:val="001B4D41"/>
    <w:rsid w:val="001C0D48"/>
    <w:rsid w:val="001C2282"/>
    <w:rsid w:val="001C2422"/>
    <w:rsid w:val="001C35D3"/>
    <w:rsid w:val="001C3D96"/>
    <w:rsid w:val="001C575F"/>
    <w:rsid w:val="001C5973"/>
    <w:rsid w:val="001C73B5"/>
    <w:rsid w:val="001C77EC"/>
    <w:rsid w:val="001D2539"/>
    <w:rsid w:val="001D288F"/>
    <w:rsid w:val="001D4C13"/>
    <w:rsid w:val="001E0090"/>
    <w:rsid w:val="001E0105"/>
    <w:rsid w:val="001E301E"/>
    <w:rsid w:val="001F1250"/>
    <w:rsid w:val="001F2135"/>
    <w:rsid w:val="001F77D3"/>
    <w:rsid w:val="001F7C88"/>
    <w:rsid w:val="0020179F"/>
    <w:rsid w:val="00203E95"/>
    <w:rsid w:val="00205290"/>
    <w:rsid w:val="00205CBD"/>
    <w:rsid w:val="00206B8F"/>
    <w:rsid w:val="00206C35"/>
    <w:rsid w:val="002073DF"/>
    <w:rsid w:val="00222AF2"/>
    <w:rsid w:val="00223EC1"/>
    <w:rsid w:val="00225792"/>
    <w:rsid w:val="0022600E"/>
    <w:rsid w:val="0022687D"/>
    <w:rsid w:val="00232182"/>
    <w:rsid w:val="0023308F"/>
    <w:rsid w:val="00234C75"/>
    <w:rsid w:val="00235B17"/>
    <w:rsid w:val="002372F2"/>
    <w:rsid w:val="0024298C"/>
    <w:rsid w:val="00243847"/>
    <w:rsid w:val="00246573"/>
    <w:rsid w:val="0024658E"/>
    <w:rsid w:val="00247457"/>
    <w:rsid w:val="002503B9"/>
    <w:rsid w:val="00251CE7"/>
    <w:rsid w:val="002539EF"/>
    <w:rsid w:val="00261DE9"/>
    <w:rsid w:val="00264AF9"/>
    <w:rsid w:val="00267A37"/>
    <w:rsid w:val="00270306"/>
    <w:rsid w:val="002707CA"/>
    <w:rsid w:val="002718A6"/>
    <w:rsid w:val="00273E01"/>
    <w:rsid w:val="0027422C"/>
    <w:rsid w:val="002751A9"/>
    <w:rsid w:val="00275204"/>
    <w:rsid w:val="002761DE"/>
    <w:rsid w:val="00277E15"/>
    <w:rsid w:val="00280454"/>
    <w:rsid w:val="0028219D"/>
    <w:rsid w:val="002851D3"/>
    <w:rsid w:val="00290D32"/>
    <w:rsid w:val="0029111A"/>
    <w:rsid w:val="00291AC5"/>
    <w:rsid w:val="00291E7D"/>
    <w:rsid w:val="0029350D"/>
    <w:rsid w:val="00293791"/>
    <w:rsid w:val="002947D7"/>
    <w:rsid w:val="00296198"/>
    <w:rsid w:val="002963E8"/>
    <w:rsid w:val="002967EC"/>
    <w:rsid w:val="002969D5"/>
    <w:rsid w:val="002A130C"/>
    <w:rsid w:val="002A3002"/>
    <w:rsid w:val="002A681B"/>
    <w:rsid w:val="002A7B39"/>
    <w:rsid w:val="002A7B3B"/>
    <w:rsid w:val="002A7E27"/>
    <w:rsid w:val="002B2E02"/>
    <w:rsid w:val="002B3A1F"/>
    <w:rsid w:val="002B3D85"/>
    <w:rsid w:val="002B3DC3"/>
    <w:rsid w:val="002B4320"/>
    <w:rsid w:val="002B4C98"/>
    <w:rsid w:val="002B59E8"/>
    <w:rsid w:val="002B74C9"/>
    <w:rsid w:val="002C27AB"/>
    <w:rsid w:val="002C2AD6"/>
    <w:rsid w:val="002C7833"/>
    <w:rsid w:val="002C7F08"/>
    <w:rsid w:val="002D0959"/>
    <w:rsid w:val="002D4354"/>
    <w:rsid w:val="002D54F0"/>
    <w:rsid w:val="002D673D"/>
    <w:rsid w:val="002D6A85"/>
    <w:rsid w:val="002D6C6B"/>
    <w:rsid w:val="002E0A7B"/>
    <w:rsid w:val="002E4BBF"/>
    <w:rsid w:val="002E5A2B"/>
    <w:rsid w:val="002F094C"/>
    <w:rsid w:val="002F4393"/>
    <w:rsid w:val="002F6885"/>
    <w:rsid w:val="002F6D59"/>
    <w:rsid w:val="003022B3"/>
    <w:rsid w:val="00303853"/>
    <w:rsid w:val="00304245"/>
    <w:rsid w:val="003042A2"/>
    <w:rsid w:val="0030472D"/>
    <w:rsid w:val="00305C89"/>
    <w:rsid w:val="00307C7D"/>
    <w:rsid w:val="003124C3"/>
    <w:rsid w:val="00312703"/>
    <w:rsid w:val="003159FD"/>
    <w:rsid w:val="003164C7"/>
    <w:rsid w:val="003231CE"/>
    <w:rsid w:val="00323D01"/>
    <w:rsid w:val="00323E9B"/>
    <w:rsid w:val="003249B7"/>
    <w:rsid w:val="00324C17"/>
    <w:rsid w:val="0032527D"/>
    <w:rsid w:val="00325305"/>
    <w:rsid w:val="00325CB2"/>
    <w:rsid w:val="00327237"/>
    <w:rsid w:val="00330BDF"/>
    <w:rsid w:val="00331E06"/>
    <w:rsid w:val="00332FC8"/>
    <w:rsid w:val="0033365E"/>
    <w:rsid w:val="00333E35"/>
    <w:rsid w:val="00335C97"/>
    <w:rsid w:val="00336DB6"/>
    <w:rsid w:val="003411D6"/>
    <w:rsid w:val="00343BA2"/>
    <w:rsid w:val="003447FC"/>
    <w:rsid w:val="00346427"/>
    <w:rsid w:val="00353083"/>
    <w:rsid w:val="003532F1"/>
    <w:rsid w:val="00357912"/>
    <w:rsid w:val="0036067E"/>
    <w:rsid w:val="00360F82"/>
    <w:rsid w:val="00361E6F"/>
    <w:rsid w:val="00362CFF"/>
    <w:rsid w:val="00363EE7"/>
    <w:rsid w:val="003663EA"/>
    <w:rsid w:val="003725E2"/>
    <w:rsid w:val="00372931"/>
    <w:rsid w:val="00374D53"/>
    <w:rsid w:val="00376E36"/>
    <w:rsid w:val="003771DA"/>
    <w:rsid w:val="00380479"/>
    <w:rsid w:val="0038121A"/>
    <w:rsid w:val="003824DA"/>
    <w:rsid w:val="00384BB5"/>
    <w:rsid w:val="0038689F"/>
    <w:rsid w:val="003877FD"/>
    <w:rsid w:val="00391DD7"/>
    <w:rsid w:val="00392122"/>
    <w:rsid w:val="00393815"/>
    <w:rsid w:val="003944EE"/>
    <w:rsid w:val="0039557D"/>
    <w:rsid w:val="0039598E"/>
    <w:rsid w:val="00396A77"/>
    <w:rsid w:val="003A0DE4"/>
    <w:rsid w:val="003A0F9F"/>
    <w:rsid w:val="003A1376"/>
    <w:rsid w:val="003A2773"/>
    <w:rsid w:val="003A4147"/>
    <w:rsid w:val="003A464F"/>
    <w:rsid w:val="003A496D"/>
    <w:rsid w:val="003A5E94"/>
    <w:rsid w:val="003B1C5C"/>
    <w:rsid w:val="003B4093"/>
    <w:rsid w:val="003B5A1E"/>
    <w:rsid w:val="003B6A20"/>
    <w:rsid w:val="003B6E1D"/>
    <w:rsid w:val="003B74C6"/>
    <w:rsid w:val="003C2819"/>
    <w:rsid w:val="003C293C"/>
    <w:rsid w:val="003C3207"/>
    <w:rsid w:val="003C33DF"/>
    <w:rsid w:val="003C42B0"/>
    <w:rsid w:val="003C4EA9"/>
    <w:rsid w:val="003C66DD"/>
    <w:rsid w:val="003C7BD6"/>
    <w:rsid w:val="003D115F"/>
    <w:rsid w:val="003D251E"/>
    <w:rsid w:val="003D3403"/>
    <w:rsid w:val="003D48EE"/>
    <w:rsid w:val="003D4A7A"/>
    <w:rsid w:val="003D5899"/>
    <w:rsid w:val="003D6800"/>
    <w:rsid w:val="003E0A0D"/>
    <w:rsid w:val="003E1492"/>
    <w:rsid w:val="003E22FE"/>
    <w:rsid w:val="003E2947"/>
    <w:rsid w:val="003E6958"/>
    <w:rsid w:val="003F33B2"/>
    <w:rsid w:val="003F3AD4"/>
    <w:rsid w:val="003F7E37"/>
    <w:rsid w:val="004004EA"/>
    <w:rsid w:val="00400619"/>
    <w:rsid w:val="00400B1F"/>
    <w:rsid w:val="00401DB8"/>
    <w:rsid w:val="0040208C"/>
    <w:rsid w:val="00403E1F"/>
    <w:rsid w:val="004050FA"/>
    <w:rsid w:val="00405A37"/>
    <w:rsid w:val="00406D14"/>
    <w:rsid w:val="00406E64"/>
    <w:rsid w:val="00407BDF"/>
    <w:rsid w:val="004106AF"/>
    <w:rsid w:val="00415003"/>
    <w:rsid w:val="00417379"/>
    <w:rsid w:val="00417408"/>
    <w:rsid w:val="00421EC6"/>
    <w:rsid w:val="00422046"/>
    <w:rsid w:val="0042243D"/>
    <w:rsid w:val="00422FB6"/>
    <w:rsid w:val="00423020"/>
    <w:rsid w:val="00423476"/>
    <w:rsid w:val="004237FE"/>
    <w:rsid w:val="00425102"/>
    <w:rsid w:val="00425580"/>
    <w:rsid w:val="00425BD4"/>
    <w:rsid w:val="00426EB0"/>
    <w:rsid w:val="00427985"/>
    <w:rsid w:val="00427A4D"/>
    <w:rsid w:val="00427EE1"/>
    <w:rsid w:val="00432369"/>
    <w:rsid w:val="00432AF5"/>
    <w:rsid w:val="004343BB"/>
    <w:rsid w:val="004348E5"/>
    <w:rsid w:val="0043708D"/>
    <w:rsid w:val="00437467"/>
    <w:rsid w:val="004376C2"/>
    <w:rsid w:val="004400C2"/>
    <w:rsid w:val="00440455"/>
    <w:rsid w:val="00440ED7"/>
    <w:rsid w:val="004466D8"/>
    <w:rsid w:val="0044681D"/>
    <w:rsid w:val="00447BEB"/>
    <w:rsid w:val="00450AF2"/>
    <w:rsid w:val="00451C2F"/>
    <w:rsid w:val="00452254"/>
    <w:rsid w:val="00452D6B"/>
    <w:rsid w:val="004534FE"/>
    <w:rsid w:val="00455353"/>
    <w:rsid w:val="00456290"/>
    <w:rsid w:val="00460C6A"/>
    <w:rsid w:val="00460F11"/>
    <w:rsid w:val="0046169B"/>
    <w:rsid w:val="00462757"/>
    <w:rsid w:val="004652C2"/>
    <w:rsid w:val="00467FDB"/>
    <w:rsid w:val="00471A20"/>
    <w:rsid w:val="004754F6"/>
    <w:rsid w:val="00475952"/>
    <w:rsid w:val="00475F53"/>
    <w:rsid w:val="004772C5"/>
    <w:rsid w:val="0048093A"/>
    <w:rsid w:val="004814DA"/>
    <w:rsid w:val="004823D8"/>
    <w:rsid w:val="00482B87"/>
    <w:rsid w:val="0048300D"/>
    <w:rsid w:val="004929FC"/>
    <w:rsid w:val="00493C17"/>
    <w:rsid w:val="00495753"/>
    <w:rsid w:val="004966E5"/>
    <w:rsid w:val="004A06B3"/>
    <w:rsid w:val="004A1873"/>
    <w:rsid w:val="004A2BCA"/>
    <w:rsid w:val="004A78CB"/>
    <w:rsid w:val="004B0196"/>
    <w:rsid w:val="004B1135"/>
    <w:rsid w:val="004B2117"/>
    <w:rsid w:val="004B2484"/>
    <w:rsid w:val="004B40A6"/>
    <w:rsid w:val="004B7EA9"/>
    <w:rsid w:val="004C1D8E"/>
    <w:rsid w:val="004C32DD"/>
    <w:rsid w:val="004C44AE"/>
    <w:rsid w:val="004C54CB"/>
    <w:rsid w:val="004C773C"/>
    <w:rsid w:val="004C7A37"/>
    <w:rsid w:val="004C7DE5"/>
    <w:rsid w:val="004C7E9A"/>
    <w:rsid w:val="004D0051"/>
    <w:rsid w:val="004D1FA9"/>
    <w:rsid w:val="004D3760"/>
    <w:rsid w:val="004D7249"/>
    <w:rsid w:val="004D7348"/>
    <w:rsid w:val="004D7870"/>
    <w:rsid w:val="004D78F2"/>
    <w:rsid w:val="004E0A96"/>
    <w:rsid w:val="004E1ABB"/>
    <w:rsid w:val="004E2935"/>
    <w:rsid w:val="004E51B9"/>
    <w:rsid w:val="004E595A"/>
    <w:rsid w:val="004F21AF"/>
    <w:rsid w:val="004F5408"/>
    <w:rsid w:val="004F65B2"/>
    <w:rsid w:val="00501D6D"/>
    <w:rsid w:val="005036E4"/>
    <w:rsid w:val="00505C1F"/>
    <w:rsid w:val="00506641"/>
    <w:rsid w:val="005066A2"/>
    <w:rsid w:val="00507AC6"/>
    <w:rsid w:val="00507B50"/>
    <w:rsid w:val="00510332"/>
    <w:rsid w:val="00510474"/>
    <w:rsid w:val="00510750"/>
    <w:rsid w:val="00513B52"/>
    <w:rsid w:val="00516260"/>
    <w:rsid w:val="005167A1"/>
    <w:rsid w:val="00520AE6"/>
    <w:rsid w:val="00522CE6"/>
    <w:rsid w:val="00523357"/>
    <w:rsid w:val="00523450"/>
    <w:rsid w:val="005263D8"/>
    <w:rsid w:val="00526680"/>
    <w:rsid w:val="00530C02"/>
    <w:rsid w:val="00530E32"/>
    <w:rsid w:val="00530EEC"/>
    <w:rsid w:val="00531012"/>
    <w:rsid w:val="005311F0"/>
    <w:rsid w:val="0053298F"/>
    <w:rsid w:val="00532D1D"/>
    <w:rsid w:val="00533EC4"/>
    <w:rsid w:val="0053499F"/>
    <w:rsid w:val="00534E42"/>
    <w:rsid w:val="005359FC"/>
    <w:rsid w:val="00535D43"/>
    <w:rsid w:val="005419E6"/>
    <w:rsid w:val="005429C6"/>
    <w:rsid w:val="005431D4"/>
    <w:rsid w:val="005512F2"/>
    <w:rsid w:val="00551713"/>
    <w:rsid w:val="00554C4D"/>
    <w:rsid w:val="00557A01"/>
    <w:rsid w:val="005602A8"/>
    <w:rsid w:val="005621AB"/>
    <w:rsid w:val="00562FD5"/>
    <w:rsid w:val="00563CB4"/>
    <w:rsid w:val="00565301"/>
    <w:rsid w:val="00570E90"/>
    <w:rsid w:val="00572108"/>
    <w:rsid w:val="0057346A"/>
    <w:rsid w:val="00574479"/>
    <w:rsid w:val="00577BA9"/>
    <w:rsid w:val="005814C6"/>
    <w:rsid w:val="0058182F"/>
    <w:rsid w:val="00583467"/>
    <w:rsid w:val="00583CEE"/>
    <w:rsid w:val="00584E32"/>
    <w:rsid w:val="005876C7"/>
    <w:rsid w:val="005932BA"/>
    <w:rsid w:val="0059704E"/>
    <w:rsid w:val="005A1FE6"/>
    <w:rsid w:val="005A39AD"/>
    <w:rsid w:val="005A47DD"/>
    <w:rsid w:val="005A5AE2"/>
    <w:rsid w:val="005B016D"/>
    <w:rsid w:val="005B0637"/>
    <w:rsid w:val="005B2448"/>
    <w:rsid w:val="005B7655"/>
    <w:rsid w:val="005C22DF"/>
    <w:rsid w:val="005C5ED3"/>
    <w:rsid w:val="005C70F4"/>
    <w:rsid w:val="005C7168"/>
    <w:rsid w:val="005D2E44"/>
    <w:rsid w:val="005D5985"/>
    <w:rsid w:val="005D6528"/>
    <w:rsid w:val="005E028C"/>
    <w:rsid w:val="005E135E"/>
    <w:rsid w:val="005E22AD"/>
    <w:rsid w:val="005E2628"/>
    <w:rsid w:val="005E33A6"/>
    <w:rsid w:val="005E4380"/>
    <w:rsid w:val="005E5A5D"/>
    <w:rsid w:val="005E6CDF"/>
    <w:rsid w:val="005E6DF2"/>
    <w:rsid w:val="005F1655"/>
    <w:rsid w:val="005F1B34"/>
    <w:rsid w:val="005F3260"/>
    <w:rsid w:val="005F5E40"/>
    <w:rsid w:val="00600BCA"/>
    <w:rsid w:val="00600C0F"/>
    <w:rsid w:val="00602281"/>
    <w:rsid w:val="00604186"/>
    <w:rsid w:val="00605F7D"/>
    <w:rsid w:val="00605FEF"/>
    <w:rsid w:val="006064FD"/>
    <w:rsid w:val="0060798D"/>
    <w:rsid w:val="006112EE"/>
    <w:rsid w:val="00611CF2"/>
    <w:rsid w:val="00614FE6"/>
    <w:rsid w:val="00616932"/>
    <w:rsid w:val="00620BBA"/>
    <w:rsid w:val="00620BFD"/>
    <w:rsid w:val="006221BF"/>
    <w:rsid w:val="00623E50"/>
    <w:rsid w:val="00624D37"/>
    <w:rsid w:val="00626834"/>
    <w:rsid w:val="00627D53"/>
    <w:rsid w:val="00630501"/>
    <w:rsid w:val="00630843"/>
    <w:rsid w:val="00630B32"/>
    <w:rsid w:val="006324C1"/>
    <w:rsid w:val="00634087"/>
    <w:rsid w:val="006347DB"/>
    <w:rsid w:val="00634E42"/>
    <w:rsid w:val="0063663B"/>
    <w:rsid w:val="00637961"/>
    <w:rsid w:val="006416C6"/>
    <w:rsid w:val="00641940"/>
    <w:rsid w:val="00641DCF"/>
    <w:rsid w:val="0064267A"/>
    <w:rsid w:val="0064300F"/>
    <w:rsid w:val="00643061"/>
    <w:rsid w:val="00643E70"/>
    <w:rsid w:val="00644E28"/>
    <w:rsid w:val="00645BC4"/>
    <w:rsid w:val="00646C46"/>
    <w:rsid w:val="00647E3C"/>
    <w:rsid w:val="0065210E"/>
    <w:rsid w:val="00653647"/>
    <w:rsid w:val="006564FB"/>
    <w:rsid w:val="00657611"/>
    <w:rsid w:val="00660A03"/>
    <w:rsid w:val="006654A8"/>
    <w:rsid w:val="00666CCD"/>
    <w:rsid w:val="0067266A"/>
    <w:rsid w:val="00673623"/>
    <w:rsid w:val="006739BD"/>
    <w:rsid w:val="00673AD6"/>
    <w:rsid w:val="00681376"/>
    <w:rsid w:val="006822A0"/>
    <w:rsid w:val="006826BC"/>
    <w:rsid w:val="00683CC1"/>
    <w:rsid w:val="00684621"/>
    <w:rsid w:val="0068499E"/>
    <w:rsid w:val="00685E08"/>
    <w:rsid w:val="00687400"/>
    <w:rsid w:val="006911EA"/>
    <w:rsid w:val="00692813"/>
    <w:rsid w:val="0069377E"/>
    <w:rsid w:val="00693BEC"/>
    <w:rsid w:val="00694D4A"/>
    <w:rsid w:val="00695C1F"/>
    <w:rsid w:val="006A0B8B"/>
    <w:rsid w:val="006A1E4E"/>
    <w:rsid w:val="006A2F8C"/>
    <w:rsid w:val="006A3EB2"/>
    <w:rsid w:val="006A483B"/>
    <w:rsid w:val="006A5679"/>
    <w:rsid w:val="006B34CE"/>
    <w:rsid w:val="006B43AD"/>
    <w:rsid w:val="006B5047"/>
    <w:rsid w:val="006B5350"/>
    <w:rsid w:val="006C169C"/>
    <w:rsid w:val="006C40B9"/>
    <w:rsid w:val="006C4B6C"/>
    <w:rsid w:val="006C7AAD"/>
    <w:rsid w:val="006D0FD4"/>
    <w:rsid w:val="006D14A1"/>
    <w:rsid w:val="006D1D42"/>
    <w:rsid w:val="006D4146"/>
    <w:rsid w:val="006D7228"/>
    <w:rsid w:val="006E0E78"/>
    <w:rsid w:val="006E148B"/>
    <w:rsid w:val="006E319D"/>
    <w:rsid w:val="006F240A"/>
    <w:rsid w:val="006F2B18"/>
    <w:rsid w:val="006F4EC9"/>
    <w:rsid w:val="006F6310"/>
    <w:rsid w:val="006F6904"/>
    <w:rsid w:val="006F7947"/>
    <w:rsid w:val="00706F82"/>
    <w:rsid w:val="00711449"/>
    <w:rsid w:val="007153AC"/>
    <w:rsid w:val="00716895"/>
    <w:rsid w:val="007178E7"/>
    <w:rsid w:val="007228D2"/>
    <w:rsid w:val="0072325A"/>
    <w:rsid w:val="007232E1"/>
    <w:rsid w:val="00723301"/>
    <w:rsid w:val="00724099"/>
    <w:rsid w:val="00725586"/>
    <w:rsid w:val="00731223"/>
    <w:rsid w:val="00732C80"/>
    <w:rsid w:val="0073321A"/>
    <w:rsid w:val="0073354B"/>
    <w:rsid w:val="00737044"/>
    <w:rsid w:val="0073746A"/>
    <w:rsid w:val="0073781C"/>
    <w:rsid w:val="00737BF9"/>
    <w:rsid w:val="007408B8"/>
    <w:rsid w:val="00741F2D"/>
    <w:rsid w:val="00746ECB"/>
    <w:rsid w:val="00746F7E"/>
    <w:rsid w:val="00750ED8"/>
    <w:rsid w:val="0075206C"/>
    <w:rsid w:val="007520A6"/>
    <w:rsid w:val="007537FA"/>
    <w:rsid w:val="00753BA6"/>
    <w:rsid w:val="00755209"/>
    <w:rsid w:val="0075794C"/>
    <w:rsid w:val="00764527"/>
    <w:rsid w:val="00764766"/>
    <w:rsid w:val="0076776D"/>
    <w:rsid w:val="00767A7E"/>
    <w:rsid w:val="00767F72"/>
    <w:rsid w:val="00770463"/>
    <w:rsid w:val="00770A0A"/>
    <w:rsid w:val="007750E6"/>
    <w:rsid w:val="00780902"/>
    <w:rsid w:val="00780F23"/>
    <w:rsid w:val="00783D39"/>
    <w:rsid w:val="00783DF2"/>
    <w:rsid w:val="00784E10"/>
    <w:rsid w:val="00787E20"/>
    <w:rsid w:val="0079118A"/>
    <w:rsid w:val="00793367"/>
    <w:rsid w:val="00794D75"/>
    <w:rsid w:val="00795DE1"/>
    <w:rsid w:val="007A42E3"/>
    <w:rsid w:val="007A45D6"/>
    <w:rsid w:val="007A7407"/>
    <w:rsid w:val="007A7BEC"/>
    <w:rsid w:val="007B0DD7"/>
    <w:rsid w:val="007B1DAE"/>
    <w:rsid w:val="007B484E"/>
    <w:rsid w:val="007B568B"/>
    <w:rsid w:val="007B671C"/>
    <w:rsid w:val="007B71EF"/>
    <w:rsid w:val="007B777C"/>
    <w:rsid w:val="007C022C"/>
    <w:rsid w:val="007C2106"/>
    <w:rsid w:val="007C4628"/>
    <w:rsid w:val="007C4BA6"/>
    <w:rsid w:val="007C50E8"/>
    <w:rsid w:val="007C6A28"/>
    <w:rsid w:val="007D1892"/>
    <w:rsid w:val="007D32CB"/>
    <w:rsid w:val="007E0002"/>
    <w:rsid w:val="007E0EE4"/>
    <w:rsid w:val="007E28A7"/>
    <w:rsid w:val="007E2AC4"/>
    <w:rsid w:val="007E4D4D"/>
    <w:rsid w:val="007E77B4"/>
    <w:rsid w:val="007F038E"/>
    <w:rsid w:val="007F1589"/>
    <w:rsid w:val="007F6043"/>
    <w:rsid w:val="007F62A4"/>
    <w:rsid w:val="007F7824"/>
    <w:rsid w:val="008019C5"/>
    <w:rsid w:val="008053EC"/>
    <w:rsid w:val="00806F1D"/>
    <w:rsid w:val="00810409"/>
    <w:rsid w:val="008123EE"/>
    <w:rsid w:val="00813A00"/>
    <w:rsid w:val="00814716"/>
    <w:rsid w:val="00815D52"/>
    <w:rsid w:val="00816120"/>
    <w:rsid w:val="008205A6"/>
    <w:rsid w:val="00821F63"/>
    <w:rsid w:val="00822660"/>
    <w:rsid w:val="00822EA5"/>
    <w:rsid w:val="00823A03"/>
    <w:rsid w:val="00824944"/>
    <w:rsid w:val="00824D3C"/>
    <w:rsid w:val="0082742D"/>
    <w:rsid w:val="00827B2E"/>
    <w:rsid w:val="00830D43"/>
    <w:rsid w:val="00840F82"/>
    <w:rsid w:val="008411D2"/>
    <w:rsid w:val="008423E2"/>
    <w:rsid w:val="008439AF"/>
    <w:rsid w:val="00843CAE"/>
    <w:rsid w:val="008449C7"/>
    <w:rsid w:val="00852655"/>
    <w:rsid w:val="00853E36"/>
    <w:rsid w:val="0085634B"/>
    <w:rsid w:val="00856EDF"/>
    <w:rsid w:val="00860FDD"/>
    <w:rsid w:val="0086322E"/>
    <w:rsid w:val="00863432"/>
    <w:rsid w:val="00864173"/>
    <w:rsid w:val="008725A0"/>
    <w:rsid w:val="00873169"/>
    <w:rsid w:val="00876291"/>
    <w:rsid w:val="00876E5D"/>
    <w:rsid w:val="00877F2A"/>
    <w:rsid w:val="00881185"/>
    <w:rsid w:val="008813D8"/>
    <w:rsid w:val="00881F47"/>
    <w:rsid w:val="00883AA2"/>
    <w:rsid w:val="008841F5"/>
    <w:rsid w:val="0088565D"/>
    <w:rsid w:val="00885AEE"/>
    <w:rsid w:val="008937A7"/>
    <w:rsid w:val="008946A1"/>
    <w:rsid w:val="00896139"/>
    <w:rsid w:val="008967B2"/>
    <w:rsid w:val="008975AC"/>
    <w:rsid w:val="008A07B3"/>
    <w:rsid w:val="008A3074"/>
    <w:rsid w:val="008A540F"/>
    <w:rsid w:val="008A564B"/>
    <w:rsid w:val="008A5D93"/>
    <w:rsid w:val="008B0ADF"/>
    <w:rsid w:val="008B2FB3"/>
    <w:rsid w:val="008B698E"/>
    <w:rsid w:val="008B6D10"/>
    <w:rsid w:val="008B7CDA"/>
    <w:rsid w:val="008C180E"/>
    <w:rsid w:val="008C1A6E"/>
    <w:rsid w:val="008C43F6"/>
    <w:rsid w:val="008C6C2B"/>
    <w:rsid w:val="008D1D84"/>
    <w:rsid w:val="008D1EE4"/>
    <w:rsid w:val="008D3378"/>
    <w:rsid w:val="008D3F5E"/>
    <w:rsid w:val="008D4746"/>
    <w:rsid w:val="008D71F0"/>
    <w:rsid w:val="008E123D"/>
    <w:rsid w:val="008E2B6F"/>
    <w:rsid w:val="008E3CD6"/>
    <w:rsid w:val="008E459E"/>
    <w:rsid w:val="008E64AB"/>
    <w:rsid w:val="008E6AA9"/>
    <w:rsid w:val="008E6BDE"/>
    <w:rsid w:val="008F02D8"/>
    <w:rsid w:val="008F3D32"/>
    <w:rsid w:val="008F618B"/>
    <w:rsid w:val="008F75C3"/>
    <w:rsid w:val="0090041E"/>
    <w:rsid w:val="0090043D"/>
    <w:rsid w:val="00904C0C"/>
    <w:rsid w:val="00911122"/>
    <w:rsid w:val="00911449"/>
    <w:rsid w:val="00912548"/>
    <w:rsid w:val="00913075"/>
    <w:rsid w:val="009155F2"/>
    <w:rsid w:val="00915B4F"/>
    <w:rsid w:val="00915D0B"/>
    <w:rsid w:val="009164EF"/>
    <w:rsid w:val="00917625"/>
    <w:rsid w:val="00922E64"/>
    <w:rsid w:val="00923A41"/>
    <w:rsid w:val="00923B18"/>
    <w:rsid w:val="009263CA"/>
    <w:rsid w:val="00926B4C"/>
    <w:rsid w:val="00930843"/>
    <w:rsid w:val="0093128D"/>
    <w:rsid w:val="009314B2"/>
    <w:rsid w:val="00931E34"/>
    <w:rsid w:val="00932862"/>
    <w:rsid w:val="00933E23"/>
    <w:rsid w:val="00934A0F"/>
    <w:rsid w:val="00935B26"/>
    <w:rsid w:val="00937388"/>
    <w:rsid w:val="00937CEA"/>
    <w:rsid w:val="009414AD"/>
    <w:rsid w:val="009434FE"/>
    <w:rsid w:val="00944338"/>
    <w:rsid w:val="00944AD8"/>
    <w:rsid w:val="00944D3B"/>
    <w:rsid w:val="00945181"/>
    <w:rsid w:val="0094544C"/>
    <w:rsid w:val="00946DD7"/>
    <w:rsid w:val="00950675"/>
    <w:rsid w:val="00950B4B"/>
    <w:rsid w:val="00951C5A"/>
    <w:rsid w:val="00952699"/>
    <w:rsid w:val="00952861"/>
    <w:rsid w:val="00953FA3"/>
    <w:rsid w:val="00954130"/>
    <w:rsid w:val="009542DF"/>
    <w:rsid w:val="00954344"/>
    <w:rsid w:val="00954C9F"/>
    <w:rsid w:val="009567C1"/>
    <w:rsid w:val="00961A8D"/>
    <w:rsid w:val="00966803"/>
    <w:rsid w:val="00966FAB"/>
    <w:rsid w:val="00966FBF"/>
    <w:rsid w:val="0096775F"/>
    <w:rsid w:val="009739F4"/>
    <w:rsid w:val="009751DD"/>
    <w:rsid w:val="00975A08"/>
    <w:rsid w:val="00975C80"/>
    <w:rsid w:val="00976CC6"/>
    <w:rsid w:val="00980691"/>
    <w:rsid w:val="00983948"/>
    <w:rsid w:val="009846AC"/>
    <w:rsid w:val="009861EF"/>
    <w:rsid w:val="00986653"/>
    <w:rsid w:val="00986D61"/>
    <w:rsid w:val="00987C43"/>
    <w:rsid w:val="009907C4"/>
    <w:rsid w:val="0099123F"/>
    <w:rsid w:val="00991851"/>
    <w:rsid w:val="00991E89"/>
    <w:rsid w:val="00993ACD"/>
    <w:rsid w:val="0099470A"/>
    <w:rsid w:val="00995DE9"/>
    <w:rsid w:val="009A102C"/>
    <w:rsid w:val="009A11BD"/>
    <w:rsid w:val="009A1858"/>
    <w:rsid w:val="009A3AB9"/>
    <w:rsid w:val="009A4329"/>
    <w:rsid w:val="009A4F5D"/>
    <w:rsid w:val="009A552E"/>
    <w:rsid w:val="009A651D"/>
    <w:rsid w:val="009A7D83"/>
    <w:rsid w:val="009B092B"/>
    <w:rsid w:val="009B12AB"/>
    <w:rsid w:val="009B1E3F"/>
    <w:rsid w:val="009B30D9"/>
    <w:rsid w:val="009B30E4"/>
    <w:rsid w:val="009B40CB"/>
    <w:rsid w:val="009B42E2"/>
    <w:rsid w:val="009B59A6"/>
    <w:rsid w:val="009B63CF"/>
    <w:rsid w:val="009C1C61"/>
    <w:rsid w:val="009C25C1"/>
    <w:rsid w:val="009C42D4"/>
    <w:rsid w:val="009C44E7"/>
    <w:rsid w:val="009C52A2"/>
    <w:rsid w:val="009C6793"/>
    <w:rsid w:val="009C7EFC"/>
    <w:rsid w:val="009D2B05"/>
    <w:rsid w:val="009D2BDD"/>
    <w:rsid w:val="009D3013"/>
    <w:rsid w:val="009D31E9"/>
    <w:rsid w:val="009D38D3"/>
    <w:rsid w:val="009D59BB"/>
    <w:rsid w:val="009E21CD"/>
    <w:rsid w:val="009E32F4"/>
    <w:rsid w:val="009E43A2"/>
    <w:rsid w:val="009E6DE7"/>
    <w:rsid w:val="009E7184"/>
    <w:rsid w:val="009F0346"/>
    <w:rsid w:val="009F1942"/>
    <w:rsid w:val="009F203D"/>
    <w:rsid w:val="009F2159"/>
    <w:rsid w:val="009F6532"/>
    <w:rsid w:val="009F69FD"/>
    <w:rsid w:val="00A01267"/>
    <w:rsid w:val="00A04D02"/>
    <w:rsid w:val="00A06C2C"/>
    <w:rsid w:val="00A06FD4"/>
    <w:rsid w:val="00A0719E"/>
    <w:rsid w:val="00A071CC"/>
    <w:rsid w:val="00A11365"/>
    <w:rsid w:val="00A1273B"/>
    <w:rsid w:val="00A15848"/>
    <w:rsid w:val="00A16FFD"/>
    <w:rsid w:val="00A17680"/>
    <w:rsid w:val="00A21BF8"/>
    <w:rsid w:val="00A23D70"/>
    <w:rsid w:val="00A24A6D"/>
    <w:rsid w:val="00A24EA3"/>
    <w:rsid w:val="00A24F23"/>
    <w:rsid w:val="00A279C4"/>
    <w:rsid w:val="00A32EF2"/>
    <w:rsid w:val="00A33E06"/>
    <w:rsid w:val="00A40BE4"/>
    <w:rsid w:val="00A421EF"/>
    <w:rsid w:val="00A42606"/>
    <w:rsid w:val="00A42AA2"/>
    <w:rsid w:val="00A4779E"/>
    <w:rsid w:val="00A50949"/>
    <w:rsid w:val="00A518AC"/>
    <w:rsid w:val="00A53303"/>
    <w:rsid w:val="00A53F86"/>
    <w:rsid w:val="00A57676"/>
    <w:rsid w:val="00A63F26"/>
    <w:rsid w:val="00A649F0"/>
    <w:rsid w:val="00A66D16"/>
    <w:rsid w:val="00A70DAD"/>
    <w:rsid w:val="00A71088"/>
    <w:rsid w:val="00A723E6"/>
    <w:rsid w:val="00A7272A"/>
    <w:rsid w:val="00A72A86"/>
    <w:rsid w:val="00A73A7F"/>
    <w:rsid w:val="00A74625"/>
    <w:rsid w:val="00A757D7"/>
    <w:rsid w:val="00A75F64"/>
    <w:rsid w:val="00A76E4C"/>
    <w:rsid w:val="00A80AD1"/>
    <w:rsid w:val="00A82AC4"/>
    <w:rsid w:val="00A84BA8"/>
    <w:rsid w:val="00A902B7"/>
    <w:rsid w:val="00A91669"/>
    <w:rsid w:val="00A94A9D"/>
    <w:rsid w:val="00A95945"/>
    <w:rsid w:val="00AA0B59"/>
    <w:rsid w:val="00AA0C80"/>
    <w:rsid w:val="00AA108C"/>
    <w:rsid w:val="00AA11D2"/>
    <w:rsid w:val="00AA1C52"/>
    <w:rsid w:val="00AA44BE"/>
    <w:rsid w:val="00AA4A21"/>
    <w:rsid w:val="00AA6ABF"/>
    <w:rsid w:val="00AA7FFC"/>
    <w:rsid w:val="00AB1A77"/>
    <w:rsid w:val="00AB1ADD"/>
    <w:rsid w:val="00AB2922"/>
    <w:rsid w:val="00AB29AC"/>
    <w:rsid w:val="00AB334B"/>
    <w:rsid w:val="00AB4880"/>
    <w:rsid w:val="00AB578D"/>
    <w:rsid w:val="00AC1184"/>
    <w:rsid w:val="00AC534C"/>
    <w:rsid w:val="00AC5BD1"/>
    <w:rsid w:val="00AC6CF1"/>
    <w:rsid w:val="00AD63BA"/>
    <w:rsid w:val="00AD7449"/>
    <w:rsid w:val="00AD7B46"/>
    <w:rsid w:val="00AE481B"/>
    <w:rsid w:val="00AE4FCE"/>
    <w:rsid w:val="00AE6221"/>
    <w:rsid w:val="00AE735E"/>
    <w:rsid w:val="00AF0A4D"/>
    <w:rsid w:val="00AF2BD8"/>
    <w:rsid w:val="00AF38D2"/>
    <w:rsid w:val="00AF38E0"/>
    <w:rsid w:val="00AF6D71"/>
    <w:rsid w:val="00AF762A"/>
    <w:rsid w:val="00AF7E2B"/>
    <w:rsid w:val="00B00FFB"/>
    <w:rsid w:val="00B0416F"/>
    <w:rsid w:val="00B06FAD"/>
    <w:rsid w:val="00B070AF"/>
    <w:rsid w:val="00B102B2"/>
    <w:rsid w:val="00B1212C"/>
    <w:rsid w:val="00B1511C"/>
    <w:rsid w:val="00B17146"/>
    <w:rsid w:val="00B1720A"/>
    <w:rsid w:val="00B17CD0"/>
    <w:rsid w:val="00B20C95"/>
    <w:rsid w:val="00B21BA5"/>
    <w:rsid w:val="00B30E44"/>
    <w:rsid w:val="00B320FC"/>
    <w:rsid w:val="00B347D5"/>
    <w:rsid w:val="00B360D3"/>
    <w:rsid w:val="00B37671"/>
    <w:rsid w:val="00B405AA"/>
    <w:rsid w:val="00B419E0"/>
    <w:rsid w:val="00B44D4A"/>
    <w:rsid w:val="00B47149"/>
    <w:rsid w:val="00B53C4A"/>
    <w:rsid w:val="00B54DA2"/>
    <w:rsid w:val="00B558B1"/>
    <w:rsid w:val="00B57D35"/>
    <w:rsid w:val="00B61609"/>
    <w:rsid w:val="00B62717"/>
    <w:rsid w:val="00B6452D"/>
    <w:rsid w:val="00B64C47"/>
    <w:rsid w:val="00B65B8C"/>
    <w:rsid w:val="00B66EB3"/>
    <w:rsid w:val="00B6706F"/>
    <w:rsid w:val="00B67395"/>
    <w:rsid w:val="00B67F79"/>
    <w:rsid w:val="00B70A89"/>
    <w:rsid w:val="00B71898"/>
    <w:rsid w:val="00B73035"/>
    <w:rsid w:val="00B73FBC"/>
    <w:rsid w:val="00B75DE1"/>
    <w:rsid w:val="00B75ECF"/>
    <w:rsid w:val="00B76F6B"/>
    <w:rsid w:val="00B774CC"/>
    <w:rsid w:val="00B809BC"/>
    <w:rsid w:val="00B80E47"/>
    <w:rsid w:val="00B8244F"/>
    <w:rsid w:val="00B83FB3"/>
    <w:rsid w:val="00B8443C"/>
    <w:rsid w:val="00B8707A"/>
    <w:rsid w:val="00B870E2"/>
    <w:rsid w:val="00B87137"/>
    <w:rsid w:val="00B90137"/>
    <w:rsid w:val="00B902F2"/>
    <w:rsid w:val="00B905F3"/>
    <w:rsid w:val="00B928D3"/>
    <w:rsid w:val="00B93CDB"/>
    <w:rsid w:val="00B952A7"/>
    <w:rsid w:val="00B96916"/>
    <w:rsid w:val="00B97463"/>
    <w:rsid w:val="00BA10A0"/>
    <w:rsid w:val="00BA12E7"/>
    <w:rsid w:val="00BA3103"/>
    <w:rsid w:val="00BA41C1"/>
    <w:rsid w:val="00BA4E55"/>
    <w:rsid w:val="00BA58E6"/>
    <w:rsid w:val="00BA65AC"/>
    <w:rsid w:val="00BA6B60"/>
    <w:rsid w:val="00BA725A"/>
    <w:rsid w:val="00BA7413"/>
    <w:rsid w:val="00BB1D5A"/>
    <w:rsid w:val="00BB1EE6"/>
    <w:rsid w:val="00BB302B"/>
    <w:rsid w:val="00BB43EC"/>
    <w:rsid w:val="00BC1102"/>
    <w:rsid w:val="00BC18A8"/>
    <w:rsid w:val="00BC482A"/>
    <w:rsid w:val="00BC4918"/>
    <w:rsid w:val="00BC4A00"/>
    <w:rsid w:val="00BC4FFA"/>
    <w:rsid w:val="00BC6319"/>
    <w:rsid w:val="00BC71E0"/>
    <w:rsid w:val="00BD18C3"/>
    <w:rsid w:val="00BD36A1"/>
    <w:rsid w:val="00BD6389"/>
    <w:rsid w:val="00BD6D58"/>
    <w:rsid w:val="00BE2A3A"/>
    <w:rsid w:val="00BE6012"/>
    <w:rsid w:val="00BF78AC"/>
    <w:rsid w:val="00C00364"/>
    <w:rsid w:val="00C0416F"/>
    <w:rsid w:val="00C0483B"/>
    <w:rsid w:val="00C048A1"/>
    <w:rsid w:val="00C05538"/>
    <w:rsid w:val="00C0579A"/>
    <w:rsid w:val="00C05B03"/>
    <w:rsid w:val="00C06595"/>
    <w:rsid w:val="00C10707"/>
    <w:rsid w:val="00C10C0B"/>
    <w:rsid w:val="00C11DE6"/>
    <w:rsid w:val="00C13C44"/>
    <w:rsid w:val="00C1422A"/>
    <w:rsid w:val="00C152C1"/>
    <w:rsid w:val="00C165D6"/>
    <w:rsid w:val="00C20013"/>
    <w:rsid w:val="00C202C6"/>
    <w:rsid w:val="00C208AF"/>
    <w:rsid w:val="00C20ABC"/>
    <w:rsid w:val="00C2213B"/>
    <w:rsid w:val="00C24D95"/>
    <w:rsid w:val="00C3107D"/>
    <w:rsid w:val="00C31368"/>
    <w:rsid w:val="00C32EAB"/>
    <w:rsid w:val="00C32F23"/>
    <w:rsid w:val="00C34261"/>
    <w:rsid w:val="00C3660C"/>
    <w:rsid w:val="00C3728E"/>
    <w:rsid w:val="00C400C7"/>
    <w:rsid w:val="00C4077A"/>
    <w:rsid w:val="00C411E1"/>
    <w:rsid w:val="00C430F3"/>
    <w:rsid w:val="00C46225"/>
    <w:rsid w:val="00C466A3"/>
    <w:rsid w:val="00C47074"/>
    <w:rsid w:val="00C51417"/>
    <w:rsid w:val="00C57C12"/>
    <w:rsid w:val="00C62544"/>
    <w:rsid w:val="00C62AD9"/>
    <w:rsid w:val="00C63043"/>
    <w:rsid w:val="00C64779"/>
    <w:rsid w:val="00C65100"/>
    <w:rsid w:val="00C651B4"/>
    <w:rsid w:val="00C6701C"/>
    <w:rsid w:val="00C71885"/>
    <w:rsid w:val="00C72B43"/>
    <w:rsid w:val="00C73CAA"/>
    <w:rsid w:val="00C74D6F"/>
    <w:rsid w:val="00C75CD5"/>
    <w:rsid w:val="00C76B97"/>
    <w:rsid w:val="00C77B44"/>
    <w:rsid w:val="00C82B46"/>
    <w:rsid w:val="00C82CC7"/>
    <w:rsid w:val="00C83C7A"/>
    <w:rsid w:val="00C840AB"/>
    <w:rsid w:val="00C84C75"/>
    <w:rsid w:val="00C850A6"/>
    <w:rsid w:val="00C86EBB"/>
    <w:rsid w:val="00C9004B"/>
    <w:rsid w:val="00C92251"/>
    <w:rsid w:val="00C941EF"/>
    <w:rsid w:val="00C961E4"/>
    <w:rsid w:val="00C97807"/>
    <w:rsid w:val="00CA2944"/>
    <w:rsid w:val="00CA2C7E"/>
    <w:rsid w:val="00CA3B64"/>
    <w:rsid w:val="00CA432A"/>
    <w:rsid w:val="00CA54E6"/>
    <w:rsid w:val="00CA581A"/>
    <w:rsid w:val="00CA597D"/>
    <w:rsid w:val="00CA735C"/>
    <w:rsid w:val="00CB0BB4"/>
    <w:rsid w:val="00CB22EA"/>
    <w:rsid w:val="00CB33DF"/>
    <w:rsid w:val="00CB4545"/>
    <w:rsid w:val="00CB4682"/>
    <w:rsid w:val="00CC29F7"/>
    <w:rsid w:val="00CC3869"/>
    <w:rsid w:val="00CC5211"/>
    <w:rsid w:val="00CC7758"/>
    <w:rsid w:val="00CD0505"/>
    <w:rsid w:val="00CD16A4"/>
    <w:rsid w:val="00CD1E71"/>
    <w:rsid w:val="00CD2DFC"/>
    <w:rsid w:val="00CD3328"/>
    <w:rsid w:val="00CD44CF"/>
    <w:rsid w:val="00CD52EC"/>
    <w:rsid w:val="00CD5FAE"/>
    <w:rsid w:val="00CD6C91"/>
    <w:rsid w:val="00CD73A1"/>
    <w:rsid w:val="00CD7B63"/>
    <w:rsid w:val="00CD7D53"/>
    <w:rsid w:val="00CE01ED"/>
    <w:rsid w:val="00CE330D"/>
    <w:rsid w:val="00CE6DED"/>
    <w:rsid w:val="00CE6FAB"/>
    <w:rsid w:val="00CF0386"/>
    <w:rsid w:val="00CF34AE"/>
    <w:rsid w:val="00D030D7"/>
    <w:rsid w:val="00D04BDD"/>
    <w:rsid w:val="00D05DDD"/>
    <w:rsid w:val="00D066CA"/>
    <w:rsid w:val="00D07F4E"/>
    <w:rsid w:val="00D10E0D"/>
    <w:rsid w:val="00D17498"/>
    <w:rsid w:val="00D178D2"/>
    <w:rsid w:val="00D2197E"/>
    <w:rsid w:val="00D25AEF"/>
    <w:rsid w:val="00D302DE"/>
    <w:rsid w:val="00D333EF"/>
    <w:rsid w:val="00D3759D"/>
    <w:rsid w:val="00D40045"/>
    <w:rsid w:val="00D405B2"/>
    <w:rsid w:val="00D42342"/>
    <w:rsid w:val="00D437B9"/>
    <w:rsid w:val="00D44FA8"/>
    <w:rsid w:val="00D45521"/>
    <w:rsid w:val="00D45A66"/>
    <w:rsid w:val="00D46EF0"/>
    <w:rsid w:val="00D602B2"/>
    <w:rsid w:val="00D60A07"/>
    <w:rsid w:val="00D60CFD"/>
    <w:rsid w:val="00D61265"/>
    <w:rsid w:val="00D614CA"/>
    <w:rsid w:val="00D6240C"/>
    <w:rsid w:val="00D633DF"/>
    <w:rsid w:val="00D63C82"/>
    <w:rsid w:val="00D64178"/>
    <w:rsid w:val="00D65A19"/>
    <w:rsid w:val="00D66AD4"/>
    <w:rsid w:val="00D70AAB"/>
    <w:rsid w:val="00D71194"/>
    <w:rsid w:val="00D7129D"/>
    <w:rsid w:val="00D7419C"/>
    <w:rsid w:val="00D75028"/>
    <w:rsid w:val="00D761AD"/>
    <w:rsid w:val="00D76A17"/>
    <w:rsid w:val="00D770AD"/>
    <w:rsid w:val="00D77B06"/>
    <w:rsid w:val="00D80693"/>
    <w:rsid w:val="00D818A3"/>
    <w:rsid w:val="00D83380"/>
    <w:rsid w:val="00D8542D"/>
    <w:rsid w:val="00D859F0"/>
    <w:rsid w:val="00D8722D"/>
    <w:rsid w:val="00D93026"/>
    <w:rsid w:val="00D94F96"/>
    <w:rsid w:val="00D958E3"/>
    <w:rsid w:val="00D97DCA"/>
    <w:rsid w:val="00DA14E1"/>
    <w:rsid w:val="00DA28EE"/>
    <w:rsid w:val="00DA28F1"/>
    <w:rsid w:val="00DA5917"/>
    <w:rsid w:val="00DA7AAE"/>
    <w:rsid w:val="00DB2A13"/>
    <w:rsid w:val="00DB39FF"/>
    <w:rsid w:val="00DB481D"/>
    <w:rsid w:val="00DB6D70"/>
    <w:rsid w:val="00DB6E6A"/>
    <w:rsid w:val="00DC05CB"/>
    <w:rsid w:val="00DC1503"/>
    <w:rsid w:val="00DC1844"/>
    <w:rsid w:val="00DC2DBA"/>
    <w:rsid w:val="00DC32C6"/>
    <w:rsid w:val="00DC3334"/>
    <w:rsid w:val="00DC4426"/>
    <w:rsid w:val="00DC47DD"/>
    <w:rsid w:val="00DC6AAE"/>
    <w:rsid w:val="00DC6B9B"/>
    <w:rsid w:val="00DC6F6E"/>
    <w:rsid w:val="00DC7E59"/>
    <w:rsid w:val="00DD0890"/>
    <w:rsid w:val="00DD0CD2"/>
    <w:rsid w:val="00DD29B1"/>
    <w:rsid w:val="00DD3896"/>
    <w:rsid w:val="00DD3F67"/>
    <w:rsid w:val="00DD77F9"/>
    <w:rsid w:val="00DD7C0E"/>
    <w:rsid w:val="00DD7D0D"/>
    <w:rsid w:val="00DE1599"/>
    <w:rsid w:val="00DE3484"/>
    <w:rsid w:val="00DE5568"/>
    <w:rsid w:val="00DE5F9E"/>
    <w:rsid w:val="00DE60A9"/>
    <w:rsid w:val="00DE61A2"/>
    <w:rsid w:val="00DE6C80"/>
    <w:rsid w:val="00DF063B"/>
    <w:rsid w:val="00DF082E"/>
    <w:rsid w:val="00DF1C95"/>
    <w:rsid w:val="00DF3BCF"/>
    <w:rsid w:val="00DF4B72"/>
    <w:rsid w:val="00E01A40"/>
    <w:rsid w:val="00E02BDC"/>
    <w:rsid w:val="00E0330B"/>
    <w:rsid w:val="00E063EB"/>
    <w:rsid w:val="00E06BC1"/>
    <w:rsid w:val="00E06C5B"/>
    <w:rsid w:val="00E1034F"/>
    <w:rsid w:val="00E1109F"/>
    <w:rsid w:val="00E160C5"/>
    <w:rsid w:val="00E178D3"/>
    <w:rsid w:val="00E20D74"/>
    <w:rsid w:val="00E23D3E"/>
    <w:rsid w:val="00E24756"/>
    <w:rsid w:val="00E27D91"/>
    <w:rsid w:val="00E31E64"/>
    <w:rsid w:val="00E32067"/>
    <w:rsid w:val="00E322D5"/>
    <w:rsid w:val="00E34747"/>
    <w:rsid w:val="00E34E6A"/>
    <w:rsid w:val="00E357D4"/>
    <w:rsid w:val="00E409DD"/>
    <w:rsid w:val="00E40A1F"/>
    <w:rsid w:val="00E41B98"/>
    <w:rsid w:val="00E4341C"/>
    <w:rsid w:val="00E44BFC"/>
    <w:rsid w:val="00E47DA2"/>
    <w:rsid w:val="00E506BB"/>
    <w:rsid w:val="00E524FF"/>
    <w:rsid w:val="00E55C34"/>
    <w:rsid w:val="00E6084B"/>
    <w:rsid w:val="00E60F08"/>
    <w:rsid w:val="00E63E1C"/>
    <w:rsid w:val="00E6443C"/>
    <w:rsid w:val="00E64675"/>
    <w:rsid w:val="00E66ED5"/>
    <w:rsid w:val="00E73ED9"/>
    <w:rsid w:val="00E75728"/>
    <w:rsid w:val="00E827DB"/>
    <w:rsid w:val="00E82CDE"/>
    <w:rsid w:val="00E830F8"/>
    <w:rsid w:val="00E8319D"/>
    <w:rsid w:val="00E904BC"/>
    <w:rsid w:val="00E91DA8"/>
    <w:rsid w:val="00E92927"/>
    <w:rsid w:val="00E93286"/>
    <w:rsid w:val="00E93442"/>
    <w:rsid w:val="00E93501"/>
    <w:rsid w:val="00E93A81"/>
    <w:rsid w:val="00E93CCB"/>
    <w:rsid w:val="00E93D3B"/>
    <w:rsid w:val="00E9602C"/>
    <w:rsid w:val="00E96B25"/>
    <w:rsid w:val="00E97083"/>
    <w:rsid w:val="00EA047E"/>
    <w:rsid w:val="00EA0942"/>
    <w:rsid w:val="00EA1A38"/>
    <w:rsid w:val="00EA4F16"/>
    <w:rsid w:val="00EA5E26"/>
    <w:rsid w:val="00EB2981"/>
    <w:rsid w:val="00EB5068"/>
    <w:rsid w:val="00EB6CC4"/>
    <w:rsid w:val="00EB6DC3"/>
    <w:rsid w:val="00EB6E37"/>
    <w:rsid w:val="00EC049D"/>
    <w:rsid w:val="00EC1540"/>
    <w:rsid w:val="00EC1CB6"/>
    <w:rsid w:val="00EC1DF9"/>
    <w:rsid w:val="00EC3A1D"/>
    <w:rsid w:val="00EC4F9E"/>
    <w:rsid w:val="00EC64F8"/>
    <w:rsid w:val="00EC662B"/>
    <w:rsid w:val="00EC6A54"/>
    <w:rsid w:val="00EC7AEF"/>
    <w:rsid w:val="00ED13DF"/>
    <w:rsid w:val="00ED423E"/>
    <w:rsid w:val="00EE1ACB"/>
    <w:rsid w:val="00EE3D1D"/>
    <w:rsid w:val="00EE7C1F"/>
    <w:rsid w:val="00EF1DA4"/>
    <w:rsid w:val="00EF3722"/>
    <w:rsid w:val="00EF6A9F"/>
    <w:rsid w:val="00EF6C57"/>
    <w:rsid w:val="00EF7737"/>
    <w:rsid w:val="00EF7BC1"/>
    <w:rsid w:val="00F011F9"/>
    <w:rsid w:val="00F01226"/>
    <w:rsid w:val="00F01EA2"/>
    <w:rsid w:val="00F02D58"/>
    <w:rsid w:val="00F13A4B"/>
    <w:rsid w:val="00F14CB3"/>
    <w:rsid w:val="00F20405"/>
    <w:rsid w:val="00F20779"/>
    <w:rsid w:val="00F2136A"/>
    <w:rsid w:val="00F22F1D"/>
    <w:rsid w:val="00F23977"/>
    <w:rsid w:val="00F27465"/>
    <w:rsid w:val="00F279CD"/>
    <w:rsid w:val="00F308C4"/>
    <w:rsid w:val="00F30F22"/>
    <w:rsid w:val="00F314D2"/>
    <w:rsid w:val="00F31BD7"/>
    <w:rsid w:val="00F32DB4"/>
    <w:rsid w:val="00F402BA"/>
    <w:rsid w:val="00F40C04"/>
    <w:rsid w:val="00F421C1"/>
    <w:rsid w:val="00F45509"/>
    <w:rsid w:val="00F47F12"/>
    <w:rsid w:val="00F521E7"/>
    <w:rsid w:val="00F524C4"/>
    <w:rsid w:val="00F55A49"/>
    <w:rsid w:val="00F56351"/>
    <w:rsid w:val="00F57D48"/>
    <w:rsid w:val="00F63876"/>
    <w:rsid w:val="00F63935"/>
    <w:rsid w:val="00F63D8F"/>
    <w:rsid w:val="00F64FAD"/>
    <w:rsid w:val="00F652C5"/>
    <w:rsid w:val="00F65FB8"/>
    <w:rsid w:val="00F71B6A"/>
    <w:rsid w:val="00F71E8F"/>
    <w:rsid w:val="00F74170"/>
    <w:rsid w:val="00F75031"/>
    <w:rsid w:val="00F76657"/>
    <w:rsid w:val="00F77FC1"/>
    <w:rsid w:val="00F81938"/>
    <w:rsid w:val="00F823B7"/>
    <w:rsid w:val="00F8256C"/>
    <w:rsid w:val="00F8401C"/>
    <w:rsid w:val="00F84995"/>
    <w:rsid w:val="00F905BF"/>
    <w:rsid w:val="00F90885"/>
    <w:rsid w:val="00F915C4"/>
    <w:rsid w:val="00F918B0"/>
    <w:rsid w:val="00F94C64"/>
    <w:rsid w:val="00F94D28"/>
    <w:rsid w:val="00F95D53"/>
    <w:rsid w:val="00F97436"/>
    <w:rsid w:val="00FA0442"/>
    <w:rsid w:val="00FB0E01"/>
    <w:rsid w:val="00FB0F9B"/>
    <w:rsid w:val="00FB2360"/>
    <w:rsid w:val="00FB2920"/>
    <w:rsid w:val="00FB2E4A"/>
    <w:rsid w:val="00FB3073"/>
    <w:rsid w:val="00FB33AA"/>
    <w:rsid w:val="00FB3DD5"/>
    <w:rsid w:val="00FB6965"/>
    <w:rsid w:val="00FB75C5"/>
    <w:rsid w:val="00FC0A1E"/>
    <w:rsid w:val="00FC2109"/>
    <w:rsid w:val="00FC3229"/>
    <w:rsid w:val="00FC4312"/>
    <w:rsid w:val="00FC479F"/>
    <w:rsid w:val="00FD1A54"/>
    <w:rsid w:val="00FD1FDE"/>
    <w:rsid w:val="00FD329D"/>
    <w:rsid w:val="00FD717B"/>
    <w:rsid w:val="00FE1138"/>
    <w:rsid w:val="00FE113F"/>
    <w:rsid w:val="00FE4A2F"/>
    <w:rsid w:val="00FE6B12"/>
    <w:rsid w:val="00FE7F83"/>
    <w:rsid w:val="00FF1E2E"/>
    <w:rsid w:val="00FF24F6"/>
    <w:rsid w:val="00FF33F0"/>
    <w:rsid w:val="00FF5FE7"/>
    <w:rsid w:val="00FF72D6"/>
    <w:rsid w:val="01062221"/>
    <w:rsid w:val="015168D4"/>
    <w:rsid w:val="0163731D"/>
    <w:rsid w:val="01EB446E"/>
    <w:rsid w:val="01FF7B3D"/>
    <w:rsid w:val="02266BA9"/>
    <w:rsid w:val="02551C51"/>
    <w:rsid w:val="02657F74"/>
    <w:rsid w:val="026E698A"/>
    <w:rsid w:val="028F01C3"/>
    <w:rsid w:val="02AD4894"/>
    <w:rsid w:val="02CA6C2D"/>
    <w:rsid w:val="030440EC"/>
    <w:rsid w:val="030A0BE6"/>
    <w:rsid w:val="03137B49"/>
    <w:rsid w:val="034C54A3"/>
    <w:rsid w:val="035417E0"/>
    <w:rsid w:val="038366F5"/>
    <w:rsid w:val="03900297"/>
    <w:rsid w:val="039C0636"/>
    <w:rsid w:val="03A437B0"/>
    <w:rsid w:val="0420101B"/>
    <w:rsid w:val="04322D48"/>
    <w:rsid w:val="047339F9"/>
    <w:rsid w:val="04B067FA"/>
    <w:rsid w:val="04C15C8D"/>
    <w:rsid w:val="04C73555"/>
    <w:rsid w:val="04F96746"/>
    <w:rsid w:val="04FE74C6"/>
    <w:rsid w:val="05187FA9"/>
    <w:rsid w:val="053416B5"/>
    <w:rsid w:val="054B72C0"/>
    <w:rsid w:val="057D25E3"/>
    <w:rsid w:val="057E16D6"/>
    <w:rsid w:val="05896517"/>
    <w:rsid w:val="05E47EB1"/>
    <w:rsid w:val="05F84BCD"/>
    <w:rsid w:val="0618582E"/>
    <w:rsid w:val="061B40BC"/>
    <w:rsid w:val="061C1E57"/>
    <w:rsid w:val="064A32E0"/>
    <w:rsid w:val="06AF45A5"/>
    <w:rsid w:val="06ED7A2E"/>
    <w:rsid w:val="07344590"/>
    <w:rsid w:val="073A773D"/>
    <w:rsid w:val="07571308"/>
    <w:rsid w:val="07682B4A"/>
    <w:rsid w:val="07DB1E0E"/>
    <w:rsid w:val="07ED14FC"/>
    <w:rsid w:val="08272E9F"/>
    <w:rsid w:val="083F2668"/>
    <w:rsid w:val="085040DF"/>
    <w:rsid w:val="086460D1"/>
    <w:rsid w:val="086A598C"/>
    <w:rsid w:val="08914353"/>
    <w:rsid w:val="08A64BF3"/>
    <w:rsid w:val="08C37522"/>
    <w:rsid w:val="08FB447E"/>
    <w:rsid w:val="09063B46"/>
    <w:rsid w:val="091E5010"/>
    <w:rsid w:val="093422FA"/>
    <w:rsid w:val="09586381"/>
    <w:rsid w:val="09845756"/>
    <w:rsid w:val="09904037"/>
    <w:rsid w:val="09C83A53"/>
    <w:rsid w:val="09F275CE"/>
    <w:rsid w:val="0A8436EB"/>
    <w:rsid w:val="0AA54876"/>
    <w:rsid w:val="0ADF0316"/>
    <w:rsid w:val="0AF72A7C"/>
    <w:rsid w:val="0B017318"/>
    <w:rsid w:val="0B0E575A"/>
    <w:rsid w:val="0B122EBE"/>
    <w:rsid w:val="0B186B9C"/>
    <w:rsid w:val="0B20501C"/>
    <w:rsid w:val="0B3108C7"/>
    <w:rsid w:val="0B8C72B9"/>
    <w:rsid w:val="0BAF391E"/>
    <w:rsid w:val="0BB842EB"/>
    <w:rsid w:val="0BE37A8B"/>
    <w:rsid w:val="0C017020"/>
    <w:rsid w:val="0C52127F"/>
    <w:rsid w:val="0C5225E2"/>
    <w:rsid w:val="0C5239CF"/>
    <w:rsid w:val="0C626747"/>
    <w:rsid w:val="0C944546"/>
    <w:rsid w:val="0CAB379C"/>
    <w:rsid w:val="0CCE44E1"/>
    <w:rsid w:val="0D75053A"/>
    <w:rsid w:val="0E0C17EA"/>
    <w:rsid w:val="0E1B2CD2"/>
    <w:rsid w:val="0E292FEA"/>
    <w:rsid w:val="0E512C11"/>
    <w:rsid w:val="0E534127"/>
    <w:rsid w:val="0E725375"/>
    <w:rsid w:val="0E9065D3"/>
    <w:rsid w:val="0EED06A2"/>
    <w:rsid w:val="0F2E3582"/>
    <w:rsid w:val="0F3A5D3E"/>
    <w:rsid w:val="0F7816AE"/>
    <w:rsid w:val="0F7A17F9"/>
    <w:rsid w:val="0F7E3B9F"/>
    <w:rsid w:val="0F8B3D80"/>
    <w:rsid w:val="0FA004C4"/>
    <w:rsid w:val="0FC06D8C"/>
    <w:rsid w:val="0FC7336B"/>
    <w:rsid w:val="10A077EC"/>
    <w:rsid w:val="10A10587"/>
    <w:rsid w:val="10C00D1B"/>
    <w:rsid w:val="10E7753B"/>
    <w:rsid w:val="10F70B4F"/>
    <w:rsid w:val="110F602B"/>
    <w:rsid w:val="115B5D49"/>
    <w:rsid w:val="117D0F6D"/>
    <w:rsid w:val="11810B5F"/>
    <w:rsid w:val="11911E82"/>
    <w:rsid w:val="11B673DA"/>
    <w:rsid w:val="11C70797"/>
    <w:rsid w:val="120D6561"/>
    <w:rsid w:val="123755E1"/>
    <w:rsid w:val="12645F1D"/>
    <w:rsid w:val="12944602"/>
    <w:rsid w:val="12C15CFE"/>
    <w:rsid w:val="12CA4241"/>
    <w:rsid w:val="12DB57C3"/>
    <w:rsid w:val="133C30F1"/>
    <w:rsid w:val="134341F5"/>
    <w:rsid w:val="13437237"/>
    <w:rsid w:val="137417FB"/>
    <w:rsid w:val="13AA6755"/>
    <w:rsid w:val="140D03DF"/>
    <w:rsid w:val="141476C6"/>
    <w:rsid w:val="141D2FC3"/>
    <w:rsid w:val="145C13DE"/>
    <w:rsid w:val="145D6918"/>
    <w:rsid w:val="1466238B"/>
    <w:rsid w:val="149D048E"/>
    <w:rsid w:val="14AC066D"/>
    <w:rsid w:val="14B211FA"/>
    <w:rsid w:val="150B3B99"/>
    <w:rsid w:val="15240FC1"/>
    <w:rsid w:val="152F140E"/>
    <w:rsid w:val="158075BF"/>
    <w:rsid w:val="15B515B5"/>
    <w:rsid w:val="15CC4578"/>
    <w:rsid w:val="15D113F4"/>
    <w:rsid w:val="15EB52F5"/>
    <w:rsid w:val="15ED6725"/>
    <w:rsid w:val="16674C57"/>
    <w:rsid w:val="16AB070C"/>
    <w:rsid w:val="16E2571D"/>
    <w:rsid w:val="16E35FB8"/>
    <w:rsid w:val="16F645CA"/>
    <w:rsid w:val="17D00F93"/>
    <w:rsid w:val="17D27064"/>
    <w:rsid w:val="17DF2AD9"/>
    <w:rsid w:val="181B5808"/>
    <w:rsid w:val="18406C3F"/>
    <w:rsid w:val="184436C8"/>
    <w:rsid w:val="187E73EB"/>
    <w:rsid w:val="18A42F91"/>
    <w:rsid w:val="18A85C05"/>
    <w:rsid w:val="18DC6585"/>
    <w:rsid w:val="18F72F81"/>
    <w:rsid w:val="19011429"/>
    <w:rsid w:val="195A3ABA"/>
    <w:rsid w:val="196C7844"/>
    <w:rsid w:val="19DF2052"/>
    <w:rsid w:val="19E27320"/>
    <w:rsid w:val="1A155821"/>
    <w:rsid w:val="1A8C6254"/>
    <w:rsid w:val="1AC51981"/>
    <w:rsid w:val="1ADB2CD2"/>
    <w:rsid w:val="1B201EEE"/>
    <w:rsid w:val="1B937375"/>
    <w:rsid w:val="1B9B4F86"/>
    <w:rsid w:val="1B9F7F74"/>
    <w:rsid w:val="1BB5254E"/>
    <w:rsid w:val="1BB54E2B"/>
    <w:rsid w:val="1BEF0010"/>
    <w:rsid w:val="1C090E37"/>
    <w:rsid w:val="1C231FFD"/>
    <w:rsid w:val="1C2C1561"/>
    <w:rsid w:val="1C5966FC"/>
    <w:rsid w:val="1CA13522"/>
    <w:rsid w:val="1CA81597"/>
    <w:rsid w:val="1D1604B0"/>
    <w:rsid w:val="1D75144A"/>
    <w:rsid w:val="1D7C7282"/>
    <w:rsid w:val="1D9F4564"/>
    <w:rsid w:val="1DA14A07"/>
    <w:rsid w:val="1DD90B9C"/>
    <w:rsid w:val="1DF6142E"/>
    <w:rsid w:val="1E631417"/>
    <w:rsid w:val="1E921591"/>
    <w:rsid w:val="1EA43ED3"/>
    <w:rsid w:val="1EB47BB3"/>
    <w:rsid w:val="1F156CCC"/>
    <w:rsid w:val="1F302121"/>
    <w:rsid w:val="1F38171E"/>
    <w:rsid w:val="1F401602"/>
    <w:rsid w:val="1F4366BD"/>
    <w:rsid w:val="1F793959"/>
    <w:rsid w:val="1F8B4E63"/>
    <w:rsid w:val="1FCF3C6C"/>
    <w:rsid w:val="1FDC35CD"/>
    <w:rsid w:val="1FF60A13"/>
    <w:rsid w:val="200B49D1"/>
    <w:rsid w:val="20332EC1"/>
    <w:rsid w:val="206A50CE"/>
    <w:rsid w:val="209D5B5E"/>
    <w:rsid w:val="20A47F08"/>
    <w:rsid w:val="20AB3CF1"/>
    <w:rsid w:val="20C76FDB"/>
    <w:rsid w:val="211225E2"/>
    <w:rsid w:val="21213CB1"/>
    <w:rsid w:val="21427E1B"/>
    <w:rsid w:val="21742C3E"/>
    <w:rsid w:val="21B62526"/>
    <w:rsid w:val="221F19BD"/>
    <w:rsid w:val="22300E88"/>
    <w:rsid w:val="22A62471"/>
    <w:rsid w:val="22CF03CF"/>
    <w:rsid w:val="22D372A5"/>
    <w:rsid w:val="23084603"/>
    <w:rsid w:val="231A181A"/>
    <w:rsid w:val="235A3876"/>
    <w:rsid w:val="239A4E4F"/>
    <w:rsid w:val="23B875FE"/>
    <w:rsid w:val="24154B34"/>
    <w:rsid w:val="241C65CB"/>
    <w:rsid w:val="2420226A"/>
    <w:rsid w:val="24503199"/>
    <w:rsid w:val="24866257"/>
    <w:rsid w:val="24B56373"/>
    <w:rsid w:val="24C2384F"/>
    <w:rsid w:val="24CB5103"/>
    <w:rsid w:val="24E80756"/>
    <w:rsid w:val="252466BE"/>
    <w:rsid w:val="252929EF"/>
    <w:rsid w:val="252B6DDB"/>
    <w:rsid w:val="25713DAE"/>
    <w:rsid w:val="25802EC3"/>
    <w:rsid w:val="259C3B39"/>
    <w:rsid w:val="25A378E4"/>
    <w:rsid w:val="25B24C66"/>
    <w:rsid w:val="25CB7DED"/>
    <w:rsid w:val="25E12F48"/>
    <w:rsid w:val="261F05BB"/>
    <w:rsid w:val="2643663F"/>
    <w:rsid w:val="264A5842"/>
    <w:rsid w:val="265968AA"/>
    <w:rsid w:val="26763D50"/>
    <w:rsid w:val="26D45F87"/>
    <w:rsid w:val="26E951F8"/>
    <w:rsid w:val="27092B33"/>
    <w:rsid w:val="2713695B"/>
    <w:rsid w:val="27432B9D"/>
    <w:rsid w:val="27BB18BF"/>
    <w:rsid w:val="27CA2F6F"/>
    <w:rsid w:val="27F47C0E"/>
    <w:rsid w:val="27F72B50"/>
    <w:rsid w:val="280406EC"/>
    <w:rsid w:val="28044B2D"/>
    <w:rsid w:val="28097EA4"/>
    <w:rsid w:val="28295801"/>
    <w:rsid w:val="282C396C"/>
    <w:rsid w:val="285F6236"/>
    <w:rsid w:val="288F65DA"/>
    <w:rsid w:val="28A35BF2"/>
    <w:rsid w:val="28A579D4"/>
    <w:rsid w:val="28BB7DB5"/>
    <w:rsid w:val="2907490E"/>
    <w:rsid w:val="29675C26"/>
    <w:rsid w:val="299A73EC"/>
    <w:rsid w:val="29A80BDF"/>
    <w:rsid w:val="29AF019B"/>
    <w:rsid w:val="29BB1CF0"/>
    <w:rsid w:val="29CE150F"/>
    <w:rsid w:val="29E816A8"/>
    <w:rsid w:val="29FC1C4B"/>
    <w:rsid w:val="2A131067"/>
    <w:rsid w:val="2A5658ED"/>
    <w:rsid w:val="2A7D7D99"/>
    <w:rsid w:val="2B461C67"/>
    <w:rsid w:val="2B6A4D02"/>
    <w:rsid w:val="2B9164CD"/>
    <w:rsid w:val="2BC2634A"/>
    <w:rsid w:val="2BD204AE"/>
    <w:rsid w:val="2BE24B50"/>
    <w:rsid w:val="2BF645DB"/>
    <w:rsid w:val="2BFA527A"/>
    <w:rsid w:val="2C1500FC"/>
    <w:rsid w:val="2C530529"/>
    <w:rsid w:val="2C53598A"/>
    <w:rsid w:val="2C54545C"/>
    <w:rsid w:val="2C5D348C"/>
    <w:rsid w:val="2C6C2D89"/>
    <w:rsid w:val="2C7B066B"/>
    <w:rsid w:val="2CD20ADC"/>
    <w:rsid w:val="2CDE1EEF"/>
    <w:rsid w:val="2CDE4211"/>
    <w:rsid w:val="2D0C580D"/>
    <w:rsid w:val="2D2F5D15"/>
    <w:rsid w:val="2D346089"/>
    <w:rsid w:val="2D9055B5"/>
    <w:rsid w:val="2D9622B9"/>
    <w:rsid w:val="2DBD5E7A"/>
    <w:rsid w:val="2DE84CB4"/>
    <w:rsid w:val="2DED5720"/>
    <w:rsid w:val="2DF179E3"/>
    <w:rsid w:val="2E0E3C1D"/>
    <w:rsid w:val="2E253F37"/>
    <w:rsid w:val="2E660B85"/>
    <w:rsid w:val="2E8E269D"/>
    <w:rsid w:val="2ED12B52"/>
    <w:rsid w:val="2F083383"/>
    <w:rsid w:val="2F2F3556"/>
    <w:rsid w:val="2F72330B"/>
    <w:rsid w:val="2FE40627"/>
    <w:rsid w:val="2FF35154"/>
    <w:rsid w:val="302B3178"/>
    <w:rsid w:val="30A92DF6"/>
    <w:rsid w:val="30B149ED"/>
    <w:rsid w:val="30E52DCE"/>
    <w:rsid w:val="30F45B00"/>
    <w:rsid w:val="31025457"/>
    <w:rsid w:val="31221FD7"/>
    <w:rsid w:val="31371D57"/>
    <w:rsid w:val="31404F12"/>
    <w:rsid w:val="314B3599"/>
    <w:rsid w:val="315011C5"/>
    <w:rsid w:val="3160019A"/>
    <w:rsid w:val="31927345"/>
    <w:rsid w:val="31B04F01"/>
    <w:rsid w:val="31D418E1"/>
    <w:rsid w:val="31E461A6"/>
    <w:rsid w:val="31FC68F7"/>
    <w:rsid w:val="32045388"/>
    <w:rsid w:val="321A6AC4"/>
    <w:rsid w:val="3231326E"/>
    <w:rsid w:val="323E0EFD"/>
    <w:rsid w:val="32851814"/>
    <w:rsid w:val="32C97755"/>
    <w:rsid w:val="32DD7B88"/>
    <w:rsid w:val="333D107F"/>
    <w:rsid w:val="33630C19"/>
    <w:rsid w:val="33706FCB"/>
    <w:rsid w:val="339B68B0"/>
    <w:rsid w:val="33AD6D29"/>
    <w:rsid w:val="33DC08A0"/>
    <w:rsid w:val="33F3432C"/>
    <w:rsid w:val="34274426"/>
    <w:rsid w:val="342C5181"/>
    <w:rsid w:val="348430A5"/>
    <w:rsid w:val="34A80006"/>
    <w:rsid w:val="34A91841"/>
    <w:rsid w:val="350F624C"/>
    <w:rsid w:val="351F6355"/>
    <w:rsid w:val="352424B3"/>
    <w:rsid w:val="355C4D81"/>
    <w:rsid w:val="355F0C53"/>
    <w:rsid w:val="357F0CEF"/>
    <w:rsid w:val="35975193"/>
    <w:rsid w:val="35A269CD"/>
    <w:rsid w:val="35B52F1A"/>
    <w:rsid w:val="35D34278"/>
    <w:rsid w:val="35D43C78"/>
    <w:rsid w:val="35E40635"/>
    <w:rsid w:val="361C6F45"/>
    <w:rsid w:val="362460E8"/>
    <w:rsid w:val="363226F2"/>
    <w:rsid w:val="363C0CE0"/>
    <w:rsid w:val="36590E74"/>
    <w:rsid w:val="366D1EA7"/>
    <w:rsid w:val="369741DB"/>
    <w:rsid w:val="369D59B9"/>
    <w:rsid w:val="36C94918"/>
    <w:rsid w:val="36EE41BF"/>
    <w:rsid w:val="372D1FB4"/>
    <w:rsid w:val="37377A36"/>
    <w:rsid w:val="37451195"/>
    <w:rsid w:val="37617265"/>
    <w:rsid w:val="376A2E25"/>
    <w:rsid w:val="37C70C29"/>
    <w:rsid w:val="37E76F39"/>
    <w:rsid w:val="38040E8F"/>
    <w:rsid w:val="38092458"/>
    <w:rsid w:val="383330AB"/>
    <w:rsid w:val="388C36DF"/>
    <w:rsid w:val="38A2012C"/>
    <w:rsid w:val="38B82BA8"/>
    <w:rsid w:val="38CD6970"/>
    <w:rsid w:val="38F958DF"/>
    <w:rsid w:val="39132B6E"/>
    <w:rsid w:val="39644AAC"/>
    <w:rsid w:val="39734374"/>
    <w:rsid w:val="39805DDA"/>
    <w:rsid w:val="39A14B16"/>
    <w:rsid w:val="3A073FA1"/>
    <w:rsid w:val="3A07781C"/>
    <w:rsid w:val="3A470BF5"/>
    <w:rsid w:val="3A650541"/>
    <w:rsid w:val="3A8131C5"/>
    <w:rsid w:val="3A873A4D"/>
    <w:rsid w:val="3A8E52EF"/>
    <w:rsid w:val="3A9C705E"/>
    <w:rsid w:val="3AAB59D9"/>
    <w:rsid w:val="3AB53A3B"/>
    <w:rsid w:val="3AD018F7"/>
    <w:rsid w:val="3AE95AF4"/>
    <w:rsid w:val="3B002A8E"/>
    <w:rsid w:val="3B241964"/>
    <w:rsid w:val="3B270FFA"/>
    <w:rsid w:val="3B36000F"/>
    <w:rsid w:val="3B420D6B"/>
    <w:rsid w:val="3B4234E4"/>
    <w:rsid w:val="3B4E4503"/>
    <w:rsid w:val="3B613DC0"/>
    <w:rsid w:val="3B6F6B0C"/>
    <w:rsid w:val="3B7B35C7"/>
    <w:rsid w:val="3BA85192"/>
    <w:rsid w:val="3BBA3C89"/>
    <w:rsid w:val="3BBA79EC"/>
    <w:rsid w:val="3BCF2ACB"/>
    <w:rsid w:val="3BD03A2F"/>
    <w:rsid w:val="3C130E56"/>
    <w:rsid w:val="3C67092A"/>
    <w:rsid w:val="3CA259E8"/>
    <w:rsid w:val="3CC356A5"/>
    <w:rsid w:val="3CFF2C79"/>
    <w:rsid w:val="3CFF76EE"/>
    <w:rsid w:val="3D1300D3"/>
    <w:rsid w:val="3D1E07B9"/>
    <w:rsid w:val="3D1E1E25"/>
    <w:rsid w:val="3D556F78"/>
    <w:rsid w:val="3D774E98"/>
    <w:rsid w:val="3DE2644A"/>
    <w:rsid w:val="3DE6075E"/>
    <w:rsid w:val="3E0A092E"/>
    <w:rsid w:val="3E3E6503"/>
    <w:rsid w:val="3E5F5D92"/>
    <w:rsid w:val="3E822B6E"/>
    <w:rsid w:val="3E8777FA"/>
    <w:rsid w:val="3E9772D9"/>
    <w:rsid w:val="3EA15B00"/>
    <w:rsid w:val="3EAA6C0A"/>
    <w:rsid w:val="3F2872CB"/>
    <w:rsid w:val="3F2C14A7"/>
    <w:rsid w:val="3F2F7EAE"/>
    <w:rsid w:val="3F4D5BC9"/>
    <w:rsid w:val="3F7C1A00"/>
    <w:rsid w:val="3F9009BA"/>
    <w:rsid w:val="3F95790A"/>
    <w:rsid w:val="3F9D6FD2"/>
    <w:rsid w:val="3FC85B57"/>
    <w:rsid w:val="3FDB2DA0"/>
    <w:rsid w:val="3FEA0FD4"/>
    <w:rsid w:val="3FEB5EFC"/>
    <w:rsid w:val="3FFB2426"/>
    <w:rsid w:val="40167FAA"/>
    <w:rsid w:val="40330FBB"/>
    <w:rsid w:val="404F4100"/>
    <w:rsid w:val="406354F8"/>
    <w:rsid w:val="4063750E"/>
    <w:rsid w:val="408175D7"/>
    <w:rsid w:val="409B25A4"/>
    <w:rsid w:val="40B91F53"/>
    <w:rsid w:val="40BD73E0"/>
    <w:rsid w:val="40C87A36"/>
    <w:rsid w:val="40D36A85"/>
    <w:rsid w:val="40D433B5"/>
    <w:rsid w:val="40D755AD"/>
    <w:rsid w:val="41177CAD"/>
    <w:rsid w:val="412B4C01"/>
    <w:rsid w:val="41694ED5"/>
    <w:rsid w:val="41810E66"/>
    <w:rsid w:val="41A44842"/>
    <w:rsid w:val="41AE5006"/>
    <w:rsid w:val="41FC37E8"/>
    <w:rsid w:val="42047392"/>
    <w:rsid w:val="4206455E"/>
    <w:rsid w:val="42245C01"/>
    <w:rsid w:val="422B3884"/>
    <w:rsid w:val="423820CD"/>
    <w:rsid w:val="42452EA0"/>
    <w:rsid w:val="4248648F"/>
    <w:rsid w:val="424F4325"/>
    <w:rsid w:val="42556E86"/>
    <w:rsid w:val="4293173D"/>
    <w:rsid w:val="42A004C0"/>
    <w:rsid w:val="42B4195B"/>
    <w:rsid w:val="42EE661C"/>
    <w:rsid w:val="42F80340"/>
    <w:rsid w:val="430744AF"/>
    <w:rsid w:val="432207B8"/>
    <w:rsid w:val="43415C4F"/>
    <w:rsid w:val="43460BE6"/>
    <w:rsid w:val="436323E8"/>
    <w:rsid w:val="43AE5E8C"/>
    <w:rsid w:val="43C01C69"/>
    <w:rsid w:val="43E7756F"/>
    <w:rsid w:val="43EA2F08"/>
    <w:rsid w:val="44354F3D"/>
    <w:rsid w:val="44485BEE"/>
    <w:rsid w:val="4458272D"/>
    <w:rsid w:val="4462615A"/>
    <w:rsid w:val="44DF7128"/>
    <w:rsid w:val="45084B3E"/>
    <w:rsid w:val="4576120F"/>
    <w:rsid w:val="45AA1460"/>
    <w:rsid w:val="45D509AC"/>
    <w:rsid w:val="45F84C79"/>
    <w:rsid w:val="461A6EB3"/>
    <w:rsid w:val="461D3A30"/>
    <w:rsid w:val="462828C8"/>
    <w:rsid w:val="462E52F8"/>
    <w:rsid w:val="46437798"/>
    <w:rsid w:val="464D1056"/>
    <w:rsid w:val="46653FA3"/>
    <w:rsid w:val="467605E0"/>
    <w:rsid w:val="468F2919"/>
    <w:rsid w:val="46C23866"/>
    <w:rsid w:val="46E1400E"/>
    <w:rsid w:val="46E52877"/>
    <w:rsid w:val="46EF6CFB"/>
    <w:rsid w:val="47053E16"/>
    <w:rsid w:val="47301ADA"/>
    <w:rsid w:val="473B1F56"/>
    <w:rsid w:val="474A14F7"/>
    <w:rsid w:val="475A7E0E"/>
    <w:rsid w:val="478B3BE4"/>
    <w:rsid w:val="47F80340"/>
    <w:rsid w:val="48570F03"/>
    <w:rsid w:val="485976B9"/>
    <w:rsid w:val="485D60EA"/>
    <w:rsid w:val="48823DF3"/>
    <w:rsid w:val="4890657F"/>
    <w:rsid w:val="48B35097"/>
    <w:rsid w:val="48C55D82"/>
    <w:rsid w:val="48E344C7"/>
    <w:rsid w:val="491C0A6D"/>
    <w:rsid w:val="49531889"/>
    <w:rsid w:val="4957018E"/>
    <w:rsid w:val="497517B4"/>
    <w:rsid w:val="4985713C"/>
    <w:rsid w:val="49A117E9"/>
    <w:rsid w:val="49D3442F"/>
    <w:rsid w:val="49D8769F"/>
    <w:rsid w:val="4A056F9E"/>
    <w:rsid w:val="4A117EFD"/>
    <w:rsid w:val="4A4E215B"/>
    <w:rsid w:val="4A6D3640"/>
    <w:rsid w:val="4A744037"/>
    <w:rsid w:val="4AB7258D"/>
    <w:rsid w:val="4ADB0050"/>
    <w:rsid w:val="4AF34DA9"/>
    <w:rsid w:val="4B484AAE"/>
    <w:rsid w:val="4B4D5859"/>
    <w:rsid w:val="4B6A34C1"/>
    <w:rsid w:val="4B860FD2"/>
    <w:rsid w:val="4C001CD5"/>
    <w:rsid w:val="4C26485D"/>
    <w:rsid w:val="4C5653C9"/>
    <w:rsid w:val="4CA66281"/>
    <w:rsid w:val="4D340A5D"/>
    <w:rsid w:val="4D382D70"/>
    <w:rsid w:val="4D4169AD"/>
    <w:rsid w:val="4D456B33"/>
    <w:rsid w:val="4D66719A"/>
    <w:rsid w:val="4D7C1D3D"/>
    <w:rsid w:val="4D891C82"/>
    <w:rsid w:val="4DDC3547"/>
    <w:rsid w:val="4DE74AB4"/>
    <w:rsid w:val="4DEF15BC"/>
    <w:rsid w:val="4DF009D1"/>
    <w:rsid w:val="4DF35B5D"/>
    <w:rsid w:val="4E1A02B4"/>
    <w:rsid w:val="4E2F4DF2"/>
    <w:rsid w:val="4E3560BE"/>
    <w:rsid w:val="4E7253CA"/>
    <w:rsid w:val="4E967BF7"/>
    <w:rsid w:val="4E9767BF"/>
    <w:rsid w:val="4E9E565D"/>
    <w:rsid w:val="4EB070E4"/>
    <w:rsid w:val="4EE45FA8"/>
    <w:rsid w:val="4F053A10"/>
    <w:rsid w:val="4F2D0A7A"/>
    <w:rsid w:val="4F5464A1"/>
    <w:rsid w:val="4F6473B7"/>
    <w:rsid w:val="4F711FE1"/>
    <w:rsid w:val="4F9F7C2D"/>
    <w:rsid w:val="4FA6489D"/>
    <w:rsid w:val="500C588D"/>
    <w:rsid w:val="505F0B1D"/>
    <w:rsid w:val="50686B9F"/>
    <w:rsid w:val="50695923"/>
    <w:rsid w:val="50755175"/>
    <w:rsid w:val="50A5256D"/>
    <w:rsid w:val="50B94A01"/>
    <w:rsid w:val="50E23067"/>
    <w:rsid w:val="50EC3EF4"/>
    <w:rsid w:val="50FF3F2B"/>
    <w:rsid w:val="510C5DD3"/>
    <w:rsid w:val="5110152A"/>
    <w:rsid w:val="514A778C"/>
    <w:rsid w:val="514B24F3"/>
    <w:rsid w:val="51572AB4"/>
    <w:rsid w:val="5161780A"/>
    <w:rsid w:val="517530EA"/>
    <w:rsid w:val="51774FC0"/>
    <w:rsid w:val="517C2B16"/>
    <w:rsid w:val="51832F4F"/>
    <w:rsid w:val="5194314F"/>
    <w:rsid w:val="51996815"/>
    <w:rsid w:val="51C12B8F"/>
    <w:rsid w:val="51D70655"/>
    <w:rsid w:val="51E9387B"/>
    <w:rsid w:val="51FC4F06"/>
    <w:rsid w:val="520A134B"/>
    <w:rsid w:val="521179BA"/>
    <w:rsid w:val="52294531"/>
    <w:rsid w:val="52534D89"/>
    <w:rsid w:val="528C44F7"/>
    <w:rsid w:val="52A7586B"/>
    <w:rsid w:val="52DE002F"/>
    <w:rsid w:val="532778BF"/>
    <w:rsid w:val="53607171"/>
    <w:rsid w:val="53665358"/>
    <w:rsid w:val="536C5D9D"/>
    <w:rsid w:val="539B4644"/>
    <w:rsid w:val="53AA0115"/>
    <w:rsid w:val="53B97F88"/>
    <w:rsid w:val="53BE2A46"/>
    <w:rsid w:val="54304395"/>
    <w:rsid w:val="54343823"/>
    <w:rsid w:val="545F4991"/>
    <w:rsid w:val="548C4052"/>
    <w:rsid w:val="54927156"/>
    <w:rsid w:val="54AF0784"/>
    <w:rsid w:val="54C32689"/>
    <w:rsid w:val="54CE6F93"/>
    <w:rsid w:val="54D968C3"/>
    <w:rsid w:val="55220C45"/>
    <w:rsid w:val="554E2520"/>
    <w:rsid w:val="556410DC"/>
    <w:rsid w:val="55A93CAC"/>
    <w:rsid w:val="55C13DCF"/>
    <w:rsid w:val="55D51005"/>
    <w:rsid w:val="55D920AE"/>
    <w:rsid w:val="563E15C0"/>
    <w:rsid w:val="564F16DA"/>
    <w:rsid w:val="56840A85"/>
    <w:rsid w:val="56E4283B"/>
    <w:rsid w:val="56ED469B"/>
    <w:rsid w:val="56F50E3C"/>
    <w:rsid w:val="56FF7CF7"/>
    <w:rsid w:val="57293EF3"/>
    <w:rsid w:val="574874D1"/>
    <w:rsid w:val="576203B1"/>
    <w:rsid w:val="576D099E"/>
    <w:rsid w:val="57743D36"/>
    <w:rsid w:val="579E1B5F"/>
    <w:rsid w:val="57DE3686"/>
    <w:rsid w:val="57F02A9D"/>
    <w:rsid w:val="584A4995"/>
    <w:rsid w:val="5852108A"/>
    <w:rsid w:val="585E04B4"/>
    <w:rsid w:val="586D7CCD"/>
    <w:rsid w:val="586F7714"/>
    <w:rsid w:val="58906BD6"/>
    <w:rsid w:val="589C61FB"/>
    <w:rsid w:val="58B612DB"/>
    <w:rsid w:val="58BD35AC"/>
    <w:rsid w:val="58BE0F5E"/>
    <w:rsid w:val="58E126FC"/>
    <w:rsid w:val="58F6796A"/>
    <w:rsid w:val="590F4537"/>
    <w:rsid w:val="591447BA"/>
    <w:rsid w:val="593A4C28"/>
    <w:rsid w:val="593B0B4D"/>
    <w:rsid w:val="594671DD"/>
    <w:rsid w:val="59483A16"/>
    <w:rsid w:val="59506B59"/>
    <w:rsid w:val="59722724"/>
    <w:rsid w:val="597352CB"/>
    <w:rsid w:val="5973597F"/>
    <w:rsid w:val="59923AA3"/>
    <w:rsid w:val="59A31EB4"/>
    <w:rsid w:val="59F5007D"/>
    <w:rsid w:val="5A1A1941"/>
    <w:rsid w:val="5A235512"/>
    <w:rsid w:val="5A2D5893"/>
    <w:rsid w:val="5AAA5DE5"/>
    <w:rsid w:val="5AAA6B92"/>
    <w:rsid w:val="5AF00E42"/>
    <w:rsid w:val="5B016014"/>
    <w:rsid w:val="5B275CBE"/>
    <w:rsid w:val="5B862D7F"/>
    <w:rsid w:val="5B9300E5"/>
    <w:rsid w:val="5B9A18DD"/>
    <w:rsid w:val="5BBD0985"/>
    <w:rsid w:val="5BC7267C"/>
    <w:rsid w:val="5BCD7C27"/>
    <w:rsid w:val="5BDC6D82"/>
    <w:rsid w:val="5BE60EA3"/>
    <w:rsid w:val="5C6D3180"/>
    <w:rsid w:val="5C910F26"/>
    <w:rsid w:val="5CAD1436"/>
    <w:rsid w:val="5CF64548"/>
    <w:rsid w:val="5D82142D"/>
    <w:rsid w:val="5E1E2696"/>
    <w:rsid w:val="5E3E33F2"/>
    <w:rsid w:val="5E774D54"/>
    <w:rsid w:val="5E811C54"/>
    <w:rsid w:val="5E9328C9"/>
    <w:rsid w:val="5ECB66D7"/>
    <w:rsid w:val="5ED30389"/>
    <w:rsid w:val="5F59255F"/>
    <w:rsid w:val="5F701A07"/>
    <w:rsid w:val="5F7D3EAF"/>
    <w:rsid w:val="5F983F53"/>
    <w:rsid w:val="5FB03B93"/>
    <w:rsid w:val="5FB37B5F"/>
    <w:rsid w:val="60514222"/>
    <w:rsid w:val="60532D94"/>
    <w:rsid w:val="605B310A"/>
    <w:rsid w:val="60B341F2"/>
    <w:rsid w:val="60BD3A4A"/>
    <w:rsid w:val="60D979C5"/>
    <w:rsid w:val="60EE116D"/>
    <w:rsid w:val="6117700E"/>
    <w:rsid w:val="61325623"/>
    <w:rsid w:val="6153300D"/>
    <w:rsid w:val="61806A44"/>
    <w:rsid w:val="61B720EA"/>
    <w:rsid w:val="61D764C3"/>
    <w:rsid w:val="61E76DA9"/>
    <w:rsid w:val="621F5CA5"/>
    <w:rsid w:val="625D0819"/>
    <w:rsid w:val="62A57508"/>
    <w:rsid w:val="63543244"/>
    <w:rsid w:val="6364626A"/>
    <w:rsid w:val="63FB2287"/>
    <w:rsid w:val="64056E67"/>
    <w:rsid w:val="642E5EA8"/>
    <w:rsid w:val="642F4540"/>
    <w:rsid w:val="6450746D"/>
    <w:rsid w:val="64BF414B"/>
    <w:rsid w:val="64F631CF"/>
    <w:rsid w:val="65254B4A"/>
    <w:rsid w:val="654B59A3"/>
    <w:rsid w:val="657E0180"/>
    <w:rsid w:val="65A1351E"/>
    <w:rsid w:val="65A7297E"/>
    <w:rsid w:val="65BD28DA"/>
    <w:rsid w:val="660A59DF"/>
    <w:rsid w:val="662B7C68"/>
    <w:rsid w:val="662D7E52"/>
    <w:rsid w:val="66375DC8"/>
    <w:rsid w:val="66525166"/>
    <w:rsid w:val="666E1EA4"/>
    <w:rsid w:val="668D5C01"/>
    <w:rsid w:val="668D5FF5"/>
    <w:rsid w:val="6690440C"/>
    <w:rsid w:val="66A13B60"/>
    <w:rsid w:val="66D567ED"/>
    <w:rsid w:val="66F528EC"/>
    <w:rsid w:val="66FA3A90"/>
    <w:rsid w:val="6714424B"/>
    <w:rsid w:val="67215981"/>
    <w:rsid w:val="672569C4"/>
    <w:rsid w:val="677536AB"/>
    <w:rsid w:val="679E03E2"/>
    <w:rsid w:val="679F4104"/>
    <w:rsid w:val="67A369A6"/>
    <w:rsid w:val="67D0748E"/>
    <w:rsid w:val="67E76A41"/>
    <w:rsid w:val="68074A7C"/>
    <w:rsid w:val="6846287D"/>
    <w:rsid w:val="684A3667"/>
    <w:rsid w:val="688226BA"/>
    <w:rsid w:val="689506EE"/>
    <w:rsid w:val="68A4504E"/>
    <w:rsid w:val="68AB7764"/>
    <w:rsid w:val="68AE191B"/>
    <w:rsid w:val="68D7350F"/>
    <w:rsid w:val="68DC3235"/>
    <w:rsid w:val="6906030D"/>
    <w:rsid w:val="69362E4B"/>
    <w:rsid w:val="693A106E"/>
    <w:rsid w:val="69A64D6F"/>
    <w:rsid w:val="69D66945"/>
    <w:rsid w:val="69E15B16"/>
    <w:rsid w:val="69EB3423"/>
    <w:rsid w:val="69F2762E"/>
    <w:rsid w:val="6A227570"/>
    <w:rsid w:val="6A2E1B3A"/>
    <w:rsid w:val="6A38352F"/>
    <w:rsid w:val="6A4D657B"/>
    <w:rsid w:val="6A6E7DC4"/>
    <w:rsid w:val="6A814883"/>
    <w:rsid w:val="6AB443BA"/>
    <w:rsid w:val="6AB80B73"/>
    <w:rsid w:val="6AC81E3E"/>
    <w:rsid w:val="6B144C33"/>
    <w:rsid w:val="6B281239"/>
    <w:rsid w:val="6B91724F"/>
    <w:rsid w:val="6BB165E8"/>
    <w:rsid w:val="6BBC2184"/>
    <w:rsid w:val="6BC252A8"/>
    <w:rsid w:val="6C210F05"/>
    <w:rsid w:val="6C356A40"/>
    <w:rsid w:val="6C48672F"/>
    <w:rsid w:val="6C566DD7"/>
    <w:rsid w:val="6C625A49"/>
    <w:rsid w:val="6C9A6C41"/>
    <w:rsid w:val="6CA4382C"/>
    <w:rsid w:val="6CDD04B6"/>
    <w:rsid w:val="6CFD2AD0"/>
    <w:rsid w:val="6D030798"/>
    <w:rsid w:val="6D1330B6"/>
    <w:rsid w:val="6D69799C"/>
    <w:rsid w:val="6D6D714F"/>
    <w:rsid w:val="6D7910FD"/>
    <w:rsid w:val="6D940831"/>
    <w:rsid w:val="6DA87157"/>
    <w:rsid w:val="6DAB04C5"/>
    <w:rsid w:val="6DB674FB"/>
    <w:rsid w:val="6DB95B98"/>
    <w:rsid w:val="6DCD1AF6"/>
    <w:rsid w:val="6DE33432"/>
    <w:rsid w:val="6E2772A8"/>
    <w:rsid w:val="6E36696E"/>
    <w:rsid w:val="6E3C6454"/>
    <w:rsid w:val="6E5E3F16"/>
    <w:rsid w:val="6E7264D7"/>
    <w:rsid w:val="6E7E5CF9"/>
    <w:rsid w:val="6E817F48"/>
    <w:rsid w:val="6E860CD1"/>
    <w:rsid w:val="6E915318"/>
    <w:rsid w:val="6EC51173"/>
    <w:rsid w:val="6ECB0AF4"/>
    <w:rsid w:val="6EE77408"/>
    <w:rsid w:val="6EEF1A2B"/>
    <w:rsid w:val="6EEF1D52"/>
    <w:rsid w:val="6F20088F"/>
    <w:rsid w:val="6F2B61FD"/>
    <w:rsid w:val="6F4E0886"/>
    <w:rsid w:val="6F653F97"/>
    <w:rsid w:val="6F8C331D"/>
    <w:rsid w:val="6F91214C"/>
    <w:rsid w:val="6F94095F"/>
    <w:rsid w:val="6F9529AB"/>
    <w:rsid w:val="6FBB6548"/>
    <w:rsid w:val="701D0C93"/>
    <w:rsid w:val="701D7BFA"/>
    <w:rsid w:val="704104C9"/>
    <w:rsid w:val="7090247E"/>
    <w:rsid w:val="709E0190"/>
    <w:rsid w:val="70BD0C62"/>
    <w:rsid w:val="70C96D6C"/>
    <w:rsid w:val="70CA0624"/>
    <w:rsid w:val="70E57060"/>
    <w:rsid w:val="70FC5BD1"/>
    <w:rsid w:val="711B3CE4"/>
    <w:rsid w:val="71C4118E"/>
    <w:rsid w:val="722D5509"/>
    <w:rsid w:val="72527F71"/>
    <w:rsid w:val="72671DE5"/>
    <w:rsid w:val="728D7128"/>
    <w:rsid w:val="729678CB"/>
    <w:rsid w:val="72B459D6"/>
    <w:rsid w:val="72B5763B"/>
    <w:rsid w:val="72D95F69"/>
    <w:rsid w:val="731D2612"/>
    <w:rsid w:val="73275F4A"/>
    <w:rsid w:val="738B0A9C"/>
    <w:rsid w:val="73921942"/>
    <w:rsid w:val="73950D76"/>
    <w:rsid w:val="739C2D95"/>
    <w:rsid w:val="73C441F7"/>
    <w:rsid w:val="73D225E0"/>
    <w:rsid w:val="73D868FC"/>
    <w:rsid w:val="73E87F1D"/>
    <w:rsid w:val="740D1DA8"/>
    <w:rsid w:val="74103A69"/>
    <w:rsid w:val="742879CD"/>
    <w:rsid w:val="74451E13"/>
    <w:rsid w:val="744B6323"/>
    <w:rsid w:val="746B5F16"/>
    <w:rsid w:val="746C4C28"/>
    <w:rsid w:val="746F772F"/>
    <w:rsid w:val="748567C4"/>
    <w:rsid w:val="749413FE"/>
    <w:rsid w:val="74C45CE5"/>
    <w:rsid w:val="74DE2824"/>
    <w:rsid w:val="750066AF"/>
    <w:rsid w:val="751F24AC"/>
    <w:rsid w:val="753E1025"/>
    <w:rsid w:val="755F5C34"/>
    <w:rsid w:val="75AF12FD"/>
    <w:rsid w:val="75B64008"/>
    <w:rsid w:val="75BF1AED"/>
    <w:rsid w:val="75FA2FF4"/>
    <w:rsid w:val="766F7765"/>
    <w:rsid w:val="76830C64"/>
    <w:rsid w:val="768A2A51"/>
    <w:rsid w:val="76AE132A"/>
    <w:rsid w:val="76BC0E3C"/>
    <w:rsid w:val="76C16453"/>
    <w:rsid w:val="76E4743C"/>
    <w:rsid w:val="76EB54E3"/>
    <w:rsid w:val="76F0408C"/>
    <w:rsid w:val="770533B3"/>
    <w:rsid w:val="771242B9"/>
    <w:rsid w:val="77294CC7"/>
    <w:rsid w:val="77B80C6E"/>
    <w:rsid w:val="77C30776"/>
    <w:rsid w:val="77EE330C"/>
    <w:rsid w:val="7823775E"/>
    <w:rsid w:val="78D72C61"/>
    <w:rsid w:val="78EC10BA"/>
    <w:rsid w:val="791E434A"/>
    <w:rsid w:val="797053C2"/>
    <w:rsid w:val="79EB0C0F"/>
    <w:rsid w:val="79F36554"/>
    <w:rsid w:val="7A2A676E"/>
    <w:rsid w:val="7A2F0238"/>
    <w:rsid w:val="7A99323A"/>
    <w:rsid w:val="7AAA37D2"/>
    <w:rsid w:val="7AB83574"/>
    <w:rsid w:val="7B190939"/>
    <w:rsid w:val="7B1B363E"/>
    <w:rsid w:val="7B410ED2"/>
    <w:rsid w:val="7B42736E"/>
    <w:rsid w:val="7B5735E1"/>
    <w:rsid w:val="7B9F299F"/>
    <w:rsid w:val="7BB124CC"/>
    <w:rsid w:val="7BB15B23"/>
    <w:rsid w:val="7BCC2ADD"/>
    <w:rsid w:val="7BF06FC0"/>
    <w:rsid w:val="7C1951D4"/>
    <w:rsid w:val="7C926956"/>
    <w:rsid w:val="7CD931FF"/>
    <w:rsid w:val="7CF91457"/>
    <w:rsid w:val="7D245E9D"/>
    <w:rsid w:val="7D307C67"/>
    <w:rsid w:val="7D346F0E"/>
    <w:rsid w:val="7D6D25F2"/>
    <w:rsid w:val="7D6E27A6"/>
    <w:rsid w:val="7D806799"/>
    <w:rsid w:val="7D861AAD"/>
    <w:rsid w:val="7D914A59"/>
    <w:rsid w:val="7D984D36"/>
    <w:rsid w:val="7DE76069"/>
    <w:rsid w:val="7E044653"/>
    <w:rsid w:val="7E121028"/>
    <w:rsid w:val="7E161774"/>
    <w:rsid w:val="7E3274B9"/>
    <w:rsid w:val="7E3B2340"/>
    <w:rsid w:val="7E3F6BF8"/>
    <w:rsid w:val="7E5A1805"/>
    <w:rsid w:val="7E5F74BF"/>
    <w:rsid w:val="7E9C2437"/>
    <w:rsid w:val="7EB65284"/>
    <w:rsid w:val="7F116518"/>
    <w:rsid w:val="7F4F03CE"/>
    <w:rsid w:val="7F547B98"/>
    <w:rsid w:val="7F5C5BEB"/>
    <w:rsid w:val="7F6B107D"/>
    <w:rsid w:val="7FAF0E8C"/>
    <w:rsid w:val="7FB9241A"/>
    <w:rsid w:val="7FCC2EAA"/>
    <w:rsid w:val="7FCD380E"/>
    <w:rsid w:val="7FDA4B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paragraph" w:styleId="3">
    <w:name w:val="heading 1"/>
    <w:basedOn w:val="1"/>
    <w:next w:val="1"/>
    <w:uiPriority w:val="0"/>
    <w:pPr>
      <w:keepNext/>
      <w:keepLines/>
      <w:spacing w:before="340" w:after="330" w:line="578" w:lineRule="auto"/>
      <w:outlineLvl w:val="0"/>
    </w:pPr>
    <w:rPr>
      <w:b/>
      <w:bCs/>
      <w:kern w:val="44"/>
      <w:sz w:val="44"/>
      <w:szCs w:val="44"/>
    </w:rPr>
  </w:style>
  <w:style w:type="paragraph" w:styleId="4">
    <w:name w:val="heading 2"/>
    <w:basedOn w:val="1"/>
    <w:next w:val="1"/>
    <w:link w:val="35"/>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spacing w:line="360" w:lineRule="auto"/>
      <w:ind w:firstLine="482" w:firstLineChars="200"/>
      <w:outlineLvl w:val="2"/>
    </w:pPr>
    <w:rPr>
      <w:rFonts w:ascii="宋体" w:hAnsi="宋体" w:cs="宋体"/>
      <w:b/>
      <w:sz w:val="24"/>
      <w:szCs w:val="24"/>
      <w:lang w:val="zh-CN"/>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qFormat/>
    <w:uiPriority w:val="0"/>
    <w:pPr>
      <w:keepNext/>
      <w:keepLines/>
      <w:spacing w:before="240" w:after="64" w:line="320" w:lineRule="auto"/>
      <w:outlineLvl w:val="6"/>
    </w:pPr>
    <w:rPr>
      <w:b/>
      <w:bCs/>
      <w:sz w:val="24"/>
      <w:szCs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szCs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9">
    <w:name w:val="Default Paragraph Font"/>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customStyle="1" w:styleId="2">
    <w:name w:val="TOC 标题1"/>
    <w:basedOn w:val="3"/>
    <w:next w:val="1"/>
    <w:qFormat/>
    <w:uiPriority w:val="99"/>
    <w:pPr>
      <w:widowControl/>
      <w:spacing w:line="259" w:lineRule="auto"/>
      <w:jc w:val="left"/>
      <w:outlineLvl w:val="9"/>
    </w:pPr>
    <w:rPr>
      <w:rFonts w:ascii="Calibri Light" w:hAnsi="Calibri Light"/>
      <w:color w:val="2E74B5"/>
      <w:kern w:val="0"/>
    </w:rPr>
  </w:style>
  <w:style w:type="paragraph" w:styleId="12">
    <w:name w:val="Normal Indent"/>
    <w:basedOn w:val="1"/>
    <w:qFormat/>
    <w:uiPriority w:val="0"/>
    <w:pPr>
      <w:spacing w:after="120" w:line="360" w:lineRule="auto"/>
      <w:ind w:firstLine="420"/>
    </w:pPr>
    <w:rPr>
      <w:sz w:val="24"/>
    </w:rPr>
  </w:style>
  <w:style w:type="paragraph" w:styleId="13">
    <w:name w:val="caption"/>
    <w:basedOn w:val="1"/>
    <w:next w:val="1"/>
    <w:semiHidden/>
    <w:qFormat/>
    <w:uiPriority w:val="0"/>
    <w:rPr>
      <w:rFonts w:ascii="Cambria" w:hAnsi="Cambria" w:eastAsia="黑体"/>
      <w:sz w:val="20"/>
      <w:szCs w:val="22"/>
    </w:rPr>
  </w:style>
  <w:style w:type="paragraph" w:styleId="14">
    <w:name w:val="Body Text"/>
    <w:basedOn w:val="1"/>
    <w:next w:val="1"/>
    <w:qFormat/>
    <w:uiPriority w:val="0"/>
    <w:pPr>
      <w:spacing w:after="120"/>
    </w:pPr>
  </w:style>
  <w:style w:type="paragraph" w:styleId="15">
    <w:name w:val="Body Text Indent"/>
    <w:basedOn w:val="1"/>
    <w:qFormat/>
    <w:uiPriority w:val="0"/>
    <w:pPr>
      <w:spacing w:after="120"/>
      <w:ind w:left="420" w:leftChars="200"/>
    </w:pPr>
  </w:style>
  <w:style w:type="paragraph" w:styleId="16">
    <w:name w:val="toc 3"/>
    <w:basedOn w:val="1"/>
    <w:next w:val="1"/>
    <w:semiHidden/>
    <w:qFormat/>
    <w:uiPriority w:val="0"/>
    <w:pPr>
      <w:ind w:left="840" w:leftChars="400"/>
    </w:pPr>
    <w:rPr>
      <w:szCs w:val="24"/>
    </w:rPr>
  </w:style>
  <w:style w:type="paragraph" w:styleId="17">
    <w:name w:val="Plain Text"/>
    <w:basedOn w:val="1"/>
    <w:link w:val="36"/>
    <w:qFormat/>
    <w:uiPriority w:val="0"/>
    <w:pPr>
      <w:adjustRightInd w:val="0"/>
      <w:spacing w:line="335" w:lineRule="atLeast"/>
      <w:textAlignment w:val="baseline"/>
    </w:pPr>
    <w:rPr>
      <w:rFonts w:ascii="宋体" w:hAnsi="Courier New" w:eastAsia="Times New Roman"/>
      <w:szCs w:val="21"/>
    </w:rPr>
  </w:style>
  <w:style w:type="paragraph" w:styleId="18">
    <w:name w:val="Date"/>
    <w:basedOn w:val="1"/>
    <w:next w:val="1"/>
    <w:qFormat/>
    <w:uiPriority w:val="0"/>
    <w:pPr>
      <w:ind w:left="100" w:leftChars="2500"/>
    </w:pPr>
    <w:rPr>
      <w:sz w:val="28"/>
      <w:szCs w:val="24"/>
    </w:rPr>
  </w:style>
  <w:style w:type="paragraph" w:styleId="19">
    <w:name w:val="Body Text Indent 2"/>
    <w:basedOn w:val="1"/>
    <w:qFormat/>
    <w:uiPriority w:val="0"/>
    <w:pPr>
      <w:spacing w:line="460" w:lineRule="exact"/>
      <w:ind w:firstLine="570"/>
    </w:pPr>
    <w:rPr>
      <w:sz w:val="28"/>
    </w:rPr>
  </w:style>
  <w:style w:type="paragraph" w:styleId="20">
    <w:name w:val="Balloon Text"/>
    <w:basedOn w:val="1"/>
    <w:semiHidden/>
    <w:qFormat/>
    <w:uiPriority w:val="0"/>
    <w:rPr>
      <w:sz w:val="18"/>
      <w:szCs w:val="18"/>
    </w:rPr>
  </w:style>
  <w:style w:type="paragraph" w:styleId="21">
    <w:name w:val="footer"/>
    <w:basedOn w:val="1"/>
    <w:link w:val="37"/>
    <w:qFormat/>
    <w:uiPriority w:val="0"/>
    <w:pPr>
      <w:tabs>
        <w:tab w:val="center" w:pos="4153"/>
        <w:tab w:val="right" w:pos="8306"/>
      </w:tabs>
      <w:snapToGrid w:val="0"/>
      <w:jc w:val="left"/>
    </w:pPr>
    <w:rPr>
      <w:sz w:val="18"/>
    </w:rPr>
  </w:style>
  <w:style w:type="paragraph" w:styleId="22">
    <w:name w:val="header"/>
    <w:basedOn w:val="1"/>
    <w:link w:val="38"/>
    <w:qFormat/>
    <w:uiPriority w:val="0"/>
    <w:pPr>
      <w:tabs>
        <w:tab w:val="center" w:pos="4153"/>
        <w:tab w:val="right" w:pos="8306"/>
      </w:tabs>
      <w:snapToGrid w:val="0"/>
      <w:jc w:val="center"/>
    </w:pPr>
    <w:rPr>
      <w:sz w:val="18"/>
      <w:szCs w:val="18"/>
    </w:rPr>
  </w:style>
  <w:style w:type="paragraph" w:styleId="23">
    <w:name w:val="toc 1"/>
    <w:basedOn w:val="1"/>
    <w:next w:val="1"/>
    <w:semiHidden/>
    <w:qFormat/>
    <w:uiPriority w:val="0"/>
    <w:pPr>
      <w:tabs>
        <w:tab w:val="right" w:leader="dot" w:pos="9344"/>
      </w:tabs>
    </w:pPr>
    <w:rPr>
      <w:szCs w:val="24"/>
    </w:rPr>
  </w:style>
  <w:style w:type="paragraph" w:styleId="24">
    <w:name w:val="Body Text Indent 3"/>
    <w:basedOn w:val="1"/>
    <w:qFormat/>
    <w:uiPriority w:val="0"/>
    <w:pPr>
      <w:spacing w:after="120"/>
      <w:ind w:left="420"/>
    </w:pPr>
    <w:rPr>
      <w:sz w:val="16"/>
      <w:szCs w:val="16"/>
    </w:rPr>
  </w:style>
  <w:style w:type="paragraph" w:styleId="25">
    <w:name w:val="toc 2"/>
    <w:basedOn w:val="1"/>
    <w:next w:val="1"/>
    <w:semiHidden/>
    <w:qFormat/>
    <w:uiPriority w:val="0"/>
    <w:pPr>
      <w:ind w:left="420" w:leftChars="200"/>
    </w:pPr>
    <w:rPr>
      <w:szCs w:val="24"/>
    </w:rPr>
  </w:style>
  <w:style w:type="paragraph" w:styleId="2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page number"/>
    <w:basedOn w:val="29"/>
    <w:qFormat/>
    <w:uiPriority w:val="0"/>
  </w:style>
  <w:style w:type="character" w:styleId="32">
    <w:name w:val="FollowedHyperlink"/>
    <w:basedOn w:val="29"/>
    <w:qFormat/>
    <w:uiPriority w:val="0"/>
    <w:rPr>
      <w:color w:val="000000"/>
      <w:u w:val="none"/>
    </w:rPr>
  </w:style>
  <w:style w:type="character" w:styleId="33">
    <w:name w:val="Hyperlink"/>
    <w:basedOn w:val="29"/>
    <w:qFormat/>
    <w:uiPriority w:val="0"/>
    <w:rPr>
      <w:color w:val="0000FF"/>
      <w:u w:val="single"/>
    </w:rPr>
  </w:style>
  <w:style w:type="character" w:styleId="34">
    <w:name w:val="annotation reference"/>
    <w:semiHidden/>
    <w:qFormat/>
    <w:uiPriority w:val="0"/>
    <w:rPr>
      <w:sz w:val="21"/>
      <w:szCs w:val="21"/>
    </w:rPr>
  </w:style>
  <w:style w:type="character" w:customStyle="1" w:styleId="35">
    <w:name w:val="标题 2 Char"/>
    <w:basedOn w:val="29"/>
    <w:link w:val="4"/>
    <w:qFormat/>
    <w:uiPriority w:val="0"/>
    <w:rPr>
      <w:rFonts w:ascii="Arial" w:hAnsi="Arial" w:eastAsia="黑体"/>
      <w:b/>
      <w:bCs/>
      <w:kern w:val="2"/>
      <w:sz w:val="32"/>
      <w:szCs w:val="32"/>
      <w:lang w:val="en-US" w:eastAsia="zh-CN" w:bidi="ar-SA"/>
    </w:rPr>
  </w:style>
  <w:style w:type="character" w:customStyle="1" w:styleId="36">
    <w:name w:val="纯文本 Char"/>
    <w:link w:val="17"/>
    <w:qFormat/>
    <w:uiPriority w:val="0"/>
    <w:rPr>
      <w:rFonts w:ascii="宋体" w:hAnsi="Courier New"/>
      <w:kern w:val="2"/>
      <w:sz w:val="21"/>
      <w:szCs w:val="21"/>
      <w:lang w:bidi="ar-SA"/>
    </w:rPr>
  </w:style>
  <w:style w:type="character" w:customStyle="1" w:styleId="37">
    <w:name w:val="页脚 Char"/>
    <w:link w:val="21"/>
    <w:semiHidden/>
    <w:qFormat/>
    <w:uiPriority w:val="0"/>
    <w:rPr>
      <w:rFonts w:eastAsia="宋体"/>
      <w:kern w:val="2"/>
      <w:sz w:val="18"/>
      <w:lang w:val="en-US" w:eastAsia="zh-CN" w:bidi="ar-SA"/>
    </w:rPr>
  </w:style>
  <w:style w:type="character" w:customStyle="1" w:styleId="38">
    <w:name w:val="页眉 Char"/>
    <w:link w:val="22"/>
    <w:semiHidden/>
    <w:qFormat/>
    <w:uiPriority w:val="0"/>
    <w:rPr>
      <w:rFonts w:eastAsia="宋体"/>
      <w:kern w:val="2"/>
      <w:sz w:val="18"/>
      <w:szCs w:val="18"/>
      <w:lang w:val="en-US" w:eastAsia="zh-CN" w:bidi="ar-SA"/>
    </w:rPr>
  </w:style>
  <w:style w:type="character" w:customStyle="1" w:styleId="39">
    <w:name w:val="font61"/>
    <w:basedOn w:val="29"/>
    <w:qFormat/>
    <w:uiPriority w:val="0"/>
    <w:rPr>
      <w:rFonts w:hint="eastAsia" w:ascii="宋体" w:hAnsi="宋体" w:eastAsia="宋体" w:cs="宋体"/>
      <w:color w:val="000000"/>
      <w:sz w:val="24"/>
      <w:szCs w:val="24"/>
      <w:u w:val="none"/>
    </w:rPr>
  </w:style>
  <w:style w:type="character" w:customStyle="1" w:styleId="40">
    <w:name w:val="fontstyle01"/>
    <w:basedOn w:val="29"/>
    <w:qFormat/>
    <w:uiPriority w:val="0"/>
    <w:rPr>
      <w:rFonts w:hint="eastAsia" w:ascii="宋体" w:hAnsi="宋体" w:eastAsia="宋体" w:cs="宋体"/>
      <w:color w:val="000000"/>
      <w:sz w:val="44"/>
      <w:szCs w:val="44"/>
    </w:rPr>
  </w:style>
  <w:style w:type="character" w:customStyle="1" w:styleId="41">
    <w:name w:val=" Char Char"/>
    <w:qFormat/>
    <w:uiPriority w:val="0"/>
    <w:rPr>
      <w:rFonts w:ascii="Arial" w:hAnsi="Arial" w:eastAsia="宋体"/>
      <w:b/>
      <w:bCs/>
      <w:kern w:val="2"/>
      <w:sz w:val="48"/>
      <w:szCs w:val="32"/>
      <w:lang w:val="en-US" w:eastAsia="zh-CN" w:bidi="ar-SA"/>
    </w:rPr>
  </w:style>
  <w:style w:type="character" w:customStyle="1" w:styleId="42">
    <w:name w:val=" Char Char1"/>
    <w:qFormat/>
    <w:uiPriority w:val="0"/>
    <w:rPr>
      <w:rFonts w:eastAsia="宋体"/>
      <w:b/>
      <w:bCs/>
      <w:kern w:val="44"/>
      <w:sz w:val="52"/>
      <w:szCs w:val="44"/>
      <w:lang w:val="en-US" w:eastAsia="zh-CN" w:bidi="ar-SA"/>
    </w:rPr>
  </w:style>
  <w:style w:type="character" w:customStyle="1" w:styleId="43">
    <w:name w:val="fontstyle21"/>
    <w:basedOn w:val="29"/>
    <w:qFormat/>
    <w:uiPriority w:val="0"/>
    <w:rPr>
      <w:rFonts w:hint="default" w:ascii="Times New Roman" w:hAnsi="Times New Roman" w:cs="Times New Roman"/>
      <w:color w:val="000000"/>
      <w:sz w:val="18"/>
      <w:szCs w:val="18"/>
    </w:rPr>
  </w:style>
  <w:style w:type="paragraph" w:customStyle="1" w:styleId="44">
    <w:name w:val="List Paragraph"/>
    <w:basedOn w:val="1"/>
    <w:qFormat/>
    <w:uiPriority w:val="0"/>
    <w:pPr>
      <w:ind w:firstLine="420" w:firstLineChars="200"/>
    </w:pPr>
    <w:rPr>
      <w:szCs w:val="24"/>
    </w:rPr>
  </w:style>
  <w:style w:type="paragraph" w:customStyle="1" w:styleId="45">
    <w:name w:val="-"/>
    <w:basedOn w:val="1"/>
    <w:qFormat/>
    <w:uiPriority w:val="0"/>
    <w:pPr>
      <w:numPr>
        <w:ilvl w:val="0"/>
        <w:numId w:val="1"/>
      </w:numPr>
      <w:spacing w:line="360" w:lineRule="auto"/>
    </w:pPr>
    <w:rPr>
      <w:rFonts w:ascii="Arial" w:hAnsi="Arial" w:cs="Arial"/>
      <w:b/>
      <w:bCs/>
      <w:sz w:val="24"/>
      <w:szCs w:val="32"/>
    </w:rPr>
  </w:style>
  <w:style w:type="paragraph" w:customStyle="1" w:styleId="46">
    <w:name w:val="标题4"/>
    <w:basedOn w:val="1"/>
    <w:qFormat/>
    <w:uiPriority w:val="0"/>
    <w:pPr>
      <w:spacing w:before="100" w:beforeLines="100" w:after="100" w:afterLines="100" w:line="360" w:lineRule="auto"/>
    </w:pPr>
    <w:rPr>
      <w:sz w:val="28"/>
      <w:szCs w:val="24"/>
    </w:rPr>
  </w:style>
  <w:style w:type="paragraph" w:customStyle="1" w:styleId="47">
    <w:name w:val="soustitre"/>
    <w:basedOn w:val="1"/>
    <w:qFormat/>
    <w:uiPriority w:val="0"/>
    <w:pPr>
      <w:widowControl/>
      <w:tabs>
        <w:tab w:val="left" w:pos="525"/>
      </w:tabs>
      <w:overflowPunct w:val="0"/>
      <w:autoSpaceDE w:val="0"/>
      <w:autoSpaceDN w:val="0"/>
      <w:adjustRightInd w:val="0"/>
      <w:spacing w:line="400" w:lineRule="atLeast"/>
      <w:jc w:val="center"/>
    </w:pPr>
    <w:rPr>
      <w:rFonts w:ascii="New York" w:hAnsi="New York" w:eastAsia="楷体_GB2312"/>
      <w:kern w:val="0"/>
      <w:position w:val="-6"/>
      <w:sz w:val="24"/>
      <w:szCs w:val="24"/>
      <w:lang w:val="fr-FR"/>
    </w:rPr>
  </w:style>
  <w:style w:type="paragraph" w:customStyle="1" w:styleId="48">
    <w:name w:val="17"/>
    <w:basedOn w:val="1"/>
    <w:qFormat/>
    <w:uiPriority w:val="0"/>
    <w:pPr>
      <w:widowControl/>
      <w:snapToGrid w:val="0"/>
      <w:spacing w:before="100" w:beforeLines="0" w:beforeAutospacing="1" w:after="100" w:afterLines="0" w:afterAutospacing="1"/>
    </w:pPr>
    <w:rPr>
      <w:kern w:val="0"/>
    </w:rPr>
  </w:style>
  <w:style w:type="paragraph" w:customStyle="1" w:styleId="49">
    <w:name w:val="五级条标题"/>
    <w:basedOn w:val="50"/>
    <w:next w:val="55"/>
    <w:qFormat/>
    <w:uiPriority w:val="0"/>
    <w:pPr>
      <w:numPr>
        <w:ilvl w:val="6"/>
        <w:numId w:val="0"/>
      </w:numPr>
      <w:outlineLvl w:val="6"/>
    </w:pPr>
  </w:style>
  <w:style w:type="paragraph" w:customStyle="1" w:styleId="50">
    <w:name w:val="四级条标题"/>
    <w:basedOn w:val="51"/>
    <w:next w:val="55"/>
    <w:qFormat/>
    <w:uiPriority w:val="0"/>
    <w:pPr>
      <w:outlineLvl w:val="5"/>
    </w:pPr>
  </w:style>
  <w:style w:type="paragraph" w:customStyle="1" w:styleId="51">
    <w:name w:val="三级条标题"/>
    <w:basedOn w:val="52"/>
    <w:next w:val="55"/>
    <w:qFormat/>
    <w:uiPriority w:val="0"/>
    <w:pPr>
      <w:outlineLvl w:val="4"/>
    </w:pPr>
  </w:style>
  <w:style w:type="paragraph" w:customStyle="1" w:styleId="52">
    <w:name w:val="二级条标题"/>
    <w:basedOn w:val="53"/>
    <w:next w:val="55"/>
    <w:qFormat/>
    <w:uiPriority w:val="0"/>
    <w:pPr>
      <w:outlineLvl w:val="3"/>
    </w:pPr>
  </w:style>
  <w:style w:type="paragraph" w:customStyle="1" w:styleId="53">
    <w:name w:val="一级条标题"/>
    <w:basedOn w:val="54"/>
    <w:next w:val="55"/>
    <w:qFormat/>
    <w:uiPriority w:val="0"/>
    <w:pPr>
      <w:spacing w:before="0" w:beforeLines="0" w:after="0" w:afterLines="0"/>
      <w:outlineLvl w:val="2"/>
    </w:pPr>
  </w:style>
  <w:style w:type="paragraph" w:customStyle="1" w:styleId="54">
    <w:name w:val="章标题"/>
    <w:next w:val="55"/>
    <w:qFormat/>
    <w:uiPriority w:val="0"/>
    <w:p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5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6">
    <w:name w:val="图"/>
    <w:basedOn w:val="1"/>
    <w:qFormat/>
    <w:uiPriority w:val="0"/>
    <w:pPr>
      <w:keepNext/>
      <w:adjustRightInd w:val="0"/>
      <w:spacing w:before="60" w:after="60" w:line="300" w:lineRule="auto"/>
      <w:jc w:val="center"/>
      <w:textAlignment w:val="center"/>
    </w:pPr>
    <w:rPr>
      <w:snapToGrid w:val="0"/>
      <w:spacing w:val="20"/>
      <w:kern w:val="0"/>
      <w:sz w:val="24"/>
    </w:rPr>
  </w:style>
  <w:style w:type="paragraph" w:customStyle="1" w:styleId="57">
    <w:name w:val="Char"/>
    <w:basedOn w:val="1"/>
    <w:qFormat/>
    <w:uiPriority w:val="0"/>
    <w:pPr>
      <w:widowControl/>
      <w:spacing w:after="160" w:line="240" w:lineRule="exact"/>
      <w:jc w:val="left"/>
    </w:pPr>
    <w:rPr>
      <w:rFonts w:ascii="Verdana" w:hAnsi="Verdana"/>
      <w:kern w:val="0"/>
      <w:sz w:val="20"/>
      <w:lang w:eastAsia="en-US"/>
    </w:rPr>
  </w:style>
  <w:style w:type="paragraph" w:customStyle="1" w:styleId="58">
    <w:name w:val="前言、引言标题"/>
    <w:next w:val="1"/>
    <w:qFormat/>
    <w:uiPriority w:val="0"/>
    <w:pPr>
      <w:shd w:val="clear" w:color="FFFFFF" w:fill="FFFFFF"/>
      <w:tabs>
        <w:tab w:val="left" w:pos="900"/>
      </w:tabs>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59">
    <w:name w:val="注"/>
    <w:basedOn w:val="1"/>
    <w:qFormat/>
    <w:uiPriority w:val="0"/>
    <w:pPr>
      <w:adjustRightInd w:val="0"/>
      <w:spacing w:line="420" w:lineRule="atLeast"/>
      <w:ind w:firstLine="340"/>
      <w:textAlignment w:val="baseline"/>
    </w:pPr>
    <w:rPr>
      <w:kern w:val="0"/>
      <w:sz w:val="18"/>
    </w:rPr>
  </w:style>
  <w:style w:type="paragraph" w:customStyle="1" w:styleId="60">
    <w:name w:val="0"/>
    <w:basedOn w:val="1"/>
    <w:qFormat/>
    <w:uiPriority w:val="0"/>
    <w:pPr>
      <w:widowControl/>
      <w:snapToGrid w:val="0"/>
    </w:pPr>
    <w:rPr>
      <w:kern w:val="0"/>
    </w:rPr>
  </w:style>
  <w:style w:type="paragraph" w:customStyle="1" w:styleId="61">
    <w:name w:val="表中"/>
    <w:basedOn w:val="1"/>
    <w:qFormat/>
    <w:uiPriority w:val="0"/>
    <w:pPr>
      <w:adjustRightInd w:val="0"/>
      <w:snapToGrid w:val="0"/>
      <w:spacing w:line="420" w:lineRule="atLeast"/>
      <w:jc w:val="center"/>
      <w:textAlignment w:val="baseline"/>
    </w:pPr>
    <w:rPr>
      <w:snapToGrid w:val="0"/>
      <w:kern w:val="0"/>
    </w:rPr>
  </w:style>
  <w:style w:type="paragraph" w:customStyle="1" w:styleId="62">
    <w:name w:val="18"/>
    <w:basedOn w:val="1"/>
    <w:qFormat/>
    <w:uiPriority w:val="0"/>
    <w:pPr>
      <w:widowControl/>
      <w:snapToGrid w:val="0"/>
      <w:spacing w:before="100" w:beforeLines="0" w:beforeAutospacing="0" w:after="100" w:afterLines="0" w:afterAutospacing="0"/>
    </w:pPr>
    <w:rPr>
      <w:kern w:val="0"/>
    </w:rPr>
  </w:style>
  <w:style w:type="paragraph" w:customStyle="1" w:styleId="63">
    <w:name w:val="1"/>
    <w:basedOn w:val="1"/>
    <w:next w:val="14"/>
    <w:uiPriority w:val="0"/>
    <w:pPr>
      <w:autoSpaceDE w:val="0"/>
      <w:autoSpaceDN w:val="0"/>
      <w:adjustRightInd w:val="0"/>
      <w:jc w:val="left"/>
      <w:textAlignment w:val="baseline"/>
    </w:pPr>
    <w:rPr>
      <w:rFonts w:ascii="宋体"/>
      <w:kern w:val="0"/>
      <w:sz w:val="28"/>
    </w:rPr>
  </w:style>
  <w:style w:type="paragraph" w:customStyle="1" w:styleId="64">
    <w:name w:val="ptdl"/>
    <w:basedOn w:val="1"/>
    <w:qFormat/>
    <w:uiPriority w:val="0"/>
    <w:pPr>
      <w:spacing w:after="156"/>
      <w:ind w:firstLine="480"/>
    </w:pPr>
    <w:rPr>
      <w:sz w:val="24"/>
    </w:rPr>
  </w:style>
  <w:style w:type="paragraph" w:customStyle="1" w:styleId="65">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66">
    <w:name w:val="itemlist"/>
    <w:basedOn w:val="1"/>
    <w:qFormat/>
    <w:uiPriority w:val="0"/>
    <w:pPr>
      <w:widowControl/>
      <w:snapToGrid w:val="0"/>
      <w:spacing w:after="20"/>
      <w:ind w:left="675" w:hanging="175"/>
    </w:pPr>
    <w:rPr>
      <w:rFonts w:ascii="Arial" w:hAnsi="Arial" w:cs="Arial"/>
      <w:kern w:val="0"/>
      <w:szCs w:val="21"/>
    </w:rPr>
  </w:style>
  <w:style w:type="paragraph" w:customStyle="1" w:styleId="67">
    <w:name w:val="itemlist-"/>
    <w:basedOn w:val="1"/>
    <w:qFormat/>
    <w:uiPriority w:val="0"/>
    <w:pPr>
      <w:widowControl/>
      <w:snapToGrid w:val="0"/>
      <w:spacing w:after="80"/>
      <w:ind w:left="675" w:hanging="175"/>
    </w:pPr>
    <w:rPr>
      <w:rFonts w:ascii="Arial" w:hAnsi="Arial" w:cs="Arial"/>
      <w:kern w:val="0"/>
      <w:szCs w:val="21"/>
    </w:rPr>
  </w:style>
  <w:style w:type="paragraph" w:customStyle="1" w:styleId="68">
    <w:name w:val="正文（缩进）"/>
    <w:basedOn w:val="1"/>
    <w:qFormat/>
    <w:uiPriority w:val="0"/>
    <w:pPr>
      <w:spacing w:beforeLines="50" w:afterLines="50"/>
      <w:ind w:firstLine="480"/>
    </w:pPr>
    <w:rPr>
      <w:sz w:val="24"/>
    </w:rPr>
  </w:style>
  <w:style w:type="paragraph" w:customStyle="1" w:styleId="69">
    <w:name w:val=" Char1 Char Char Char"/>
    <w:basedOn w:val="1"/>
    <w:qFormat/>
    <w:uiPriority w:val="0"/>
    <w:rPr>
      <w:rFonts w:ascii="Tahoma" w:hAnsi="Tahoma"/>
      <w:sz w:val="24"/>
    </w:rPr>
  </w:style>
  <w:style w:type="paragraph" w:customStyle="1" w:styleId="70">
    <w:name w:val="Char1 Char Char Char"/>
    <w:basedOn w:val="1"/>
    <w:qFormat/>
    <w:uiPriority w:val="0"/>
    <w:rPr>
      <w:rFonts w:ascii="Tahoma" w:hAnsi="Tahoma"/>
      <w:sz w:val="24"/>
    </w:rPr>
  </w:style>
  <w:style w:type="paragraph" w:customStyle="1" w:styleId="71">
    <w:name w:val=" Char"/>
    <w:basedOn w:val="1"/>
    <w:qFormat/>
    <w:uiPriority w:val="0"/>
    <w:pPr>
      <w:widowControl/>
      <w:spacing w:after="160" w:line="240" w:lineRule="exact"/>
      <w:jc w:val="left"/>
    </w:pPr>
    <w:rPr>
      <w:rFonts w:ascii="Verdana" w:hAnsi="Verdana"/>
      <w:kern w:val="0"/>
      <w:sz w:val="20"/>
      <w:lang w:eastAsia="en-US"/>
    </w:rPr>
  </w:style>
  <w:style w:type="paragraph" w:customStyle="1" w:styleId="72">
    <w:name w:val="样式 (西文) 宋体 小四 居中 行距: 1.5 倍行距"/>
    <w:basedOn w:val="1"/>
    <w:qFormat/>
    <w:uiPriority w:val="0"/>
    <w:pPr>
      <w:spacing w:line="360" w:lineRule="auto"/>
      <w:jc w:val="center"/>
    </w:pPr>
    <w:rPr>
      <w:rFonts w:ascii="宋体" w:hAnsi="宋体" w:cs="宋体"/>
      <w:color w:val="000000"/>
      <w:kern w:val="44"/>
      <w:sz w:val="28"/>
      <w:szCs w:val="20"/>
    </w:rPr>
  </w:style>
  <w:style w:type="paragraph" w:customStyle="1" w:styleId="73">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5817</Words>
  <Characters>33158</Characters>
  <Lines>276</Lines>
  <Paragraphs>77</Paragraphs>
  <TotalTime>2</TotalTime>
  <ScaleCrop>false</ScaleCrop>
  <LinksUpToDate>false</LinksUpToDate>
  <CharactersWithSpaces>38898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2020-03-02T01:38:00Z</dcterms:created>
  <dc:creator>大云办</dc:creator>
  <cp:lastModifiedBy>骑车去欧洲</cp:lastModifiedBy>
  <cp:lastPrinted>2020-09-18T03:11:00Z</cp:lastPrinted>
  <dcterms:modified xsi:type="dcterms:W3CDTF">2021-05-19T03:21:05Z</dcterms:modified>
  <dc:title>大云寺博物馆舍利塔电梯</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C62A9AA4043140EEA336842B31F47529</vt:lpwstr>
  </property>
</Properties>
</file>