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25" w:beforeLines="200" w:line="500" w:lineRule="exact"/>
        <w:jc w:val="center"/>
        <w:textAlignment w:val="auto"/>
        <w:outlineLvl w:val="9"/>
        <w:rPr>
          <w:rFonts w:hint="eastAsia" w:ascii="仿宋" w:hAnsi="仿宋" w:eastAsia="仿宋" w:cs="仿宋"/>
          <w:b/>
          <w:bCs/>
          <w:color w:val="auto"/>
          <w:sz w:val="52"/>
          <w:szCs w:val="52"/>
          <w:highlight w:val="none"/>
          <w:lang w:val="en-US" w:eastAsia="zh-CN"/>
        </w:rPr>
      </w:pPr>
      <w:r>
        <w:rPr>
          <w:rFonts w:hint="eastAsia" w:ascii="仿宋" w:hAnsi="仿宋" w:eastAsia="仿宋" w:cs="仿宋"/>
          <w:b/>
          <w:bCs/>
          <w:color w:val="auto"/>
          <w:sz w:val="52"/>
          <w:szCs w:val="52"/>
          <w:highlight w:val="none"/>
          <w:lang w:val="en-US" w:eastAsia="zh-CN"/>
        </w:rPr>
        <w:t>武山县人民检察院“桌面云”系统公开招标项目</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仿宋" w:hAnsi="仿宋" w:eastAsia="仿宋" w:cs="仿宋"/>
          <w:b/>
          <w:bCs/>
          <w:color w:val="auto"/>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eastAsia" w:ascii="仿宋" w:hAnsi="仿宋" w:eastAsia="仿宋" w:cs="仿宋"/>
          <w:b/>
          <w:bCs/>
          <w:color w:val="auto"/>
          <w:sz w:val="52"/>
          <w:szCs w:val="52"/>
          <w:highlight w:val="none"/>
          <w:lang w:val="en-US" w:eastAsia="zh-CN"/>
        </w:rPr>
      </w:pPr>
      <w:r>
        <w:rPr>
          <w:rFonts w:hint="eastAsia" w:ascii="仿宋" w:hAnsi="仿宋" w:eastAsia="仿宋" w:cs="仿宋"/>
          <w:b/>
          <w:bCs/>
          <w:color w:val="auto"/>
          <w:sz w:val="52"/>
          <w:szCs w:val="52"/>
          <w:highlight w:val="none"/>
          <w:lang w:val="en-US" w:eastAsia="zh-CN"/>
        </w:rPr>
        <w:t>招标文件</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outlineLvl w:val="9"/>
        <w:rPr>
          <w:rFonts w:hint="default"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 xml:space="preserve"> 招 标 编 号：TGZC2019-592</w:t>
      </w:r>
    </w:p>
    <w:p>
      <w:pPr>
        <w:keepNext w:val="0"/>
        <w:keepLines w:val="0"/>
        <w:pageBreakBefore w:val="0"/>
        <w:widowControl w:val="0"/>
        <w:tabs>
          <w:tab w:val="left" w:pos="3371"/>
        </w:tabs>
        <w:kinsoku/>
        <w:wordWrap/>
        <w:overflowPunct/>
        <w:topLinePunct w:val="0"/>
        <w:autoSpaceDE/>
        <w:autoSpaceDN/>
        <w:bidi w:val="0"/>
        <w:adjustRightInd/>
        <w:snapToGrid/>
        <w:spacing w:before="313" w:beforeLines="100"/>
        <w:jc w:val="center"/>
        <w:textAlignment w:val="auto"/>
        <w:outlineLvl w:val="9"/>
        <w:rPr>
          <w:rFonts w:hint="eastAsia" w:ascii="仿宋" w:hAnsi="仿宋" w:eastAsia="仿宋" w:cs="仿宋"/>
          <w:b/>
          <w:bCs/>
          <w:color w:val="auto"/>
          <w:sz w:val="52"/>
          <w:szCs w:val="5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jc w:val="both"/>
        <w:textAlignment w:val="auto"/>
        <w:outlineLvl w:val="9"/>
        <w:rPr>
          <w:rFonts w:hint="eastAsia" w:ascii="仿宋" w:hAnsi="仿宋" w:eastAsia="仿宋" w:cs="仿宋"/>
          <w:b/>
          <w:bCs/>
          <w:color w:val="auto"/>
          <w:sz w:val="52"/>
          <w:szCs w:val="5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jc w:val="left"/>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采 购 人：武山县人民检察院              签 字：</w:t>
      </w:r>
    </w:p>
    <w:p>
      <w:pPr>
        <w:keepNext w:val="0"/>
        <w:keepLines w:val="0"/>
        <w:pageBreakBefore w:val="0"/>
        <w:widowControl w:val="0"/>
        <w:kinsoku/>
        <w:wordWrap/>
        <w:overflowPunct/>
        <w:topLinePunct w:val="0"/>
        <w:autoSpaceDE/>
        <w:autoSpaceDN/>
        <w:bidi w:val="0"/>
        <w:adjustRightInd/>
        <w:snapToGrid/>
        <w:spacing w:before="313" w:beforeLines="100"/>
        <w:ind w:firstLine="6425" w:firstLineChars="2000"/>
        <w:jc w:val="left"/>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盖 章：</w:t>
      </w:r>
    </w:p>
    <w:p>
      <w:pPr>
        <w:keepNext w:val="0"/>
        <w:keepLines w:val="0"/>
        <w:pageBreakBefore w:val="0"/>
        <w:widowControl w:val="0"/>
        <w:kinsoku/>
        <w:wordWrap/>
        <w:overflowPunct/>
        <w:topLinePunct w:val="0"/>
        <w:autoSpaceDE/>
        <w:autoSpaceDN/>
        <w:bidi w:val="0"/>
        <w:adjustRightInd/>
        <w:snapToGrid/>
        <w:spacing w:before="313" w:beforeLines="100"/>
        <w:jc w:val="left"/>
        <w:textAlignment w:val="auto"/>
        <w:outlineLvl w:val="9"/>
        <w:rPr>
          <w:rFonts w:hint="eastAsia" w:ascii="仿宋" w:hAnsi="仿宋" w:eastAsia="仿宋" w:cs="仿宋"/>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jc w:val="left"/>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采购代理机构：甘肃新易信招标代理有限责任公司</w:t>
      </w:r>
    </w:p>
    <w:p>
      <w:pPr>
        <w:keepNext w:val="0"/>
        <w:keepLines w:val="0"/>
        <w:pageBreakBefore w:val="0"/>
        <w:widowControl w:val="0"/>
        <w:kinsoku/>
        <w:wordWrap/>
        <w:overflowPunct/>
        <w:topLinePunct w:val="0"/>
        <w:autoSpaceDE/>
        <w:autoSpaceDN/>
        <w:bidi w:val="0"/>
        <w:adjustRightInd/>
        <w:snapToGrid/>
        <w:spacing w:before="313" w:beforeLines="100"/>
        <w:jc w:val="both"/>
        <w:textAlignment w:val="auto"/>
        <w:outlineLvl w:val="9"/>
        <w:rPr>
          <w:rFonts w:hint="eastAsia" w:ascii="仿宋" w:hAnsi="仿宋" w:eastAsia="仿宋" w:cs="仿宋"/>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ind w:firstLine="2891" w:firstLineChars="900"/>
        <w:jc w:val="both"/>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2019年12月</w:t>
      </w:r>
    </w:p>
    <w:p>
      <w:pPr>
        <w:jc w:val="center"/>
        <w:rPr>
          <w:rFonts w:hint="eastAsia" w:ascii="仿宋" w:hAnsi="仿宋" w:eastAsia="仿宋" w:cs="仿宋"/>
          <w:color w:val="auto"/>
          <w:sz w:val="30"/>
          <w:szCs w:val="30"/>
          <w:highlight w:val="none"/>
          <w:lang w:val="en-US" w:eastAsia="zh-CN"/>
        </w:rPr>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before="100" w:beforeAutospacing="1" w:after="100" w:afterAutospacing="1" w:line="460" w:lineRule="exact"/>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目  录</w:t>
      </w:r>
    </w:p>
    <w:p>
      <w:pPr>
        <w:pStyle w:val="40"/>
        <w:tabs>
          <w:tab w:val="right" w:leader="dot" w:pos="9061"/>
        </w:tabs>
        <w:spacing w:line="340" w:lineRule="exact"/>
        <w:outlineLvl w:val="1"/>
        <w:rPr>
          <w:rFonts w:hint="eastAsia" w:ascii="仿宋" w:hAnsi="仿宋" w:eastAsia="仿宋" w:cs="仿宋"/>
          <w:color w:val="auto"/>
          <w:highlight w:val="none"/>
        </w:rPr>
      </w:pPr>
      <w:r>
        <w:rPr>
          <w:rFonts w:hint="eastAsia" w:ascii="仿宋" w:hAnsi="仿宋" w:eastAsia="仿宋" w:cs="仿宋"/>
          <w:b w:val="0"/>
          <w:color w:val="auto"/>
          <w:sz w:val="21"/>
          <w:szCs w:val="21"/>
          <w:highlight w:val="none"/>
        </w:rPr>
        <w:fldChar w:fldCharType="begin"/>
      </w:r>
      <w:r>
        <w:rPr>
          <w:rFonts w:hint="eastAsia" w:ascii="仿宋" w:hAnsi="仿宋" w:eastAsia="仿宋" w:cs="仿宋"/>
          <w:b w:val="0"/>
          <w:color w:val="auto"/>
          <w:sz w:val="21"/>
          <w:szCs w:val="21"/>
          <w:highlight w:val="none"/>
        </w:rPr>
        <w:instrText xml:space="preserve"> TOC \o "1-3" \h \z \u </w:instrText>
      </w:r>
      <w:r>
        <w:rPr>
          <w:rFonts w:hint="eastAsia" w:ascii="仿宋" w:hAnsi="仿宋" w:eastAsia="仿宋" w:cs="仿宋"/>
          <w:b w:val="0"/>
          <w:color w:val="auto"/>
          <w:sz w:val="21"/>
          <w:szCs w:val="21"/>
          <w:highlight w:val="none"/>
        </w:rPr>
        <w:fldChar w:fldCharType="separate"/>
      </w:r>
    </w:p>
    <w:p>
      <w:pPr>
        <w:pStyle w:val="40"/>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_Toc9046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第一章 招标公告</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_Toc9046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4</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40"/>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_Toc993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第二章  供应商须知</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_Toc993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9</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40"/>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_Toc23543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一、总  则</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_Toc23543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10</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40"/>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_Toc1987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二、招标文件</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_Toc1987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12</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40"/>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_Toc17578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三、投标文件的编制</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_Toc17578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13</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40"/>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_Toc30659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四、投标文件的递交</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_Toc30659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16</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40"/>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_Toc24826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五、开标、评标与定标</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_Toc24826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16</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40"/>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_Toc7679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六．政策性功能</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_Toc7679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20</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40"/>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_Toc15459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七、合同的授予</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_Toc15459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22</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_Toc25226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附件</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_Toc25226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24</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40"/>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_Toc10000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综合评分法细则</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_Toc10000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24</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_Toc17342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二、评标程序</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_Toc17342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26</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40"/>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_Toc16734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第三章  项目说明  采购内容</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_Toc16734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27</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_Toc22063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一、招标内容</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_Toc22063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27</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_Toc5274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二、技术规格、参数与要求</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_Toc5274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28</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_Toc12529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三、包装、运输、保管及保险</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_Toc12529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34</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_Toc10903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四、验收标准和方法</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_Toc10903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34</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_Toc4434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五、质量保证及质量保证期</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_Toc4434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34</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_Toc25359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六、交付方式、交付完工期限及交付地点</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_Toc25359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35</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_Toc6462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七、付款办法</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_Toc6462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35</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_Toc31980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八、安装调试及技术服务(含培训)要求</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_Toc31980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35</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_Toc26083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九、售后服务的要求</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_Toc26083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35</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_Toc15078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十、其它需要说明的事项（技术资料）</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_Toc15078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35</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40"/>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_Toc26706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lang w:val="en-US" w:eastAsia="zh-CN"/>
        </w:rPr>
        <w:t>第四章  拟签订的合同条款及格式</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_Toc26706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36</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_Toc1572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一、合同货物</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_Toc1572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37</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_Toc30755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二、合同总价</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_Toc30755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37</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40"/>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_Toc18103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三、质量要求</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_Toc18103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37</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_Toc6263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四、交货及验收</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_Toc6263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38</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_Toc10543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五、付款方式</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_Toc10543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39</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_Toc27083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六、售后服务</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_Toc27083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39</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_Toc413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七、违约责任</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_Toc413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40</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_Toc22377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八、争议解决办法</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_Toc22377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41</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_Toc16303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九、其他</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_Toc16303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41</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40"/>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_Toc17802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第五章  投标文件格式（部分）</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_Toc17802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42</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_Toc17630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附件1投标承诺书</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_Toc17630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42</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30"/>
        <w:tabs>
          <w:tab w:val="right" w:leader="dot" w:pos="9071"/>
        </w:tabs>
        <w:ind w:left="0" w:leftChars="0" w:firstLine="600" w:firstLineChars="300"/>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_Toc28005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附件2 投标函</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_Toc28005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43</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_Toc13496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附件3  开标一览表</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_Toc13496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44</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rPr>
          <w:rFonts w:hint="eastAsia" w:ascii="仿宋" w:hAnsi="仿宋" w:eastAsia="仿宋" w:cs="仿宋"/>
          <w:color w:val="auto"/>
          <w:sz w:val="20"/>
          <w:szCs w:val="20"/>
          <w:highlight w:val="none"/>
        </w:rPr>
      </w:pPr>
      <w:r>
        <w:rPr>
          <w:rFonts w:hint="eastAsia" w:ascii="仿宋" w:hAnsi="仿宋" w:eastAsia="仿宋" w:cs="仿宋"/>
          <w:caps/>
          <w:color w:val="auto"/>
          <w:sz w:val="20"/>
          <w:szCs w:val="20"/>
          <w:highlight w:val="none"/>
        </w:rPr>
        <w:fldChar w:fldCharType="begin"/>
      </w:r>
      <w:r>
        <w:rPr>
          <w:rFonts w:hint="eastAsia" w:ascii="仿宋" w:hAnsi="仿宋" w:eastAsia="仿宋" w:cs="仿宋"/>
          <w:caps/>
          <w:color w:val="auto"/>
          <w:sz w:val="20"/>
          <w:szCs w:val="20"/>
          <w:highlight w:val="none"/>
        </w:rPr>
        <w:instrText xml:space="preserve"> HYPERLINK \l _Toc16053 </w:instrText>
      </w:r>
      <w:r>
        <w:rPr>
          <w:rFonts w:hint="eastAsia" w:ascii="仿宋" w:hAnsi="仿宋" w:eastAsia="仿宋" w:cs="仿宋"/>
          <w:caps/>
          <w:color w:val="auto"/>
          <w:sz w:val="20"/>
          <w:szCs w:val="20"/>
          <w:highlight w:val="none"/>
        </w:rPr>
        <w:fldChar w:fldCharType="separate"/>
      </w:r>
      <w:r>
        <w:rPr>
          <w:rFonts w:hint="eastAsia" w:ascii="仿宋" w:hAnsi="仿宋" w:eastAsia="仿宋" w:cs="仿宋"/>
          <w:bCs w:val="0"/>
          <w:color w:val="auto"/>
          <w:sz w:val="20"/>
          <w:szCs w:val="20"/>
          <w:highlight w:val="none"/>
        </w:rPr>
        <w:t>附件</w:t>
      </w:r>
      <w:r>
        <w:rPr>
          <w:rFonts w:hint="eastAsia" w:ascii="仿宋" w:hAnsi="仿宋" w:eastAsia="仿宋" w:cs="仿宋"/>
          <w:color w:val="auto"/>
          <w:sz w:val="20"/>
          <w:szCs w:val="20"/>
          <w:highlight w:val="none"/>
        </w:rPr>
        <w:tab/>
      </w:r>
      <w:r>
        <w:rPr>
          <w:rFonts w:hint="eastAsia" w:ascii="仿宋" w:hAnsi="仿宋" w:eastAsia="仿宋" w:cs="仿宋"/>
          <w:color w:val="auto"/>
          <w:sz w:val="20"/>
          <w:szCs w:val="20"/>
          <w:highlight w:val="none"/>
        </w:rPr>
        <w:fldChar w:fldCharType="begin"/>
      </w:r>
      <w:r>
        <w:rPr>
          <w:rFonts w:hint="eastAsia" w:ascii="仿宋" w:hAnsi="仿宋" w:eastAsia="仿宋" w:cs="仿宋"/>
          <w:color w:val="auto"/>
          <w:sz w:val="20"/>
          <w:szCs w:val="20"/>
          <w:highlight w:val="none"/>
        </w:rPr>
        <w:instrText xml:space="preserve"> PAGEREF _Toc16053 </w:instrText>
      </w:r>
      <w:r>
        <w:rPr>
          <w:rFonts w:hint="eastAsia" w:ascii="仿宋" w:hAnsi="仿宋" w:eastAsia="仿宋" w:cs="仿宋"/>
          <w:color w:val="auto"/>
          <w:sz w:val="20"/>
          <w:szCs w:val="20"/>
          <w:highlight w:val="none"/>
        </w:rPr>
        <w:fldChar w:fldCharType="separate"/>
      </w:r>
      <w:r>
        <w:rPr>
          <w:rFonts w:hint="eastAsia" w:ascii="仿宋" w:hAnsi="仿宋" w:eastAsia="仿宋" w:cs="仿宋"/>
          <w:color w:val="auto"/>
          <w:sz w:val="20"/>
          <w:szCs w:val="20"/>
          <w:highlight w:val="none"/>
        </w:rPr>
        <w:t>50</w:t>
      </w:r>
      <w:r>
        <w:rPr>
          <w:rFonts w:hint="eastAsia" w:ascii="仿宋" w:hAnsi="仿宋" w:eastAsia="仿宋" w:cs="仿宋"/>
          <w:color w:val="auto"/>
          <w:sz w:val="20"/>
          <w:szCs w:val="20"/>
          <w:highlight w:val="none"/>
        </w:rPr>
        <w:fldChar w:fldCharType="end"/>
      </w:r>
      <w:r>
        <w:rPr>
          <w:rFonts w:hint="eastAsia" w:ascii="仿宋" w:hAnsi="仿宋" w:eastAsia="仿宋" w:cs="仿宋"/>
          <w:caps/>
          <w:color w:val="auto"/>
          <w:sz w:val="20"/>
          <w:szCs w:val="20"/>
          <w:highlight w:val="none"/>
        </w:rPr>
        <w:fldChar w:fldCharType="end"/>
      </w:r>
    </w:p>
    <w:p>
      <w:pPr>
        <w:pStyle w:val="30"/>
        <w:tabs>
          <w:tab w:val="right" w:leader="dot" w:pos="9071"/>
        </w:tabs>
        <w:ind w:left="0" w:leftChars="0" w:firstLine="800" w:firstLineChars="400"/>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_Toc22734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附件4  商务条款偏离表</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_Toc22734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52</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ind w:firstLine="604" w:firstLineChars="302"/>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_Toc6788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附件5  供应商基本情况表</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_Toc6788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53</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30"/>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_Toc15572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附件6 法定代表人身份证明书</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_Toc15572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54</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30"/>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_Toc6459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附件7 法定代表人授权委托书</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_Toc6459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55</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40"/>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_Toc3312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附件8  书面声明</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_Toc3312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56</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30"/>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_Toc24135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附件9 技术条款偏离表</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_Toc24135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57</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52"/>
        <w:tabs>
          <w:tab w:val="right" w:leader="dot" w:pos="9071"/>
        </w:tabs>
        <w:ind w:firstLine="604" w:firstLineChars="302"/>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_Toc20299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附件10  服务与承诺</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_Toc20299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58</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pStyle w:val="30"/>
        <w:tabs>
          <w:tab w:val="right" w:leader="dot" w:pos="9071"/>
        </w:tabs>
        <w:rPr>
          <w:rFonts w:hint="eastAsia" w:ascii="仿宋" w:hAnsi="仿宋" w:eastAsia="仿宋" w:cs="仿宋"/>
          <w:color w:val="auto"/>
          <w:highlight w:val="none"/>
        </w:rPr>
      </w:pPr>
      <w:r>
        <w:rPr>
          <w:rFonts w:hint="eastAsia" w:ascii="仿宋" w:hAnsi="仿宋" w:eastAsia="仿宋" w:cs="仿宋"/>
          <w:caps/>
          <w:color w:val="auto"/>
          <w:szCs w:val="21"/>
          <w:highlight w:val="none"/>
        </w:rPr>
        <w:fldChar w:fldCharType="begin"/>
      </w:r>
      <w:r>
        <w:rPr>
          <w:rFonts w:hint="eastAsia" w:ascii="仿宋" w:hAnsi="仿宋" w:eastAsia="仿宋" w:cs="仿宋"/>
          <w:caps/>
          <w:color w:val="auto"/>
          <w:szCs w:val="21"/>
          <w:highlight w:val="none"/>
        </w:rPr>
        <w:instrText xml:space="preserve"> HYPERLINK \l _Toc19927 </w:instrText>
      </w:r>
      <w:r>
        <w:rPr>
          <w:rFonts w:hint="eastAsia" w:ascii="仿宋" w:hAnsi="仿宋" w:eastAsia="仿宋" w:cs="仿宋"/>
          <w:caps/>
          <w:color w:val="auto"/>
          <w:szCs w:val="21"/>
          <w:highlight w:val="none"/>
        </w:rPr>
        <w:fldChar w:fldCharType="separate"/>
      </w:r>
      <w:r>
        <w:rPr>
          <w:rFonts w:hint="eastAsia" w:ascii="仿宋" w:hAnsi="仿宋" w:eastAsia="仿宋" w:cs="仿宋"/>
          <w:color w:val="auto"/>
          <w:highlight w:val="none"/>
        </w:rPr>
        <w:t>附件11</w:t>
      </w:r>
      <w:r>
        <w:rPr>
          <w:rFonts w:hint="eastAsia" w:ascii="仿宋" w:hAnsi="仿宋" w:eastAsia="仿宋" w:cs="仿宋"/>
          <w:color w:val="auto"/>
          <w:highlight w:val="none"/>
        </w:rPr>
        <w:tab/>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PAGEREF _Toc19927 </w:instrText>
      </w:r>
      <w:r>
        <w:rPr>
          <w:rFonts w:hint="eastAsia" w:ascii="仿宋" w:hAnsi="仿宋" w:eastAsia="仿宋" w:cs="仿宋"/>
          <w:color w:val="auto"/>
          <w:highlight w:val="none"/>
        </w:rPr>
        <w:fldChar w:fldCharType="separate"/>
      </w:r>
      <w:r>
        <w:rPr>
          <w:rFonts w:hint="eastAsia" w:ascii="仿宋" w:hAnsi="仿宋" w:eastAsia="仿宋" w:cs="仿宋"/>
          <w:color w:val="auto"/>
          <w:highlight w:val="none"/>
        </w:rPr>
        <w:t>59</w:t>
      </w:r>
      <w:r>
        <w:rPr>
          <w:rFonts w:hint="eastAsia" w:ascii="仿宋" w:hAnsi="仿宋" w:eastAsia="仿宋" w:cs="仿宋"/>
          <w:color w:val="auto"/>
          <w:highlight w:val="none"/>
        </w:rPr>
        <w:fldChar w:fldCharType="end"/>
      </w:r>
      <w:r>
        <w:rPr>
          <w:rFonts w:hint="eastAsia" w:ascii="仿宋" w:hAnsi="仿宋" w:eastAsia="仿宋" w:cs="仿宋"/>
          <w:caps/>
          <w:color w:val="auto"/>
          <w:szCs w:val="21"/>
          <w:highlight w:val="none"/>
        </w:rPr>
        <w:fldChar w:fldCharType="end"/>
      </w:r>
    </w:p>
    <w:p>
      <w:pPr>
        <w:spacing w:line="340" w:lineRule="exact"/>
        <w:jc w:val="center"/>
        <w:outlineLvl w:val="1"/>
        <w:rPr>
          <w:rFonts w:hint="eastAsia" w:ascii="仿宋" w:hAnsi="仿宋" w:eastAsia="仿宋" w:cs="仿宋"/>
          <w:b/>
          <w:caps/>
          <w:color w:val="auto"/>
          <w:sz w:val="24"/>
          <w:highlight w:val="none"/>
        </w:rPr>
      </w:pPr>
      <w:r>
        <w:rPr>
          <w:rFonts w:hint="eastAsia" w:ascii="仿宋" w:hAnsi="仿宋" w:eastAsia="仿宋" w:cs="仿宋"/>
          <w:caps/>
          <w:color w:val="auto"/>
          <w:szCs w:val="21"/>
          <w:highlight w:val="none"/>
        </w:rPr>
        <w:fldChar w:fldCharType="end"/>
      </w:r>
      <w:r>
        <w:rPr>
          <w:rFonts w:hint="eastAsia" w:ascii="仿宋" w:hAnsi="仿宋" w:eastAsia="仿宋" w:cs="仿宋"/>
          <w:b/>
          <w:caps/>
          <w:color w:val="auto"/>
          <w:sz w:val="24"/>
          <w:highlight w:val="none"/>
        </w:rPr>
        <w:t xml:space="preserve">     </w:t>
      </w:r>
    </w:p>
    <w:p>
      <w:pPr>
        <w:pStyle w:val="4"/>
        <w:bidi w:val="0"/>
        <w:outlineLvl w:val="1"/>
        <w:rPr>
          <w:rFonts w:hint="eastAsia" w:ascii="仿宋" w:hAnsi="仿宋" w:eastAsia="仿宋" w:cs="仿宋"/>
          <w:color w:val="auto"/>
          <w:highlight w:val="none"/>
        </w:rPr>
      </w:pPr>
    </w:p>
    <w:p>
      <w:pPr>
        <w:pStyle w:val="4"/>
        <w:bidi w:val="0"/>
        <w:outlineLvl w:val="1"/>
        <w:rPr>
          <w:rFonts w:hint="eastAsia" w:ascii="仿宋" w:hAnsi="仿宋" w:eastAsia="仿宋" w:cs="仿宋"/>
          <w:color w:val="auto"/>
          <w:highlight w:val="none"/>
        </w:rPr>
      </w:pPr>
    </w:p>
    <w:p>
      <w:pPr>
        <w:pStyle w:val="4"/>
        <w:bidi w:val="0"/>
        <w:outlineLvl w:val="1"/>
        <w:rPr>
          <w:rFonts w:hint="eastAsia" w:ascii="仿宋" w:hAnsi="仿宋" w:eastAsia="仿宋" w:cs="仿宋"/>
          <w:color w:val="auto"/>
          <w:highlight w:val="none"/>
        </w:rPr>
      </w:pPr>
    </w:p>
    <w:p>
      <w:pPr>
        <w:pStyle w:val="4"/>
        <w:bidi w:val="0"/>
        <w:outlineLvl w:val="1"/>
        <w:rPr>
          <w:rFonts w:hint="eastAsia" w:ascii="仿宋" w:hAnsi="仿宋" w:eastAsia="仿宋" w:cs="仿宋"/>
          <w:color w:val="auto"/>
          <w:highlight w:val="none"/>
        </w:rPr>
      </w:pPr>
    </w:p>
    <w:p>
      <w:pPr>
        <w:pStyle w:val="4"/>
        <w:bidi w:val="0"/>
        <w:outlineLvl w:val="1"/>
        <w:rPr>
          <w:rFonts w:hint="eastAsia" w:ascii="仿宋" w:hAnsi="仿宋" w:eastAsia="仿宋" w:cs="仿宋"/>
          <w:color w:val="auto"/>
          <w:highlight w:val="none"/>
        </w:rPr>
      </w:pPr>
    </w:p>
    <w:p>
      <w:pPr>
        <w:bidi w:val="0"/>
        <w:rPr>
          <w:rFonts w:hint="eastAsia" w:ascii="仿宋" w:hAnsi="仿宋" w:eastAsia="仿宋" w:cs="仿宋"/>
          <w:color w:val="auto"/>
          <w:highlight w:val="none"/>
        </w:rPr>
      </w:pPr>
    </w:p>
    <w:p>
      <w:pPr>
        <w:bidi w:val="0"/>
        <w:rPr>
          <w:rFonts w:hint="eastAsia" w:ascii="仿宋" w:hAnsi="仿宋" w:eastAsia="仿宋" w:cs="仿宋"/>
          <w:color w:val="auto"/>
          <w:highlight w:val="none"/>
        </w:rPr>
      </w:pPr>
    </w:p>
    <w:p>
      <w:pPr>
        <w:bidi w:val="0"/>
        <w:rPr>
          <w:rFonts w:hint="eastAsia" w:ascii="仿宋" w:hAnsi="仿宋" w:eastAsia="仿宋" w:cs="仿宋"/>
          <w:color w:val="auto"/>
          <w:highlight w:val="none"/>
        </w:rPr>
      </w:pPr>
    </w:p>
    <w:p>
      <w:pPr>
        <w:pStyle w:val="3"/>
        <w:bidi w:val="0"/>
        <w:rPr>
          <w:rFonts w:hint="eastAsia" w:ascii="仿宋" w:hAnsi="仿宋" w:eastAsia="仿宋" w:cs="仿宋"/>
          <w:color w:val="auto"/>
          <w:highlight w:val="none"/>
        </w:rPr>
      </w:pPr>
      <w:bookmarkStart w:id="0" w:name="_Toc9046"/>
      <w:r>
        <w:rPr>
          <w:rFonts w:hint="eastAsia" w:ascii="仿宋" w:hAnsi="仿宋" w:eastAsia="仿宋" w:cs="仿宋"/>
          <w:color w:val="auto"/>
          <w:highlight w:val="none"/>
        </w:rPr>
        <w:t>第一章 招标公告</w:t>
      </w:r>
      <w:bookmarkEnd w:id="0"/>
      <w:bookmarkStart w:id="1" w:name="_Toc17432"/>
    </w:p>
    <w:p>
      <w:pPr>
        <w:adjustRightInd w:val="0"/>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bookmarkEnd w:id="1"/>
      <w:bookmarkStart w:id="2" w:name="OLE_LINK2"/>
      <w:bookmarkStart w:id="3" w:name="OLE_LINK1"/>
      <w:r>
        <w:rPr>
          <w:rFonts w:hint="eastAsia" w:ascii="仿宋" w:hAnsi="仿宋" w:eastAsia="仿宋" w:cs="仿宋"/>
          <w:color w:val="auto"/>
          <w:sz w:val="24"/>
          <w:highlight w:val="none"/>
          <w:lang w:eastAsia="zh-CN"/>
        </w:rPr>
        <w:t>甘肃新易信招标代理有限责任公司</w:t>
      </w:r>
      <w:r>
        <w:rPr>
          <w:rFonts w:hint="eastAsia" w:ascii="仿宋" w:hAnsi="仿宋" w:eastAsia="仿宋" w:cs="仿宋"/>
          <w:color w:val="auto"/>
          <w:sz w:val="24"/>
          <w:highlight w:val="none"/>
        </w:rPr>
        <w:t>受</w:t>
      </w:r>
      <w:r>
        <w:rPr>
          <w:rFonts w:hint="eastAsia" w:ascii="仿宋" w:hAnsi="仿宋" w:eastAsia="仿宋" w:cs="仿宋"/>
          <w:color w:val="auto"/>
          <w:sz w:val="24"/>
          <w:highlight w:val="none"/>
          <w:lang w:eastAsia="zh-CN"/>
        </w:rPr>
        <w:t>武山县人民检察院</w:t>
      </w:r>
      <w:r>
        <w:rPr>
          <w:rFonts w:hint="eastAsia" w:ascii="仿宋" w:hAnsi="仿宋" w:eastAsia="仿宋" w:cs="仿宋"/>
          <w:color w:val="auto"/>
          <w:sz w:val="24"/>
          <w:highlight w:val="none"/>
        </w:rPr>
        <w:t>的委托，对</w:t>
      </w:r>
      <w:r>
        <w:rPr>
          <w:rFonts w:hint="eastAsia" w:ascii="仿宋" w:hAnsi="仿宋" w:eastAsia="仿宋" w:cs="仿宋"/>
          <w:color w:val="auto"/>
          <w:sz w:val="24"/>
          <w:highlight w:val="none"/>
          <w:lang w:eastAsia="zh-CN"/>
        </w:rPr>
        <w:t>武山县人民检察院“桌面云”系统</w:t>
      </w:r>
      <w:r>
        <w:rPr>
          <w:rFonts w:hint="eastAsia" w:ascii="仿宋" w:hAnsi="仿宋" w:eastAsia="仿宋" w:cs="仿宋"/>
          <w:color w:val="auto"/>
          <w:sz w:val="24"/>
          <w:highlight w:val="none"/>
        </w:rPr>
        <w:t>采购项目以公开招标方式进行采购，欢迎符合资格条件的投标人前来参加。</w:t>
      </w:r>
    </w:p>
    <w:p>
      <w:pPr>
        <w:adjustRightInd w:val="0"/>
        <w:snapToGrid w:val="0"/>
        <w:spacing w:line="400" w:lineRule="exact"/>
        <w:ind w:firstLine="482" w:firstLineChars="200"/>
        <w:rPr>
          <w:rFonts w:hint="default" w:ascii="仿宋" w:hAnsi="仿宋" w:eastAsia="仿宋" w:cs="仿宋"/>
          <w:color w:val="auto"/>
          <w:sz w:val="24"/>
          <w:highlight w:val="none"/>
          <w:lang w:val="en-US" w:eastAsia="zh-CN"/>
        </w:rPr>
      </w:pPr>
      <w:r>
        <w:rPr>
          <w:rFonts w:hint="eastAsia" w:ascii="仿宋" w:hAnsi="仿宋" w:eastAsia="仿宋" w:cs="仿宋"/>
          <w:b/>
          <w:color w:val="auto"/>
          <w:sz w:val="24"/>
          <w:highlight w:val="none"/>
        </w:rPr>
        <w:t>一、招标文件编号</w:t>
      </w:r>
      <w:r>
        <w:rPr>
          <w:rFonts w:hint="eastAsia" w:ascii="仿宋" w:hAnsi="仿宋" w:eastAsia="仿宋" w:cs="仿宋"/>
          <w:color w:val="auto"/>
          <w:sz w:val="24"/>
          <w:highlight w:val="none"/>
        </w:rPr>
        <w:t>：TGZC201</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592</w:t>
      </w:r>
    </w:p>
    <w:p>
      <w:pPr>
        <w:adjustRightInd w:val="0"/>
        <w:snapToGrid w:val="0"/>
        <w:spacing w:line="500" w:lineRule="exact"/>
        <w:ind w:firstLine="482" w:firstLineChars="200"/>
        <w:jc w:val="both"/>
        <w:rPr>
          <w:rFonts w:hint="eastAsia" w:ascii="仿宋" w:hAnsi="仿宋" w:eastAsia="仿宋" w:cs="仿宋"/>
          <w:b w:val="0"/>
          <w:bCs/>
          <w:color w:val="auto"/>
          <w:sz w:val="24"/>
          <w:szCs w:val="24"/>
          <w:highlight w:val="none"/>
          <w:lang w:val="en-US" w:eastAsia="zh-CN"/>
        </w:rPr>
      </w:pPr>
      <w:r>
        <w:rPr>
          <w:rFonts w:hint="eastAsia" w:ascii="仿宋" w:hAnsi="仿宋" w:eastAsia="仿宋" w:cs="仿宋"/>
          <w:b/>
          <w:color w:val="auto"/>
          <w:sz w:val="24"/>
          <w:highlight w:val="none"/>
        </w:rPr>
        <w:t>二、招标内容</w:t>
      </w:r>
      <w:r>
        <w:rPr>
          <w:rFonts w:hint="eastAsia" w:ascii="仿宋" w:hAnsi="仿宋" w:eastAsia="仿宋" w:cs="仿宋"/>
          <w:color w:val="auto"/>
          <w:sz w:val="24"/>
          <w:highlight w:val="none"/>
        </w:rPr>
        <w:t>：</w:t>
      </w:r>
      <w:r>
        <w:rPr>
          <w:rFonts w:hint="eastAsia" w:ascii="仿宋" w:hAnsi="仿宋" w:eastAsia="仿宋" w:cs="仿宋"/>
          <w:b w:val="0"/>
          <w:bCs/>
          <w:color w:val="auto"/>
          <w:sz w:val="24"/>
          <w:szCs w:val="24"/>
          <w:highlight w:val="none"/>
          <w:lang w:val="en-US" w:eastAsia="zh-CN"/>
        </w:rPr>
        <w:t>“桌面云”系统</w:t>
      </w:r>
    </w:p>
    <w:p>
      <w:pPr>
        <w:pStyle w:val="2"/>
        <w:rPr>
          <w:rFonts w:hint="eastAsia"/>
          <w:color w:val="auto"/>
          <w:highlight w:val="none"/>
          <w:lang w:val="en-US" w:eastAsia="zh-CN"/>
        </w:rPr>
      </w:pPr>
    </w:p>
    <w:tbl>
      <w:tblPr>
        <w:tblStyle w:val="69"/>
        <w:tblW w:w="6903" w:type="dxa"/>
        <w:jc w:val="center"/>
        <w:tblInd w:w="-3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3619"/>
        <w:gridCol w:w="884"/>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464" w:type="dxa"/>
            <w:vAlign w:val="center"/>
          </w:tcPr>
          <w:p>
            <w:pPr>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序号</w:t>
            </w:r>
          </w:p>
        </w:tc>
        <w:tc>
          <w:tcPr>
            <w:tcW w:w="3619" w:type="dxa"/>
            <w:vAlign w:val="center"/>
          </w:tcPr>
          <w:p>
            <w:pPr>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设备名称</w:t>
            </w:r>
          </w:p>
        </w:tc>
        <w:tc>
          <w:tcPr>
            <w:tcW w:w="884" w:type="dxa"/>
            <w:vAlign w:val="center"/>
          </w:tcPr>
          <w:p>
            <w:pPr>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数量</w:t>
            </w:r>
          </w:p>
        </w:tc>
        <w:tc>
          <w:tcPr>
            <w:tcW w:w="936" w:type="dxa"/>
            <w:vAlign w:val="center"/>
          </w:tcPr>
          <w:p>
            <w:pPr>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64" w:type="dxa"/>
            <w:vAlign w:val="center"/>
          </w:tcPr>
          <w:p>
            <w:pPr>
              <w:widowControl/>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val="en-US" w:eastAsia="zh-CN" w:bidi="ar"/>
              </w:rPr>
              <w:t>1</w:t>
            </w:r>
          </w:p>
        </w:tc>
        <w:tc>
          <w:tcPr>
            <w:tcW w:w="3619"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超融合服务器</w:t>
            </w:r>
            <w:r>
              <w:rPr>
                <w:rFonts w:hint="eastAsia" w:ascii="宋体" w:hAnsi="宋体" w:eastAsia="宋体" w:cs="宋体"/>
                <w:i w:val="0"/>
                <w:color w:val="000000" w:themeColor="text1"/>
                <w:kern w:val="0"/>
                <w:sz w:val="22"/>
                <w:szCs w:val="22"/>
                <w:highlight w:val="none"/>
                <w:u w:val="none"/>
                <w:lang w:val="en-US" w:eastAsia="zh-CN" w:bidi="ar"/>
              </w:rPr>
              <w:br w:type="textWrapping"/>
            </w:r>
            <w:r>
              <w:rPr>
                <w:rFonts w:hint="eastAsia" w:ascii="宋体" w:hAnsi="宋体" w:eastAsia="宋体" w:cs="宋体"/>
                <w:i w:val="0"/>
                <w:color w:val="000000" w:themeColor="text1"/>
                <w:kern w:val="0"/>
                <w:sz w:val="22"/>
                <w:szCs w:val="22"/>
                <w:highlight w:val="none"/>
                <w:u w:val="none"/>
                <w:lang w:val="en-US" w:eastAsia="zh-CN" w:bidi="ar"/>
              </w:rPr>
              <w:t>(桌面云)</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color w:val="000000" w:themeColor="text1"/>
                <w:highlight w:val="none"/>
                <w:vertAlign w:val="baseline"/>
                <w:lang w:val="en-US" w:eastAsia="zh-CN"/>
              </w:rPr>
              <w:t>3</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464" w:type="dxa"/>
            <w:vAlign w:val="center"/>
          </w:tcPr>
          <w:p>
            <w:pPr>
              <w:widowControl/>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val="en-US" w:eastAsia="zh-CN" w:bidi="ar"/>
              </w:rPr>
              <w:t>2</w:t>
            </w:r>
          </w:p>
        </w:tc>
        <w:tc>
          <w:tcPr>
            <w:tcW w:w="3619"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桌面云平台软件（含63个授权）</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1</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464" w:type="dxa"/>
            <w:vAlign w:val="center"/>
          </w:tcPr>
          <w:p>
            <w:pPr>
              <w:widowControl/>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val="en-US" w:eastAsia="zh-CN" w:bidi="ar"/>
              </w:rPr>
              <w:t>3</w:t>
            </w:r>
          </w:p>
        </w:tc>
        <w:tc>
          <w:tcPr>
            <w:tcW w:w="3619" w:type="dxa"/>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themeColor="text1"/>
                <w:kern w:val="0"/>
                <w:sz w:val="22"/>
                <w:szCs w:val="22"/>
                <w:highlight w:val="none"/>
                <w:u w:val="none"/>
                <w:lang w:val="en-US" w:eastAsia="zh-CN" w:bidi="ar"/>
              </w:rPr>
              <w:t>桌面云瘦终端（包含终端KVM 切换器）</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color w:val="000000" w:themeColor="text1"/>
                <w:highlight w:val="none"/>
                <w:vertAlign w:val="baseline"/>
                <w:lang w:val="en-US" w:eastAsia="zh-CN"/>
              </w:rPr>
              <w:t>56</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464" w:type="dxa"/>
            <w:vAlign w:val="center"/>
          </w:tcPr>
          <w:p>
            <w:pPr>
              <w:widowControl/>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val="en-US" w:eastAsia="zh-CN" w:bidi="ar"/>
              </w:rPr>
              <w:t>4</w:t>
            </w:r>
          </w:p>
        </w:tc>
        <w:tc>
          <w:tcPr>
            <w:tcW w:w="3619"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显示器及支架</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color w:val="000000" w:themeColor="text1"/>
                <w:highlight w:val="none"/>
                <w:vertAlign w:val="baseline"/>
                <w:lang w:val="en-US" w:eastAsia="zh-CN"/>
              </w:rPr>
              <w:t>56</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464" w:type="dxa"/>
            <w:vAlign w:val="center"/>
          </w:tcPr>
          <w:p>
            <w:pPr>
              <w:widowControl/>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val="en-US" w:eastAsia="zh-CN" w:bidi="ar"/>
              </w:rPr>
              <w:t>5</w:t>
            </w:r>
          </w:p>
        </w:tc>
        <w:tc>
          <w:tcPr>
            <w:tcW w:w="3619" w:type="dxa"/>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themeColor="text1"/>
                <w:kern w:val="0"/>
                <w:sz w:val="22"/>
                <w:szCs w:val="22"/>
                <w:highlight w:val="none"/>
                <w:u w:val="none"/>
                <w:lang w:val="en-US" w:eastAsia="zh-CN" w:bidi="ar"/>
              </w:rPr>
              <w:t>键盘键鼠套件</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color w:val="000000" w:themeColor="text1"/>
                <w:highlight w:val="none"/>
                <w:vertAlign w:val="baseline"/>
                <w:lang w:val="en-US" w:eastAsia="zh-CN"/>
              </w:rPr>
              <w:t>56</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464" w:type="dxa"/>
            <w:vAlign w:val="center"/>
          </w:tcPr>
          <w:p>
            <w:pPr>
              <w:widowControl/>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val="en-US" w:eastAsia="zh-CN" w:bidi="ar"/>
              </w:rPr>
              <w:t>6</w:t>
            </w:r>
          </w:p>
        </w:tc>
        <w:tc>
          <w:tcPr>
            <w:tcW w:w="3619" w:type="dxa"/>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themeColor="text1"/>
                <w:kern w:val="0"/>
                <w:sz w:val="22"/>
                <w:szCs w:val="22"/>
                <w:highlight w:val="none"/>
                <w:u w:val="none"/>
                <w:lang w:val="en-US" w:eastAsia="zh-CN" w:bidi="ar"/>
              </w:rPr>
              <w:t>实施服务</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1</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项</w:t>
            </w:r>
          </w:p>
        </w:tc>
      </w:tr>
    </w:tbl>
    <w:p>
      <w:pPr>
        <w:pStyle w:val="2"/>
        <w:rPr>
          <w:rFonts w:hint="eastAsia"/>
          <w:color w:val="auto"/>
          <w:highlight w:val="none"/>
          <w:lang w:val="en-US" w:eastAsia="zh-CN"/>
        </w:rPr>
      </w:pPr>
    </w:p>
    <w:p>
      <w:pPr>
        <w:adjustRightInd w:val="0"/>
        <w:snapToGrid w:val="0"/>
        <w:spacing w:line="400" w:lineRule="exact"/>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三、项目预算：</w:t>
      </w:r>
      <w:r>
        <w:rPr>
          <w:rFonts w:hint="eastAsia" w:ascii="仿宋" w:hAnsi="仿宋" w:eastAsia="仿宋" w:cs="仿宋"/>
          <w:b/>
          <w:color w:val="auto"/>
          <w:sz w:val="24"/>
          <w:highlight w:val="none"/>
          <w:lang w:val="en-US" w:eastAsia="zh-CN"/>
        </w:rPr>
        <w:t>65.66</w:t>
      </w:r>
      <w:r>
        <w:rPr>
          <w:rFonts w:hint="eastAsia" w:ascii="仿宋" w:hAnsi="仿宋" w:eastAsia="仿宋" w:cs="仿宋"/>
          <w:color w:val="auto"/>
          <w:sz w:val="24"/>
          <w:highlight w:val="none"/>
        </w:rPr>
        <w:t>万元。</w:t>
      </w:r>
    </w:p>
    <w:p>
      <w:pPr>
        <w:pStyle w:val="56"/>
        <w:adjustRightInd w:val="0"/>
        <w:snapToGrid w:val="0"/>
        <w:spacing w:beforeAutospacing="0" w:afterAutospacing="0" w:line="400" w:lineRule="exact"/>
        <w:ind w:firstLine="482" w:firstLineChars="200"/>
        <w:jc w:val="both"/>
        <w:rPr>
          <w:rFonts w:hint="eastAsia" w:ascii="仿宋" w:hAnsi="仿宋" w:eastAsia="仿宋" w:cs="仿宋"/>
          <w:b/>
          <w:color w:val="auto"/>
          <w:kern w:val="2"/>
          <w:highlight w:val="none"/>
        </w:rPr>
      </w:pPr>
      <w:r>
        <w:rPr>
          <w:rFonts w:hint="eastAsia" w:ascii="仿宋" w:hAnsi="仿宋" w:eastAsia="仿宋" w:cs="仿宋"/>
          <w:b/>
          <w:color w:val="auto"/>
          <w:kern w:val="2"/>
          <w:highlight w:val="none"/>
        </w:rPr>
        <w:t xml:space="preserve">四、项目需求：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1、实施时间:</w:t>
      </w:r>
      <w:r>
        <w:rPr>
          <w:rFonts w:hint="eastAsia" w:ascii="仿宋" w:hAnsi="仿宋" w:eastAsia="仿宋" w:cs="仿宋"/>
          <w:color w:val="auto"/>
          <w:kern w:val="2"/>
          <w:highlight w:val="none"/>
          <w:lang w:eastAsia="zh-CN"/>
        </w:rPr>
        <w:t>按</w:t>
      </w:r>
      <w:r>
        <w:rPr>
          <w:rFonts w:hint="eastAsia" w:ascii="仿宋" w:hAnsi="仿宋" w:eastAsia="仿宋" w:cs="仿宋"/>
          <w:color w:val="auto"/>
          <w:kern w:val="2"/>
          <w:highlight w:val="none"/>
        </w:rPr>
        <w:t>采购合同签订</w:t>
      </w:r>
      <w:r>
        <w:rPr>
          <w:rFonts w:hint="eastAsia" w:ascii="仿宋" w:hAnsi="仿宋" w:eastAsia="仿宋" w:cs="仿宋"/>
          <w:color w:val="auto"/>
          <w:kern w:val="2"/>
          <w:highlight w:val="none"/>
          <w:lang w:eastAsia="zh-CN"/>
        </w:rPr>
        <w:t>的时间</w:t>
      </w:r>
      <w:r>
        <w:rPr>
          <w:rFonts w:hint="eastAsia" w:ascii="仿宋" w:hAnsi="仿宋" w:eastAsia="仿宋" w:cs="仿宋"/>
          <w:color w:val="auto"/>
          <w:kern w:val="2"/>
          <w:highlight w:val="none"/>
        </w:rPr>
        <w:t xml:space="preserve">送货至项目实施地。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2、实施地点:</w:t>
      </w:r>
      <w:r>
        <w:rPr>
          <w:rFonts w:hint="eastAsia" w:ascii="仿宋" w:hAnsi="仿宋" w:eastAsia="仿宋" w:cs="仿宋"/>
          <w:color w:val="auto"/>
          <w:highlight w:val="none"/>
        </w:rPr>
        <w:t>采购人指定地点。</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 xml:space="preserve">3、采购标的需满足的服务标准、期限、效率等要求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 xml:space="preserve">3.1服务标准：详见招标文件。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3.2服务期限：验收合格之日起</w:t>
      </w:r>
      <w:r>
        <w:rPr>
          <w:rFonts w:hint="eastAsia" w:ascii="仿宋" w:hAnsi="仿宋" w:eastAsia="仿宋" w:cs="仿宋"/>
          <w:color w:val="auto"/>
          <w:kern w:val="2"/>
          <w:highlight w:val="none"/>
          <w:lang w:val="en-US" w:eastAsia="zh-CN"/>
        </w:rPr>
        <w:t>1</w:t>
      </w:r>
      <w:r>
        <w:rPr>
          <w:rFonts w:hint="eastAsia" w:ascii="仿宋" w:hAnsi="仿宋" w:eastAsia="仿宋" w:cs="仿宋"/>
          <w:color w:val="auto"/>
          <w:kern w:val="2"/>
          <w:highlight w:val="none"/>
        </w:rPr>
        <w:t xml:space="preserve">年。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 xml:space="preserve">4、采购标的的验收标准：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 xml:space="preserve">4.1、产品应为原装正品，包装完好，产品上注明产品名称及型号、产品主要技术规格及数量、贮存运输注意事项和标志、生产厂家的名称和地址、产品生产日期及生产批号等与产品有关的基本信息；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 xml:space="preserve">4.2、投标人所供产品满足投标文件技术参数响应内容；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 xml:space="preserve">4.3、投标人所供产品应具备相应防护措施，避免损毁；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 xml:space="preserve">4.4、所供产品由投标人进行免费安装，验收若不合格时，需由投标人进行重新调试直到验收合格。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 xml:space="preserve">5、采购标的的其他技术、服务等要求(见招标文件第三章项目说明)。 </w:t>
      </w:r>
    </w:p>
    <w:p>
      <w:pPr>
        <w:pStyle w:val="56"/>
        <w:adjustRightInd w:val="0"/>
        <w:snapToGrid w:val="0"/>
        <w:spacing w:beforeAutospacing="0" w:afterAutospacing="0" w:line="400" w:lineRule="exact"/>
        <w:ind w:firstLine="482" w:firstLineChars="200"/>
        <w:jc w:val="both"/>
        <w:rPr>
          <w:rFonts w:hint="eastAsia" w:ascii="仿宋" w:hAnsi="仿宋" w:eastAsia="仿宋" w:cs="仿宋"/>
          <w:b/>
          <w:color w:val="auto"/>
          <w:kern w:val="2"/>
          <w:highlight w:val="none"/>
        </w:rPr>
      </w:pPr>
      <w:r>
        <w:rPr>
          <w:rFonts w:hint="eastAsia" w:ascii="仿宋" w:hAnsi="仿宋" w:eastAsia="仿宋" w:cs="仿宋"/>
          <w:b/>
          <w:color w:val="auto"/>
          <w:kern w:val="2"/>
          <w:highlight w:val="none"/>
        </w:rPr>
        <w:t xml:space="preserve">五、供应商资格要求：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lang w:val="en-US" w:eastAsia="zh-CN"/>
        </w:rPr>
        <w:t>1、</w:t>
      </w:r>
      <w:r>
        <w:rPr>
          <w:rFonts w:hint="eastAsia" w:ascii="仿宋" w:hAnsi="仿宋" w:eastAsia="仿宋" w:cs="仿宋"/>
          <w:color w:val="auto"/>
          <w:kern w:val="2"/>
          <w:highlight w:val="none"/>
        </w:rPr>
        <w:t>符合《中华人民共和国政府采购法》第二十二条规定，并提供《中华人民共和国政府采购法实施条例》第十七条所要求的材料；</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lang w:val="en-US" w:eastAsia="zh-CN"/>
        </w:rPr>
        <w:t>2、</w:t>
      </w:r>
      <w:r>
        <w:rPr>
          <w:rFonts w:hint="eastAsia" w:ascii="仿宋" w:hAnsi="仿宋" w:eastAsia="仿宋" w:cs="仿宋"/>
          <w:color w:val="auto"/>
          <w:kern w:val="2"/>
          <w:highlight w:val="none"/>
        </w:rPr>
        <w:t>投标人须具有合法有效的工商营业执照（副本）原件、组织机构代码证（副本）原件、国家和地方税务登记证（副本）原件；前述法人营业执照、税务登记证、组织机</w:t>
      </w:r>
    </w:p>
    <w:p>
      <w:pPr>
        <w:pStyle w:val="56"/>
        <w:adjustRightInd w:val="0"/>
        <w:snapToGrid w:val="0"/>
        <w:spacing w:beforeAutospacing="0" w:afterAutospacing="0" w:line="400" w:lineRule="exact"/>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构代码证已三证合一的，则需提供具有统一社会信用代码的营业执照（副本）原件；</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lang w:val="en-US" w:eastAsia="zh-CN"/>
        </w:rPr>
        <w:t>3、</w:t>
      </w:r>
      <w:r>
        <w:rPr>
          <w:rFonts w:hint="eastAsia" w:ascii="仿宋" w:hAnsi="仿宋" w:eastAsia="仿宋" w:cs="仿宋"/>
          <w:color w:val="auto"/>
          <w:kern w:val="2"/>
          <w:highlight w:val="none"/>
        </w:rPr>
        <w:t>投标人须未被列入“中国裁判文书网”网站（http://wenshu.court.gov.cn/）行贿犯罪档案或未被列入“中国执行信息公开网”网站（http://zxgk.court.gov.cn/）失信被执行人名单；</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lang w:val="en-US" w:eastAsia="zh-CN"/>
        </w:rPr>
        <w:t>4、</w:t>
      </w:r>
      <w:r>
        <w:rPr>
          <w:rFonts w:hint="eastAsia" w:ascii="仿宋" w:hAnsi="仿宋" w:eastAsia="仿宋" w:cs="仿宋"/>
          <w:color w:val="auto"/>
          <w:kern w:val="2"/>
          <w:highlight w:val="none"/>
        </w:rPr>
        <w:t>本项目不接受联合体投标，实行资格后审；</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投标供应商须为未被列入“信用中国</w:t>
      </w:r>
      <w:r>
        <w:rPr>
          <w:rFonts w:hint="eastAsia" w:ascii="仿宋" w:hAnsi="仿宋" w:eastAsia="仿宋" w:cs="仿宋"/>
          <w:color w:val="auto"/>
          <w:kern w:val="2"/>
          <w:highlight w:val="none"/>
          <w:lang w:val="en-US" w:eastAsia="zh-CN"/>
        </w:rPr>
        <w:t>(甘肃天水)</w:t>
      </w:r>
      <w:r>
        <w:rPr>
          <w:rFonts w:hint="eastAsia" w:ascii="仿宋" w:hAnsi="仿宋" w:eastAsia="仿宋" w:cs="仿宋"/>
          <w:color w:val="auto"/>
          <w:kern w:val="2"/>
          <w:highlight w:val="none"/>
        </w:rPr>
        <w:t xml:space="preserve">”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甘肃”网站（www.gscredit.gov.cn）记录失信被执行人或财政性资金管理使用领域相关失信责任主体、统计领域严重失信企业及其有关人员等的方可参加本项目的投标。（以投标截止日当天在“信用中国”网站（www.creditchina.gov.cn）、中国政府采购网（www.ccgp.gov.cn）及“信用甘肃”网站（www.gscredit.gov.cn）查询结果为准，如相关失信记录失效，供应商需提供相关证明资料）。 </w:t>
      </w:r>
    </w:p>
    <w:p>
      <w:pPr>
        <w:pStyle w:val="56"/>
        <w:adjustRightInd w:val="0"/>
        <w:snapToGrid w:val="0"/>
        <w:spacing w:beforeAutospacing="0" w:afterAutospacing="0" w:line="400" w:lineRule="exact"/>
        <w:ind w:firstLine="482" w:firstLineChars="200"/>
        <w:jc w:val="both"/>
        <w:rPr>
          <w:rFonts w:hint="eastAsia" w:ascii="仿宋" w:hAnsi="仿宋" w:eastAsia="仿宋" w:cs="仿宋"/>
          <w:b/>
          <w:color w:val="auto"/>
          <w:kern w:val="2"/>
          <w:highlight w:val="none"/>
        </w:rPr>
      </w:pPr>
      <w:r>
        <w:rPr>
          <w:rFonts w:hint="eastAsia" w:ascii="仿宋" w:hAnsi="仿宋" w:eastAsia="仿宋" w:cs="仿宋"/>
          <w:b/>
          <w:color w:val="auto"/>
          <w:kern w:val="2"/>
          <w:highlight w:val="none"/>
        </w:rPr>
        <w:t xml:space="preserve">六、评标办法：综合评分法 </w:t>
      </w:r>
    </w:p>
    <w:p>
      <w:pPr>
        <w:pStyle w:val="56"/>
        <w:adjustRightInd w:val="0"/>
        <w:snapToGrid w:val="0"/>
        <w:spacing w:beforeAutospacing="0" w:afterAutospacing="0" w:line="400" w:lineRule="exact"/>
        <w:ind w:firstLine="482" w:firstLineChars="200"/>
        <w:jc w:val="both"/>
        <w:rPr>
          <w:rFonts w:hint="eastAsia" w:ascii="仿宋" w:hAnsi="仿宋" w:eastAsia="仿宋" w:cs="仿宋"/>
          <w:b/>
          <w:color w:val="auto"/>
          <w:kern w:val="2"/>
          <w:highlight w:val="none"/>
        </w:rPr>
      </w:pPr>
      <w:r>
        <w:rPr>
          <w:rFonts w:hint="eastAsia" w:ascii="仿宋" w:hAnsi="仿宋" w:eastAsia="仿宋" w:cs="仿宋"/>
          <w:b/>
          <w:color w:val="auto"/>
          <w:kern w:val="2"/>
          <w:highlight w:val="none"/>
        </w:rPr>
        <w:t xml:space="preserve">七、信息注册须知：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为了规范交易平台的业务流程以及给用户提供方便快捷的服务，进一步落实“放管服”改革要求，凡是拟参与天水市公共资源交易活动的投标人需先在天水市公共资源交易网上注册，投标人可自行选择以下任意一种方式进行注册、登录：</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方式一：拟参与天水市公共资源交易活动的投标人在天水市公共资源交易网上注册填写相关内容，获取登录权限。登录权限获取成功后使用“用户名+密码+验证码”的方式登录，免费下载招标文件。</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方式二：拟参与天水市公共资源交易活动的投标人在天水市公共资源交易网上注册，并办理获取CA数字证书。用已办理获取的CA数字证书登录，免费下载招标文件。</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用户名+密码+验证码”的登录方式和CA数字证书登录方式并行，由投标人自行选择登录方式。CA数字证书由符合有关规定的市场运营主体办理。已办理CA数字证书的投标人，仍可在天水市公共资源交易网上正常使用。</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注：填写信息必须真实有效。</w:t>
      </w:r>
    </w:p>
    <w:p>
      <w:pPr>
        <w:pStyle w:val="56"/>
        <w:adjustRightInd w:val="0"/>
        <w:snapToGrid w:val="0"/>
        <w:spacing w:beforeAutospacing="0" w:afterAutospacing="0" w:line="400" w:lineRule="exact"/>
        <w:ind w:firstLine="482" w:firstLineChars="200"/>
        <w:jc w:val="both"/>
        <w:rPr>
          <w:rFonts w:hint="eastAsia" w:ascii="仿宋" w:hAnsi="仿宋" w:eastAsia="仿宋" w:cs="仿宋"/>
          <w:b/>
          <w:color w:val="auto"/>
          <w:kern w:val="2"/>
          <w:highlight w:val="none"/>
        </w:rPr>
      </w:pPr>
      <w:r>
        <w:rPr>
          <w:rFonts w:hint="eastAsia" w:ascii="仿宋" w:hAnsi="仿宋" w:eastAsia="仿宋" w:cs="仿宋"/>
          <w:b/>
          <w:color w:val="auto"/>
          <w:kern w:val="2"/>
          <w:highlight w:val="none"/>
        </w:rPr>
        <w:t xml:space="preserve">八、公告期限： </w:t>
      </w:r>
      <w:r>
        <w:rPr>
          <w:rFonts w:hint="eastAsia" w:ascii="仿宋" w:hAnsi="仿宋" w:eastAsia="仿宋" w:cs="仿宋"/>
          <w:color w:val="auto"/>
          <w:kern w:val="2"/>
          <w:highlight w:val="none"/>
        </w:rPr>
        <w:t>5 个工作日</w:t>
      </w:r>
      <w:r>
        <w:rPr>
          <w:rFonts w:hint="eastAsia" w:ascii="仿宋" w:hAnsi="仿宋" w:eastAsia="仿宋" w:cs="仿宋"/>
          <w:b/>
          <w:color w:val="auto"/>
          <w:kern w:val="2"/>
          <w:highlight w:val="none"/>
        </w:rPr>
        <w:t xml:space="preserve"> </w:t>
      </w:r>
    </w:p>
    <w:p>
      <w:pPr>
        <w:pStyle w:val="56"/>
        <w:shd w:val="clear" w:color="auto" w:fill="FFFFFF"/>
        <w:adjustRightInd w:val="0"/>
        <w:snapToGrid w:val="0"/>
        <w:spacing w:beforeAutospacing="0" w:afterAutospacing="0" w:line="400" w:lineRule="exact"/>
        <w:ind w:firstLine="482" w:firstLineChars="200"/>
        <w:jc w:val="both"/>
        <w:rPr>
          <w:rFonts w:hint="eastAsia" w:ascii="仿宋" w:hAnsi="仿宋" w:eastAsia="仿宋" w:cs="仿宋"/>
          <w:b/>
          <w:color w:val="auto"/>
          <w:kern w:val="2"/>
          <w:highlight w:val="none"/>
        </w:rPr>
      </w:pPr>
      <w:r>
        <w:rPr>
          <w:rFonts w:hint="eastAsia" w:ascii="仿宋" w:hAnsi="仿宋" w:eastAsia="仿宋" w:cs="仿宋"/>
          <w:b/>
          <w:color w:val="auto"/>
          <w:kern w:val="2"/>
          <w:highlight w:val="none"/>
        </w:rPr>
        <w:t xml:space="preserve">九、获取招标文件的时间、地点、方式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lang w:val="en-US" w:eastAsia="zh-CN"/>
        </w:rPr>
        <w:t>（一）时间：自2019年12月25日00:00:00起至2019年12月31日23:59:59止均可免费获取。</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lang w:val="en-US" w:eastAsia="zh-CN"/>
        </w:rPr>
        <w:t>（二）方式：登录天水市公共资源交易中心网站免费下载。投标人可访问“天水市公共资源交易中心”网站（http://ggzyjy.tianshui.gov.cn）点击对应的招标项目公告，免费获取招标文件，也可通过登录天水公共资源交易电子服务系统，在“投标管理”栏目“招标文件获取”子栏目下在线免费获取。</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lang w:val="en-US" w:eastAsia="zh-CN"/>
        </w:rPr>
        <w:t>注：凡是拟参与天水市公共资源交易活动的招标人、招标代理机构、投标单位需先在天水市公共资源交易网上免费注册或获取数字证书方可办理业务。投标人免费注册或办理数字证书后，登录电子服务系统在“投标管理”栏目下“招标文件获取”子栏目下获取投标保证金缴款子账号，缴款账号应以收到短信或天水市公共资源交易电子服务系统获取情况中显示的为准。</w:t>
      </w:r>
    </w:p>
    <w:p>
      <w:pPr>
        <w:pStyle w:val="56"/>
        <w:shd w:val="clear" w:color="auto" w:fill="FFFFFF"/>
        <w:adjustRightInd w:val="0"/>
        <w:snapToGrid w:val="0"/>
        <w:spacing w:beforeAutospacing="0" w:afterAutospacing="0" w:line="400" w:lineRule="exact"/>
        <w:ind w:firstLine="482" w:firstLineChars="200"/>
        <w:jc w:val="both"/>
        <w:rPr>
          <w:rFonts w:hint="eastAsia" w:ascii="仿宋" w:hAnsi="仿宋" w:eastAsia="仿宋" w:cs="仿宋"/>
          <w:b/>
          <w:color w:val="auto"/>
          <w:kern w:val="2"/>
          <w:highlight w:val="none"/>
        </w:rPr>
      </w:pPr>
      <w:r>
        <w:rPr>
          <w:rFonts w:hint="eastAsia" w:ascii="仿宋" w:hAnsi="仿宋" w:eastAsia="仿宋" w:cs="仿宋"/>
          <w:b/>
          <w:color w:val="auto"/>
          <w:kern w:val="2"/>
          <w:highlight w:val="none"/>
        </w:rPr>
        <w:t xml:space="preserve">十、投标截止时间、投标时间及地点 </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1．投标截止时间：20</w:t>
      </w:r>
      <w:r>
        <w:rPr>
          <w:rFonts w:hint="eastAsia" w:ascii="仿宋" w:hAnsi="仿宋" w:eastAsia="仿宋" w:cs="仿宋"/>
          <w:color w:val="auto"/>
          <w:kern w:val="2"/>
          <w:highlight w:val="none"/>
          <w:lang w:val="en-US" w:eastAsia="zh-CN"/>
        </w:rPr>
        <w:t>20</w:t>
      </w:r>
      <w:r>
        <w:rPr>
          <w:rFonts w:hint="eastAsia" w:ascii="仿宋" w:hAnsi="仿宋" w:eastAsia="仿宋" w:cs="仿宋"/>
          <w:color w:val="auto"/>
          <w:kern w:val="2"/>
          <w:highlight w:val="none"/>
        </w:rPr>
        <w:t>年</w:t>
      </w:r>
      <w:r>
        <w:rPr>
          <w:rFonts w:hint="eastAsia" w:ascii="仿宋" w:hAnsi="仿宋" w:eastAsia="仿宋" w:cs="仿宋"/>
          <w:color w:val="auto"/>
          <w:kern w:val="2"/>
          <w:highlight w:val="none"/>
          <w:lang w:val="en-US" w:eastAsia="zh-CN"/>
        </w:rPr>
        <w:t>1</w:t>
      </w:r>
      <w:r>
        <w:rPr>
          <w:rFonts w:hint="eastAsia" w:ascii="仿宋" w:hAnsi="仿宋" w:eastAsia="仿宋" w:cs="仿宋"/>
          <w:color w:val="auto"/>
          <w:kern w:val="2"/>
          <w:highlight w:val="none"/>
        </w:rPr>
        <w:t>月</w:t>
      </w:r>
      <w:r>
        <w:rPr>
          <w:rFonts w:hint="eastAsia" w:ascii="仿宋" w:hAnsi="仿宋" w:eastAsia="仿宋" w:cs="仿宋"/>
          <w:color w:val="auto"/>
          <w:kern w:val="2"/>
          <w:highlight w:val="none"/>
          <w:lang w:val="en-US" w:eastAsia="zh-CN"/>
        </w:rPr>
        <w:t>15</w:t>
      </w:r>
      <w:r>
        <w:rPr>
          <w:rFonts w:hint="eastAsia" w:ascii="仿宋" w:hAnsi="仿宋" w:eastAsia="仿宋" w:cs="仿宋"/>
          <w:color w:val="auto"/>
          <w:kern w:val="2"/>
          <w:highlight w:val="none"/>
        </w:rPr>
        <w:t>日</w:t>
      </w:r>
      <w:r>
        <w:rPr>
          <w:rFonts w:hint="eastAsia" w:ascii="仿宋" w:hAnsi="仿宋" w:eastAsia="仿宋" w:cs="仿宋"/>
          <w:color w:val="auto"/>
          <w:kern w:val="2"/>
          <w:highlight w:val="none"/>
          <w:lang w:val="en-US" w:eastAsia="zh-CN"/>
        </w:rPr>
        <w:t>10</w:t>
      </w:r>
      <w:r>
        <w:rPr>
          <w:rFonts w:hint="eastAsia" w:ascii="仿宋" w:hAnsi="仿宋" w:eastAsia="仿宋" w:cs="仿宋"/>
          <w:color w:val="auto"/>
          <w:kern w:val="2"/>
          <w:highlight w:val="none"/>
        </w:rPr>
        <w:t>时</w:t>
      </w:r>
      <w:r>
        <w:rPr>
          <w:rFonts w:hint="eastAsia" w:ascii="仿宋" w:hAnsi="仿宋" w:eastAsia="仿宋" w:cs="仿宋"/>
          <w:color w:val="auto"/>
          <w:kern w:val="2"/>
          <w:highlight w:val="none"/>
          <w:lang w:val="en-US" w:eastAsia="zh-CN"/>
        </w:rPr>
        <w:t>00</w:t>
      </w:r>
      <w:r>
        <w:rPr>
          <w:rFonts w:hint="eastAsia" w:ascii="仿宋" w:hAnsi="仿宋" w:eastAsia="仿宋" w:cs="仿宋"/>
          <w:color w:val="auto"/>
          <w:kern w:val="2"/>
          <w:highlight w:val="none"/>
        </w:rPr>
        <w:t>分之前在天水市公共资源交易中心（秦州区成纪大道新华路2号</w:t>
      </w:r>
      <w:r>
        <w:rPr>
          <w:rFonts w:hint="eastAsia" w:ascii="仿宋" w:hAnsi="仿宋" w:eastAsia="仿宋" w:cs="仿宋"/>
          <w:color w:val="auto"/>
          <w:kern w:val="2"/>
          <w:highlight w:val="none"/>
          <w:lang w:eastAsia="zh-CN"/>
        </w:rPr>
        <w:t>四</w:t>
      </w:r>
      <w:r>
        <w:rPr>
          <w:rFonts w:hint="eastAsia" w:ascii="仿宋" w:hAnsi="仿宋" w:eastAsia="仿宋" w:cs="仿宋"/>
          <w:color w:val="auto"/>
          <w:kern w:val="2"/>
          <w:highlight w:val="none"/>
        </w:rPr>
        <w:t xml:space="preserve">楼）,逾期不再受理。 </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2．开标时间及地点：20</w:t>
      </w:r>
      <w:r>
        <w:rPr>
          <w:rFonts w:hint="eastAsia" w:ascii="仿宋" w:hAnsi="仿宋" w:eastAsia="仿宋" w:cs="仿宋"/>
          <w:color w:val="auto"/>
          <w:kern w:val="2"/>
          <w:highlight w:val="none"/>
          <w:lang w:val="en-US" w:eastAsia="zh-CN"/>
        </w:rPr>
        <w:t>20</w:t>
      </w:r>
      <w:r>
        <w:rPr>
          <w:rFonts w:hint="eastAsia" w:ascii="仿宋" w:hAnsi="仿宋" w:eastAsia="仿宋" w:cs="仿宋"/>
          <w:color w:val="auto"/>
          <w:kern w:val="2"/>
          <w:highlight w:val="none"/>
        </w:rPr>
        <w:t>年</w:t>
      </w:r>
      <w:r>
        <w:rPr>
          <w:rFonts w:hint="eastAsia" w:ascii="仿宋" w:hAnsi="仿宋" w:eastAsia="仿宋" w:cs="仿宋"/>
          <w:color w:val="auto"/>
          <w:kern w:val="2"/>
          <w:highlight w:val="none"/>
          <w:lang w:val="en-US" w:eastAsia="zh-CN"/>
        </w:rPr>
        <w:t>1</w:t>
      </w:r>
      <w:r>
        <w:rPr>
          <w:rFonts w:hint="eastAsia" w:ascii="仿宋" w:hAnsi="仿宋" w:eastAsia="仿宋" w:cs="仿宋"/>
          <w:color w:val="auto"/>
          <w:kern w:val="2"/>
          <w:highlight w:val="none"/>
        </w:rPr>
        <w:t>月</w:t>
      </w:r>
      <w:r>
        <w:rPr>
          <w:rFonts w:hint="eastAsia" w:ascii="仿宋" w:hAnsi="仿宋" w:eastAsia="仿宋" w:cs="仿宋"/>
          <w:color w:val="auto"/>
          <w:kern w:val="2"/>
          <w:highlight w:val="none"/>
          <w:lang w:val="en-US" w:eastAsia="zh-CN"/>
        </w:rPr>
        <w:t>15</w:t>
      </w:r>
      <w:r>
        <w:rPr>
          <w:rFonts w:hint="eastAsia" w:ascii="仿宋" w:hAnsi="仿宋" w:eastAsia="仿宋" w:cs="仿宋"/>
          <w:color w:val="auto"/>
          <w:kern w:val="2"/>
          <w:highlight w:val="none"/>
        </w:rPr>
        <w:t>日</w:t>
      </w:r>
      <w:r>
        <w:rPr>
          <w:rFonts w:hint="eastAsia" w:ascii="仿宋" w:hAnsi="仿宋" w:eastAsia="仿宋" w:cs="仿宋"/>
          <w:color w:val="auto"/>
          <w:kern w:val="2"/>
          <w:highlight w:val="none"/>
          <w:lang w:val="en-US" w:eastAsia="zh-CN"/>
        </w:rPr>
        <w:t>10</w:t>
      </w:r>
      <w:r>
        <w:rPr>
          <w:rFonts w:hint="eastAsia" w:ascii="仿宋" w:hAnsi="仿宋" w:eastAsia="仿宋" w:cs="仿宋"/>
          <w:color w:val="auto"/>
          <w:kern w:val="2"/>
          <w:highlight w:val="none"/>
        </w:rPr>
        <w:t>时</w:t>
      </w:r>
      <w:r>
        <w:rPr>
          <w:rFonts w:hint="eastAsia" w:ascii="仿宋" w:hAnsi="仿宋" w:eastAsia="仿宋" w:cs="仿宋"/>
          <w:color w:val="auto"/>
          <w:kern w:val="2"/>
          <w:highlight w:val="none"/>
          <w:lang w:val="en-US" w:eastAsia="zh-CN"/>
        </w:rPr>
        <w:t>00</w:t>
      </w:r>
      <w:r>
        <w:rPr>
          <w:rFonts w:hint="eastAsia" w:ascii="仿宋" w:hAnsi="仿宋" w:eastAsia="仿宋" w:cs="仿宋"/>
          <w:color w:val="auto"/>
          <w:kern w:val="2"/>
          <w:highlight w:val="none"/>
        </w:rPr>
        <w:t>分在天水市公共资源交易中心（秦州区成纪大道新华路2号楼</w:t>
      </w:r>
      <w:r>
        <w:rPr>
          <w:rFonts w:hint="eastAsia" w:ascii="仿宋" w:hAnsi="仿宋" w:eastAsia="仿宋" w:cs="仿宋"/>
          <w:color w:val="auto"/>
          <w:kern w:val="2"/>
          <w:highlight w:val="none"/>
          <w:lang w:eastAsia="zh-CN"/>
        </w:rPr>
        <w:t>四</w:t>
      </w:r>
      <w:r>
        <w:rPr>
          <w:rFonts w:hint="eastAsia" w:ascii="仿宋" w:hAnsi="仿宋" w:eastAsia="仿宋" w:cs="仿宋"/>
          <w:color w:val="auto"/>
          <w:kern w:val="2"/>
          <w:highlight w:val="none"/>
        </w:rPr>
        <w:t>楼第</w:t>
      </w:r>
      <w:r>
        <w:rPr>
          <w:rFonts w:hint="eastAsia" w:ascii="仿宋" w:hAnsi="仿宋" w:eastAsia="仿宋" w:cs="仿宋"/>
          <w:color w:val="auto"/>
          <w:kern w:val="2"/>
          <w:highlight w:val="none"/>
          <w:lang w:eastAsia="zh-CN"/>
        </w:rPr>
        <w:t>二</w:t>
      </w:r>
      <w:r>
        <w:rPr>
          <w:rFonts w:hint="eastAsia" w:ascii="仿宋" w:hAnsi="仿宋" w:eastAsia="仿宋" w:cs="仿宋"/>
          <w:color w:val="auto"/>
          <w:kern w:val="2"/>
          <w:highlight w:val="none"/>
        </w:rPr>
        <w:t xml:space="preserve">开标厅）。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 xml:space="preserve">3、供应商在投标文件递交截止时间前应主动登录甘肃政府采购网，以便及时了解相关招标信息和补充信息。如因未主动登录网站而未获取相关信息，对其产生的不利因素由供应商自行承担。 </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 xml:space="preserve">十一、投标保证金账户内容及递交须知 </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投标保证金账户内容：</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户 名：天水市公共资源交易中心</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账 号：以获取招标文件时收到的短信内容为准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80" w:firstLineChars="200"/>
        <w:jc w:val="both"/>
        <w:rPr>
          <w:rFonts w:hint="eastAsia" w:ascii="仿宋" w:hAnsi="仿宋" w:eastAsia="仿宋" w:cs="仿宋"/>
          <w:sz w:val="24"/>
          <w:szCs w:val="24"/>
          <w:highlight w:val="none"/>
        </w:rPr>
      </w:pPr>
      <w:r>
        <w:rPr>
          <w:rFonts w:hint="eastAsia" w:ascii="仿宋" w:hAnsi="仿宋" w:eastAsia="仿宋" w:cs="仿宋"/>
          <w:color w:val="auto"/>
          <w:kern w:val="2"/>
          <w:sz w:val="24"/>
          <w:szCs w:val="24"/>
          <w:highlight w:val="none"/>
        </w:rPr>
        <w:t>开户银行：</w:t>
      </w:r>
      <w:r>
        <w:rPr>
          <w:rFonts w:hint="eastAsia" w:ascii="仿宋" w:hAnsi="仿宋" w:eastAsia="仿宋" w:cs="仿宋"/>
          <w:color w:val="333333"/>
          <w:kern w:val="0"/>
          <w:sz w:val="24"/>
          <w:szCs w:val="24"/>
          <w:highlight w:val="none"/>
          <w:lang w:val="en-US" w:eastAsia="zh-CN" w:bidi="ar"/>
        </w:rPr>
        <w:t>天水秦州农村合作银行</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行 号：</w:t>
      </w:r>
      <w:r>
        <w:rPr>
          <w:rFonts w:hint="eastAsia" w:ascii="仿宋" w:hAnsi="仿宋" w:eastAsia="仿宋" w:cs="仿宋"/>
          <w:color w:val="333333"/>
          <w:sz w:val="24"/>
          <w:szCs w:val="24"/>
          <w:highlight w:val="none"/>
          <w:lang w:val="en-US"/>
        </w:rPr>
        <w:t>402825001017</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投标保证金到账截止时间：以招标文件要求的投标截止时间为准。</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为保证开标现场对投标保证金到账情况进行核对，提醒投标人要充分考虑汇款及到账所需时间以及发现问题后采取补救措施所需时间，以确保投标保证金在规定时间前到账。因不能在投标截止时间前到达指定账户的，导致投标无效的后果由投标人自行承担。</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投标保证金递交须知：</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（1）投标人拟参加的项目成功后，系统会将投标保证金收款信息发送至投标人获取招标文件时预留的手机；投标人也可登录天水市公共资源交易中心网自行查询。</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（2）投标人必须从基本账户以电汇或网银方式提交保证金，且投标保证金单位名称必须与投标人登记的单位名称一致，不得以分公司、办事处或其他机构名义递交。</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 xml:space="preserve">（3）投标人在办理投标人保证金电汇或网银转账手续时，应按标段（包）所对应子账号逐笔递交保证金，且每个标段（包）必须一次性足额缴纳，不允许多次缴纳。 </w:t>
      </w:r>
    </w:p>
    <w:p>
      <w:pPr>
        <w:pStyle w:val="56"/>
        <w:shd w:val="clear" w:color="auto" w:fill="FFFFFF"/>
        <w:adjustRightInd w:val="0"/>
        <w:snapToGrid w:val="0"/>
        <w:spacing w:beforeAutospacing="0" w:afterAutospacing="0" w:line="400" w:lineRule="exact"/>
        <w:ind w:firstLine="482" w:firstLineChars="200"/>
        <w:jc w:val="both"/>
        <w:rPr>
          <w:rFonts w:hint="eastAsia" w:ascii="仿宋" w:hAnsi="仿宋" w:eastAsia="仿宋" w:cs="仿宋"/>
          <w:b/>
          <w:color w:val="auto"/>
          <w:kern w:val="2"/>
          <w:highlight w:val="none"/>
        </w:rPr>
      </w:pPr>
      <w:r>
        <w:rPr>
          <w:rFonts w:hint="eastAsia" w:ascii="仿宋" w:hAnsi="仿宋" w:eastAsia="仿宋" w:cs="仿宋"/>
          <w:b/>
          <w:color w:val="auto"/>
          <w:kern w:val="2"/>
          <w:highlight w:val="none"/>
        </w:rPr>
        <w:t>十二、采购项目需要落实的政府采购政策：</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sz w:val="24"/>
          <w:szCs w:val="24"/>
          <w:highlight w:val="none"/>
        </w:rPr>
      </w:pPr>
      <w:r>
        <w:rPr>
          <w:rStyle w:val="60"/>
          <w:rFonts w:hint="eastAsia" w:ascii="仿宋" w:hAnsi="仿宋" w:eastAsia="仿宋" w:cs="仿宋"/>
          <w:b w:val="0"/>
          <w:bCs w:val="0"/>
          <w:color w:val="auto"/>
          <w:sz w:val="24"/>
          <w:szCs w:val="24"/>
          <w:highlight w:val="none"/>
        </w:rPr>
        <w:t>（1）根据财政部发布的《政府采购促进中小企业发展暂行办法》规定，本项目对小型和微型企业产品的价格给予6%的扣除。（2）根据财政部发布的《关于政府采购支持监狱企业发展有关问题的通知》规定，本项目对监狱企业产品的价格给予6%的扣除。（3）根据财政部、民政部、中国残疾人联合会发布的《关于促进残疾人就业政府采购政策的通知》规定，本项目对残疾人福利性单位产品的价格给予6%的扣除。</w:t>
      </w:r>
      <w:r>
        <w:rPr>
          <w:rFonts w:hint="eastAsia" w:ascii="仿宋" w:hAnsi="仿宋" w:eastAsia="仿宋" w:cs="仿宋"/>
          <w:color w:val="auto"/>
          <w:sz w:val="24"/>
          <w:szCs w:val="24"/>
          <w:highlight w:val="none"/>
        </w:rPr>
        <w:t xml:space="preserve"> </w:t>
      </w:r>
    </w:p>
    <w:p>
      <w:pPr>
        <w:pStyle w:val="56"/>
        <w:shd w:val="clear" w:color="auto" w:fill="FFFFFF"/>
        <w:adjustRightInd w:val="0"/>
        <w:snapToGrid w:val="0"/>
        <w:spacing w:beforeAutospacing="0" w:afterAutospacing="0" w:line="400" w:lineRule="exact"/>
        <w:ind w:firstLine="482" w:firstLineChars="200"/>
        <w:jc w:val="both"/>
        <w:rPr>
          <w:rFonts w:hint="eastAsia" w:ascii="仿宋" w:hAnsi="仿宋" w:eastAsia="仿宋" w:cs="仿宋"/>
          <w:b/>
          <w:color w:val="auto"/>
          <w:kern w:val="2"/>
          <w:highlight w:val="none"/>
        </w:rPr>
      </w:pPr>
      <w:r>
        <w:rPr>
          <w:rFonts w:hint="eastAsia" w:ascii="仿宋" w:hAnsi="仿宋" w:eastAsia="仿宋" w:cs="仿宋"/>
          <w:b/>
          <w:color w:val="auto"/>
          <w:kern w:val="2"/>
          <w:highlight w:val="none"/>
        </w:rPr>
        <w:t xml:space="preserve">十三、采购项目联系人姓名及电话  </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lang w:eastAsia="zh-CN"/>
        </w:rPr>
      </w:pPr>
      <w:r>
        <w:rPr>
          <w:rFonts w:hint="eastAsia" w:ascii="仿宋" w:hAnsi="仿宋" w:eastAsia="仿宋" w:cs="仿宋"/>
          <w:color w:val="auto"/>
          <w:kern w:val="2"/>
          <w:highlight w:val="none"/>
        </w:rPr>
        <w:t>采购单位：</w:t>
      </w:r>
      <w:r>
        <w:rPr>
          <w:rFonts w:hint="eastAsia" w:ascii="仿宋" w:hAnsi="仿宋" w:eastAsia="仿宋" w:cs="仿宋"/>
          <w:color w:val="auto"/>
          <w:kern w:val="2"/>
          <w:highlight w:val="none"/>
          <w:lang w:eastAsia="zh-CN"/>
        </w:rPr>
        <w:t>武山县人民检察院</w:t>
      </w:r>
    </w:p>
    <w:p>
      <w:pPr>
        <w:keepNext w:val="0"/>
        <w:keepLines w:val="0"/>
        <w:widowControl/>
        <w:suppressLineNumbers w:val="0"/>
        <w:pBdr>
          <w:top w:val="none" w:color="auto" w:sz="0" w:space="0"/>
          <w:left w:val="none" w:color="auto" w:sz="0" w:space="0"/>
          <w:bottom w:val="none" w:color="auto" w:sz="0" w:space="0"/>
        </w:pBdr>
        <w:wordWrap w:val="0"/>
        <w:ind w:firstLine="480" w:firstLineChars="200"/>
        <w:jc w:val="left"/>
        <w:rPr>
          <w:rFonts w:hint="eastAsia" w:ascii="仿宋" w:hAnsi="仿宋" w:eastAsia="仿宋" w:cs="仿宋"/>
          <w:color w:val="333333"/>
          <w:sz w:val="24"/>
          <w:szCs w:val="24"/>
          <w:highlight w:val="none"/>
        </w:rPr>
      </w:pPr>
      <w:r>
        <w:rPr>
          <w:rFonts w:hint="eastAsia" w:ascii="仿宋" w:hAnsi="仿宋" w:eastAsia="仿宋" w:cs="仿宋"/>
          <w:color w:val="auto"/>
          <w:kern w:val="2"/>
          <w:sz w:val="24"/>
          <w:szCs w:val="24"/>
          <w:highlight w:val="none"/>
        </w:rPr>
        <w:t>地址：</w:t>
      </w:r>
      <w:r>
        <w:rPr>
          <w:rFonts w:hint="eastAsia" w:ascii="仿宋" w:hAnsi="仿宋" w:eastAsia="仿宋" w:cs="仿宋"/>
          <w:color w:val="333333"/>
          <w:kern w:val="0"/>
          <w:sz w:val="24"/>
          <w:szCs w:val="24"/>
          <w:highlight w:val="none"/>
          <w:lang w:val="en-US" w:eastAsia="zh-CN" w:bidi="ar"/>
        </w:rPr>
        <w:t>武山县宁远大道40号</w:t>
      </w:r>
    </w:p>
    <w:p>
      <w:pPr>
        <w:pStyle w:val="5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firstLine="480" w:firstLineChars="200"/>
        <w:rPr>
          <w:rFonts w:hint="eastAsia" w:ascii="仿宋" w:hAnsi="仿宋" w:eastAsia="仿宋" w:cs="仿宋"/>
          <w:color w:val="auto"/>
          <w:kern w:val="2"/>
          <w:highlight w:val="none"/>
          <w:lang w:eastAsia="zh-CN"/>
        </w:rPr>
      </w:pPr>
      <w:r>
        <w:rPr>
          <w:rFonts w:hint="eastAsia" w:ascii="仿宋" w:hAnsi="仿宋" w:eastAsia="仿宋" w:cs="仿宋"/>
          <w:color w:val="auto"/>
          <w:kern w:val="2"/>
          <w:highlight w:val="none"/>
          <w:lang w:eastAsia="zh-CN"/>
        </w:rPr>
        <w:t>联系</w:t>
      </w:r>
      <w:r>
        <w:rPr>
          <w:rFonts w:hint="eastAsia" w:ascii="仿宋" w:hAnsi="仿宋" w:eastAsia="仿宋" w:cs="仿宋"/>
          <w:color w:val="auto"/>
          <w:kern w:val="2"/>
          <w:highlight w:val="none"/>
        </w:rPr>
        <w:t>人：</w:t>
      </w:r>
      <w:r>
        <w:rPr>
          <w:rFonts w:hint="eastAsia" w:ascii="仿宋" w:hAnsi="仿宋" w:eastAsia="仿宋" w:cs="仿宋"/>
          <w:color w:val="auto"/>
          <w:kern w:val="2"/>
          <w:highlight w:val="none"/>
          <w:lang w:eastAsia="zh-CN"/>
        </w:rPr>
        <w:t>苟雅涵</w:t>
      </w:r>
    </w:p>
    <w:p>
      <w:pPr>
        <w:pStyle w:val="56"/>
        <w:shd w:val="clear" w:color="auto" w:fill="FFFFFF"/>
        <w:adjustRightInd w:val="0"/>
        <w:snapToGrid w:val="0"/>
        <w:spacing w:beforeAutospacing="0" w:afterAutospacing="0" w:line="400" w:lineRule="exact"/>
        <w:ind w:firstLine="480" w:firstLineChars="200"/>
        <w:jc w:val="both"/>
        <w:rPr>
          <w:rFonts w:hint="default" w:ascii="仿宋" w:hAnsi="仿宋" w:eastAsia="仿宋" w:cs="仿宋"/>
          <w:color w:val="auto"/>
          <w:kern w:val="2"/>
          <w:highlight w:val="none"/>
          <w:lang w:val="en-US" w:eastAsia="zh-CN"/>
        </w:rPr>
      </w:pPr>
      <w:r>
        <w:rPr>
          <w:rFonts w:hint="eastAsia" w:ascii="仿宋" w:hAnsi="仿宋" w:eastAsia="仿宋" w:cs="仿宋"/>
          <w:color w:val="auto"/>
          <w:kern w:val="2"/>
          <w:highlight w:val="none"/>
        </w:rPr>
        <w:t>联系电话：</w:t>
      </w:r>
      <w:r>
        <w:rPr>
          <w:rFonts w:hint="eastAsia" w:ascii="仿宋" w:hAnsi="仿宋" w:eastAsia="仿宋" w:cs="仿宋"/>
          <w:color w:val="auto"/>
          <w:kern w:val="2"/>
          <w:highlight w:val="none"/>
          <w:lang w:val="en-US" w:eastAsia="zh-CN"/>
        </w:rPr>
        <w:t>0938-3421175</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lang w:eastAsia="zh-CN"/>
        </w:rPr>
      </w:pPr>
      <w:r>
        <w:rPr>
          <w:rFonts w:hint="eastAsia" w:ascii="仿宋" w:hAnsi="仿宋" w:eastAsia="仿宋" w:cs="仿宋"/>
          <w:color w:val="auto"/>
          <w:kern w:val="2"/>
          <w:highlight w:val="none"/>
        </w:rPr>
        <w:t>招标代理机构：</w:t>
      </w:r>
      <w:r>
        <w:rPr>
          <w:rFonts w:hint="eastAsia" w:ascii="仿宋" w:hAnsi="仿宋" w:eastAsia="仿宋" w:cs="仿宋"/>
          <w:color w:val="auto"/>
          <w:kern w:val="2"/>
          <w:highlight w:val="none"/>
          <w:lang w:eastAsia="zh-CN"/>
        </w:rPr>
        <w:t>甘肃新易信招标代理有限责任公司</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联系人：</w:t>
      </w:r>
      <w:r>
        <w:rPr>
          <w:rFonts w:hint="eastAsia" w:ascii="仿宋" w:hAnsi="仿宋" w:eastAsia="仿宋" w:cs="仿宋"/>
          <w:color w:val="auto"/>
          <w:kern w:val="2"/>
          <w:highlight w:val="none"/>
          <w:lang w:eastAsia="zh-CN"/>
        </w:rPr>
        <w:t>宋健</w:t>
      </w:r>
      <w:r>
        <w:rPr>
          <w:rFonts w:hint="eastAsia" w:ascii="仿宋" w:hAnsi="仿宋" w:eastAsia="仿宋" w:cs="仿宋"/>
          <w:color w:val="auto"/>
          <w:kern w:val="2"/>
          <w:highlight w:val="none"/>
        </w:rPr>
        <w:t xml:space="preserve"> </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地址：</w:t>
      </w:r>
      <w:r>
        <w:rPr>
          <w:rFonts w:hint="eastAsia" w:ascii="仿宋" w:hAnsi="仿宋" w:eastAsia="仿宋" w:cs="仿宋"/>
          <w:color w:val="auto"/>
          <w:sz w:val="24"/>
          <w:szCs w:val="24"/>
          <w:highlight w:val="none"/>
        </w:rPr>
        <w:t>天水市秦州区秦州医院北关家属院</w:t>
      </w:r>
      <w:r>
        <w:rPr>
          <w:rFonts w:hint="eastAsia" w:ascii="仿宋" w:hAnsi="仿宋" w:eastAsia="仿宋" w:cs="仿宋"/>
          <w:color w:val="auto"/>
          <w:kern w:val="2"/>
          <w:highlight w:val="none"/>
        </w:rPr>
        <w:t xml:space="preserve"> </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联系电话：</w:t>
      </w:r>
      <w:r>
        <w:rPr>
          <w:rFonts w:hint="eastAsia" w:ascii="仿宋" w:hAnsi="仿宋" w:eastAsia="仿宋" w:cs="仿宋"/>
          <w:color w:val="auto"/>
          <w:kern w:val="2"/>
          <w:highlight w:val="none"/>
          <w:lang w:val="en-US" w:eastAsia="zh-CN"/>
        </w:rPr>
        <w:t>15309384043</w:t>
      </w:r>
      <w:r>
        <w:rPr>
          <w:rFonts w:hint="eastAsia" w:ascii="仿宋" w:hAnsi="仿宋" w:eastAsia="仿宋" w:cs="仿宋"/>
          <w:color w:val="auto"/>
          <w:kern w:val="2"/>
          <w:highlight w:val="none"/>
        </w:rPr>
        <w:t xml:space="preserve">          </w:t>
      </w:r>
    </w:p>
    <w:p>
      <w:pPr>
        <w:pStyle w:val="56"/>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 xml:space="preserve">  </w:t>
      </w:r>
    </w:p>
    <w:p>
      <w:pPr>
        <w:pStyle w:val="56"/>
        <w:adjustRightInd w:val="0"/>
        <w:snapToGrid w:val="0"/>
        <w:spacing w:beforeAutospacing="0" w:afterAutospacing="0" w:line="400" w:lineRule="exact"/>
        <w:ind w:firstLine="480" w:firstLineChars="200"/>
        <w:jc w:val="center"/>
        <w:rPr>
          <w:rFonts w:hint="eastAsia" w:ascii="仿宋" w:hAnsi="仿宋" w:eastAsia="仿宋" w:cs="仿宋"/>
          <w:color w:val="auto"/>
          <w:kern w:val="2"/>
          <w:highlight w:val="none"/>
        </w:rPr>
      </w:pPr>
      <w:r>
        <w:rPr>
          <w:rFonts w:hint="eastAsia" w:ascii="仿宋" w:hAnsi="仿宋" w:eastAsia="仿宋" w:cs="仿宋"/>
          <w:color w:val="auto"/>
          <w:kern w:val="2"/>
          <w:highlight w:val="none"/>
          <w:lang w:val="en-US" w:eastAsia="zh-CN"/>
        </w:rPr>
        <w:t xml:space="preserve">                              </w:t>
      </w:r>
      <w:r>
        <w:rPr>
          <w:rFonts w:hint="eastAsia" w:ascii="仿宋" w:hAnsi="仿宋" w:eastAsia="仿宋" w:cs="仿宋"/>
          <w:color w:val="auto"/>
          <w:kern w:val="2"/>
          <w:highlight w:val="none"/>
        </w:rPr>
        <w:t>20</w:t>
      </w:r>
      <w:r>
        <w:rPr>
          <w:rFonts w:hint="eastAsia" w:ascii="仿宋" w:hAnsi="仿宋" w:eastAsia="仿宋" w:cs="仿宋"/>
          <w:color w:val="auto"/>
          <w:kern w:val="2"/>
          <w:highlight w:val="none"/>
          <w:lang w:val="en-US" w:eastAsia="zh-CN"/>
        </w:rPr>
        <w:t>19</w:t>
      </w:r>
      <w:r>
        <w:rPr>
          <w:rFonts w:hint="eastAsia" w:ascii="仿宋" w:hAnsi="仿宋" w:eastAsia="仿宋" w:cs="仿宋"/>
          <w:color w:val="auto"/>
          <w:kern w:val="2"/>
          <w:highlight w:val="none"/>
        </w:rPr>
        <w:t>年</w:t>
      </w:r>
      <w:r>
        <w:rPr>
          <w:rFonts w:hint="eastAsia" w:ascii="仿宋" w:hAnsi="仿宋" w:eastAsia="仿宋" w:cs="仿宋"/>
          <w:color w:val="auto"/>
          <w:kern w:val="2"/>
          <w:highlight w:val="none"/>
          <w:lang w:val="en-US" w:eastAsia="zh-CN"/>
        </w:rPr>
        <w:t>12</w:t>
      </w:r>
      <w:r>
        <w:rPr>
          <w:rFonts w:hint="eastAsia" w:ascii="仿宋" w:hAnsi="仿宋" w:eastAsia="仿宋" w:cs="仿宋"/>
          <w:color w:val="auto"/>
          <w:kern w:val="2"/>
          <w:highlight w:val="none"/>
        </w:rPr>
        <w:t>月</w:t>
      </w:r>
      <w:r>
        <w:rPr>
          <w:rFonts w:hint="eastAsia" w:ascii="仿宋" w:hAnsi="仿宋" w:eastAsia="仿宋" w:cs="仿宋"/>
          <w:color w:val="auto"/>
          <w:kern w:val="2"/>
          <w:highlight w:val="none"/>
          <w:lang w:val="en-US" w:eastAsia="zh-CN"/>
        </w:rPr>
        <w:t>24</w:t>
      </w:r>
      <w:r>
        <w:rPr>
          <w:rFonts w:hint="eastAsia" w:ascii="仿宋" w:hAnsi="仿宋" w:eastAsia="仿宋" w:cs="仿宋"/>
          <w:color w:val="auto"/>
          <w:kern w:val="2"/>
          <w:highlight w:val="none"/>
        </w:rPr>
        <w:t>日</w:t>
      </w:r>
    </w:p>
    <w:p>
      <w:pPr>
        <w:spacing w:line="400" w:lineRule="exact"/>
        <w:ind w:firstLine="640" w:firstLineChars="200"/>
        <w:rPr>
          <w:rFonts w:hint="eastAsia" w:ascii="仿宋" w:hAnsi="仿宋" w:eastAsia="仿宋" w:cs="仿宋"/>
          <w:color w:val="auto"/>
          <w:sz w:val="32"/>
          <w:szCs w:val="32"/>
          <w:highlight w:val="none"/>
        </w:rPr>
      </w:pPr>
    </w:p>
    <w:p>
      <w:pPr>
        <w:adjustRightInd w:val="0"/>
        <w:snapToGrid w:val="0"/>
        <w:spacing w:line="420" w:lineRule="exact"/>
        <w:rPr>
          <w:rFonts w:hint="eastAsia" w:ascii="仿宋" w:hAnsi="仿宋" w:eastAsia="仿宋" w:cs="仿宋"/>
          <w:color w:val="auto"/>
          <w:sz w:val="24"/>
          <w:highlight w:val="none"/>
        </w:rPr>
      </w:pPr>
    </w:p>
    <w:bookmarkEnd w:id="2"/>
    <w:bookmarkEnd w:id="3"/>
    <w:p>
      <w:pPr>
        <w:spacing w:line="460" w:lineRule="exact"/>
        <w:jc w:val="center"/>
        <w:outlineLvl w:val="0"/>
        <w:rPr>
          <w:rFonts w:hint="eastAsia" w:ascii="仿宋" w:hAnsi="仿宋" w:eastAsia="仿宋" w:cs="仿宋"/>
          <w:b/>
          <w:color w:val="auto"/>
          <w:sz w:val="24"/>
          <w:highlight w:val="none"/>
        </w:rPr>
      </w:pPr>
    </w:p>
    <w:p>
      <w:pPr>
        <w:spacing w:line="460" w:lineRule="exact"/>
        <w:jc w:val="center"/>
        <w:outlineLvl w:val="0"/>
        <w:rPr>
          <w:rFonts w:hint="eastAsia" w:ascii="仿宋" w:hAnsi="仿宋" w:eastAsia="仿宋" w:cs="仿宋"/>
          <w:b/>
          <w:color w:val="auto"/>
          <w:sz w:val="24"/>
          <w:highlight w:val="none"/>
        </w:rPr>
      </w:pPr>
    </w:p>
    <w:p>
      <w:pPr>
        <w:spacing w:line="460" w:lineRule="exact"/>
        <w:jc w:val="center"/>
        <w:outlineLvl w:val="0"/>
        <w:rPr>
          <w:rFonts w:hint="eastAsia" w:ascii="仿宋" w:hAnsi="仿宋" w:eastAsia="仿宋" w:cs="仿宋"/>
          <w:b/>
          <w:color w:val="auto"/>
          <w:sz w:val="24"/>
          <w:highlight w:val="none"/>
        </w:rPr>
      </w:pPr>
    </w:p>
    <w:p>
      <w:pPr>
        <w:spacing w:line="460" w:lineRule="exact"/>
        <w:jc w:val="center"/>
        <w:outlineLvl w:val="0"/>
        <w:rPr>
          <w:rFonts w:hint="eastAsia" w:ascii="仿宋" w:hAnsi="仿宋" w:eastAsia="仿宋" w:cs="仿宋"/>
          <w:b/>
          <w:color w:val="auto"/>
          <w:sz w:val="24"/>
          <w:highlight w:val="none"/>
        </w:rPr>
      </w:pPr>
    </w:p>
    <w:p>
      <w:pPr>
        <w:spacing w:line="460" w:lineRule="exact"/>
        <w:jc w:val="center"/>
        <w:outlineLvl w:val="0"/>
        <w:rPr>
          <w:rFonts w:hint="eastAsia" w:ascii="仿宋" w:hAnsi="仿宋" w:eastAsia="仿宋" w:cs="仿宋"/>
          <w:b/>
          <w:color w:val="auto"/>
          <w:sz w:val="24"/>
          <w:highlight w:val="none"/>
        </w:rPr>
      </w:pPr>
    </w:p>
    <w:p>
      <w:pPr>
        <w:pStyle w:val="2"/>
        <w:rPr>
          <w:rFonts w:hint="eastAsia" w:ascii="仿宋" w:hAnsi="仿宋" w:eastAsia="仿宋" w:cs="仿宋"/>
          <w:b/>
          <w:color w:val="auto"/>
          <w:sz w:val="24"/>
          <w:highlight w:val="none"/>
        </w:rPr>
      </w:pPr>
    </w:p>
    <w:p>
      <w:pPr>
        <w:pStyle w:val="2"/>
        <w:rPr>
          <w:rFonts w:hint="eastAsia" w:ascii="仿宋" w:hAnsi="仿宋" w:eastAsia="仿宋" w:cs="仿宋"/>
          <w:b/>
          <w:color w:val="auto"/>
          <w:sz w:val="24"/>
          <w:highlight w:val="none"/>
        </w:rPr>
      </w:pPr>
    </w:p>
    <w:p>
      <w:pPr>
        <w:pStyle w:val="2"/>
        <w:rPr>
          <w:rFonts w:hint="eastAsia" w:ascii="仿宋" w:hAnsi="仿宋" w:eastAsia="仿宋" w:cs="仿宋"/>
          <w:b/>
          <w:color w:val="auto"/>
          <w:sz w:val="24"/>
          <w:highlight w:val="none"/>
        </w:rPr>
      </w:pPr>
    </w:p>
    <w:p>
      <w:pPr>
        <w:pStyle w:val="2"/>
        <w:rPr>
          <w:rFonts w:hint="eastAsia" w:ascii="仿宋" w:hAnsi="仿宋" w:eastAsia="仿宋" w:cs="仿宋"/>
          <w:b/>
          <w:color w:val="auto"/>
          <w:sz w:val="24"/>
          <w:highlight w:val="none"/>
        </w:rPr>
      </w:pPr>
    </w:p>
    <w:p>
      <w:pPr>
        <w:pStyle w:val="2"/>
        <w:rPr>
          <w:rFonts w:hint="eastAsia" w:ascii="仿宋" w:hAnsi="仿宋" w:eastAsia="仿宋" w:cs="仿宋"/>
          <w:b/>
          <w:color w:val="auto"/>
          <w:sz w:val="24"/>
          <w:highlight w:val="none"/>
        </w:rPr>
      </w:pPr>
    </w:p>
    <w:p>
      <w:pPr>
        <w:pStyle w:val="3"/>
        <w:bidi w:val="0"/>
        <w:ind w:firstLine="3313" w:firstLineChars="1100"/>
        <w:jc w:val="both"/>
        <w:rPr>
          <w:rFonts w:hint="eastAsia" w:ascii="仿宋" w:hAnsi="仿宋" w:eastAsia="仿宋" w:cs="仿宋"/>
          <w:color w:val="auto"/>
          <w:highlight w:val="none"/>
        </w:rPr>
      </w:pPr>
      <w:bookmarkStart w:id="4" w:name="_Toc993"/>
    </w:p>
    <w:p>
      <w:pPr>
        <w:pStyle w:val="3"/>
        <w:bidi w:val="0"/>
        <w:ind w:firstLine="3313" w:firstLineChars="1100"/>
        <w:jc w:val="both"/>
        <w:rPr>
          <w:rFonts w:hint="eastAsia" w:ascii="仿宋" w:hAnsi="仿宋" w:eastAsia="仿宋" w:cs="仿宋"/>
          <w:color w:val="auto"/>
          <w:highlight w:val="none"/>
        </w:rPr>
      </w:pPr>
      <w:r>
        <w:rPr>
          <w:rFonts w:hint="eastAsia" w:ascii="仿宋" w:hAnsi="仿宋" w:eastAsia="仿宋" w:cs="仿宋"/>
          <w:color w:val="auto"/>
          <w:highlight w:val="none"/>
        </w:rPr>
        <w:t>第二章  供应商须知</w:t>
      </w:r>
      <w:bookmarkEnd w:id="4"/>
    </w:p>
    <w:p>
      <w:pPr>
        <w:spacing w:line="46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供应商须知前附表</w:t>
      </w:r>
    </w:p>
    <w:tbl>
      <w:tblPr>
        <w:tblStyle w:val="68"/>
        <w:tblpPr w:leftFromText="180" w:rightFromText="180" w:topFromText="100" w:bottomFromText="100" w:vertAnchor="text" w:horzAnchor="margin" w:tblpXSpec="center" w:tblpY="158"/>
        <w:tblW w:w="9365"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2300"/>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400" w:lineRule="exact"/>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编号</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400" w:lineRule="exact"/>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内容</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400" w:lineRule="exact"/>
              <w:jc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武山县人民检察院“桌面云”系统公开招标项目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供货地点</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资金来源</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供货时间</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highlight w:val="none"/>
              </w:rPr>
            </w:pPr>
            <w:r>
              <w:rPr>
                <w:rFonts w:hint="eastAsia" w:ascii="仿宋" w:hAnsi="仿宋" w:eastAsia="仿宋" w:cs="仿宋"/>
                <w:color w:val="auto"/>
                <w:kern w:val="2"/>
                <w:sz w:val="24"/>
                <w:szCs w:val="24"/>
                <w:highlight w:val="none"/>
                <w:lang w:eastAsia="zh-CN"/>
              </w:rPr>
              <w:t>按</w:t>
            </w:r>
            <w:r>
              <w:rPr>
                <w:rFonts w:hint="eastAsia" w:ascii="仿宋" w:hAnsi="仿宋" w:eastAsia="仿宋" w:cs="仿宋"/>
                <w:color w:val="auto"/>
                <w:kern w:val="2"/>
                <w:sz w:val="24"/>
                <w:szCs w:val="24"/>
                <w:highlight w:val="none"/>
              </w:rPr>
              <w:t>采购合同签订</w:t>
            </w:r>
            <w:r>
              <w:rPr>
                <w:rFonts w:hint="eastAsia" w:ascii="仿宋" w:hAnsi="仿宋" w:eastAsia="仿宋" w:cs="仿宋"/>
                <w:color w:val="auto"/>
                <w:kern w:val="2"/>
                <w:sz w:val="24"/>
                <w:szCs w:val="24"/>
                <w:highlight w:val="none"/>
                <w:lang w:eastAsia="zh-CN"/>
              </w:rPr>
              <w:t>的时间</w:t>
            </w:r>
            <w:r>
              <w:rPr>
                <w:rFonts w:hint="eastAsia" w:ascii="仿宋" w:hAnsi="仿宋" w:eastAsia="仿宋" w:cs="仿宋"/>
                <w:color w:val="auto"/>
                <w:kern w:val="2"/>
                <w:sz w:val="24"/>
                <w:szCs w:val="24"/>
                <w:highlight w:val="none"/>
              </w:rPr>
              <w:t>送货至项目实施地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合格供应商</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国有企业投标</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根据《中华人民共和国政府采购法实施条例》，国有企业投标（如银行、保险、石油石化、电力、电信、移动等特殊行业），可以以本地的分公司进行投标，但须提供的总公司的授权。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投标文件份数</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投标文件一份正本，</w:t>
            </w:r>
            <w:r>
              <w:rPr>
                <w:rFonts w:hint="eastAsia" w:ascii="仿宋" w:hAnsi="仿宋" w:eastAsia="仿宋" w:cs="仿宋"/>
                <w:color w:val="auto"/>
                <w:sz w:val="24"/>
                <w:highlight w:val="none"/>
                <w:lang w:eastAsia="zh-CN"/>
              </w:rPr>
              <w:t>三</w:t>
            </w:r>
            <w:r>
              <w:rPr>
                <w:rFonts w:hint="eastAsia" w:ascii="仿宋" w:hAnsi="仿宋" w:eastAsia="仿宋" w:cs="仿宋"/>
                <w:color w:val="auto"/>
                <w:sz w:val="24"/>
                <w:highlight w:val="none"/>
              </w:rPr>
              <w:t>份副本</w:t>
            </w:r>
            <w:r>
              <w:rPr>
                <w:rFonts w:hint="eastAsia" w:ascii="仿宋" w:hAnsi="仿宋" w:eastAsia="仿宋" w:cs="仿宋"/>
                <w:color w:val="auto"/>
                <w:sz w:val="24"/>
                <w:highlight w:val="none"/>
                <w:lang w:eastAsia="zh-CN"/>
              </w:rPr>
              <w:t>，</w:t>
            </w:r>
            <w:r>
              <w:rPr>
                <w:rFonts w:hint="eastAsia" w:ascii="仿宋" w:hAnsi="仿宋" w:eastAsia="仿宋" w:cs="仿宋"/>
                <w:color w:val="auto"/>
                <w:highlight w:val="none"/>
                <w:lang w:val="en-US" w:eastAsia="zh-CN"/>
              </w:rPr>
              <w:t>电子版可编辑 U 盘一份</w:t>
            </w:r>
            <w:r>
              <w:rPr>
                <w:rFonts w:hint="eastAsia" w:ascii="仿宋" w:hAnsi="仿宋" w:eastAsia="仿宋" w:cs="仿宋"/>
                <w:color w:val="auto"/>
                <w:sz w:val="24"/>
                <w:highlight w:val="none"/>
              </w:rPr>
              <w:t>（采用胶装形式，逐页编码，分开打印装订）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投标文件提交地点及投标截止时间</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340" w:lineRule="exact"/>
              <w:ind w:left="960" w:hanging="960" w:hanging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地点: 天水市公共资源交易中心（秦州区成纪大道新华路2号楼</w:t>
            </w:r>
            <w:r>
              <w:rPr>
                <w:rFonts w:hint="eastAsia" w:ascii="仿宋" w:hAnsi="仿宋" w:eastAsia="仿宋" w:cs="仿宋"/>
                <w:color w:val="auto"/>
                <w:sz w:val="24"/>
                <w:highlight w:val="none"/>
                <w:lang w:eastAsia="zh-CN"/>
              </w:rPr>
              <w:t>四</w:t>
            </w:r>
            <w:r>
              <w:rPr>
                <w:rFonts w:hint="eastAsia" w:ascii="仿宋" w:hAnsi="仿宋" w:eastAsia="仿宋" w:cs="仿宋"/>
                <w:color w:val="auto"/>
                <w:sz w:val="24"/>
                <w:highlight w:val="none"/>
              </w:rPr>
              <w:t>楼）</w:t>
            </w:r>
          </w:p>
          <w:p>
            <w:pPr>
              <w:autoSpaceDE w:val="0"/>
              <w:autoSpaceDN w:val="0"/>
              <w:adjustRightInd w:val="0"/>
              <w:spacing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投标截止时间：20</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15</w:t>
            </w: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时</w:t>
            </w:r>
            <w:r>
              <w:rPr>
                <w:rFonts w:hint="eastAsia" w:ascii="仿宋" w:hAnsi="仿宋" w:eastAsia="仿宋" w:cs="仿宋"/>
                <w:color w:val="auto"/>
                <w:sz w:val="24"/>
                <w:highlight w:val="none"/>
                <w:lang w:val="en-US" w:eastAsia="zh-CN"/>
              </w:rPr>
              <w:t>00</w:t>
            </w:r>
            <w:r>
              <w:rPr>
                <w:rFonts w:hint="eastAsia" w:ascii="仿宋" w:hAnsi="仿宋" w:eastAsia="仿宋" w:cs="仿宋"/>
                <w:color w:val="auto"/>
                <w:sz w:val="24"/>
                <w:highlight w:val="none"/>
              </w:rPr>
              <w:t xml:space="preserve">分（过期不予接收）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投标有效期</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为60日历天(递交投标文件截止之日算起)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投标保证金</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tabs>
                <w:tab w:val="left" w:pos="832"/>
              </w:tabs>
              <w:autoSpaceDE w:val="0"/>
              <w:autoSpaceDN w:val="0"/>
              <w:adjustRightInd w:val="0"/>
              <w:spacing w:line="4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13000.00元   大写：壹万叁仟元整</w:t>
            </w:r>
            <w:r>
              <w:rPr>
                <w:rFonts w:hint="eastAsia" w:ascii="仿宋" w:hAnsi="仿宋" w:eastAsia="仿宋" w:cs="仿宋"/>
                <w:color w:val="auto"/>
                <w:sz w:val="24"/>
                <w:highlight w:val="none"/>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1</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开  标</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开标时间:20</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15</w:t>
            </w: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时</w:t>
            </w:r>
            <w:r>
              <w:rPr>
                <w:rFonts w:hint="eastAsia" w:ascii="仿宋" w:hAnsi="仿宋" w:eastAsia="仿宋" w:cs="仿宋"/>
                <w:color w:val="auto"/>
                <w:sz w:val="24"/>
                <w:highlight w:val="none"/>
                <w:lang w:val="en-US" w:eastAsia="zh-CN"/>
              </w:rPr>
              <w:t>00</w:t>
            </w:r>
            <w:r>
              <w:rPr>
                <w:rFonts w:hint="eastAsia" w:ascii="仿宋" w:hAnsi="仿宋" w:eastAsia="仿宋" w:cs="仿宋"/>
                <w:color w:val="auto"/>
                <w:sz w:val="24"/>
                <w:highlight w:val="none"/>
              </w:rPr>
              <w:t>分</w:t>
            </w:r>
          </w:p>
          <w:p>
            <w:pPr>
              <w:autoSpaceDE w:val="0"/>
              <w:autoSpaceDN w:val="0"/>
              <w:adjustRightInd w:val="0"/>
              <w:spacing w:line="4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开标地点:天水市公共资源交易中心（秦州区成纪大道新华路2号楼</w:t>
            </w:r>
            <w:r>
              <w:rPr>
                <w:rFonts w:hint="eastAsia" w:ascii="仿宋" w:hAnsi="仿宋" w:eastAsia="仿宋" w:cs="仿宋"/>
                <w:color w:val="auto"/>
                <w:sz w:val="24"/>
                <w:highlight w:val="none"/>
                <w:lang w:eastAsia="zh-CN"/>
              </w:rPr>
              <w:t>四</w:t>
            </w:r>
            <w:r>
              <w:rPr>
                <w:rFonts w:hint="eastAsia" w:ascii="仿宋" w:hAnsi="仿宋" w:eastAsia="仿宋" w:cs="仿宋"/>
                <w:color w:val="auto"/>
                <w:sz w:val="24"/>
                <w:highlight w:val="none"/>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履约保证金</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本项目无履约保证金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3</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评标办法</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ind w:firstLine="240" w:firstLineChars="1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4</w:t>
            </w:r>
          </w:p>
        </w:tc>
        <w:tc>
          <w:tcPr>
            <w:tcW w:w="23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是否接受联合体投标</w:t>
            </w:r>
          </w:p>
        </w:tc>
        <w:tc>
          <w:tcPr>
            <w:tcW w:w="65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utoSpaceDE w:val="0"/>
              <w:autoSpaceDN w:val="0"/>
              <w:adjustRightInd w:val="0"/>
              <w:spacing w:line="4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eq \o\ac(□,√)</w:instrTex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不接受。</w:t>
            </w:r>
          </w:p>
          <w:p>
            <w:pPr>
              <w:autoSpaceDE w:val="0"/>
              <w:autoSpaceDN w:val="0"/>
              <w:adjustRightInd w:val="0"/>
              <w:spacing w:line="42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365" w:type="dxa"/>
            <w:gridSpan w:val="3"/>
          </w:tcPr>
          <w:p>
            <w:pPr>
              <w:autoSpaceDE w:val="0"/>
              <w:autoSpaceDN w:val="0"/>
              <w:adjustRightInd w:val="0"/>
              <w:spacing w:line="460" w:lineRule="exact"/>
              <w:rPr>
                <w:rFonts w:hint="eastAsia" w:ascii="仿宋" w:hAnsi="仿宋" w:eastAsia="仿宋" w:cs="仿宋"/>
                <w:color w:val="auto"/>
                <w:sz w:val="24"/>
                <w:highlight w:val="none"/>
              </w:rPr>
            </w:pPr>
            <w:bookmarkStart w:id="5" w:name="_Toc299357192"/>
            <w:bookmarkStart w:id="6" w:name="_Toc377973236"/>
            <w:bookmarkStart w:id="7" w:name="_Toc355774701"/>
            <w:bookmarkStart w:id="8" w:name="_Toc375562312"/>
            <w:bookmarkStart w:id="9" w:name="_Toc272430656"/>
            <w:bookmarkStart w:id="10" w:name="_Toc272439044"/>
            <w:bookmarkStart w:id="11" w:name="_Toc387330283"/>
            <w:r>
              <w:rPr>
                <w:rFonts w:hint="eastAsia" w:ascii="仿宋" w:hAnsi="仿宋" w:eastAsia="仿宋" w:cs="仿宋"/>
                <w:color w:val="auto"/>
                <w:sz w:val="24"/>
                <w:highlight w:val="none"/>
              </w:rPr>
              <w:t>本招标文件解释权归采购人。</w:t>
            </w:r>
            <w:bookmarkEnd w:id="5"/>
            <w:bookmarkEnd w:id="6"/>
            <w:bookmarkEnd w:id="7"/>
            <w:bookmarkEnd w:id="8"/>
            <w:bookmarkEnd w:id="9"/>
            <w:bookmarkEnd w:id="10"/>
            <w:bookmarkEnd w:id="11"/>
          </w:p>
        </w:tc>
      </w:tr>
    </w:tbl>
    <w:p>
      <w:pPr>
        <w:spacing w:line="460" w:lineRule="exact"/>
        <w:jc w:val="center"/>
        <w:outlineLvl w:val="0"/>
        <w:rPr>
          <w:rFonts w:hint="eastAsia" w:ascii="仿宋" w:hAnsi="仿宋" w:eastAsia="仿宋" w:cs="仿宋"/>
          <w:b/>
          <w:color w:val="auto"/>
          <w:sz w:val="32"/>
          <w:szCs w:val="32"/>
          <w:highlight w:val="none"/>
        </w:rPr>
      </w:pPr>
    </w:p>
    <w:p>
      <w:pPr>
        <w:spacing w:line="460" w:lineRule="exact"/>
        <w:jc w:val="center"/>
        <w:outlineLvl w:val="0"/>
        <w:rPr>
          <w:rFonts w:hint="eastAsia" w:ascii="仿宋" w:hAnsi="仿宋" w:eastAsia="仿宋" w:cs="仿宋"/>
          <w:b/>
          <w:color w:val="auto"/>
          <w:sz w:val="32"/>
          <w:szCs w:val="32"/>
          <w:highlight w:val="none"/>
        </w:rPr>
      </w:pPr>
    </w:p>
    <w:p>
      <w:pPr>
        <w:pStyle w:val="3"/>
        <w:bidi w:val="0"/>
        <w:rPr>
          <w:rFonts w:hint="eastAsia" w:ascii="仿宋" w:hAnsi="仿宋" w:eastAsia="仿宋" w:cs="仿宋"/>
          <w:color w:val="auto"/>
          <w:highlight w:val="none"/>
        </w:rPr>
      </w:pPr>
    </w:p>
    <w:p>
      <w:pPr>
        <w:pStyle w:val="3"/>
        <w:bidi w:val="0"/>
        <w:rPr>
          <w:rFonts w:hint="eastAsia" w:ascii="仿宋" w:hAnsi="仿宋" w:eastAsia="仿宋" w:cs="仿宋"/>
          <w:color w:val="auto"/>
          <w:highlight w:val="none"/>
        </w:rPr>
      </w:pPr>
      <w:bookmarkStart w:id="12" w:name="_Toc23543"/>
      <w:r>
        <w:rPr>
          <w:rFonts w:hint="eastAsia" w:ascii="仿宋" w:hAnsi="仿宋" w:eastAsia="仿宋" w:cs="仿宋"/>
          <w:color w:val="auto"/>
          <w:highlight w:val="none"/>
        </w:rPr>
        <w:t>一、总  则</w:t>
      </w:r>
      <w:bookmarkEnd w:id="12"/>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1.适用范围</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1.1本招标文件仅适用于招标文件第一章《招标公告》中所叙述的政府采购项目。 </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2.定义</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2.1采购人系指：</w:t>
      </w:r>
      <w:r>
        <w:rPr>
          <w:rFonts w:hint="eastAsia" w:ascii="仿宋" w:hAnsi="仿宋" w:eastAsia="仿宋" w:cs="仿宋"/>
          <w:color w:val="auto"/>
          <w:sz w:val="24"/>
          <w:highlight w:val="none"/>
          <w:lang w:eastAsia="zh-CN"/>
        </w:rPr>
        <w:t>武山县人民检察院</w:t>
      </w:r>
      <w:r>
        <w:rPr>
          <w:rFonts w:hint="eastAsia" w:ascii="仿宋" w:hAnsi="仿宋" w:eastAsia="仿宋" w:cs="仿宋"/>
          <w:color w:val="auto"/>
          <w:sz w:val="24"/>
          <w:highlight w:val="none"/>
        </w:rPr>
        <w:t>。</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2.2代理机构系指:</w:t>
      </w:r>
      <w:r>
        <w:rPr>
          <w:rFonts w:hint="eastAsia" w:ascii="仿宋" w:hAnsi="仿宋" w:eastAsia="仿宋" w:cs="仿宋"/>
          <w:color w:val="auto"/>
          <w:sz w:val="24"/>
          <w:highlight w:val="none"/>
          <w:lang w:eastAsia="zh-CN"/>
        </w:rPr>
        <w:t>甘肃新易信招标代理有限责任公司</w:t>
      </w:r>
      <w:r>
        <w:rPr>
          <w:rFonts w:hint="eastAsia" w:ascii="仿宋" w:hAnsi="仿宋" w:eastAsia="仿宋" w:cs="仿宋"/>
          <w:color w:val="auto"/>
          <w:sz w:val="24"/>
          <w:highlight w:val="none"/>
        </w:rPr>
        <w:t>。</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2.3供应商系指响应招标、参加投标竞争的法人单位。</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2.4评标委员会系指由天水市公共交易中心随机抽取，由采购人或有关专家组成以确定中标人的临时组织。</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2.5中标人系指由评标委员会评审确定的对招标文件做出实质性响应较强，综合竞争实力最优，取得与招标人签订合同资格的供应商。</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2.6招标文件中的“甲方”系指本项目的采购人，“乙方”系指本项目的中标人。</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2.7上一年度是指从上一年1月1日至本项目招标公告发布之日，上两年度是指从上两年1月1日至本项目招标公告发布之日，以此类推。</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2.8书面形式包括书面文字、电传、传真、电报、采购信息发布网站公告。</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2.9原件系指最初产生的区别于复制件的原始文件或文件的原本。</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2.10分包情况：本项目不允许分包</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3.使用文字种类、计量单位、时间单位及货币种类</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3.1招标文件、投标文件、招标代理机构与投标供应商之间有关招标投标所有书面形式的来往函件、记录等均应使用简体中文。</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3.2供应商可以在投标文件中提交用其他语言打印的数据或资料，但是必须提供由专业翻译机构出具的简体中文译文，并以简体中文译文为准，否则视同供应商未提供该数据或资料。</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3.3除招标文件中另有规定外，投标文件所使用的计量单位，均须采用中华人民共和国法定计量单位。</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3.4除招标文件中另有规定外，招标文件所使用的时间单位“天”、“日”均指日历天。</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3.5招标文件及投标文件中有关货币的数额表示全部以人民币计算。</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4.投标费用</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4.1供应商应自行承担所有与参加投标有关的费用。不论投标的结果如何，招标人、招标代理机构在任何情况下均无义务和责任承担这些费用。</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4.2代理服务费参考国家相关标准收取，由中标单位在领取成交通知书前交清。</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5.合格的供应商</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5.1本次招标不接受供应商以联合体形式投标。</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5.2供应商必须满足招标文件第一章《招标公告》中的相关要求。</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5.3供应商必须遵守国家有关的法律、法规和政策。</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5.4招标文件的其它规定和要求。</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5.5信用信息</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5.5.1信用信息查询渠道为“信用中国</w:t>
      </w:r>
      <w:r>
        <w:rPr>
          <w:rFonts w:hint="eastAsia" w:ascii="仿宋" w:hAnsi="仿宋" w:eastAsia="仿宋" w:cs="仿宋"/>
          <w:color w:val="auto"/>
          <w:sz w:val="24"/>
          <w:highlight w:val="none"/>
          <w:lang w:eastAsia="zh-CN"/>
        </w:rPr>
        <w:t>（甘肃天水）</w:t>
      </w:r>
      <w:r>
        <w:rPr>
          <w:rFonts w:hint="eastAsia" w:ascii="仿宋" w:hAnsi="仿宋" w:eastAsia="仿宋" w:cs="仿宋"/>
          <w:color w:val="auto"/>
          <w:sz w:val="24"/>
          <w:highlight w:val="none"/>
        </w:rPr>
        <w:t>”网站（www.creditchina.gov.cn）、中国政府采购网（www.ccgp.gov.cn）及“信用甘肃”网站（www.gscredit.gov.cn）。</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5.5.2信用信息查询截止时间为自招标公告发布时间之后至投标截止时间之前。</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5.5.3信用信息查询记录和证据留存方式为网页截图或网页电子文本。</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5.5.4采购人或者采购代理机构将对投标人信用记录进行甄别，对列入失信被执行人、重大税收违法案件当事人名单、政府采购严重违法失信行为记录名单的投标人，其投标无效。</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5.5.5两个以上的自然人、法人或者其他组织组成一个联合体，以一个投标人的身份共同参加政府采购活动的，对所有联合体成员进行信用记录查询，联合体成员存在不良信用记录的，视同联合体存在不良信用记录。</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6.投标有效期</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6.1投标文件的有效期为自投标截止时间起60日。在此期间，凡符合本招标文件要求的投标文件均保持有效。</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6.2原定投标有效期终止之前，若出现特殊情况，招标人可以书面形式向供应商提出延长投标有效期的要求。</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6.3供应商须以书面形式答复是否接受延长投标有效期的要求。</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6.4供应商可以拒绝这种要求并撤回投标文件而不被没收投标保证金。接受延长投标有效期的供应商不允许修改其投标文件，但需要相应延长投标保证金有效期。</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6.5本须知第7条投标保证金的规定适用于延长后的投标有效期。</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7.投标保证金</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7.1供应商的投标保证金是投标文件的组成部分，供应商未按规定递交投标保证金的，评审委员会否决其投标。</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7.2</w:t>
      </w:r>
      <w:r>
        <w:rPr>
          <w:rFonts w:hint="eastAsia" w:ascii="仿宋" w:hAnsi="仿宋" w:eastAsia="仿宋" w:cs="仿宋"/>
          <w:b/>
          <w:color w:val="auto"/>
          <w:sz w:val="24"/>
          <w:highlight w:val="none"/>
        </w:rPr>
        <w:t>投标保证金金额：</w:t>
      </w:r>
      <w:r>
        <w:rPr>
          <w:rFonts w:hint="eastAsia" w:ascii="仿宋" w:hAnsi="仿宋" w:eastAsia="仿宋" w:cs="仿宋"/>
          <w:b/>
          <w:color w:val="auto"/>
          <w:sz w:val="24"/>
          <w:highlight w:val="none"/>
          <w:u w:val="single"/>
        </w:rPr>
        <w:t>人民币</w:t>
      </w:r>
      <w:r>
        <w:rPr>
          <w:rFonts w:hint="eastAsia" w:ascii="仿宋" w:hAnsi="仿宋" w:eastAsia="仿宋" w:cs="仿宋"/>
          <w:b/>
          <w:color w:val="auto"/>
          <w:sz w:val="24"/>
          <w:highlight w:val="none"/>
          <w:u w:val="single"/>
          <w:lang w:eastAsia="zh-CN"/>
        </w:rPr>
        <w:t>壹万叁仟元整</w:t>
      </w:r>
      <w:r>
        <w:rPr>
          <w:rFonts w:hint="eastAsia" w:ascii="仿宋" w:hAnsi="仿宋" w:eastAsia="仿宋" w:cs="仿宋"/>
          <w:b/>
          <w:color w:val="auto"/>
          <w:sz w:val="24"/>
          <w:highlight w:val="none"/>
        </w:rPr>
        <w:t>。</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投标保证金账户内容：</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户 名：天水市公共资源交易中心</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账 号：以获取招标文件时收到的短信内容为准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80" w:firstLineChars="200"/>
        <w:jc w:val="both"/>
        <w:rPr>
          <w:rFonts w:hint="eastAsia" w:ascii="仿宋" w:hAnsi="仿宋" w:eastAsia="仿宋" w:cs="仿宋"/>
          <w:sz w:val="24"/>
          <w:szCs w:val="24"/>
          <w:highlight w:val="none"/>
        </w:rPr>
      </w:pPr>
      <w:r>
        <w:rPr>
          <w:rFonts w:hint="eastAsia" w:ascii="仿宋" w:hAnsi="仿宋" w:eastAsia="仿宋" w:cs="仿宋"/>
          <w:color w:val="auto"/>
          <w:kern w:val="2"/>
          <w:sz w:val="24"/>
          <w:szCs w:val="24"/>
          <w:highlight w:val="none"/>
        </w:rPr>
        <w:t>开户银行：</w:t>
      </w:r>
      <w:r>
        <w:rPr>
          <w:rFonts w:hint="eastAsia" w:ascii="仿宋" w:hAnsi="仿宋" w:eastAsia="仿宋" w:cs="仿宋"/>
          <w:color w:val="333333"/>
          <w:kern w:val="0"/>
          <w:sz w:val="24"/>
          <w:szCs w:val="24"/>
          <w:highlight w:val="none"/>
          <w:lang w:val="en-US" w:eastAsia="zh-CN" w:bidi="ar"/>
        </w:rPr>
        <w:t>天水秦州农村合作银行</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行 号：</w:t>
      </w:r>
      <w:r>
        <w:rPr>
          <w:rFonts w:hint="eastAsia" w:ascii="仿宋" w:hAnsi="仿宋" w:eastAsia="仿宋" w:cs="仿宋"/>
          <w:color w:val="333333"/>
          <w:sz w:val="24"/>
          <w:szCs w:val="24"/>
          <w:highlight w:val="none"/>
          <w:lang w:val="en-US"/>
        </w:rPr>
        <w:t>402825001017</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投标保证金到账截止时间：以招标文件要求的投标截止时间为准。</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为保证开标现场对投标保证金到账情况进行核对，提醒投标人要充分考虑汇款及到账所需时间以及发现问题后采取补救措施所需时间，以确保投标保证金在规定时间前到账。因不能在投标截止时间前到达指定账户的，导致投标无效的后果由投标人自行承担。</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投标保证金递交须知：</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（1）投标人拟参加的项目成功后，系统会将投标保证金收款信息发送至投标人获取招标文件时预留的手机；投标人也可登录天水市公共资源交易中心网自行查询。</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（2）投标人必须从基本账户以电汇或网银方式提交保证金，且投标保证金单位名称必须与投标人登记的单位名称一致，不得以分公司、办事处或其他机构名义递交。</w:t>
      </w:r>
    </w:p>
    <w:p>
      <w:pPr>
        <w:pStyle w:val="56"/>
        <w:shd w:val="clear" w:color="auto" w:fill="FFFFFF"/>
        <w:adjustRightInd w:val="0"/>
        <w:snapToGrid w:val="0"/>
        <w:spacing w:beforeAutospacing="0" w:afterAutospacing="0" w:line="400" w:lineRule="exact"/>
        <w:ind w:firstLine="480" w:firstLineChars="200"/>
        <w:jc w:val="both"/>
        <w:rPr>
          <w:rFonts w:hint="eastAsia" w:ascii="仿宋" w:hAnsi="仿宋" w:eastAsia="仿宋" w:cs="仿宋"/>
          <w:color w:val="auto"/>
          <w:kern w:val="2"/>
          <w:highlight w:val="none"/>
        </w:rPr>
      </w:pPr>
      <w:r>
        <w:rPr>
          <w:rFonts w:hint="eastAsia" w:ascii="仿宋" w:hAnsi="仿宋" w:eastAsia="仿宋" w:cs="仿宋"/>
          <w:color w:val="auto"/>
          <w:kern w:val="2"/>
          <w:highlight w:val="none"/>
        </w:rPr>
        <w:t xml:space="preserve">（3）投标人在办理投标人保证金电汇或网银转账手续时，应按标段（包）所对应子账号逐笔递交保证金，且每个标段（包）必须一次性足额缴纳，不允许多次缴纳。 </w:t>
      </w:r>
    </w:p>
    <w:p>
      <w:pPr>
        <w:autoSpaceDE w:val="0"/>
        <w:autoSpaceDN w:val="0"/>
        <w:adjustRightInd w:val="0"/>
        <w:snapToGrid w:val="0"/>
        <w:spacing w:line="5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供应商有下列情形之一的，其投标保证金不予退还</w:t>
      </w:r>
    </w:p>
    <w:p>
      <w:pPr>
        <w:autoSpaceDE w:val="0"/>
        <w:autoSpaceDN w:val="0"/>
        <w:adjustRightInd w:val="0"/>
        <w:snapToGrid w:val="0"/>
        <w:spacing w:line="5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.1投标单位在投标有效期内撤回其投标文件；</w:t>
      </w:r>
    </w:p>
    <w:p>
      <w:pPr>
        <w:autoSpaceDE w:val="0"/>
        <w:autoSpaceDN w:val="0"/>
        <w:adjustRightInd w:val="0"/>
        <w:snapToGrid w:val="0"/>
        <w:spacing w:line="5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.2法律、法规规定的其他情况。</w:t>
      </w:r>
    </w:p>
    <w:p>
      <w:pPr>
        <w:pStyle w:val="3"/>
        <w:bidi w:val="0"/>
        <w:rPr>
          <w:rFonts w:hint="eastAsia" w:ascii="仿宋" w:hAnsi="仿宋" w:eastAsia="仿宋" w:cs="仿宋"/>
          <w:color w:val="auto"/>
          <w:highlight w:val="none"/>
        </w:rPr>
      </w:pPr>
      <w:bookmarkStart w:id="13" w:name="_Toc1987"/>
      <w:r>
        <w:rPr>
          <w:rFonts w:hint="eastAsia" w:ascii="仿宋" w:hAnsi="仿宋" w:eastAsia="仿宋" w:cs="仿宋"/>
          <w:color w:val="auto"/>
          <w:highlight w:val="none"/>
        </w:rPr>
        <w:t>二、招标文件</w:t>
      </w:r>
      <w:bookmarkEnd w:id="13"/>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8.招标文件的组成</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8.1招标文件包括下列内容：</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第一章  招标公告</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第二章  投标须知</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第三章  项目说明</w:t>
      </w:r>
      <w:r>
        <w:rPr>
          <w:rFonts w:hint="eastAsia" w:ascii="仿宋" w:hAnsi="仿宋" w:eastAsia="仿宋" w:cs="仿宋"/>
          <w:color w:val="auto"/>
          <w:sz w:val="24"/>
          <w:highlight w:val="none"/>
        </w:rPr>
        <w:t>、采购内容</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第四章  合同条款</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zh-CN"/>
        </w:rPr>
        <w:t>第五章  投标文件格式（部分）</w:t>
      </w:r>
      <w:r>
        <w:rPr>
          <w:rFonts w:hint="eastAsia" w:ascii="仿宋" w:hAnsi="仿宋" w:eastAsia="仿宋" w:cs="仿宋"/>
          <w:color w:val="auto"/>
          <w:sz w:val="24"/>
          <w:highlight w:val="none"/>
          <w:lang w:val="en-US" w:eastAsia="zh-CN"/>
        </w:rPr>
        <w:t xml:space="preserve"> </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8.2除本须知第8.1款内容外，招标人在投标截止时间前，以书面形式发出的对招标文件的澄清、修改或补充等内容，均为招标文件的组成部分，对招标人和供应商起约束作用。</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8.3供应商获取招标文件后，应认真阅读招标文件中所有的事项、格式、条款和规范等要求。如果供应商没有按照招标文件要求和规定编制投标文件及提交全部资料，或者投标文件没有对招标文件在各方面都做出实质性响应，其风险应由供应商承担；并根据有关条款规定，其投标有可能被拒绝。</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9.招标文件的澄清、修改、补充</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9.1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9</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招标文件发出后，无论出于何种原因，招标人均可主动地或在解答供应商提出的澄清问题时对招标文件进行修改。</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9</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zh-CN"/>
        </w:rPr>
        <w:t>招标文件的澄清、修改、补充等将以书面形式通知所有购买同一招标文件的供应商，并对其具有约束力。供应商的代表在收到该澄清、修改、补充等内容的文件同时应向招标代理机构办理有关签收记录（以传真方式通知供应商时，供应商应以确认书的方式确认）。</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9</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zh-CN"/>
        </w:rPr>
        <w:t>招标文件的澄清、修改、补充等内容均以书面形式明确的内容为准。当招标文件、招标文件的澄清、修改、补充等在同一内容的表述上不一致时，以最后发出的书面文件为准。</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10.5解释权：</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10.5.1本次招标的最终解释权归采购人，当对一个问题有多种解释时以采购人的最终书面解释为准。</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10.5.2招标文件未做须知明示而又有相关法律法规规定的，采购代理机构对此所做的解释以相关法律法规为依据。</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10.5.3若供应商没有按照招标文件的规定对招标文件提出异议，则视为供应商同意及接受招标文件之全部内容及条款。</w:t>
      </w:r>
    </w:p>
    <w:p>
      <w:pPr>
        <w:pStyle w:val="3"/>
        <w:bidi w:val="0"/>
        <w:rPr>
          <w:rFonts w:hint="eastAsia" w:ascii="仿宋" w:hAnsi="仿宋" w:eastAsia="仿宋" w:cs="仿宋"/>
          <w:color w:val="auto"/>
          <w:highlight w:val="none"/>
        </w:rPr>
      </w:pPr>
      <w:bookmarkStart w:id="14" w:name="_Toc17578"/>
      <w:r>
        <w:rPr>
          <w:rFonts w:hint="eastAsia" w:ascii="仿宋" w:hAnsi="仿宋" w:eastAsia="仿宋" w:cs="仿宋"/>
          <w:color w:val="auto"/>
          <w:highlight w:val="none"/>
        </w:rPr>
        <w:t>三、投标文件的编制</w:t>
      </w:r>
      <w:bookmarkEnd w:id="14"/>
    </w:p>
    <w:p>
      <w:pPr>
        <w:rPr>
          <w:rFonts w:hint="eastAsia" w:ascii="仿宋" w:hAnsi="仿宋" w:eastAsia="仿宋" w:cs="仿宋"/>
          <w:color w:val="auto"/>
          <w:highlight w:val="none"/>
        </w:rPr>
      </w:pPr>
    </w:p>
    <w:p>
      <w:pPr>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11.投标文件的组成</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11.1投标文件由商务标书和技术标书两部分组成，商务标书和技术标书应按下列顺序装订成一册或分别进行装订成册。</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11.3商务标</w:t>
      </w:r>
    </w:p>
    <w:p>
      <w:pPr>
        <w:spacing w:line="500" w:lineRule="exact"/>
        <w:ind w:firstLine="470" w:firstLineChars="196"/>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11.3.1商务标书目录</w:t>
      </w:r>
    </w:p>
    <w:p>
      <w:pPr>
        <w:spacing w:line="500" w:lineRule="exact"/>
        <w:ind w:firstLine="470" w:firstLineChars="196"/>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11.3.2投标函（格式参考附件1）</w:t>
      </w:r>
    </w:p>
    <w:p>
      <w:pPr>
        <w:spacing w:line="500" w:lineRule="exact"/>
        <w:ind w:firstLine="470" w:firstLineChars="196"/>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11.3.3投标报价表</w:t>
      </w:r>
    </w:p>
    <w:p>
      <w:pPr>
        <w:spacing w:line="500" w:lineRule="exact"/>
        <w:ind w:firstLine="470" w:firstLineChars="196"/>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11.3.3.1开标一览表（格式参考附件2）</w:t>
      </w:r>
    </w:p>
    <w:p>
      <w:pPr>
        <w:spacing w:line="500" w:lineRule="exact"/>
        <w:ind w:firstLine="470" w:firstLineChars="196"/>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11.3.3.2分项报价表</w:t>
      </w:r>
    </w:p>
    <w:p>
      <w:pPr>
        <w:spacing w:line="500" w:lineRule="exact"/>
        <w:ind w:firstLine="470" w:firstLineChars="196"/>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11.3.4供应商参加政府采购活动承诺书原件（格式参考附件3）</w:t>
      </w:r>
    </w:p>
    <w:p>
      <w:pPr>
        <w:spacing w:line="500" w:lineRule="exact"/>
        <w:ind w:firstLine="470" w:firstLineChars="196"/>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11.3.5商务条款偏离表（格式参考附件4）</w:t>
      </w:r>
    </w:p>
    <w:p>
      <w:pPr>
        <w:spacing w:line="500" w:lineRule="exact"/>
        <w:ind w:firstLine="470" w:firstLineChars="196"/>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11.3.6供应商基本情况表（格式参考附件5）</w:t>
      </w:r>
    </w:p>
    <w:p>
      <w:pPr>
        <w:spacing w:line="500" w:lineRule="exact"/>
        <w:ind w:firstLine="470" w:firstLineChars="196"/>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11.3.7资格资质证明材料</w:t>
      </w:r>
    </w:p>
    <w:p>
      <w:pPr>
        <w:spacing w:line="500" w:lineRule="exact"/>
        <w:ind w:firstLine="360" w:firstLineChars="15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 11.3.7.1法定代表人身份证明书</w:t>
      </w:r>
      <w:r>
        <w:rPr>
          <w:rFonts w:hint="eastAsia" w:ascii="仿宋" w:hAnsi="仿宋" w:eastAsia="仿宋" w:cs="仿宋"/>
          <w:b/>
          <w:color w:val="auto"/>
          <w:sz w:val="24"/>
          <w:highlight w:val="none"/>
          <w:lang w:val="zh-CN"/>
        </w:rPr>
        <w:t>原件</w:t>
      </w:r>
      <w:r>
        <w:rPr>
          <w:rFonts w:hint="eastAsia" w:ascii="仿宋" w:hAnsi="仿宋" w:eastAsia="仿宋" w:cs="仿宋"/>
          <w:color w:val="auto"/>
          <w:sz w:val="24"/>
          <w:highlight w:val="none"/>
          <w:lang w:val="zh-CN"/>
        </w:rPr>
        <w:t>或法定代表人授权委托书</w:t>
      </w:r>
      <w:r>
        <w:rPr>
          <w:rFonts w:hint="eastAsia" w:ascii="仿宋" w:hAnsi="仿宋" w:eastAsia="仿宋" w:cs="仿宋"/>
          <w:b/>
          <w:color w:val="auto"/>
          <w:sz w:val="24"/>
          <w:highlight w:val="none"/>
          <w:lang w:val="zh-CN"/>
        </w:rPr>
        <w:t>原件</w:t>
      </w:r>
      <w:r>
        <w:rPr>
          <w:rFonts w:hint="eastAsia" w:ascii="仿宋" w:hAnsi="仿宋" w:eastAsia="仿宋" w:cs="仿宋"/>
          <w:color w:val="auto"/>
          <w:sz w:val="24"/>
          <w:highlight w:val="none"/>
          <w:lang w:val="zh-CN"/>
        </w:rPr>
        <w:t>（授权委托书必须有法定代表人的亲笔签名、单位公章并附有法定代表人的身份证复印件）、授权代表的身份证</w:t>
      </w:r>
      <w:r>
        <w:rPr>
          <w:rFonts w:hint="eastAsia" w:ascii="仿宋" w:hAnsi="仿宋" w:eastAsia="仿宋" w:cs="仿宋"/>
          <w:b/>
          <w:color w:val="auto"/>
          <w:sz w:val="24"/>
          <w:highlight w:val="none"/>
          <w:lang w:val="zh-CN"/>
        </w:rPr>
        <w:t>原件</w:t>
      </w:r>
      <w:r>
        <w:rPr>
          <w:rFonts w:hint="eastAsia" w:ascii="仿宋" w:hAnsi="仿宋" w:eastAsia="仿宋" w:cs="仿宋"/>
          <w:color w:val="auto"/>
          <w:sz w:val="24"/>
          <w:highlight w:val="none"/>
          <w:lang w:val="zh-CN"/>
        </w:rPr>
        <w:t>。被授权人对本项目的采购活动全过程负责，一经授权不得变更；</w:t>
      </w:r>
    </w:p>
    <w:p>
      <w:pPr>
        <w:spacing w:line="44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11.3.7.2供应商企业法人“三证合一”的带统一社会代码的营业执照</w:t>
      </w:r>
      <w:r>
        <w:rPr>
          <w:rFonts w:hint="eastAsia" w:ascii="仿宋" w:hAnsi="仿宋" w:eastAsia="仿宋" w:cs="仿宋"/>
          <w:b/>
          <w:color w:val="auto"/>
          <w:sz w:val="24"/>
          <w:highlight w:val="none"/>
          <w:lang w:val="zh-CN"/>
        </w:rPr>
        <w:t>原件</w:t>
      </w:r>
      <w:r>
        <w:rPr>
          <w:rFonts w:hint="eastAsia" w:ascii="仿宋" w:hAnsi="仿宋" w:eastAsia="仿宋" w:cs="仿宋"/>
          <w:color w:val="auto"/>
          <w:sz w:val="24"/>
          <w:highlight w:val="none"/>
          <w:lang w:val="zh-CN"/>
        </w:rPr>
        <w:t>，开户许可证</w:t>
      </w:r>
      <w:r>
        <w:rPr>
          <w:rFonts w:hint="eastAsia" w:ascii="仿宋" w:hAnsi="仿宋" w:eastAsia="仿宋" w:cs="仿宋"/>
          <w:b/>
          <w:color w:val="auto"/>
          <w:sz w:val="24"/>
          <w:highlight w:val="none"/>
          <w:lang w:val="zh-CN"/>
        </w:rPr>
        <w:t>原件</w:t>
      </w:r>
      <w:r>
        <w:rPr>
          <w:rFonts w:hint="eastAsia" w:ascii="仿宋" w:hAnsi="仿宋" w:eastAsia="仿宋" w:cs="仿宋"/>
          <w:color w:val="auto"/>
          <w:sz w:val="24"/>
          <w:highlight w:val="none"/>
          <w:lang w:val="zh-CN"/>
        </w:rPr>
        <w:t>；</w:t>
      </w:r>
    </w:p>
    <w:p>
      <w:pPr>
        <w:spacing w:line="46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11.3.</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3投标供应商应符合《中华人民共和国政府采购法》第二十二条规定。</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11.3.</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供应商认为需要提交的其它资格资质证明材料。</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以上资格资质证明材料须按要求提供且真实可靠，所需</w:t>
      </w:r>
    </w:p>
    <w:p>
      <w:pPr>
        <w:spacing w:line="460" w:lineRule="exac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资料必须按要求提交，否则评标委员会将对其作无效投标处理。开标现场验证上述条款</w:t>
      </w:r>
    </w:p>
    <w:p>
      <w:pPr>
        <w:spacing w:line="460" w:lineRule="exac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要求的所有资格资质证明材料(资格资质证明材料中有外文资料的，应当将外文资料完整、客观、真实的翻译为中文），供应商应于投标截止时间前将资格资质证明材料随投标文件一起递交，现场一次性出示，不接受二次补充。招标文件《综合评分法细则》中要求的各类打分的相关原件应随资格资质证明材料一并提交，没有或者不能提交的不得分。</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上述材料的复印件也要在投标文件的商务标书中体现，并加盖供应商公章。</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p>
      <w:pPr>
        <w:spacing w:line="460" w:lineRule="exact"/>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供应商缴纳税收的证明材料主要是指供应商税务登记证(国税、地税)和参加政府采购活动前一段时间内缴纳增值税、企业所得税的凭据。供应商缴纳社会保障资金的证明材料主要是指社会保险登记证和参加政府采购活动前一段时间内缴纳社会保险的凭据（专用收据或社会保险缴纳清单），其他组织和自然人也需要提供缴纳税收的凭据和缴纳社会保险的凭据。依法免税或不需要缴纳社会保障资金的供应商，应提供相应文件证明其依法免税或不需要缴纳社会保障资金。</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11.4技术标</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11.4.1技术条款偏离表（格式参考附件9）</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11.4.2服务与承诺：供应商自行编写。</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11.4.3供应商认为其它应介绍或提交的技术资料和文件。</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12.投标文件格式</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12.1投标文件包括本须知第11条中规定的内容，供应商提交的投标文件格式参考招标文件所提供的投标文件格式。</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13.投标文件份数和签署</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13.1投标文件一式肆份（其中正本一份、副本三份，</w:t>
      </w:r>
      <w:r>
        <w:rPr>
          <w:rFonts w:hint="eastAsia" w:ascii="仿宋" w:hAnsi="仿宋" w:eastAsia="仿宋" w:cs="仿宋"/>
          <w:color w:val="auto"/>
          <w:sz w:val="24"/>
          <w:szCs w:val="24"/>
          <w:highlight w:val="none"/>
          <w:lang w:val="en-US" w:eastAsia="zh-CN"/>
        </w:rPr>
        <w:t>电子版可编辑 U 盘一份</w:t>
      </w:r>
      <w:r>
        <w:rPr>
          <w:rFonts w:hint="eastAsia" w:ascii="仿宋" w:hAnsi="仿宋" w:eastAsia="仿宋" w:cs="仿宋"/>
          <w:color w:val="auto"/>
          <w:sz w:val="24"/>
          <w:highlight w:val="none"/>
          <w:lang w:val="zh-CN"/>
        </w:rPr>
        <w:t>），每份投标文件须清楚地标明“正本”或“副本”字样一旦正本和副本不符，以正本为准。副本可采用正本的复印件。</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13.2投标文件应采用不褪色的材料书写或打印。报价文件的内容均需打印胶装成册，由供应商法定代表人或其全权代表签字或盖章。</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13.3除供应商对错误处做必要的修改外，投标文件不得行间插字、涂改或增删；如有修改错漏处，必须由投标文件签署人签字或盖章。</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14.投标报价说明</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14.</w:t>
      </w:r>
      <w:r>
        <w:rPr>
          <w:rFonts w:hint="eastAsia" w:ascii="仿宋" w:hAnsi="仿宋" w:eastAsia="仿宋" w:cs="仿宋"/>
          <w:color w:val="auto"/>
          <w:sz w:val="24"/>
          <w:highlight w:val="none"/>
        </w:rPr>
        <w:t>1本次采购项目，供应商应根据代理机构提供的招标文件、各自情况等进行报价的编制，报价应包括采购范围内的全部内容，含保险、运输、装卸、售后服务及技术支持等相关服务的所有费用。供应商应充分考虑本项目合同实施期间可能发生的一切费用，并承担由此而带来的风险。凡供应商在报价中未列明的项目，招标人将一律视为已包括在其报价中，在合同执行中将不予考虑。</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14.2供应商的投标报价只允许有一个，任何有选择性投标将不予接受。投标报价不得超过招标人给出的预算价，否则视为严重偏离，按无效标处理。</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14.3最低报价不是中标的唯一因素，投标单位所报服务方案、服务质量等须符合招标文件的要求和规定。</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14.4</w:t>
      </w:r>
      <w:r>
        <w:rPr>
          <w:rFonts w:hint="eastAsia" w:ascii="仿宋" w:hAnsi="仿宋" w:eastAsia="仿宋" w:cs="仿宋"/>
          <w:color w:val="auto"/>
          <w:sz w:val="24"/>
          <w:highlight w:val="none"/>
        </w:rPr>
        <w:t>开标一览表及投标函格式应按照招标文件中提供的格式执行（第五章投标文件格式）。</w:t>
      </w:r>
    </w:p>
    <w:p>
      <w:pPr>
        <w:pStyle w:val="3"/>
        <w:bidi w:val="0"/>
        <w:rPr>
          <w:rFonts w:hint="eastAsia" w:ascii="仿宋" w:hAnsi="仿宋" w:eastAsia="仿宋" w:cs="仿宋"/>
          <w:color w:val="auto"/>
          <w:highlight w:val="none"/>
        </w:rPr>
      </w:pPr>
    </w:p>
    <w:p>
      <w:pPr>
        <w:pStyle w:val="3"/>
        <w:bidi w:val="0"/>
        <w:rPr>
          <w:rFonts w:hint="eastAsia" w:ascii="仿宋" w:hAnsi="仿宋" w:eastAsia="仿宋" w:cs="仿宋"/>
          <w:color w:val="auto"/>
          <w:highlight w:val="none"/>
        </w:rPr>
      </w:pPr>
      <w:bookmarkStart w:id="15" w:name="_Toc30659"/>
      <w:r>
        <w:rPr>
          <w:rFonts w:hint="eastAsia" w:ascii="仿宋" w:hAnsi="仿宋" w:eastAsia="仿宋" w:cs="仿宋"/>
          <w:color w:val="auto"/>
          <w:highlight w:val="none"/>
        </w:rPr>
        <w:t>四、投标文件的递交</w:t>
      </w:r>
      <w:bookmarkEnd w:id="15"/>
    </w:p>
    <w:p>
      <w:pPr>
        <w:spacing w:line="460" w:lineRule="exact"/>
        <w:ind w:firstLine="482" w:firstLineChars="200"/>
        <w:rPr>
          <w:rFonts w:hint="eastAsia" w:ascii="仿宋" w:hAnsi="仿宋" w:eastAsia="仿宋" w:cs="仿宋"/>
          <w:b/>
          <w:color w:val="auto"/>
          <w:sz w:val="24"/>
          <w:highlight w:val="none"/>
          <w:lang w:val="zh-CN"/>
        </w:rPr>
      </w:pPr>
      <w:bookmarkStart w:id="16" w:name="_Toc142900867"/>
      <w:r>
        <w:rPr>
          <w:rFonts w:hint="eastAsia" w:ascii="仿宋" w:hAnsi="仿宋" w:eastAsia="仿宋" w:cs="仿宋"/>
          <w:b/>
          <w:color w:val="auto"/>
          <w:sz w:val="24"/>
          <w:highlight w:val="none"/>
          <w:lang w:val="zh-CN"/>
        </w:rPr>
        <w:t>15.投标文件的密封和标记</w:t>
      </w:r>
    </w:p>
    <w:p>
      <w:pPr>
        <w:adjustRightInd w:val="0"/>
        <w:snapToGrid w:val="0"/>
        <w:spacing w:line="420" w:lineRule="exact"/>
        <w:ind w:left="567"/>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15.1投标时，投标人应必须将投标文件正本、副本统一密封，电子版、“开标报</w:t>
      </w:r>
    </w:p>
    <w:p>
      <w:pPr>
        <w:tabs>
          <w:tab w:val="left" w:pos="840"/>
        </w:tabs>
        <w:adjustRightInd w:val="0"/>
        <w:snapToGrid w:val="0"/>
        <w:spacing w:line="42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价一览表”单独密封。（即：递交投标文件时共分为三个密封袋：投标文件、电子版、及“开标报价一览表”各一个）。密封袋上写明供应商名称，项目名称、包号、项目编号及“请勿在</w:t>
      </w:r>
      <w:r>
        <w:rPr>
          <w:rFonts w:hint="eastAsia" w:ascii="仿宋" w:hAnsi="仿宋" w:eastAsia="仿宋" w:cs="仿宋"/>
          <w:color w:val="auto"/>
          <w:sz w:val="24"/>
          <w:highlight w:val="none"/>
          <w:lang w:val="en-US" w:eastAsia="zh-CN"/>
        </w:rPr>
        <w:t>XX</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lang w:val="en-US" w:eastAsia="zh-CN"/>
        </w:rPr>
        <w:t>XX</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lang w:val="en-US" w:eastAsia="zh-CN"/>
        </w:rPr>
        <w:t>XX</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lang w:val="en-US" w:eastAsia="zh-CN"/>
        </w:rPr>
        <w:t>XX</w:t>
      </w:r>
      <w:r>
        <w:rPr>
          <w:rFonts w:hint="eastAsia" w:ascii="仿宋" w:hAnsi="仿宋" w:eastAsia="仿宋" w:cs="仿宋"/>
          <w:color w:val="auto"/>
          <w:sz w:val="24"/>
          <w:highlight w:val="none"/>
          <w:lang w:val="zh-CN"/>
        </w:rPr>
        <w:t>时</w:t>
      </w:r>
      <w:r>
        <w:rPr>
          <w:rFonts w:hint="eastAsia" w:ascii="仿宋" w:hAnsi="仿宋" w:eastAsia="仿宋" w:cs="仿宋"/>
          <w:color w:val="auto"/>
          <w:sz w:val="24"/>
          <w:highlight w:val="none"/>
          <w:lang w:val="en-US" w:eastAsia="zh-CN"/>
        </w:rPr>
        <w:t>XX</w:t>
      </w:r>
      <w:r>
        <w:rPr>
          <w:rFonts w:hint="eastAsia" w:ascii="仿宋" w:hAnsi="仿宋" w:eastAsia="仿宋" w:cs="仿宋"/>
          <w:color w:val="auto"/>
          <w:sz w:val="24"/>
          <w:highlight w:val="none"/>
          <w:lang w:val="zh-CN"/>
        </w:rPr>
        <w:t>分之前启封”的字样。</w:t>
      </w:r>
    </w:p>
    <w:p>
      <w:pPr>
        <w:adjustRightInd w:val="0"/>
        <w:snapToGrid w:val="0"/>
        <w:spacing w:line="420" w:lineRule="exact"/>
        <w:ind w:left="567"/>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15.2投标文件、电子版及“开标报价一览表”外层包装须按以下要求标记：</w:t>
      </w:r>
    </w:p>
    <w:p>
      <w:pPr>
        <w:adjustRightInd w:val="0"/>
        <w:snapToGrid w:val="0"/>
        <w:spacing w:line="420" w:lineRule="exact"/>
        <w:ind w:firstLine="600" w:firstLineChars="25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（1）投标单位（盖公章）的全称；</w:t>
      </w:r>
    </w:p>
    <w:p>
      <w:pPr>
        <w:adjustRightInd w:val="0"/>
        <w:snapToGrid w:val="0"/>
        <w:spacing w:line="420" w:lineRule="exact"/>
        <w:ind w:left="567"/>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（2）投标项目名称、招标文件编号、包号；</w:t>
      </w:r>
    </w:p>
    <w:p>
      <w:pPr>
        <w:adjustRightInd w:val="0"/>
        <w:snapToGrid w:val="0"/>
        <w:spacing w:line="420" w:lineRule="exact"/>
        <w:ind w:left="567"/>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（3）正本、副本或开标报价一览表；</w:t>
      </w:r>
    </w:p>
    <w:p>
      <w:pPr>
        <w:adjustRightInd w:val="0"/>
        <w:snapToGrid w:val="0"/>
        <w:spacing w:line="420" w:lineRule="exact"/>
        <w:ind w:left="567"/>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（4）“请勿在</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(开标时间)之前启封”字样，并在骑缝处加盖公章。</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16.投标文件的补充、修改和撤回</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w:t>
      </w: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val="zh-CN"/>
        </w:rPr>
        <w:t>.1供应商在递交投标文件后，在规定的投标截止时间前，可以书面形式补充修改或撤回已提交的投标文件，并以书面形式通知招标人，修改或撤回其投标文件。补充、修改的内容为其投标文件的组成部分。</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w:t>
      </w: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val="zh-CN"/>
        </w:rPr>
        <w:t>.2供应商对投标文件的补充、修改，应按本须知第1</w:t>
      </w: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zh-CN"/>
        </w:rPr>
        <w:t>条的有关规定密封、标记，并在投标文件密封袋上清楚标明“补充、修改”或“撤回”字样。</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w:t>
      </w:r>
      <w:r>
        <w:rPr>
          <w:rFonts w:hint="eastAsia" w:ascii="仿宋" w:hAnsi="仿宋" w:eastAsia="仿宋" w:cs="仿宋"/>
          <w:color w:val="auto"/>
          <w:sz w:val="24"/>
          <w:highlight w:val="none"/>
        </w:rPr>
        <w:t>6</w:t>
      </w:r>
      <w:r>
        <w:rPr>
          <w:rFonts w:hint="eastAsia" w:ascii="仿宋" w:hAnsi="仿宋" w:eastAsia="仿宋" w:cs="仿宋"/>
          <w:color w:val="auto"/>
          <w:sz w:val="24"/>
          <w:highlight w:val="none"/>
          <w:lang w:val="zh-CN"/>
        </w:rPr>
        <w:t>.3在投标截止时间之后，供应商不得补充、修改投标文件。</w:t>
      </w:r>
    </w:p>
    <w:p>
      <w:pPr>
        <w:spacing w:line="460" w:lineRule="exact"/>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17.</w:t>
      </w:r>
      <w:r>
        <w:rPr>
          <w:rFonts w:hint="eastAsia" w:ascii="仿宋" w:hAnsi="仿宋" w:eastAsia="仿宋" w:cs="仿宋"/>
          <w:color w:val="auto"/>
          <w:sz w:val="24"/>
          <w:highlight w:val="none"/>
        </w:rPr>
        <w:t>如果供应商同时投报多个包段的，则投标文件必须以包为单位进行封装。</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18.投标文件的退还</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无论投标单位是否中标，其投标文件一概不予退还。</w:t>
      </w:r>
    </w:p>
    <w:bookmarkEnd w:id="16"/>
    <w:p>
      <w:pPr>
        <w:rPr>
          <w:rFonts w:hint="eastAsia" w:ascii="仿宋" w:hAnsi="仿宋" w:eastAsia="仿宋" w:cs="仿宋"/>
          <w:color w:val="auto"/>
          <w:highlight w:val="none"/>
        </w:rPr>
      </w:pPr>
    </w:p>
    <w:p>
      <w:pPr>
        <w:pStyle w:val="3"/>
        <w:bidi w:val="0"/>
        <w:rPr>
          <w:rFonts w:hint="eastAsia" w:ascii="仿宋" w:hAnsi="仿宋" w:eastAsia="仿宋" w:cs="仿宋"/>
          <w:color w:val="auto"/>
          <w:highlight w:val="none"/>
        </w:rPr>
      </w:pPr>
      <w:bookmarkStart w:id="17" w:name="_Toc24826"/>
      <w:r>
        <w:rPr>
          <w:rFonts w:hint="eastAsia" w:ascii="仿宋" w:hAnsi="仿宋" w:eastAsia="仿宋" w:cs="仿宋"/>
          <w:color w:val="auto"/>
          <w:highlight w:val="none"/>
        </w:rPr>
        <w:t>五、开标、评标与定标</w:t>
      </w:r>
      <w:bookmarkEnd w:id="17"/>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19.开标</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19</w:t>
      </w:r>
      <w:r>
        <w:rPr>
          <w:rFonts w:hint="eastAsia" w:ascii="仿宋" w:hAnsi="仿宋" w:eastAsia="仿宋" w:cs="仿宋"/>
          <w:color w:val="auto"/>
          <w:sz w:val="24"/>
          <w:highlight w:val="none"/>
          <w:lang w:val="zh-CN"/>
        </w:rPr>
        <w:t>.1招标人将在招标文件规定的时间和地点组织公开开标。</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19</w:t>
      </w:r>
      <w:r>
        <w:rPr>
          <w:rFonts w:hint="eastAsia" w:ascii="仿宋" w:hAnsi="仿宋" w:eastAsia="仿宋" w:cs="仿宋"/>
          <w:color w:val="auto"/>
          <w:sz w:val="24"/>
          <w:highlight w:val="none"/>
          <w:lang w:val="zh-CN"/>
        </w:rPr>
        <w:t>.2供应商应委派代表准时参加，参加开标的代表须签名以证明其出席，投标人未委派代表参加开标的，视同投标人认同开标结果。</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20.开标程序</w:t>
      </w:r>
    </w:p>
    <w:p>
      <w:pPr>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w:t>
      </w:r>
      <w:r>
        <w:rPr>
          <w:rFonts w:hint="eastAsia" w:ascii="仿宋" w:hAnsi="仿宋" w:eastAsia="仿宋" w:cs="仿宋"/>
          <w:color w:val="auto"/>
          <w:sz w:val="24"/>
          <w:highlight w:val="none"/>
        </w:rPr>
        <w:t>0</w:t>
      </w:r>
      <w:r>
        <w:rPr>
          <w:rFonts w:hint="eastAsia" w:ascii="仿宋" w:hAnsi="仿宋" w:eastAsia="仿宋" w:cs="仿宋"/>
          <w:color w:val="auto"/>
          <w:sz w:val="24"/>
          <w:highlight w:val="none"/>
          <w:lang w:val="zh-CN"/>
        </w:rPr>
        <w:t xml:space="preserve">.1主持人按照程序进行开标。 </w:t>
      </w:r>
    </w:p>
    <w:p>
      <w:pPr>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（1）宣布开标纪律； </w:t>
      </w:r>
    </w:p>
    <w:p>
      <w:pPr>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（2）公布在投标截止时间前递交投标文件的投标人名称； </w:t>
      </w:r>
    </w:p>
    <w:p>
      <w:pPr>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（3）宣布开标人、唱标人、记录人、监标人等有关人员姓名； </w:t>
      </w:r>
    </w:p>
    <w:p>
      <w:pPr>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（4）由投标单位推荐的代表检查投标文件的密封情况； </w:t>
      </w:r>
    </w:p>
    <w:p>
      <w:pPr>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（5）按照投标文件递交逆顺序，公布投标人名称、项目名称、投标报价和招标文件规定的需要宣布的其他内容，并记录在案； </w:t>
      </w:r>
    </w:p>
    <w:p>
      <w:pPr>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（6）</w:t>
      </w:r>
      <w:r>
        <w:rPr>
          <w:rFonts w:hint="eastAsia" w:ascii="仿宋" w:hAnsi="仿宋" w:eastAsia="仿宋" w:cs="仿宋"/>
          <w:color w:val="auto"/>
          <w:sz w:val="24"/>
          <w:highlight w:val="none"/>
        </w:rPr>
        <w:t>供应商</w:t>
      </w:r>
      <w:r>
        <w:rPr>
          <w:rFonts w:hint="eastAsia" w:ascii="仿宋" w:hAnsi="仿宋" w:eastAsia="仿宋" w:cs="仿宋"/>
          <w:color w:val="auto"/>
          <w:sz w:val="24"/>
          <w:highlight w:val="none"/>
          <w:lang w:val="zh-CN"/>
        </w:rPr>
        <w:t>代表、</w:t>
      </w:r>
      <w:r>
        <w:rPr>
          <w:rFonts w:hint="eastAsia" w:ascii="仿宋" w:hAnsi="仿宋" w:eastAsia="仿宋" w:cs="仿宋"/>
          <w:color w:val="auto"/>
          <w:sz w:val="24"/>
          <w:highlight w:val="none"/>
        </w:rPr>
        <w:t>采购</w:t>
      </w:r>
      <w:r>
        <w:rPr>
          <w:rFonts w:hint="eastAsia" w:ascii="仿宋" w:hAnsi="仿宋" w:eastAsia="仿宋" w:cs="仿宋"/>
          <w:color w:val="auto"/>
          <w:sz w:val="24"/>
          <w:highlight w:val="none"/>
          <w:lang w:val="zh-CN"/>
        </w:rPr>
        <w:t xml:space="preserve">人代表、监标人、记录人等有关人员在唱标记录上签字确认； </w:t>
      </w:r>
    </w:p>
    <w:p>
      <w:pPr>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（7）开标结束，进入评标程序。 </w:t>
      </w:r>
    </w:p>
    <w:p>
      <w:pPr>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21.供应商代表对开标过程和开标记录有疑义，以及认为采购人、采购代理机构相关工作人员有需要回避的情形的，应当场提出询问或者回避申请。采购人、采购代理机构对供应商代表提出的询问或者回避申请应当及时处理。</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22.开标时，投标文件出现下列情形之一的，投标文件无效，招标人不予受理：</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22.1逾期送达的。</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22.2未按招标文件要求密封的。</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22.3法律、法规及招标文件规定的其它情况。</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23.评标委员会和评标</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23.1评标委员会由采购人代表和评审专家组成，成员人数应当为5人以上单数，其中评审专家不得少于成员总数的三分之二。 </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23.2与供应商有利害关系的人不得进入相关项目的评标委员会，已经进入的应当更换。 </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23.3评标委员会成员的名单在中标结果确定前要严格保密。</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23.4开标程序结束后，开始评标，评标采用保密方式进行。</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24.评标过程的保密</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24.1开标后，直至授予中标人合同为止，凡属于对投标文件的审查、澄清、评价和比较有关的资料以及中标候选人的推荐情况，与评标有关的其他任何情况均严格保密。</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24.2在投标文件的评审和比较、中标候选人推荐以及授予合同的过程中，供应商向招标人和评标委员会施加影响的任何行为，都将会导致其投标被拒绝。</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24.3中标人确定后，招标人不对未中标人就评标过程以及未能中标原因作出任何解释。未中标人不得向评标委员会组成人员或其他有关人员索问评标过程的情况和材料。</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25.评标方法</w:t>
      </w:r>
    </w:p>
    <w:p>
      <w:pPr>
        <w:autoSpaceDE w:val="0"/>
        <w:autoSpaceDN w:val="0"/>
        <w:adjustRightInd w:val="0"/>
        <w:spacing w:line="460" w:lineRule="exact"/>
        <w:ind w:firstLine="482" w:firstLineChars="200"/>
        <w:rPr>
          <w:rFonts w:hint="eastAsia" w:ascii="仿宋" w:hAnsi="仿宋" w:eastAsia="仿宋" w:cs="仿宋"/>
          <w:b/>
          <w:color w:val="auto"/>
          <w:sz w:val="24"/>
          <w:highlight w:val="none"/>
          <w:u w:val="single"/>
        </w:rPr>
      </w:pPr>
      <w:r>
        <w:rPr>
          <w:rFonts w:hint="eastAsia" w:ascii="仿宋" w:hAnsi="仿宋" w:eastAsia="仿宋" w:cs="仿宋"/>
          <w:b/>
          <w:color w:val="auto"/>
          <w:sz w:val="24"/>
          <w:highlight w:val="none"/>
          <w:lang w:val="zh-CN"/>
        </w:rPr>
        <w:t>评标委员会采用综合评分法确定中标候选人或中标人，在最大限度地满足招标文件实质性要求前提下，按照招标文件中规定的各项因素进行综合评审后，以评标总得分最高的供应商作为中标候选人或者中标人；评标方法、标准细则详见本须知附表《综合评分法细则》。</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26.投标文件的初审</w:t>
      </w:r>
    </w:p>
    <w:p>
      <w:pPr>
        <w:spacing w:line="460" w:lineRule="exact"/>
        <w:ind w:firstLine="482" w:firstLineChars="200"/>
        <w:rPr>
          <w:rFonts w:hint="eastAsia"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26.1首先由采购人或者采购代理机构对供应商进行资格性检查，投标人在出席开标会议时必须按照文件规定携带以下证件原件</w:t>
      </w:r>
      <w:bookmarkStart w:id="90" w:name="_GoBack"/>
      <w:bookmarkEnd w:id="90"/>
      <w:r>
        <w:rPr>
          <w:rFonts w:hint="eastAsia" w:ascii="仿宋" w:hAnsi="仿宋" w:eastAsia="仿宋" w:cs="仿宋"/>
          <w:b/>
          <w:color w:val="auto"/>
          <w:sz w:val="24"/>
          <w:highlight w:val="none"/>
          <w:u w:val="single"/>
        </w:rPr>
        <w:t>，单独装在一个档案袋内，同投标文件一起递交，接受采购人或者采购代理机构的审查，若发现投标企业存在弄虚作假行为或资格审查中有其中一项或多项不合格的，均对其投标做无效标处理。投标人应自行核对证件材料与清单是否一致，并为此负责。</w:t>
      </w:r>
    </w:p>
    <w:p>
      <w:pPr>
        <w:spacing w:line="460" w:lineRule="exact"/>
        <w:ind w:firstLine="482" w:firstLineChars="200"/>
        <w:rPr>
          <w:rFonts w:hint="eastAsia"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1）企业法人三证合一的带统一社会代码的营业执照副本；</w:t>
      </w:r>
    </w:p>
    <w:p>
      <w:pPr>
        <w:spacing w:line="460" w:lineRule="exact"/>
        <w:ind w:firstLine="482" w:firstLineChars="200"/>
        <w:rPr>
          <w:rFonts w:hint="eastAsia"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2）法定代表人身份证或法人授权委托书及委托代理人身份证；</w:t>
      </w:r>
    </w:p>
    <w:p>
      <w:pPr>
        <w:spacing w:line="460" w:lineRule="exact"/>
        <w:ind w:firstLine="482" w:firstLineChars="200"/>
        <w:rPr>
          <w:rFonts w:hint="eastAsia"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3）依法缴纳税收和社会保障资金的相关材料；</w:t>
      </w:r>
    </w:p>
    <w:p>
      <w:pPr>
        <w:spacing w:line="460" w:lineRule="exact"/>
        <w:ind w:firstLine="482" w:firstLineChars="200"/>
        <w:rPr>
          <w:rFonts w:hint="eastAsia" w:ascii="仿宋" w:hAnsi="仿宋" w:eastAsia="仿宋" w:cs="仿宋"/>
          <w:b/>
          <w:color w:val="auto"/>
          <w:sz w:val="24"/>
          <w:highlight w:val="none"/>
          <w:u w:val="single"/>
        </w:rPr>
      </w:pPr>
      <w:r>
        <w:rPr>
          <w:rFonts w:hint="eastAsia" w:ascii="仿宋" w:hAnsi="仿宋" w:eastAsia="仿宋" w:cs="仿宋"/>
          <w:b/>
          <w:color w:val="auto"/>
          <w:sz w:val="24"/>
          <w:highlight w:val="none"/>
          <w:u w:val="single"/>
          <w:lang w:val="en-US" w:eastAsia="zh-CN"/>
        </w:rPr>
        <w:t>4</w:t>
      </w:r>
      <w:r>
        <w:rPr>
          <w:rFonts w:hint="eastAsia" w:ascii="仿宋" w:hAnsi="仿宋" w:eastAsia="仿宋" w:cs="仿宋"/>
          <w:b/>
          <w:color w:val="auto"/>
          <w:sz w:val="24"/>
          <w:highlight w:val="none"/>
          <w:u w:val="single"/>
        </w:rPr>
        <w:t>）投标人须未被列入“中国裁判文书网”网站（http://wenshu.court.gov.cn/）行贿犯罪档案或未被列入“中国执行信息公开网”网站（http://zxgk.court.gov.cn/）失信被执行人名单；；</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26.2</w:t>
      </w:r>
      <w:r>
        <w:rPr>
          <w:rFonts w:hint="eastAsia" w:ascii="仿宋" w:hAnsi="仿宋" w:eastAsia="仿宋" w:cs="仿宋"/>
          <w:b/>
          <w:color w:val="auto"/>
          <w:sz w:val="24"/>
          <w:highlight w:val="none"/>
          <w:u w:val="single"/>
        </w:rPr>
        <w:t>在商务评议时，如发现供应商有下列情况之一的，将对其作无效投标处理</w:t>
      </w:r>
      <w:r>
        <w:rPr>
          <w:rFonts w:hint="eastAsia" w:ascii="仿宋" w:hAnsi="仿宋" w:eastAsia="仿宋" w:cs="仿宋"/>
          <w:b/>
          <w:color w:val="auto"/>
          <w:sz w:val="24"/>
          <w:highlight w:val="none"/>
        </w:rPr>
        <w:t>：</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26.2.1供应商所报的供货期、质保期、付款方式不符合招标文件要求的。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26.2.2投标文件未按招标文件规定编制或</w:t>
      </w:r>
      <w:r>
        <w:rPr>
          <w:rFonts w:hint="eastAsia" w:ascii="仿宋" w:hAnsi="仿宋" w:eastAsia="仿宋" w:cs="仿宋"/>
          <w:bCs/>
          <w:color w:val="auto"/>
          <w:sz w:val="24"/>
          <w:highlight w:val="none"/>
        </w:rPr>
        <w:t>关键内容字迹模糊、无法辨认的</w:t>
      </w:r>
      <w:r>
        <w:rPr>
          <w:rFonts w:hint="eastAsia" w:ascii="仿宋" w:hAnsi="仿宋" w:eastAsia="仿宋" w:cs="仿宋"/>
          <w:color w:val="auto"/>
          <w:sz w:val="24"/>
          <w:highlight w:val="none"/>
        </w:rPr>
        <w:t>。</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26.2.3供应商递交两份或多份内容不同的投标文件，或在一份投标文件中对同一采购项目有两个或多个报价，且未声明哪一个有效（按招标文件规定提交备选报价方案或招标文件有其它说明的除外）。</w:t>
      </w:r>
    </w:p>
    <w:p>
      <w:pPr>
        <w:spacing w:line="44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26.2.4公开唱价后，供应商撤回报价、退出评标的。</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26.2.5投标文件符合招标文件中规定无效报价的其它商务条款。</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26.2.6法律、法规规定的其它情况。</w:t>
      </w:r>
    </w:p>
    <w:p>
      <w:pPr>
        <w:spacing w:line="44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bCs/>
          <w:color w:val="auto"/>
          <w:sz w:val="24"/>
          <w:highlight w:val="none"/>
        </w:rPr>
        <w:t>26.3</w:t>
      </w:r>
      <w:r>
        <w:rPr>
          <w:rFonts w:hint="eastAsia" w:ascii="仿宋" w:hAnsi="仿宋" w:eastAsia="仿宋" w:cs="仿宋"/>
          <w:b/>
          <w:color w:val="auto"/>
          <w:sz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pacing w:line="460" w:lineRule="exact"/>
        <w:ind w:firstLine="482" w:firstLineChars="200"/>
        <w:rPr>
          <w:rFonts w:hint="eastAsia" w:ascii="仿宋" w:hAnsi="仿宋" w:eastAsia="仿宋" w:cs="仿宋"/>
          <w:b/>
          <w:color w:val="auto"/>
          <w:sz w:val="24"/>
          <w:highlight w:val="none"/>
          <w:lang w:val="zh-CN"/>
        </w:rPr>
      </w:pPr>
      <w:r>
        <w:rPr>
          <w:rFonts w:hint="eastAsia" w:ascii="仿宋" w:hAnsi="仿宋" w:eastAsia="仿宋" w:cs="仿宋"/>
          <w:b/>
          <w:color w:val="auto"/>
          <w:sz w:val="24"/>
          <w:highlight w:val="none"/>
          <w:lang w:val="zh-CN"/>
        </w:rPr>
        <w:t>26.</w:t>
      </w:r>
      <w:r>
        <w:rPr>
          <w:rFonts w:hint="eastAsia" w:ascii="仿宋" w:hAnsi="仿宋" w:eastAsia="仿宋" w:cs="仿宋"/>
          <w:b/>
          <w:color w:val="auto"/>
          <w:sz w:val="24"/>
          <w:highlight w:val="none"/>
        </w:rPr>
        <w:t>4</w:t>
      </w:r>
      <w:r>
        <w:rPr>
          <w:rFonts w:hint="eastAsia" w:ascii="仿宋" w:hAnsi="仿宋" w:eastAsia="仿宋" w:cs="仿宋"/>
          <w:b/>
          <w:color w:val="auto"/>
          <w:sz w:val="24"/>
          <w:highlight w:val="none"/>
          <w:lang w:val="zh-CN"/>
        </w:rPr>
        <w:t>投标文件有下列情形之一的，由评标委员会评审后按无效投标处理：</w:t>
      </w:r>
    </w:p>
    <w:p>
      <w:pPr>
        <w:spacing w:line="46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　（一）未按照招标文件的规定提交投标保证金的；</w:t>
      </w:r>
    </w:p>
    <w:p>
      <w:pPr>
        <w:spacing w:line="46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　（二）投标文件未按招标文件要求签署、盖章的；</w:t>
      </w:r>
    </w:p>
    <w:p>
      <w:pPr>
        <w:spacing w:line="46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　（三）不具备招标文件中规定的资格要求的；</w:t>
      </w:r>
    </w:p>
    <w:p>
      <w:pPr>
        <w:spacing w:line="46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　（四）报价超过招标文件中规定的预算金额或者最高限价的；</w:t>
      </w:r>
    </w:p>
    <w:p>
      <w:pPr>
        <w:spacing w:line="46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　（五）投标文件含有采购人不能接受的附加条件的;</w:t>
      </w:r>
    </w:p>
    <w:p>
      <w:pPr>
        <w:spacing w:line="4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（六）法律、法规和招标文件规定的其他无效情形。</w:t>
      </w:r>
    </w:p>
    <w:p>
      <w:pPr>
        <w:spacing w:line="460" w:lineRule="exact"/>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26.5有下列情形之一的，视为供应商串通投标，其投标无效：</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（一）不同供应商的投标文件由同一单位或者个人编制；</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（二）不同供应商委托同一单位或者个人办理投标事宜；</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（三）不同供应商的投标文件载明的项目管理成员或者联系人员为同一人；</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（四）不同供应商的投标文件异常一致或者投标报价呈规律性差异；</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（五）不同供应商的投标文件相互混装；</w:t>
      </w:r>
    </w:p>
    <w:p>
      <w:pPr>
        <w:spacing w:line="460" w:lineRule="exact"/>
        <w:ind w:firstLine="480" w:firstLineChars="200"/>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　（六）不同供应商的投标保证金从同一单位或者个人的账户转出。</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27.投标文件的澄清</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27.1评标期间，为有助于对投标文件的审查、评价和比较，评标委员会有权要求供应商对其投标文件进行澄清，但并非对每个供应商都做澄清要求。</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27.2接到评标委员会澄清要求的供应商应派人按评标委员会通知的时间和地点做出书面澄清，书面澄清的内容须由供应商法定代表人或授权代表签署，并作为投标文件的补充部分，但投标的实质性内容不得做任何更改。</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27.3接到评标委员会澄清要求的供应商如未按本须知第27.2款的规定做出澄清，其风险由供应商自行承担。</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28.投标文件计算错误的修正</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28.1投标文件报价出现前后不一致的，除招标文件另有规定外，按照下列规定修正：</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28.1.1投标文件中开标一览表（报价表）内容与投标文件中相应内容不一致的，以开标一览表（报价表）为准；</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28.1.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大写金额和小写金额不一致的，以大写金额为准；</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28.1.</w:t>
      </w: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zh-CN"/>
        </w:rPr>
        <w:t>单价金额小数点或者百分比有明显错位的，以开标一览表的总价为准，并修改单价；</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28.1.</w:t>
      </w: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zh-CN"/>
        </w:rPr>
        <w:t>总价金额与按单价汇总金额不一致的，以单价金额计算结果为准。</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同时出现两种以上不一致的，按照前款规定的顺序修正。修正后的报价按照规定经投标人确认后产生约束力，投标人不确认的，其投标无效。</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29.综合评审</w:t>
      </w:r>
    </w:p>
    <w:p>
      <w:pPr>
        <w:pStyle w:val="12"/>
        <w:spacing w:line="460" w:lineRule="exact"/>
        <w:ind w:left="0" w:leftChars="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29.1评标委员会根据评分细则对合格供应商进行打分，总分为100分。向采购人提出书面评审报告，并按最终得分</w:t>
      </w:r>
      <w:r>
        <w:rPr>
          <w:rFonts w:hint="eastAsia" w:ascii="仿宋" w:hAnsi="仿宋" w:eastAsia="仿宋" w:cs="仿宋"/>
          <w:color w:val="auto"/>
          <w:sz w:val="24"/>
          <w:highlight w:val="none"/>
        </w:rPr>
        <w:t>由</w:t>
      </w:r>
      <w:r>
        <w:rPr>
          <w:rFonts w:hint="eastAsia" w:ascii="仿宋" w:hAnsi="仿宋" w:eastAsia="仿宋" w:cs="仿宋"/>
          <w:color w:val="auto"/>
          <w:sz w:val="24"/>
          <w:highlight w:val="none"/>
          <w:lang w:val="zh-CN"/>
        </w:rPr>
        <w:t>高</w:t>
      </w:r>
      <w:r>
        <w:rPr>
          <w:rFonts w:hint="eastAsia" w:ascii="仿宋" w:hAnsi="仿宋" w:eastAsia="仿宋" w:cs="仿宋"/>
          <w:color w:val="auto"/>
          <w:sz w:val="24"/>
          <w:highlight w:val="none"/>
        </w:rPr>
        <w:t>到</w:t>
      </w:r>
      <w:r>
        <w:rPr>
          <w:rFonts w:hint="eastAsia" w:ascii="仿宋" w:hAnsi="仿宋" w:eastAsia="仿宋" w:cs="仿宋"/>
          <w:color w:val="auto"/>
          <w:sz w:val="24"/>
          <w:highlight w:val="none"/>
          <w:lang w:val="zh-CN"/>
        </w:rPr>
        <w:t>低排列顺序，推荐成交候选人。综合得分相同的，按投标报价由低到高顺序排列；综合得分且投标报价相同的，按技术指标优劣顺序排列。</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30.废标</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30.1在采购活动中，有下列情形之一的，招标人、招标代理机构应当予以废标或者终止采购活动，并将理由书面告知所有投标人：</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30.1.1符合专业条件的供应商或者对招标文件作实质响应的供应商不足三家的；</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30.1.2出现影响采购公正的违法、违规行为的；</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30.1.3投标人的报价均超过了采购预算，采购人不能支付的；</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30.1.4因重大变故，采购任务取消的。</w:t>
      </w:r>
    </w:p>
    <w:p>
      <w:pPr>
        <w:spacing w:line="460" w:lineRule="exact"/>
        <w:ind w:firstLine="480" w:firstLineChars="200"/>
        <w:rPr>
          <w:rFonts w:hint="eastAsia" w:ascii="仿宋" w:hAnsi="仿宋" w:eastAsia="仿宋" w:cs="仿宋"/>
          <w:color w:val="auto"/>
          <w:sz w:val="24"/>
          <w:highlight w:val="none"/>
        </w:rPr>
      </w:pPr>
    </w:p>
    <w:p>
      <w:pPr>
        <w:pStyle w:val="3"/>
        <w:bidi w:val="0"/>
        <w:rPr>
          <w:rFonts w:hint="eastAsia" w:ascii="仿宋" w:hAnsi="仿宋" w:eastAsia="仿宋" w:cs="仿宋"/>
          <w:color w:val="auto"/>
          <w:highlight w:val="none"/>
        </w:rPr>
      </w:pPr>
      <w:bookmarkStart w:id="18" w:name="_Toc7679"/>
      <w:r>
        <w:rPr>
          <w:rFonts w:hint="eastAsia" w:ascii="仿宋" w:hAnsi="仿宋" w:eastAsia="仿宋" w:cs="仿宋"/>
          <w:color w:val="auto"/>
          <w:highlight w:val="none"/>
        </w:rPr>
        <w:t>六．政策性功能</w:t>
      </w:r>
      <w:bookmarkEnd w:id="18"/>
    </w:p>
    <w:p>
      <w:pPr>
        <w:widowControl/>
        <w:spacing w:line="360" w:lineRule="auto"/>
        <w:ind w:firstLine="472" w:firstLineChars="196"/>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31.1优采强采</w:t>
      </w:r>
    </w:p>
    <w:p>
      <w:pPr>
        <w:widowControl/>
        <w:spacing w:line="360" w:lineRule="auto"/>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供应商所报产品列入财政部、国家发展改革委制定的最新一期《节能产品政府采购清单》和财政部、国家环境保护总局制定的最新一期《环境标志产品政府采购清单》的：</w:t>
      </w:r>
    </w:p>
    <w:p>
      <w:pPr>
        <w:widowControl/>
        <w:spacing w:line="360" w:lineRule="auto"/>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在价格评审时，对节能、环保产品分别给予价格加分，（加分=价格评标总分值×5%×节能、环保产品价格在投标报价中所占比例）。</w:t>
      </w:r>
    </w:p>
    <w:p>
      <w:pPr>
        <w:widowControl/>
        <w:spacing w:line="360" w:lineRule="auto"/>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说明：本项计分以供应商提供的“节能、环境标志产品投标清单”及最新发布的“节能产品政府采购清单”、“环境标志产品政府采购清单”（复印件加盖供应商公章）为准，否则不给予价格、技术评审加分；供应商所填写的内容必须真实、可靠，如有虚假或隐瞒，一经查实将导致投标被拒绝。</w:t>
      </w:r>
    </w:p>
    <w:p>
      <w:pPr>
        <w:widowControl/>
        <w:spacing w:line="360" w:lineRule="auto"/>
        <w:ind w:firstLine="472" w:firstLineChars="196"/>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31.2小微企业</w:t>
      </w:r>
    </w:p>
    <w:p>
      <w:pPr>
        <w:widowControl/>
        <w:spacing w:line="460" w:lineRule="exact"/>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31.2.1给予小型和微型企业（包括相互之间组成的联合体）产品的价格6%的扣除；计算方法是：</w:t>
      </w:r>
    </w:p>
    <w:p>
      <w:pPr>
        <w:widowControl/>
        <w:spacing w:line="460" w:lineRule="exact"/>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最终价格＝投标报价×94%，按照最终价格计算其价格分得分。</w:t>
      </w:r>
    </w:p>
    <w:p>
      <w:pPr>
        <w:widowControl/>
        <w:spacing w:line="460" w:lineRule="exact"/>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开标时，供应商须提供国家行政机关出具小型和微型企业证明材料，《小微企业声明函》</w:t>
      </w:r>
      <w:r>
        <w:rPr>
          <w:rFonts w:hint="eastAsia" w:ascii="仿宋" w:hAnsi="仿宋" w:eastAsia="仿宋" w:cs="仿宋"/>
          <w:b/>
          <w:color w:val="auto"/>
          <w:sz w:val="24"/>
          <w:highlight w:val="none"/>
        </w:rPr>
        <w:t>原件</w:t>
      </w:r>
      <w:r>
        <w:rPr>
          <w:rFonts w:hint="eastAsia" w:ascii="仿宋" w:hAnsi="仿宋" w:eastAsia="仿宋" w:cs="仿宋"/>
          <w:color w:val="auto"/>
          <w:sz w:val="24"/>
          <w:highlight w:val="none"/>
        </w:rPr>
        <w:t>(代理商投标的，还须提供代理企业的《小微企业声明函》</w:t>
      </w:r>
      <w:r>
        <w:rPr>
          <w:rFonts w:hint="eastAsia" w:ascii="仿宋" w:hAnsi="仿宋" w:eastAsia="仿宋" w:cs="仿宋"/>
          <w:b/>
          <w:color w:val="auto"/>
          <w:sz w:val="24"/>
          <w:highlight w:val="none"/>
        </w:rPr>
        <w:t>原件</w:t>
      </w:r>
      <w:r>
        <w:rPr>
          <w:rFonts w:hint="eastAsia" w:ascii="仿宋" w:hAnsi="仿宋" w:eastAsia="仿宋" w:cs="仿宋"/>
          <w:color w:val="auto"/>
          <w:sz w:val="24"/>
          <w:highlight w:val="none"/>
        </w:rPr>
        <w:t>，下同)，否则不给予价格扣除。小型、微型企业提供中型企业制造的货物的，视为中型企业。</w:t>
      </w:r>
    </w:p>
    <w:p>
      <w:pPr>
        <w:widowControl/>
        <w:spacing w:line="460" w:lineRule="exact"/>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31.2.2大中型企业和法人、其他组织或者自然人与小型、微型企业组成联合体投标，联合协议中约定，小型、微型企业的协议合同金额占到联合体协议合同金额30%以上的，可给予联合体2%的价格扣除。计算方法是：</w:t>
      </w:r>
    </w:p>
    <w:p>
      <w:pPr>
        <w:widowControl/>
        <w:spacing w:line="460" w:lineRule="exact"/>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最终价格＝投标报价×98%，按照最终价格计算其价格分得分。</w:t>
      </w:r>
    </w:p>
    <w:p>
      <w:pPr>
        <w:widowControl/>
        <w:spacing w:line="460" w:lineRule="exact"/>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开标时，供应商须提供《小微企业声明函》原件和联合体协议原件，否则不给予价格扣除。</w:t>
      </w:r>
    </w:p>
    <w:p>
      <w:pPr>
        <w:widowControl/>
        <w:spacing w:line="460" w:lineRule="exact"/>
        <w:ind w:firstLine="472" w:firstLineChars="196"/>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31. 3监狱企业</w:t>
      </w:r>
    </w:p>
    <w:p>
      <w:pPr>
        <w:widowControl/>
        <w:spacing w:line="360" w:lineRule="auto"/>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31.3.1给予监狱企业（包括相互之间组成的联合体）产品的价格6%的扣除；计算方法是：</w:t>
      </w:r>
    </w:p>
    <w:p>
      <w:pPr>
        <w:widowControl/>
        <w:spacing w:line="360" w:lineRule="auto"/>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最终价格＝投标报价×94%，按照最终价格计算其价格分得分。</w:t>
      </w:r>
    </w:p>
    <w:p>
      <w:pPr>
        <w:widowControl/>
        <w:spacing w:line="360" w:lineRule="auto"/>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开标时，供应商须提供省级以上监狱管理局、戒毒管理局（含新疆生产建设兵团）出具的属于监狱企业的证明文件原件，否则不给予价格扣除。</w:t>
      </w:r>
    </w:p>
    <w:p>
      <w:pPr>
        <w:widowControl/>
        <w:spacing w:line="360" w:lineRule="auto"/>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31.3.2法人、其他组织或者自然人与监狱企业组成联合体投标，联合协议中约定，监狱企业的协议合同金额占到联合体协议合同金额30%以上的，可给予联合体2%的价格扣除。计算方法是：</w:t>
      </w:r>
    </w:p>
    <w:p>
      <w:pPr>
        <w:widowControl/>
        <w:spacing w:line="360" w:lineRule="auto"/>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最终价格＝投标报价×98%，按照最终价格计算其价格分得分。</w:t>
      </w:r>
    </w:p>
    <w:p>
      <w:pPr>
        <w:widowControl/>
        <w:spacing w:line="360" w:lineRule="auto"/>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开标时，供应商须同时提供省级以上监狱管理局、戒毒管理局（含新疆生产建设兵团）出具的属于监狱企业的证明文件原件和联合体协议原件，否则不给予价格扣除。</w:t>
      </w:r>
    </w:p>
    <w:p>
      <w:pPr>
        <w:widowControl/>
        <w:spacing w:line="360" w:lineRule="auto"/>
        <w:ind w:firstLine="472" w:firstLineChars="196"/>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31.4残疾人福利性单位</w:t>
      </w:r>
    </w:p>
    <w:p>
      <w:pPr>
        <w:widowControl/>
        <w:spacing w:line="360" w:lineRule="auto"/>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符合条件的残疾人福利性单位在参加政府采购活动时，应当提供《残疾人福利性单位声明函》（见附件），并对声明的真实性负责。任何单位或者个人在政府采购活动中均不得要求残疾人福利性单位提供其他证明声明函内容的材料。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1、给予残疾人福利性单位价格6%的扣除；计算方法是：</w:t>
      </w:r>
    </w:p>
    <w:p>
      <w:pPr>
        <w:widowControl/>
        <w:spacing w:line="360" w:lineRule="auto"/>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最终价格＝投标报价×94%，按照最终价格计算其价格分得分。</w:t>
      </w:r>
    </w:p>
    <w:p>
      <w:pPr>
        <w:widowControl/>
        <w:spacing w:line="360" w:lineRule="auto"/>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开标时，供应商须提供《残疾人福利性单位声明函》原件，否则不给予价格扣除。</w:t>
      </w:r>
    </w:p>
    <w:p>
      <w:pPr>
        <w:widowControl/>
        <w:spacing w:line="360" w:lineRule="auto"/>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残疾人福利性单位视同小型、微型企业。残疾人福利性单位属于小型、微型企业的，不重复享受政策。</w:t>
      </w:r>
    </w:p>
    <w:p>
      <w:pPr>
        <w:widowControl/>
        <w:spacing w:line="360" w:lineRule="auto"/>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31.5供应商有前述条款组合情形的，应累计加分和给予价格扣除。</w:t>
      </w:r>
    </w:p>
    <w:p>
      <w:pPr>
        <w:pStyle w:val="3"/>
        <w:bidi w:val="0"/>
        <w:rPr>
          <w:rFonts w:hint="eastAsia" w:ascii="仿宋" w:hAnsi="仿宋" w:eastAsia="仿宋" w:cs="仿宋"/>
          <w:color w:val="auto"/>
          <w:highlight w:val="none"/>
        </w:rPr>
      </w:pPr>
      <w:bookmarkStart w:id="19" w:name="_Toc15459"/>
      <w:r>
        <w:rPr>
          <w:rFonts w:hint="eastAsia" w:ascii="仿宋" w:hAnsi="仿宋" w:eastAsia="仿宋" w:cs="仿宋"/>
          <w:color w:val="auto"/>
          <w:highlight w:val="none"/>
        </w:rPr>
        <w:t>七、合同的授予</w:t>
      </w:r>
      <w:bookmarkEnd w:id="19"/>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32.合同授予标准</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32.1本项目的招标合同将授予按本须知第29条规定确定的中标人。</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33.招标人拒绝投标的权利</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33.1招标人不承诺将合同授予投标报价最低的供应商。招标人在发出中标通知书前，有权依据评标委员会的评标报告拒绝不合格的投标报价。</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34.中标通知书</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34.1在投标有效期期满之前，招标代理机构将以书面形式通知中标人，确认其投标已被接受。中标通知书将是合同的一个组成部分。</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35.签订合同</w:t>
      </w:r>
    </w:p>
    <w:p>
      <w:pPr>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35.1中标人应按中标通知书指定的时间、地点与招标人签订合同。招标文件、中标人的投标文件及澄清文件等，均为签订合同的依据。</w:t>
      </w:r>
    </w:p>
    <w:p>
      <w:pPr>
        <w:autoSpaceDE w:val="0"/>
        <w:autoSpaceDN w:val="0"/>
        <w:adjustRightInd w:val="0"/>
        <w:spacing w:line="460" w:lineRule="exact"/>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 xml:space="preserve">35.2 </w:t>
      </w:r>
      <w:r>
        <w:rPr>
          <w:rFonts w:hint="eastAsia" w:ascii="仿宋" w:hAnsi="仿宋" w:eastAsia="仿宋" w:cs="仿宋"/>
          <w:color w:val="auto"/>
          <w:sz w:val="24"/>
          <w:highlight w:val="none"/>
          <w:lang w:val="zh-CN"/>
        </w:rPr>
        <w:t>中标人如不按规定或者不在规定的期限内与招标人签订合同，则招标人将有充分的理由废除授标，并没收其投标保证金，给招标人造成的损失超过投标保证金数额的，中标人还应当就超过部分予以赔偿，同时依法承担相应的法律责任。</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36.代理服务费</w:t>
      </w:r>
    </w:p>
    <w:p>
      <w:pPr>
        <w:autoSpaceDE w:val="0"/>
        <w:autoSpaceDN w:val="0"/>
        <w:adjustRightIn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36.1中标人与招标人签订合同前，中标人需向代理机构缴纳中标服务费，招标代理费参照执行“国家计划委员会计价格〔2002〕1980号文件、国家发展改革委办公厅发改办价格〔2003〕857号文件”以及“发改价格[2011]534号文件”规定的服务类收费标准。</w:t>
      </w:r>
    </w:p>
    <w:p>
      <w:pPr>
        <w:spacing w:line="4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37．质疑</w:t>
      </w:r>
    </w:p>
    <w:p>
      <w:pPr>
        <w:widowControl/>
        <w:spacing w:line="46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37.1 供应商对采购活动事项有疑问的，可以向招标人和招标代理机构提出询问，招标人和招标代理机构将依法作出答复，但答复的内容不涉及商业秘密。</w:t>
      </w:r>
    </w:p>
    <w:p>
      <w:pPr>
        <w:widowControl/>
        <w:spacing w:line="46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37.2 供应商认为招标文件、招标过程和中标结果使自己的合法权益受到损害的，可以在知道或者应当知道其权益受到损害之日起7个工作日内，以书面形式向招标人和招标代理机构一次性提出质疑。</w:t>
      </w:r>
    </w:p>
    <w:p>
      <w:pPr>
        <w:widowControl/>
        <w:spacing w:line="46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37.3质疑文件应包括以下主要内容，并按照“谁主张、谁举证”的原则，附上相关证明材料。质疑文件应按照下列格式制作并书面送达、签字确认，否则，其他任何方式招标代理机构不予受理：</w:t>
      </w:r>
    </w:p>
    <w:p>
      <w:pPr>
        <w:widowControl/>
        <w:spacing w:line="46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（1）质疑项目名称、项目编号、包号、公开招标或公开招标资格公告发布时间、公开报价时间；</w:t>
      </w:r>
    </w:p>
    <w:p>
      <w:pPr>
        <w:widowControl/>
        <w:spacing w:line="46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（2）具体的质疑事项及法律依据（具体条款）；</w:t>
      </w:r>
    </w:p>
    <w:p>
      <w:pPr>
        <w:widowControl/>
        <w:spacing w:line="46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（3）质疑相关证明文件或证明材料；</w:t>
      </w:r>
    </w:p>
    <w:p>
      <w:pPr>
        <w:widowControl/>
        <w:spacing w:line="46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（4）质疑投标供应商名称、地址、联系方式（包括手机、传真号码）；</w:t>
      </w:r>
    </w:p>
    <w:p>
      <w:pPr>
        <w:widowControl/>
        <w:spacing w:line="46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（5）法定代表人签署本人姓名或印盖本人姓名章并加盖单位公章，或法定代表人特别授权加盖单位公章，并由参加招标项目的授权代表签署本人姓名或印盖本人姓名章等。</w:t>
      </w:r>
    </w:p>
    <w:p>
      <w:pPr>
        <w:widowControl/>
        <w:spacing w:line="46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37.4供应商不得虚假质疑和恶意质疑，并对质疑内容的真实性承担责任。供应商或者其他利害关系人通过捏造事实、伪造证明材料等方式提出异议或投诉，阻碍采购活动正常进行的，属于严重不良行为，招标人和招标代理机构将提请财政部门列入不良行为记录名单，并依法予以处罚。</w:t>
      </w:r>
    </w:p>
    <w:p>
      <w:pPr>
        <w:widowControl/>
        <w:spacing w:line="46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37.5招标人和招标代理机构在收到投标供应商的书面质疑后将及时组织调查核实，在7个工作日内作出答复，并以书面形式通知质疑投标供应商和其他有关投标供应商，答复的内容不涉及商业秘密。</w:t>
      </w:r>
    </w:p>
    <w:p>
      <w:pPr>
        <w:widowControl/>
        <w:spacing w:line="46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37.6质疑投标供应商对招标人和招标代理机构的答复不满意，或招标人、招标代理机构未在规定的时间内作出答复的，可以在答复期满后15个工作日内向主管财政部门投诉。</w:t>
      </w:r>
    </w:p>
    <w:p>
      <w:pPr>
        <w:widowControl/>
        <w:spacing w:line="46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37.7投诉的内容应与质疑内容完全一致，并按照“谁主张、谁举证”的原则，附上相关证明材料。投诉文件应按照下列格式制作并书面送达、签字确认，否则，其他任何方式不予受理：</w:t>
      </w:r>
    </w:p>
    <w:p>
      <w:pPr>
        <w:widowControl/>
        <w:spacing w:line="460" w:lineRule="exact"/>
        <w:ind w:firstLine="360" w:firstLineChars="1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（1）投诉项目名称、项目编号、包号、采购方式、采购公告发布时间、报价时间；</w:t>
      </w:r>
      <w:r>
        <w:rPr>
          <w:rFonts w:hint="eastAsia" w:ascii="仿宋" w:hAnsi="仿宋" w:eastAsia="仿宋" w:cs="仿宋"/>
          <w:color w:val="auto"/>
          <w:kern w:val="0"/>
          <w:sz w:val="24"/>
          <w:highlight w:val="none"/>
        </w:rPr>
        <w:br w:type="textWrapping"/>
      </w:r>
      <w:r>
        <w:rPr>
          <w:rFonts w:hint="eastAsia" w:ascii="仿宋" w:hAnsi="仿宋" w:eastAsia="仿宋" w:cs="仿宋"/>
          <w:color w:val="auto"/>
          <w:kern w:val="0"/>
          <w:sz w:val="24"/>
          <w:highlight w:val="none"/>
        </w:rPr>
        <w:t xml:space="preserve">   </w:t>
      </w:r>
      <w:bookmarkStart w:id="20" w:name="_Hlt339979783"/>
      <w:bookmarkEnd w:id="20"/>
      <w:r>
        <w:rPr>
          <w:rFonts w:hint="eastAsia" w:ascii="仿宋" w:hAnsi="仿宋" w:eastAsia="仿宋" w:cs="仿宋"/>
          <w:color w:val="auto"/>
          <w:kern w:val="0"/>
          <w:sz w:val="24"/>
          <w:highlight w:val="none"/>
        </w:rPr>
        <w:t>（2）具体的投诉事项及法律依据（具体条款）；</w:t>
      </w:r>
    </w:p>
    <w:p>
      <w:pPr>
        <w:widowControl/>
        <w:spacing w:line="460" w:lineRule="exact"/>
        <w:ind w:firstLine="360" w:firstLineChars="1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（3）投诉相关证明文件或证明材料；</w:t>
      </w:r>
    </w:p>
    <w:p>
      <w:pPr>
        <w:widowControl/>
        <w:spacing w:line="460" w:lineRule="exact"/>
        <w:ind w:firstLine="360" w:firstLineChars="1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（4）投诉供应商名称、地址、联系方式（包括手机、传真号码）；  </w:t>
      </w:r>
    </w:p>
    <w:p>
      <w:pPr>
        <w:widowControl/>
        <w:spacing w:line="460" w:lineRule="exact"/>
        <w:ind w:firstLine="360" w:firstLineChars="1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（5）法定代表人签署本人姓名或印盖本人姓名章并加盖单位公章，或法定代表人特别授权加盖单位公章，并由参加招标项目的授权代表签署本人姓名或印盖本人姓名章等（身份证明）。</w:t>
      </w:r>
    </w:p>
    <w:p>
      <w:pPr>
        <w:tabs>
          <w:tab w:val="left" w:pos="6998"/>
        </w:tabs>
        <w:spacing w:line="460" w:lineRule="exact"/>
        <w:rPr>
          <w:rFonts w:hint="eastAsia" w:ascii="仿宋" w:hAnsi="仿宋" w:eastAsia="仿宋" w:cs="仿宋"/>
          <w:color w:val="auto"/>
          <w:kern w:val="0"/>
          <w:sz w:val="24"/>
          <w:highlight w:val="none"/>
          <w:u w:val="single"/>
        </w:rPr>
      </w:pPr>
    </w:p>
    <w:p>
      <w:pPr>
        <w:tabs>
          <w:tab w:val="left" w:pos="6998"/>
        </w:tabs>
        <w:spacing w:line="460" w:lineRule="exact"/>
        <w:rPr>
          <w:rFonts w:hint="eastAsia" w:ascii="仿宋" w:hAnsi="仿宋" w:eastAsia="仿宋" w:cs="仿宋"/>
          <w:color w:val="auto"/>
          <w:kern w:val="0"/>
          <w:sz w:val="24"/>
          <w:highlight w:val="none"/>
          <w:u w:val="single"/>
        </w:rPr>
      </w:pPr>
    </w:p>
    <w:p>
      <w:pPr>
        <w:pStyle w:val="4"/>
        <w:bidi w:val="0"/>
        <w:rPr>
          <w:rFonts w:hint="eastAsia" w:ascii="仿宋" w:hAnsi="仿宋" w:eastAsia="仿宋" w:cs="仿宋"/>
          <w:color w:val="auto"/>
          <w:highlight w:val="none"/>
        </w:rPr>
      </w:pPr>
      <w:bookmarkStart w:id="21" w:name="_Toc458591193"/>
      <w:bookmarkStart w:id="22" w:name="_Toc25226"/>
    </w:p>
    <w:p>
      <w:pPr>
        <w:pStyle w:val="4"/>
        <w:bidi w:val="0"/>
        <w:rPr>
          <w:rFonts w:hint="eastAsia" w:ascii="仿宋" w:hAnsi="仿宋" w:eastAsia="仿宋" w:cs="仿宋"/>
          <w:color w:val="auto"/>
          <w:highlight w:val="none"/>
        </w:rPr>
      </w:pPr>
    </w:p>
    <w:p>
      <w:pPr>
        <w:pStyle w:val="4"/>
        <w:bidi w:val="0"/>
        <w:rPr>
          <w:rFonts w:hint="eastAsia" w:ascii="仿宋" w:hAnsi="仿宋" w:eastAsia="仿宋" w:cs="仿宋"/>
          <w:color w:val="auto"/>
          <w:highlight w:val="none"/>
        </w:rPr>
      </w:pPr>
    </w:p>
    <w:p>
      <w:pPr>
        <w:pStyle w:val="4"/>
        <w:bidi w:val="0"/>
        <w:rPr>
          <w:rFonts w:hint="eastAsia" w:ascii="仿宋" w:hAnsi="仿宋" w:eastAsia="仿宋" w:cs="仿宋"/>
          <w:color w:val="auto"/>
          <w:highlight w:val="none"/>
        </w:rPr>
      </w:pPr>
    </w:p>
    <w:p>
      <w:pPr>
        <w:pStyle w:val="4"/>
        <w:tabs>
          <w:tab w:val="left" w:pos="8110"/>
        </w:tabs>
        <w:bidi w:val="0"/>
        <w:rPr>
          <w:rFonts w:hint="eastAsia" w:ascii="仿宋" w:hAnsi="仿宋" w:eastAsia="仿宋" w:cs="仿宋"/>
          <w:color w:val="auto"/>
          <w:highlight w:val="none"/>
          <w:lang w:eastAsia="zh-CN"/>
        </w:rPr>
      </w:pPr>
    </w:p>
    <w:p>
      <w:pPr>
        <w:pStyle w:val="4"/>
        <w:bidi w:val="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2"/>
        <w:ind w:left="0" w:leftChars="0" w:firstLine="0" w:firstLineChars="0"/>
        <w:rPr>
          <w:rFonts w:hint="eastAsia" w:ascii="仿宋" w:hAnsi="仿宋" w:eastAsia="仿宋" w:cs="仿宋"/>
          <w:color w:val="auto"/>
          <w:highlight w:val="none"/>
        </w:rPr>
      </w:pPr>
    </w:p>
    <w:p>
      <w:pPr>
        <w:pStyle w:val="2"/>
        <w:ind w:left="0" w:leftChars="0" w:firstLine="0" w:firstLineChars="0"/>
        <w:rPr>
          <w:rFonts w:hint="eastAsia" w:ascii="仿宋" w:hAnsi="仿宋" w:eastAsia="仿宋" w:cs="仿宋"/>
          <w:color w:val="auto"/>
          <w:highlight w:val="none"/>
        </w:rPr>
      </w:pPr>
    </w:p>
    <w:p>
      <w:pPr>
        <w:pStyle w:val="2"/>
        <w:ind w:left="0" w:leftChars="0" w:firstLine="0" w:firstLineChars="0"/>
        <w:rPr>
          <w:rFonts w:hint="eastAsia" w:ascii="仿宋" w:hAnsi="仿宋" w:eastAsia="仿宋" w:cs="仿宋"/>
          <w:color w:val="auto"/>
          <w:highlight w:val="none"/>
        </w:rPr>
      </w:pPr>
    </w:p>
    <w:p>
      <w:pPr>
        <w:tabs>
          <w:tab w:val="left" w:pos="7785"/>
        </w:tabs>
        <w:bidi w:val="0"/>
        <w:rPr>
          <w:rFonts w:hint="eastAsia" w:eastAsia="宋体"/>
          <w:color w:val="auto"/>
          <w:highlight w:val="none"/>
          <w:lang w:eastAsia="zh-CN"/>
        </w:rPr>
      </w:pPr>
    </w:p>
    <w:p>
      <w:pPr>
        <w:bidi w:val="0"/>
        <w:rPr>
          <w:rFonts w:hint="eastAsia"/>
          <w:color w:val="auto"/>
          <w:highlight w:val="none"/>
        </w:rPr>
      </w:pPr>
    </w:p>
    <w:p>
      <w:pPr>
        <w:bidi w:val="0"/>
        <w:rPr>
          <w:rFonts w:hint="eastAsia"/>
          <w:color w:val="auto"/>
          <w:highlight w:val="none"/>
        </w:rPr>
      </w:pPr>
    </w:p>
    <w:p>
      <w:pPr>
        <w:tabs>
          <w:tab w:val="left" w:pos="8010"/>
        </w:tabs>
        <w:bidi w:val="0"/>
        <w:rPr>
          <w:rFonts w:hint="eastAsia" w:eastAsia="宋体"/>
          <w:color w:val="auto"/>
          <w:highlight w:val="none"/>
          <w:lang w:eastAsia="zh-CN"/>
        </w:rPr>
      </w:pPr>
    </w:p>
    <w:p>
      <w:pPr>
        <w:pStyle w:val="4"/>
        <w:tabs>
          <w:tab w:val="left" w:pos="8323"/>
        </w:tabs>
        <w:bidi w:val="0"/>
        <w:jc w:val="both"/>
        <w:rPr>
          <w:rFonts w:hint="eastAsia" w:ascii="仿宋" w:hAnsi="仿宋" w:eastAsia="仿宋" w:cs="仿宋"/>
          <w:color w:val="auto"/>
          <w:highlight w:val="none"/>
          <w:lang w:eastAsia="zh-CN"/>
        </w:rPr>
      </w:pPr>
    </w:p>
    <w:p>
      <w:pPr>
        <w:rPr>
          <w:rFonts w:hint="eastAsia"/>
          <w:color w:val="auto"/>
          <w:highlight w:val="none"/>
          <w:lang w:eastAsia="zh-CN"/>
        </w:rPr>
      </w:pPr>
    </w:p>
    <w:p>
      <w:pPr>
        <w:pStyle w:val="4"/>
        <w:bidi w:val="0"/>
        <w:rPr>
          <w:rFonts w:hint="eastAsia" w:ascii="仿宋" w:hAnsi="仿宋" w:eastAsia="仿宋" w:cs="仿宋"/>
          <w:color w:val="auto"/>
          <w:highlight w:val="none"/>
        </w:rPr>
      </w:pPr>
      <w:r>
        <w:rPr>
          <w:rFonts w:hint="eastAsia" w:ascii="仿宋" w:hAnsi="仿宋" w:eastAsia="仿宋" w:cs="仿宋"/>
          <w:color w:val="auto"/>
          <w:highlight w:val="none"/>
        </w:rPr>
        <w:t>附件</w:t>
      </w:r>
      <w:bookmarkEnd w:id="21"/>
      <w:bookmarkEnd w:id="22"/>
    </w:p>
    <w:p>
      <w:pPr>
        <w:pStyle w:val="3"/>
        <w:bidi w:val="0"/>
        <w:rPr>
          <w:rFonts w:hint="eastAsia" w:ascii="仿宋" w:hAnsi="仿宋" w:eastAsia="仿宋" w:cs="仿宋"/>
          <w:color w:val="auto"/>
          <w:highlight w:val="none"/>
        </w:rPr>
      </w:pPr>
      <w:bookmarkStart w:id="23" w:name="_Toc10000"/>
      <w:r>
        <w:rPr>
          <w:rFonts w:hint="eastAsia" w:ascii="仿宋" w:hAnsi="仿宋" w:eastAsia="仿宋" w:cs="仿宋"/>
          <w:color w:val="auto"/>
          <w:highlight w:val="none"/>
        </w:rPr>
        <w:t>综合评分法细则</w:t>
      </w:r>
      <w:bookmarkEnd w:id="23"/>
    </w:p>
    <w:p>
      <w:pPr>
        <w:pStyle w:val="6"/>
        <w:bidi w:val="0"/>
        <w:rPr>
          <w:rFonts w:hint="eastAsia" w:ascii="仿宋" w:hAnsi="仿宋" w:eastAsia="仿宋" w:cs="仿宋"/>
          <w:color w:val="auto"/>
          <w:highlight w:val="none"/>
        </w:rPr>
      </w:pPr>
      <w:r>
        <w:rPr>
          <w:rFonts w:hint="eastAsia" w:ascii="仿宋" w:hAnsi="仿宋" w:eastAsia="仿宋" w:cs="仿宋"/>
          <w:color w:val="auto"/>
          <w:highlight w:val="none"/>
        </w:rPr>
        <w:t>一、评审内容</w:t>
      </w:r>
    </w:p>
    <w:p>
      <w:pPr>
        <w:pStyle w:val="31"/>
        <w:widowControl w:val="0"/>
        <w:numPr>
          <w:ilvl w:val="0"/>
          <w:numId w:val="2"/>
        </w:numPr>
        <w:adjustRightInd w:val="0"/>
        <w:snapToGrid w:val="0"/>
        <w:spacing w:beforeLines="50" w:line="360" w:lineRule="exact"/>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评标</w:t>
      </w:r>
    </w:p>
    <w:p>
      <w:pPr>
        <w:numPr>
          <w:ilvl w:val="1"/>
          <w:numId w:val="3"/>
        </w:numPr>
        <w:spacing w:line="360" w:lineRule="exact"/>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评标由依法组成的评标委员会负责。</w:t>
      </w:r>
    </w:p>
    <w:p>
      <w:pPr>
        <w:pStyle w:val="31"/>
        <w:widowControl w:val="0"/>
        <w:numPr>
          <w:ilvl w:val="0"/>
          <w:numId w:val="2"/>
        </w:numPr>
        <w:adjustRightInd w:val="0"/>
        <w:snapToGrid w:val="0"/>
        <w:spacing w:beforeLines="50" w:line="360" w:lineRule="exact"/>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评标方法</w:t>
      </w:r>
    </w:p>
    <w:p>
      <w:pPr>
        <w:numPr>
          <w:ilvl w:val="1"/>
          <w:numId w:val="2"/>
        </w:num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评标方法：综合评分法，是指在最大限度地满足招标文件实质性要求前提下，按照招标文件中规定的各项因素进行综合评审后，以评标总得分最高的投标人作为中标候选供应商或者中标供应商的评标方法。</w:t>
      </w:r>
    </w:p>
    <w:p>
      <w:pPr>
        <w:numPr>
          <w:ilvl w:val="1"/>
          <w:numId w:val="2"/>
        </w:num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综合评分的主要因素是：投标报价、技术或者服务水平、履约能力、售后服务等。对招标文件的响应程度，以及相应的比重或者权值等。</w:t>
      </w:r>
    </w:p>
    <w:p>
      <w:pPr>
        <w:pStyle w:val="31"/>
        <w:widowControl w:val="0"/>
        <w:numPr>
          <w:ilvl w:val="0"/>
          <w:numId w:val="2"/>
        </w:numPr>
        <w:adjustRightInd w:val="0"/>
        <w:snapToGrid w:val="0"/>
        <w:spacing w:beforeLines="50" w:line="360" w:lineRule="exact"/>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评标标准</w:t>
      </w:r>
    </w:p>
    <w:tbl>
      <w:tblPr>
        <w:tblStyle w:val="68"/>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609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654" w:type="dxa"/>
            <w:shd w:val="clear" w:color="auto" w:fill="auto"/>
            <w:vAlign w:val="center"/>
          </w:tcPr>
          <w:p>
            <w:pPr>
              <w:widowControl/>
              <w:spacing w:line="276" w:lineRule="auto"/>
              <w:ind w:firstLine="0" w:firstLineChars="0"/>
              <w:jc w:val="center"/>
              <w:rPr>
                <w:rFonts w:ascii="宋体" w:hAnsi="宋体" w:cs="宋体"/>
                <w:b/>
                <w:bCs/>
                <w:color w:val="000000" w:themeColor="text1"/>
                <w:kern w:val="0"/>
                <w:szCs w:val="21"/>
                <w:highlight w:val="none"/>
              </w:rPr>
            </w:pPr>
            <w:r>
              <w:rPr>
                <w:rFonts w:hint="eastAsia" w:ascii="宋体" w:hAnsi="宋体" w:cs="宋体"/>
                <w:b/>
                <w:bCs/>
                <w:color w:val="000000" w:themeColor="text1"/>
                <w:kern w:val="0"/>
                <w:szCs w:val="21"/>
                <w:highlight w:val="none"/>
              </w:rPr>
              <w:t>项目</w:t>
            </w:r>
          </w:p>
        </w:tc>
        <w:tc>
          <w:tcPr>
            <w:tcW w:w="6095" w:type="dxa"/>
            <w:shd w:val="clear" w:color="auto" w:fill="auto"/>
            <w:vAlign w:val="center"/>
          </w:tcPr>
          <w:p>
            <w:pPr>
              <w:widowControl/>
              <w:spacing w:line="276" w:lineRule="auto"/>
              <w:ind w:firstLine="422"/>
              <w:jc w:val="center"/>
              <w:rPr>
                <w:rFonts w:ascii="宋体" w:hAnsi="宋体" w:cs="宋体"/>
                <w:b/>
                <w:bCs/>
                <w:color w:val="000000" w:themeColor="text1"/>
                <w:kern w:val="0"/>
                <w:szCs w:val="21"/>
                <w:highlight w:val="none"/>
              </w:rPr>
            </w:pPr>
            <w:r>
              <w:rPr>
                <w:rFonts w:hint="eastAsia" w:ascii="宋体" w:hAnsi="宋体" w:cs="宋体"/>
                <w:b/>
                <w:bCs/>
                <w:color w:val="000000" w:themeColor="text1"/>
                <w:kern w:val="0"/>
                <w:szCs w:val="21"/>
                <w:highlight w:val="none"/>
              </w:rPr>
              <w:t>评分指标</w:t>
            </w:r>
          </w:p>
        </w:tc>
        <w:tc>
          <w:tcPr>
            <w:tcW w:w="1035" w:type="dxa"/>
            <w:shd w:val="clear" w:color="auto" w:fill="auto"/>
            <w:vAlign w:val="center"/>
          </w:tcPr>
          <w:p>
            <w:pPr>
              <w:widowControl/>
              <w:spacing w:line="276" w:lineRule="auto"/>
              <w:ind w:firstLine="0" w:firstLineChars="0"/>
              <w:jc w:val="center"/>
              <w:rPr>
                <w:rFonts w:ascii="宋体" w:hAnsi="宋体" w:cs="宋体"/>
                <w:b/>
                <w:bCs/>
                <w:color w:val="000000" w:themeColor="text1"/>
                <w:kern w:val="0"/>
                <w:szCs w:val="21"/>
                <w:highlight w:val="none"/>
              </w:rPr>
            </w:pPr>
            <w:r>
              <w:rPr>
                <w:rFonts w:hint="eastAsia" w:ascii="宋体" w:hAnsi="宋体" w:cs="宋体"/>
                <w:b/>
                <w:bCs/>
                <w:color w:val="000000" w:themeColor="text1"/>
                <w:kern w:val="0"/>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784" w:type="dxa"/>
            <w:gridSpan w:val="3"/>
            <w:shd w:val="clear" w:color="auto" w:fill="auto"/>
            <w:vAlign w:val="center"/>
          </w:tcPr>
          <w:p>
            <w:pPr>
              <w:widowControl/>
              <w:spacing w:line="276" w:lineRule="auto"/>
              <w:ind w:firstLine="0" w:firstLineChars="0"/>
              <w:jc w:val="left"/>
              <w:rPr>
                <w:rFonts w:ascii="宋体" w:hAnsi="宋体" w:cs="宋体"/>
                <w:b/>
                <w:bCs/>
                <w:color w:val="000000" w:themeColor="text1"/>
                <w:kern w:val="0"/>
                <w:szCs w:val="21"/>
                <w:highlight w:val="none"/>
              </w:rPr>
            </w:pPr>
            <w:r>
              <w:rPr>
                <w:rFonts w:hint="eastAsia" w:ascii="宋体" w:hAnsi="宋体" w:cs="宋体"/>
                <w:b/>
                <w:bCs/>
                <w:color w:val="000000" w:themeColor="text1"/>
                <w:kern w:val="0"/>
                <w:szCs w:val="21"/>
                <w:highlight w:val="none"/>
              </w:rPr>
              <w:t>一、商务部分（</w:t>
            </w:r>
            <w:r>
              <w:rPr>
                <w:rFonts w:ascii="宋体" w:hAnsi="宋体" w:cs="宋体"/>
                <w:b/>
                <w:bCs/>
                <w:color w:val="000000" w:themeColor="text1"/>
                <w:kern w:val="0"/>
                <w:szCs w:val="21"/>
                <w:highlight w:val="none"/>
              </w:rPr>
              <w:t>20</w:t>
            </w:r>
            <w:r>
              <w:rPr>
                <w:rFonts w:hint="eastAsia" w:ascii="宋体" w:hAnsi="宋体" w:cs="宋体"/>
                <w:b/>
                <w:bCs/>
                <w:color w:val="000000" w:themeColor="text1"/>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54" w:type="dxa"/>
            <w:vMerge w:val="restart"/>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hint="eastAsia" w:ascii="宋体" w:hAnsi="宋体" w:cs="宋体"/>
                <w:color w:val="auto"/>
                <w:kern w:val="0"/>
                <w:szCs w:val="21"/>
                <w:highlight w:val="none"/>
              </w:rPr>
              <w:t>投标人资质</w:t>
            </w:r>
          </w:p>
        </w:tc>
        <w:tc>
          <w:tcPr>
            <w:tcW w:w="6095" w:type="dxa"/>
            <w:shd w:val="clear" w:color="auto" w:fill="auto"/>
            <w:vAlign w:val="center"/>
          </w:tcPr>
          <w:p>
            <w:pPr>
              <w:widowControl/>
              <w:spacing w:line="276" w:lineRule="auto"/>
              <w:ind w:firstLine="0" w:firstLineChars="0"/>
              <w:rPr>
                <w:rFonts w:hint="eastAsia" w:ascii="宋体" w:hAnsi="宋体" w:eastAsia="宋体" w:cs="宋体"/>
                <w:color w:val="FF0000"/>
                <w:kern w:val="0"/>
                <w:szCs w:val="21"/>
                <w:highlight w:val="none"/>
                <w:lang w:eastAsia="zh-CN"/>
              </w:rPr>
            </w:pPr>
            <w:r>
              <w:rPr>
                <w:rFonts w:hint="eastAsia" w:ascii="宋体" w:hAnsi="宋体" w:cs="宋体"/>
                <w:color w:val="auto"/>
                <w:kern w:val="0"/>
                <w:szCs w:val="21"/>
                <w:highlight w:val="none"/>
              </w:rPr>
              <w:t>投标人有成功实施的</w:t>
            </w:r>
            <w:r>
              <w:rPr>
                <w:rFonts w:hint="eastAsia" w:ascii="宋体" w:hAnsi="宋体" w:cs="宋体"/>
                <w:color w:val="auto"/>
                <w:kern w:val="0"/>
                <w:szCs w:val="21"/>
                <w:highlight w:val="none"/>
                <w:lang w:eastAsia="zh-CN"/>
              </w:rPr>
              <w:t>政府采购</w:t>
            </w:r>
            <w:r>
              <w:rPr>
                <w:rFonts w:hint="eastAsia" w:ascii="宋体" w:hAnsi="宋体" w:cs="宋体"/>
                <w:color w:val="auto"/>
                <w:kern w:val="0"/>
                <w:szCs w:val="21"/>
                <w:highlight w:val="none"/>
              </w:rPr>
              <w:t>项目业绩或案例证明，提供近三年项目业绩合同。合同金额</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00 万元以上的每提供一份得 1 分。合同金额</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00 万元（含</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00 万元）以</w:t>
            </w:r>
            <w:r>
              <w:rPr>
                <w:rFonts w:hint="eastAsia" w:ascii="宋体" w:hAnsi="宋体" w:cs="宋体"/>
                <w:color w:val="auto"/>
                <w:kern w:val="0"/>
                <w:szCs w:val="21"/>
                <w:highlight w:val="none"/>
                <w:lang w:eastAsia="zh-CN"/>
              </w:rPr>
              <w:t>下</w:t>
            </w:r>
            <w:r>
              <w:rPr>
                <w:rFonts w:hint="eastAsia" w:ascii="宋体" w:hAnsi="宋体" w:cs="宋体"/>
                <w:color w:val="auto"/>
                <w:kern w:val="0"/>
                <w:szCs w:val="21"/>
                <w:highlight w:val="none"/>
              </w:rPr>
              <w:t>的每提供一份得</w:t>
            </w:r>
            <w:r>
              <w:rPr>
                <w:rFonts w:hint="eastAsia" w:ascii="宋体" w:hAnsi="宋体" w:cs="宋体"/>
                <w:color w:val="auto"/>
                <w:kern w:val="0"/>
                <w:szCs w:val="21"/>
                <w:highlight w:val="none"/>
                <w:lang w:val="en-US" w:eastAsia="zh-CN"/>
              </w:rPr>
              <w:t>0.5</w:t>
            </w:r>
            <w:r>
              <w:rPr>
                <w:rFonts w:hint="eastAsia" w:ascii="宋体" w:hAnsi="宋体" w:cs="宋体"/>
                <w:color w:val="auto"/>
                <w:kern w:val="0"/>
                <w:szCs w:val="21"/>
                <w:highlight w:val="none"/>
              </w:rPr>
              <w:t>分。</w:t>
            </w:r>
            <w:r>
              <w:rPr>
                <w:rFonts w:hint="eastAsia" w:ascii="宋体" w:hAnsi="宋体" w:cs="宋体"/>
                <w:color w:val="auto"/>
                <w:kern w:val="0"/>
                <w:szCs w:val="21"/>
                <w:highlight w:val="none"/>
                <w:lang w:eastAsia="zh-CN"/>
              </w:rPr>
              <w:t>须</w:t>
            </w:r>
            <w:r>
              <w:rPr>
                <w:rFonts w:hint="eastAsia" w:ascii="宋体" w:hAnsi="宋体" w:cs="宋体"/>
                <w:color w:val="auto"/>
                <w:kern w:val="0"/>
                <w:szCs w:val="21"/>
                <w:highlight w:val="none"/>
              </w:rPr>
              <w:t>提供</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合同</w:t>
            </w:r>
            <w:r>
              <w:rPr>
                <w:rFonts w:hint="eastAsia" w:ascii="宋体" w:hAnsi="宋体" w:cs="宋体"/>
                <w:color w:val="auto"/>
                <w:kern w:val="0"/>
                <w:szCs w:val="21"/>
                <w:highlight w:val="none"/>
                <w:lang w:eastAsia="zh-CN"/>
              </w:rPr>
              <w:t>及</w:t>
            </w:r>
            <w:r>
              <w:rPr>
                <w:rFonts w:hint="eastAsia" w:ascii="宋体" w:hAnsi="宋体" w:cs="宋体"/>
                <w:color w:val="auto"/>
                <w:kern w:val="0"/>
                <w:szCs w:val="21"/>
                <w:highlight w:val="none"/>
              </w:rPr>
              <w:t>中标（成交）通知书。</w:t>
            </w:r>
            <w:r>
              <w:rPr>
                <w:rFonts w:hint="eastAsia" w:ascii="宋体" w:hAnsi="宋体" w:cs="宋体"/>
                <w:color w:val="auto"/>
                <w:kern w:val="0"/>
                <w:szCs w:val="21"/>
                <w:highlight w:val="none"/>
                <w:lang w:eastAsia="zh-CN"/>
              </w:rPr>
              <w:t>（满分</w:t>
            </w:r>
            <w:r>
              <w:rPr>
                <w:rFonts w:hint="eastAsia" w:ascii="宋体" w:hAnsi="宋体" w:cs="宋体"/>
                <w:color w:val="auto"/>
                <w:kern w:val="0"/>
                <w:szCs w:val="21"/>
                <w:highlight w:val="none"/>
                <w:lang w:val="en-US" w:eastAsia="zh-CN"/>
              </w:rPr>
              <w:t>4分</w:t>
            </w:r>
            <w:r>
              <w:rPr>
                <w:rFonts w:hint="eastAsia" w:ascii="宋体" w:hAnsi="宋体" w:cs="宋体"/>
                <w:color w:val="auto"/>
                <w:kern w:val="0"/>
                <w:szCs w:val="21"/>
                <w:highlight w:val="none"/>
                <w:lang w:eastAsia="zh-CN"/>
              </w:rPr>
              <w:t>）</w:t>
            </w:r>
          </w:p>
        </w:tc>
        <w:tc>
          <w:tcPr>
            <w:tcW w:w="1035" w:type="dxa"/>
            <w:shd w:val="clear" w:color="auto" w:fill="auto"/>
            <w:vAlign w:val="center"/>
          </w:tcPr>
          <w:p>
            <w:pPr>
              <w:widowControl/>
              <w:spacing w:line="276" w:lineRule="auto"/>
              <w:ind w:firstLine="0" w:firstLineChars="0"/>
              <w:jc w:val="center"/>
              <w:rPr>
                <w:rFonts w:ascii="宋体" w:hAnsi="宋体" w:cs="宋体"/>
                <w:color w:val="FF0000"/>
                <w:kern w:val="0"/>
                <w:szCs w:val="21"/>
                <w:highlight w:val="none"/>
              </w:rPr>
            </w:pP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54" w:type="dxa"/>
            <w:vMerge w:val="continue"/>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p>
        </w:tc>
        <w:tc>
          <w:tcPr>
            <w:tcW w:w="6095" w:type="dxa"/>
            <w:shd w:val="clear" w:color="auto" w:fill="auto"/>
            <w:vAlign w:val="center"/>
          </w:tcPr>
          <w:p>
            <w:pPr>
              <w:widowControl/>
              <w:spacing w:line="276" w:lineRule="auto"/>
              <w:ind w:firstLine="0" w:firstLineChars="0"/>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投标人或投标人所属公司提</w:t>
            </w:r>
            <w:r>
              <w:rPr>
                <w:rFonts w:hint="eastAsia" w:ascii="宋体" w:hAnsi="宋体" w:cs="宋体"/>
                <w:color w:val="auto"/>
                <w:kern w:val="0"/>
                <w:szCs w:val="21"/>
                <w:highlight w:val="none"/>
                <w:lang w:eastAsia="zh-CN"/>
              </w:rPr>
              <w:t>供以下资质证书，每提供</w:t>
            </w:r>
            <w:r>
              <w:rPr>
                <w:rFonts w:hint="eastAsia" w:ascii="宋体" w:hAnsi="宋体" w:cs="宋体"/>
                <w:color w:val="auto"/>
                <w:kern w:val="0"/>
                <w:szCs w:val="21"/>
                <w:highlight w:val="none"/>
                <w:lang w:val="en-US" w:eastAsia="zh-CN"/>
              </w:rPr>
              <w:t>1份得1分</w:t>
            </w:r>
            <w:r>
              <w:rPr>
                <w:rFonts w:hint="eastAsia" w:ascii="宋体" w:hAnsi="宋体" w:cs="宋体"/>
                <w:color w:val="auto"/>
                <w:kern w:val="0"/>
                <w:szCs w:val="21"/>
                <w:highlight w:val="none"/>
                <w:lang w:eastAsia="zh-CN"/>
              </w:rPr>
              <w:t>：</w:t>
            </w:r>
          </w:p>
          <w:p>
            <w:pPr>
              <w:widowControl/>
              <w:numPr>
                <w:ilvl w:val="0"/>
                <w:numId w:val="4"/>
              </w:numPr>
              <w:spacing w:line="276" w:lineRule="auto"/>
              <w:ind w:left="425" w:leftChars="0" w:hanging="425" w:firstLineChars="0"/>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ISO9001质量保证体系认证</w:t>
            </w:r>
          </w:p>
          <w:p>
            <w:pPr>
              <w:widowControl/>
              <w:numPr>
                <w:ilvl w:val="0"/>
                <w:numId w:val="4"/>
              </w:numPr>
              <w:spacing w:line="276" w:lineRule="auto"/>
              <w:ind w:left="425" w:leftChars="0" w:hanging="425" w:firstLineChars="0"/>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ISO14001环境管理体系认证</w:t>
            </w:r>
          </w:p>
          <w:p>
            <w:pPr>
              <w:widowControl/>
              <w:numPr>
                <w:ilvl w:val="0"/>
                <w:numId w:val="4"/>
              </w:numPr>
              <w:spacing w:line="276" w:lineRule="auto"/>
              <w:ind w:left="425" w:leftChars="0" w:hanging="425" w:firstLineChars="0"/>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OHSAS18001职业健康安全管理体系认证</w:t>
            </w:r>
          </w:p>
          <w:p>
            <w:pPr>
              <w:widowControl/>
              <w:numPr>
                <w:ilvl w:val="0"/>
                <w:numId w:val="4"/>
              </w:numPr>
              <w:spacing w:line="276" w:lineRule="auto"/>
              <w:ind w:left="425" w:leftChars="0" w:hanging="425" w:firstLineChars="0"/>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ISO22301业务连续性管理体系认证</w:t>
            </w:r>
          </w:p>
          <w:p>
            <w:pPr>
              <w:widowControl/>
              <w:numPr>
                <w:ilvl w:val="0"/>
                <w:numId w:val="4"/>
              </w:numPr>
              <w:spacing w:line="276" w:lineRule="auto"/>
              <w:ind w:left="425" w:leftChars="0" w:hanging="425" w:firstLineChars="0"/>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信息系统安全运维服务资质（三级）</w:t>
            </w:r>
          </w:p>
          <w:p>
            <w:pPr>
              <w:widowControl/>
              <w:numPr>
                <w:ilvl w:val="0"/>
                <w:numId w:val="4"/>
              </w:numPr>
              <w:spacing w:line="276" w:lineRule="auto"/>
              <w:ind w:left="425" w:leftChars="0" w:hanging="425" w:firstLineChars="0"/>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信息安全应急处理服务资质认证（三级）</w:t>
            </w:r>
          </w:p>
        </w:tc>
        <w:tc>
          <w:tcPr>
            <w:tcW w:w="1035" w:type="dxa"/>
            <w:shd w:val="clear" w:color="auto" w:fill="auto"/>
            <w:vAlign w:val="center"/>
          </w:tcPr>
          <w:p>
            <w:pPr>
              <w:widowControl/>
              <w:spacing w:line="276" w:lineRule="auto"/>
              <w:ind w:firstLine="0" w:firstLineChars="0"/>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54" w:type="dxa"/>
            <w:vMerge w:val="continue"/>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p>
        </w:tc>
        <w:tc>
          <w:tcPr>
            <w:tcW w:w="6095" w:type="dxa"/>
            <w:shd w:val="clear" w:color="auto" w:fill="auto"/>
            <w:vAlign w:val="center"/>
          </w:tcPr>
          <w:p>
            <w:pPr>
              <w:widowControl/>
              <w:spacing w:line="276" w:lineRule="auto"/>
              <w:ind w:firstLine="0" w:firstLineChars="0"/>
              <w:rPr>
                <w:rFonts w:cs="宋体" w:asciiTheme="minorEastAsia" w:hAnsiTheme="minorEastAsia" w:eastAsiaTheme="minorEastAsia"/>
                <w:color w:val="000000" w:themeColor="text1"/>
                <w:kern w:val="0"/>
                <w:szCs w:val="21"/>
                <w:highlight w:val="none"/>
              </w:rPr>
            </w:pPr>
            <w:r>
              <w:rPr>
                <w:rFonts w:hint="eastAsia" w:cs="宋体" w:asciiTheme="minorEastAsia" w:hAnsiTheme="minorEastAsia" w:eastAsiaTheme="minorEastAsia"/>
                <w:color w:val="000000" w:themeColor="text1"/>
                <w:kern w:val="0"/>
                <w:szCs w:val="21"/>
                <w:highlight w:val="none"/>
              </w:rPr>
              <w:t>投标人提供桌面云平台软件原厂商授权函</w:t>
            </w:r>
            <w:r>
              <w:rPr>
                <w:rFonts w:hint="eastAsia" w:cs="宋体" w:asciiTheme="minorEastAsia" w:hAnsiTheme="minorEastAsia" w:eastAsiaTheme="minorEastAsia"/>
                <w:color w:val="000000" w:themeColor="text1"/>
                <w:kern w:val="0"/>
                <w:szCs w:val="21"/>
                <w:highlight w:val="none"/>
                <w:lang w:eastAsia="zh-CN"/>
              </w:rPr>
              <w:t>和售后服务承诺函</w:t>
            </w:r>
            <w:r>
              <w:rPr>
                <w:rFonts w:hint="eastAsia" w:cs="宋体" w:asciiTheme="minorEastAsia" w:hAnsiTheme="minorEastAsia" w:eastAsiaTheme="minorEastAsia"/>
                <w:color w:val="000000" w:themeColor="text1"/>
                <w:kern w:val="0"/>
                <w:szCs w:val="21"/>
                <w:highlight w:val="none"/>
              </w:rPr>
              <w:t>，</w:t>
            </w:r>
            <w:r>
              <w:rPr>
                <w:rFonts w:cs="宋体" w:asciiTheme="minorEastAsia" w:hAnsiTheme="minorEastAsia" w:eastAsiaTheme="minorEastAsia"/>
                <w:color w:val="000000" w:themeColor="text1"/>
                <w:kern w:val="0"/>
                <w:szCs w:val="21"/>
                <w:highlight w:val="none"/>
              </w:rPr>
              <w:t>满足得2</w:t>
            </w:r>
            <w:r>
              <w:rPr>
                <w:rFonts w:hint="eastAsia" w:cs="宋体" w:asciiTheme="minorEastAsia" w:hAnsiTheme="minorEastAsia" w:eastAsiaTheme="minorEastAsia"/>
                <w:color w:val="000000" w:themeColor="text1"/>
                <w:kern w:val="0"/>
                <w:szCs w:val="21"/>
                <w:highlight w:val="none"/>
              </w:rPr>
              <w:t>分</w:t>
            </w:r>
            <w:r>
              <w:rPr>
                <w:rFonts w:cs="宋体" w:asciiTheme="minorEastAsia" w:hAnsiTheme="minorEastAsia" w:eastAsiaTheme="minorEastAsia"/>
                <w:color w:val="000000" w:themeColor="text1"/>
                <w:kern w:val="0"/>
                <w:szCs w:val="21"/>
                <w:highlight w:val="none"/>
              </w:rPr>
              <w:t>，</w:t>
            </w:r>
            <w:r>
              <w:rPr>
                <w:rFonts w:hint="eastAsia" w:cs="宋体" w:asciiTheme="minorEastAsia" w:hAnsiTheme="minorEastAsia" w:eastAsiaTheme="minorEastAsia"/>
                <w:color w:val="000000" w:themeColor="text1"/>
                <w:kern w:val="0"/>
                <w:szCs w:val="21"/>
                <w:highlight w:val="none"/>
              </w:rPr>
              <w:t>没有</w:t>
            </w:r>
            <w:r>
              <w:rPr>
                <w:rFonts w:cs="宋体" w:asciiTheme="minorEastAsia" w:hAnsiTheme="minorEastAsia" w:eastAsiaTheme="minorEastAsia"/>
                <w:color w:val="000000" w:themeColor="text1"/>
                <w:kern w:val="0"/>
                <w:szCs w:val="21"/>
                <w:highlight w:val="none"/>
              </w:rPr>
              <w:t>不得分</w:t>
            </w:r>
            <w:r>
              <w:rPr>
                <w:rFonts w:hint="eastAsia" w:cs="宋体" w:asciiTheme="minorEastAsia" w:hAnsiTheme="minorEastAsia" w:eastAsiaTheme="minorEastAsia"/>
                <w:color w:val="000000" w:themeColor="text1"/>
                <w:kern w:val="0"/>
                <w:szCs w:val="21"/>
                <w:highlight w:val="none"/>
              </w:rPr>
              <w:t>。</w:t>
            </w:r>
          </w:p>
        </w:tc>
        <w:tc>
          <w:tcPr>
            <w:tcW w:w="1035" w:type="dxa"/>
            <w:shd w:val="clear" w:color="auto" w:fill="auto"/>
            <w:vAlign w:val="center"/>
          </w:tcPr>
          <w:p>
            <w:pPr>
              <w:widowControl/>
              <w:spacing w:line="276" w:lineRule="auto"/>
              <w:ind w:firstLine="0" w:firstLineChars="0"/>
              <w:jc w:val="center"/>
              <w:rPr>
                <w:rFonts w:cs="宋体" w:asciiTheme="minorEastAsia" w:hAnsiTheme="minorEastAsia" w:eastAsiaTheme="minorEastAsia"/>
                <w:color w:val="000000" w:themeColor="text1"/>
                <w:kern w:val="0"/>
                <w:szCs w:val="21"/>
                <w:highlight w:val="none"/>
              </w:rPr>
            </w:pPr>
            <w:r>
              <w:rPr>
                <w:rFonts w:hint="eastAsia" w:cs="宋体" w:asciiTheme="minorEastAsia" w:hAnsiTheme="minorEastAsia" w:eastAsiaTheme="minorEastAsia"/>
                <w:color w:val="000000" w:themeColor="text1"/>
                <w:kern w:val="0"/>
                <w:szCs w:val="21"/>
                <w:highlight w:val="none"/>
                <w:lang w:val="en-US" w:eastAsia="zh-CN"/>
              </w:rPr>
              <w:t>2</w:t>
            </w:r>
            <w:r>
              <w:rPr>
                <w:rFonts w:hint="eastAsia" w:cs="宋体" w:asciiTheme="minorEastAsia" w:hAnsiTheme="minorEastAsia" w:eastAsiaTheme="minorEastAsia"/>
                <w:color w:val="000000" w:themeColor="text1"/>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54" w:type="dxa"/>
            <w:vMerge w:val="restart"/>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生产厂商资质</w:t>
            </w:r>
          </w:p>
        </w:tc>
        <w:tc>
          <w:tcPr>
            <w:tcW w:w="6095" w:type="dxa"/>
            <w:shd w:val="clear" w:color="auto" w:fill="auto"/>
            <w:vAlign w:val="center"/>
          </w:tcPr>
          <w:p>
            <w:pPr>
              <w:widowControl/>
              <w:spacing w:line="276" w:lineRule="auto"/>
              <w:ind w:firstLine="0" w:firstLineChars="0"/>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为方便所投产品统一运维管理，要求所投超</w:t>
            </w:r>
            <w:r>
              <w:rPr>
                <w:rFonts w:ascii="宋体" w:hAnsi="宋体" w:cs="宋体"/>
                <w:color w:val="000000" w:themeColor="text1"/>
                <w:kern w:val="0"/>
                <w:szCs w:val="21"/>
                <w:highlight w:val="none"/>
              </w:rPr>
              <w:t>融合服务器、桌面</w:t>
            </w:r>
            <w:r>
              <w:rPr>
                <w:rFonts w:hint="eastAsia" w:ascii="宋体" w:hAnsi="宋体" w:cs="宋体"/>
                <w:color w:val="000000" w:themeColor="text1"/>
                <w:kern w:val="0"/>
                <w:szCs w:val="21"/>
                <w:highlight w:val="none"/>
              </w:rPr>
              <w:t>云瘦终端为同一品牌，满足得</w:t>
            </w:r>
            <w:r>
              <w:rPr>
                <w:rFonts w:hint="eastAsia" w:ascii="宋体" w:hAnsi="宋体" w:cs="宋体"/>
                <w:color w:val="000000" w:themeColor="text1"/>
                <w:kern w:val="0"/>
                <w:szCs w:val="21"/>
                <w:highlight w:val="none"/>
                <w:lang w:val="en-US" w:eastAsia="zh-CN"/>
              </w:rPr>
              <w:t>2</w:t>
            </w:r>
            <w:r>
              <w:rPr>
                <w:rFonts w:hint="eastAsia" w:ascii="宋体" w:hAnsi="宋体" w:cs="宋体"/>
                <w:color w:val="000000" w:themeColor="text1"/>
                <w:kern w:val="0"/>
                <w:szCs w:val="21"/>
                <w:highlight w:val="none"/>
              </w:rPr>
              <w:t>分，不满足不得分。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lang w:val="en-US" w:eastAsia="zh-CN"/>
              </w:rPr>
              <w:t>2</w:t>
            </w:r>
            <w:r>
              <w:rPr>
                <w:rFonts w:hint="eastAsia" w:ascii="宋体" w:hAnsi="宋体" w:cs="宋体"/>
                <w:color w:val="000000" w:themeColor="text1"/>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54" w:type="dxa"/>
            <w:vMerge w:val="continue"/>
            <w:shd w:val="clear" w:color="auto" w:fill="auto"/>
            <w:vAlign w:val="center"/>
          </w:tcPr>
          <w:p>
            <w:pPr>
              <w:widowControl/>
              <w:spacing w:line="276" w:lineRule="auto"/>
              <w:ind w:firstLine="420"/>
              <w:jc w:val="center"/>
              <w:rPr>
                <w:rFonts w:ascii="宋体" w:hAnsi="宋体" w:cs="宋体"/>
                <w:color w:val="000000" w:themeColor="text1"/>
                <w:kern w:val="0"/>
                <w:szCs w:val="21"/>
                <w:highlight w:val="none"/>
              </w:rPr>
            </w:pPr>
          </w:p>
        </w:tc>
        <w:tc>
          <w:tcPr>
            <w:tcW w:w="6095" w:type="dxa"/>
            <w:shd w:val="clear" w:color="auto" w:fill="auto"/>
            <w:vAlign w:val="center"/>
          </w:tcPr>
          <w:p>
            <w:pPr>
              <w:widowControl/>
              <w:spacing w:line="276" w:lineRule="auto"/>
              <w:ind w:firstLine="0" w:firstLineChars="0"/>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所投桌面云平台软件生产厂商通过中国信息安全认证中心《信息安全集成服务资质》认证，提供证书复印件证明（加盖原厂投标专用章或公章），认证级别为一级的得</w:t>
            </w:r>
            <w:r>
              <w:rPr>
                <w:rFonts w:hint="eastAsia" w:ascii="宋体" w:hAnsi="宋体" w:cs="宋体"/>
                <w:color w:val="000000" w:themeColor="text1"/>
                <w:kern w:val="0"/>
                <w:szCs w:val="21"/>
                <w:highlight w:val="none"/>
                <w:lang w:val="en-US" w:eastAsia="zh-CN"/>
              </w:rPr>
              <w:t>2</w:t>
            </w:r>
            <w:r>
              <w:rPr>
                <w:rFonts w:hint="eastAsia" w:ascii="宋体" w:hAnsi="宋体" w:cs="宋体"/>
                <w:color w:val="000000" w:themeColor="text1"/>
                <w:kern w:val="0"/>
                <w:szCs w:val="21"/>
                <w:highlight w:val="none"/>
              </w:rPr>
              <w:t>分，认证级别为二级的得</w:t>
            </w:r>
            <w:r>
              <w:rPr>
                <w:rFonts w:ascii="宋体" w:hAnsi="宋体" w:cs="宋体"/>
                <w:color w:val="000000" w:themeColor="text1"/>
                <w:kern w:val="0"/>
                <w:szCs w:val="21"/>
                <w:highlight w:val="none"/>
              </w:rPr>
              <w:t>1</w:t>
            </w:r>
            <w:r>
              <w:rPr>
                <w:rFonts w:hint="eastAsia" w:ascii="宋体" w:hAnsi="宋体" w:cs="宋体"/>
                <w:color w:val="000000" w:themeColor="text1"/>
                <w:kern w:val="0"/>
                <w:szCs w:val="21"/>
                <w:highlight w:val="none"/>
              </w:rPr>
              <w:t>分，其他级别得</w:t>
            </w:r>
            <w:r>
              <w:rPr>
                <w:rFonts w:ascii="宋体" w:hAnsi="宋体" w:cs="宋体"/>
                <w:color w:val="000000" w:themeColor="text1"/>
                <w:kern w:val="0"/>
                <w:szCs w:val="21"/>
                <w:highlight w:val="none"/>
              </w:rPr>
              <w:t>0.5</w:t>
            </w:r>
            <w:r>
              <w:rPr>
                <w:rFonts w:hint="eastAsia" w:ascii="宋体" w:hAnsi="宋体" w:cs="宋体"/>
                <w:color w:val="000000" w:themeColor="text1"/>
                <w:kern w:val="0"/>
                <w:szCs w:val="21"/>
                <w:highlight w:val="none"/>
              </w:rPr>
              <w:t>分，没有不得分。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lang w:val="en-US" w:eastAsia="zh-CN"/>
              </w:rPr>
              <w:t>2</w:t>
            </w:r>
            <w:r>
              <w:rPr>
                <w:rFonts w:hint="eastAsia" w:ascii="宋体" w:hAnsi="宋体" w:cs="宋体"/>
                <w:color w:val="000000" w:themeColor="text1"/>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54" w:type="dxa"/>
            <w:vMerge w:val="continue"/>
            <w:shd w:val="clear" w:color="auto" w:fill="auto"/>
            <w:vAlign w:val="center"/>
          </w:tcPr>
          <w:p>
            <w:pPr>
              <w:widowControl/>
              <w:spacing w:line="276" w:lineRule="auto"/>
              <w:ind w:firstLine="420"/>
              <w:jc w:val="center"/>
              <w:rPr>
                <w:rFonts w:ascii="宋体" w:hAnsi="宋体" w:cs="宋体"/>
                <w:color w:val="000000" w:themeColor="text1"/>
                <w:kern w:val="0"/>
                <w:szCs w:val="21"/>
                <w:highlight w:val="none"/>
              </w:rPr>
            </w:pPr>
          </w:p>
        </w:tc>
        <w:tc>
          <w:tcPr>
            <w:tcW w:w="6095" w:type="dxa"/>
            <w:shd w:val="clear" w:color="auto" w:fill="auto"/>
            <w:vAlign w:val="center"/>
          </w:tcPr>
          <w:p>
            <w:pPr>
              <w:widowControl/>
              <w:spacing w:line="276" w:lineRule="auto"/>
              <w:ind w:firstLine="0" w:firstLineChars="0"/>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所投超</w:t>
            </w:r>
            <w:r>
              <w:rPr>
                <w:rFonts w:ascii="宋体" w:hAnsi="宋体" w:cs="宋体"/>
                <w:color w:val="000000" w:themeColor="text1"/>
                <w:kern w:val="0"/>
                <w:szCs w:val="21"/>
                <w:highlight w:val="none"/>
              </w:rPr>
              <w:t>融合服务器、桌面</w:t>
            </w:r>
            <w:r>
              <w:rPr>
                <w:rFonts w:hint="eastAsia" w:ascii="宋体" w:hAnsi="宋体" w:cs="宋体"/>
                <w:color w:val="000000" w:themeColor="text1"/>
                <w:kern w:val="0"/>
                <w:szCs w:val="21"/>
                <w:highlight w:val="none"/>
              </w:rPr>
              <w:t>云瘦终端</w:t>
            </w:r>
            <w:r>
              <w:rPr>
                <w:rFonts w:hint="eastAsia" w:ascii="宋体" w:hAnsi="宋体" w:cs="宋体"/>
                <w:color w:val="000000" w:themeColor="text1"/>
                <w:kern w:val="0"/>
                <w:szCs w:val="21"/>
                <w:highlight w:val="none"/>
                <w:lang w:val="en-US" w:eastAsia="zh-CN"/>
              </w:rPr>
              <w:t>产品配套</w:t>
            </w:r>
            <w:r>
              <w:rPr>
                <w:rFonts w:hint="eastAsia" w:ascii="宋体" w:hAnsi="宋体" w:cs="宋体"/>
                <w:color w:val="000000" w:themeColor="text1"/>
                <w:kern w:val="0"/>
                <w:szCs w:val="21"/>
                <w:highlight w:val="none"/>
              </w:rPr>
              <w:t>软件生产厂商：</w:t>
            </w:r>
          </w:p>
          <w:p>
            <w:pPr>
              <w:widowControl/>
              <w:spacing w:line="276" w:lineRule="auto"/>
              <w:ind w:firstLine="0" w:firstLineChars="0"/>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通过质量管理体系认证（ISO9001），</w:t>
            </w:r>
            <w:r>
              <w:rPr>
                <w:rFonts w:ascii="宋体" w:hAnsi="宋体" w:cs="宋体"/>
                <w:color w:val="000000" w:themeColor="text1"/>
                <w:kern w:val="0"/>
                <w:szCs w:val="21"/>
                <w:highlight w:val="none"/>
              </w:rPr>
              <w:t>满足得</w:t>
            </w:r>
            <w:r>
              <w:rPr>
                <w:rFonts w:hint="eastAsia" w:ascii="宋体" w:hAnsi="宋体" w:cs="宋体"/>
                <w:color w:val="000000" w:themeColor="text1"/>
                <w:kern w:val="0"/>
                <w:szCs w:val="21"/>
                <w:highlight w:val="none"/>
                <w:lang w:val="en-US" w:eastAsia="zh-CN"/>
              </w:rPr>
              <w:t>0.5</w:t>
            </w:r>
            <w:r>
              <w:rPr>
                <w:rFonts w:hint="eastAsia" w:ascii="宋体" w:hAnsi="宋体" w:cs="宋体"/>
                <w:color w:val="000000" w:themeColor="text1"/>
                <w:kern w:val="0"/>
                <w:szCs w:val="21"/>
                <w:highlight w:val="none"/>
              </w:rPr>
              <w:t>分</w:t>
            </w:r>
            <w:r>
              <w:rPr>
                <w:rFonts w:ascii="宋体" w:hAnsi="宋体" w:cs="宋体"/>
                <w:color w:val="000000" w:themeColor="text1"/>
                <w:kern w:val="0"/>
                <w:szCs w:val="21"/>
                <w:highlight w:val="none"/>
              </w:rPr>
              <w:t>；</w:t>
            </w:r>
          </w:p>
          <w:p>
            <w:pPr>
              <w:widowControl/>
              <w:spacing w:line="276" w:lineRule="auto"/>
              <w:ind w:firstLine="0" w:firstLineChars="0"/>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通过信息安全管理体系认证（ISO27001），</w:t>
            </w:r>
            <w:r>
              <w:rPr>
                <w:rFonts w:ascii="宋体" w:hAnsi="宋体" w:cs="宋体"/>
                <w:color w:val="000000" w:themeColor="text1"/>
                <w:kern w:val="0"/>
                <w:szCs w:val="21"/>
                <w:highlight w:val="none"/>
              </w:rPr>
              <w:t>满足得</w:t>
            </w:r>
            <w:r>
              <w:rPr>
                <w:rFonts w:hint="eastAsia" w:ascii="宋体" w:hAnsi="宋体" w:cs="宋体"/>
                <w:color w:val="000000" w:themeColor="text1"/>
                <w:kern w:val="0"/>
                <w:szCs w:val="21"/>
                <w:highlight w:val="none"/>
                <w:lang w:val="en-US" w:eastAsia="zh-CN"/>
              </w:rPr>
              <w:t>0.5</w:t>
            </w:r>
            <w:r>
              <w:rPr>
                <w:rFonts w:hint="eastAsia" w:ascii="宋体" w:hAnsi="宋体" w:cs="宋体"/>
                <w:color w:val="000000" w:themeColor="text1"/>
                <w:kern w:val="0"/>
                <w:szCs w:val="21"/>
                <w:highlight w:val="none"/>
              </w:rPr>
              <w:t>分</w:t>
            </w:r>
            <w:r>
              <w:rPr>
                <w:rFonts w:ascii="宋体" w:hAnsi="宋体" w:cs="宋体"/>
                <w:color w:val="000000" w:themeColor="text1"/>
                <w:kern w:val="0"/>
                <w:szCs w:val="21"/>
                <w:highlight w:val="none"/>
              </w:rPr>
              <w:t>；</w:t>
            </w:r>
          </w:p>
          <w:p>
            <w:pPr>
              <w:widowControl/>
              <w:spacing w:line="276" w:lineRule="auto"/>
              <w:ind w:firstLine="0" w:firstLineChars="0"/>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通过供应链安全管理体系认证（ISO28000），</w:t>
            </w:r>
            <w:r>
              <w:rPr>
                <w:rFonts w:ascii="宋体" w:hAnsi="宋体" w:cs="宋体"/>
                <w:color w:val="000000" w:themeColor="text1"/>
                <w:kern w:val="0"/>
                <w:szCs w:val="21"/>
                <w:highlight w:val="none"/>
              </w:rPr>
              <w:t>满足得</w:t>
            </w:r>
            <w:r>
              <w:rPr>
                <w:rFonts w:hint="eastAsia" w:ascii="宋体" w:hAnsi="宋体" w:cs="宋体"/>
                <w:color w:val="000000" w:themeColor="text1"/>
                <w:kern w:val="0"/>
                <w:szCs w:val="21"/>
                <w:highlight w:val="none"/>
                <w:lang w:val="en-US" w:eastAsia="zh-CN"/>
              </w:rPr>
              <w:t>0.5</w:t>
            </w:r>
            <w:r>
              <w:rPr>
                <w:rFonts w:hint="eastAsia" w:ascii="宋体" w:hAnsi="宋体" w:cs="宋体"/>
                <w:color w:val="000000" w:themeColor="text1"/>
                <w:kern w:val="0"/>
                <w:szCs w:val="21"/>
                <w:highlight w:val="none"/>
              </w:rPr>
              <w:t>分</w:t>
            </w:r>
            <w:r>
              <w:rPr>
                <w:rFonts w:ascii="宋体" w:hAnsi="宋体" w:cs="宋体"/>
                <w:color w:val="000000" w:themeColor="text1"/>
                <w:kern w:val="0"/>
                <w:szCs w:val="21"/>
                <w:highlight w:val="none"/>
              </w:rPr>
              <w:t>；</w:t>
            </w:r>
          </w:p>
          <w:p>
            <w:pPr>
              <w:widowControl/>
              <w:spacing w:line="276" w:lineRule="auto"/>
              <w:ind w:firstLine="0" w:firstLineChars="0"/>
              <w:rPr>
                <w:rFonts w:ascii="宋体" w:hAnsi="宋体" w:cs="宋体"/>
                <w:color w:val="000000" w:themeColor="text1"/>
                <w:kern w:val="0"/>
                <w:szCs w:val="21"/>
                <w:highlight w:val="none"/>
              </w:rPr>
            </w:pPr>
            <w:r>
              <w:rPr>
                <w:rFonts w:ascii="宋体" w:hAnsi="宋体" w:cs="宋体"/>
                <w:color w:val="000000" w:themeColor="text1"/>
                <w:kern w:val="0"/>
                <w:szCs w:val="21"/>
                <w:highlight w:val="none"/>
              </w:rPr>
              <w:t>通过</w:t>
            </w:r>
            <w:r>
              <w:rPr>
                <w:rFonts w:hint="eastAsia" w:ascii="宋体" w:hAnsi="宋体" w:cs="宋体"/>
                <w:color w:val="000000" w:themeColor="text1"/>
                <w:kern w:val="0"/>
                <w:szCs w:val="21"/>
                <w:highlight w:val="none"/>
              </w:rPr>
              <w:t>国际电工委员会电气与电子元件和产品有害物质过程控制管理体系认证（QC080000），</w:t>
            </w:r>
            <w:r>
              <w:rPr>
                <w:rFonts w:ascii="宋体" w:hAnsi="宋体" w:cs="宋体"/>
                <w:color w:val="000000" w:themeColor="text1"/>
                <w:kern w:val="0"/>
                <w:szCs w:val="21"/>
                <w:highlight w:val="none"/>
              </w:rPr>
              <w:t>满足得</w:t>
            </w:r>
            <w:r>
              <w:rPr>
                <w:rFonts w:hint="eastAsia" w:ascii="宋体" w:hAnsi="宋体" w:cs="宋体"/>
                <w:color w:val="000000" w:themeColor="text1"/>
                <w:kern w:val="0"/>
                <w:szCs w:val="21"/>
                <w:highlight w:val="none"/>
                <w:lang w:val="en-US" w:eastAsia="zh-CN"/>
              </w:rPr>
              <w:t>0.5</w:t>
            </w:r>
            <w:r>
              <w:rPr>
                <w:rFonts w:hint="eastAsia" w:ascii="宋体" w:hAnsi="宋体" w:cs="宋体"/>
                <w:color w:val="000000" w:themeColor="text1"/>
                <w:kern w:val="0"/>
                <w:szCs w:val="21"/>
                <w:highlight w:val="none"/>
              </w:rPr>
              <w:t>分</w:t>
            </w:r>
            <w:r>
              <w:rPr>
                <w:rFonts w:ascii="宋体" w:hAnsi="宋体" w:cs="宋体"/>
                <w:color w:val="000000" w:themeColor="text1"/>
                <w:kern w:val="0"/>
                <w:szCs w:val="21"/>
                <w:highlight w:val="none"/>
              </w:rPr>
              <w:t>；</w:t>
            </w:r>
          </w:p>
          <w:p>
            <w:pPr>
              <w:widowControl/>
              <w:spacing w:line="276" w:lineRule="auto"/>
              <w:ind w:firstLine="0" w:firstLineChars="0"/>
              <w:rPr>
                <w:rFonts w:hint="eastAsia" w:ascii="宋体" w:hAnsi="宋体" w:eastAsia="宋体" w:cs="宋体"/>
                <w:color w:val="000000" w:themeColor="text1"/>
                <w:kern w:val="0"/>
                <w:szCs w:val="21"/>
                <w:highlight w:val="none"/>
                <w:lang w:eastAsia="zh-CN"/>
              </w:rPr>
            </w:pPr>
            <w:r>
              <w:rPr>
                <w:rFonts w:hint="eastAsia" w:ascii="宋体" w:hAnsi="宋体" w:cs="宋体"/>
                <w:color w:val="000000" w:themeColor="text1"/>
                <w:kern w:val="0"/>
                <w:szCs w:val="21"/>
                <w:highlight w:val="none"/>
              </w:rPr>
              <w:t>提供上述所有证书复印件证明（加盖原厂投标专用章或公章）</w:t>
            </w:r>
            <w:r>
              <w:rPr>
                <w:rFonts w:hint="eastAsia" w:ascii="宋体" w:hAnsi="宋体" w:cs="宋体"/>
                <w:color w:val="000000" w:themeColor="text1"/>
                <w:kern w:val="0"/>
                <w:szCs w:val="21"/>
                <w:highlight w:val="none"/>
                <w:lang w:eastAsia="zh-CN"/>
              </w:rPr>
              <w:t>。</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lang w:val="en-US" w:eastAsia="zh-CN"/>
              </w:rPr>
              <w:t>2</w:t>
            </w:r>
            <w:r>
              <w:rPr>
                <w:rFonts w:hint="eastAsia" w:ascii="宋体" w:hAnsi="宋体" w:cs="宋体"/>
                <w:color w:val="000000" w:themeColor="text1"/>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54" w:type="dxa"/>
            <w:vMerge w:val="continue"/>
            <w:shd w:val="clear" w:color="auto" w:fill="auto"/>
            <w:vAlign w:val="center"/>
          </w:tcPr>
          <w:p>
            <w:pPr>
              <w:widowControl/>
              <w:spacing w:line="276" w:lineRule="auto"/>
              <w:ind w:firstLine="420"/>
              <w:jc w:val="center"/>
              <w:rPr>
                <w:rFonts w:ascii="宋体" w:hAnsi="宋体" w:cs="宋体"/>
                <w:color w:val="000000" w:themeColor="text1"/>
                <w:kern w:val="0"/>
                <w:szCs w:val="21"/>
                <w:highlight w:val="none"/>
              </w:rPr>
            </w:pPr>
          </w:p>
        </w:tc>
        <w:tc>
          <w:tcPr>
            <w:tcW w:w="6095" w:type="dxa"/>
            <w:shd w:val="clear" w:color="auto" w:fill="auto"/>
            <w:vAlign w:val="center"/>
          </w:tcPr>
          <w:p>
            <w:pPr>
              <w:widowControl/>
              <w:spacing w:line="276" w:lineRule="auto"/>
              <w:ind w:firstLine="0" w:firstLineChars="0"/>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所投超</w:t>
            </w:r>
            <w:r>
              <w:rPr>
                <w:rFonts w:ascii="宋体" w:hAnsi="宋体" w:cs="宋体"/>
                <w:color w:val="000000" w:themeColor="text1"/>
                <w:kern w:val="0"/>
                <w:szCs w:val="21"/>
                <w:highlight w:val="none"/>
              </w:rPr>
              <w:t>融合服务器、桌面</w:t>
            </w:r>
            <w:r>
              <w:rPr>
                <w:rFonts w:hint="eastAsia" w:ascii="宋体" w:hAnsi="宋体" w:cs="宋体"/>
                <w:color w:val="000000" w:themeColor="text1"/>
                <w:kern w:val="0"/>
                <w:szCs w:val="21"/>
                <w:highlight w:val="none"/>
              </w:rPr>
              <w:t>云瘦终端</w:t>
            </w:r>
            <w:r>
              <w:rPr>
                <w:rFonts w:hint="eastAsia" w:ascii="宋体" w:hAnsi="宋体" w:cs="宋体"/>
                <w:color w:val="000000" w:themeColor="text1"/>
                <w:kern w:val="0"/>
                <w:szCs w:val="21"/>
                <w:highlight w:val="none"/>
                <w:lang w:val="en-US" w:eastAsia="zh-CN"/>
              </w:rPr>
              <w:t>产品配套</w:t>
            </w:r>
            <w:r>
              <w:rPr>
                <w:rFonts w:hint="eastAsia" w:ascii="宋体" w:hAnsi="宋体" w:cs="宋体"/>
                <w:color w:val="000000" w:themeColor="text1"/>
                <w:kern w:val="0"/>
                <w:szCs w:val="21"/>
                <w:highlight w:val="none"/>
              </w:rPr>
              <w:t>软件厂商通过CMMI（软件能力成熟度模型集成）认证，提供证书复印件证明（加盖原厂投标专用章），认证级别为CMMI5及以上得</w:t>
            </w:r>
            <w:r>
              <w:rPr>
                <w:rFonts w:ascii="宋体" w:hAnsi="宋体" w:cs="宋体"/>
                <w:color w:val="000000" w:themeColor="text1"/>
                <w:kern w:val="0"/>
                <w:szCs w:val="21"/>
                <w:highlight w:val="none"/>
              </w:rPr>
              <w:t>2</w:t>
            </w:r>
            <w:r>
              <w:rPr>
                <w:rFonts w:hint="eastAsia" w:ascii="宋体" w:hAnsi="宋体" w:cs="宋体"/>
                <w:color w:val="000000" w:themeColor="text1"/>
                <w:kern w:val="0"/>
                <w:szCs w:val="21"/>
                <w:highlight w:val="none"/>
              </w:rPr>
              <w:t>分，认证级别为CMMI4得</w:t>
            </w:r>
            <w:r>
              <w:rPr>
                <w:rFonts w:ascii="宋体" w:hAnsi="宋体" w:cs="宋体"/>
                <w:color w:val="000000" w:themeColor="text1"/>
                <w:kern w:val="0"/>
                <w:szCs w:val="21"/>
                <w:highlight w:val="none"/>
              </w:rPr>
              <w:t>1</w:t>
            </w:r>
            <w:r>
              <w:rPr>
                <w:rFonts w:hint="eastAsia" w:ascii="宋体" w:hAnsi="宋体" w:cs="宋体"/>
                <w:color w:val="000000" w:themeColor="text1"/>
                <w:kern w:val="0"/>
                <w:szCs w:val="21"/>
                <w:highlight w:val="none"/>
              </w:rPr>
              <w:t>分，其他认证级别得</w:t>
            </w:r>
            <w:r>
              <w:rPr>
                <w:rFonts w:ascii="宋体" w:hAnsi="宋体" w:cs="宋体"/>
                <w:color w:val="000000" w:themeColor="text1"/>
                <w:kern w:val="0"/>
                <w:szCs w:val="21"/>
                <w:highlight w:val="none"/>
              </w:rPr>
              <w:t>0.5</w:t>
            </w:r>
            <w:r>
              <w:rPr>
                <w:rFonts w:hint="eastAsia" w:ascii="宋体" w:hAnsi="宋体" w:cs="宋体"/>
                <w:color w:val="000000" w:themeColor="text1"/>
                <w:kern w:val="0"/>
                <w:szCs w:val="21"/>
                <w:highlight w:val="none"/>
              </w:rPr>
              <w:t>分，没有不得分。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ascii="宋体" w:hAnsi="宋体" w:cs="宋体"/>
                <w:color w:val="000000" w:themeColor="text1"/>
                <w:kern w:val="0"/>
                <w:szCs w:val="21"/>
                <w:highlight w:val="none"/>
              </w:rPr>
              <w:t>2</w:t>
            </w:r>
            <w:r>
              <w:rPr>
                <w:rFonts w:hint="eastAsia" w:ascii="宋体" w:hAnsi="宋体" w:cs="宋体"/>
                <w:color w:val="000000" w:themeColor="text1"/>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784" w:type="dxa"/>
            <w:gridSpan w:val="3"/>
            <w:shd w:val="clear" w:color="auto" w:fill="auto"/>
            <w:vAlign w:val="center"/>
          </w:tcPr>
          <w:p>
            <w:pPr>
              <w:widowControl/>
              <w:spacing w:line="276" w:lineRule="auto"/>
              <w:ind w:firstLine="0" w:firstLineChars="0"/>
              <w:jc w:val="left"/>
              <w:rPr>
                <w:rFonts w:ascii="宋体" w:hAnsi="宋体" w:cs="宋体"/>
                <w:b/>
                <w:bCs/>
                <w:color w:val="000000" w:themeColor="text1"/>
                <w:kern w:val="0"/>
                <w:szCs w:val="21"/>
                <w:highlight w:val="none"/>
              </w:rPr>
            </w:pPr>
            <w:r>
              <w:rPr>
                <w:rFonts w:hint="eastAsia" w:ascii="宋体" w:hAnsi="宋体" w:cs="宋体"/>
                <w:b/>
                <w:bCs/>
                <w:color w:val="000000" w:themeColor="text1"/>
                <w:kern w:val="0"/>
                <w:szCs w:val="21"/>
                <w:highlight w:val="none"/>
              </w:rPr>
              <w:t>二、价格部分（30分）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7749" w:type="dxa"/>
            <w:gridSpan w:val="2"/>
            <w:shd w:val="clear" w:color="auto" w:fill="auto"/>
            <w:vAlign w:val="center"/>
          </w:tcPr>
          <w:p>
            <w:pPr>
              <w:widowControl/>
              <w:spacing w:line="276" w:lineRule="auto"/>
              <w:ind w:firstLine="0" w:firstLineChars="0"/>
              <w:jc w:val="left"/>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投标报价超过采购预算的，视为无效投标，未超过采购预算的投标报价按以下公式进行计算：</w:t>
            </w:r>
          </w:p>
          <w:p>
            <w:pPr>
              <w:widowControl/>
              <w:spacing w:line="276" w:lineRule="auto"/>
              <w:ind w:firstLine="0" w:firstLineChars="0"/>
              <w:jc w:val="left"/>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投标报价得分=（评标基准价/投标报价）×30</w:t>
            </w:r>
          </w:p>
          <w:p>
            <w:pPr>
              <w:widowControl/>
              <w:spacing w:line="276" w:lineRule="auto"/>
              <w:ind w:firstLine="0" w:firstLineChars="0"/>
              <w:jc w:val="left"/>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注：a、以按照招标文件规定修正后的所有合格投标人的最低价为评分基准价；b、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8784" w:type="dxa"/>
            <w:gridSpan w:val="3"/>
            <w:shd w:val="clear" w:color="auto" w:fill="auto"/>
            <w:vAlign w:val="center"/>
          </w:tcPr>
          <w:p>
            <w:pPr>
              <w:widowControl/>
              <w:spacing w:line="276" w:lineRule="auto"/>
              <w:ind w:firstLine="0" w:firstLineChars="0"/>
              <w:jc w:val="left"/>
              <w:rPr>
                <w:rFonts w:ascii="宋体" w:hAnsi="宋体" w:cs="宋体"/>
                <w:b/>
                <w:bCs/>
                <w:color w:val="000000" w:themeColor="text1"/>
                <w:kern w:val="0"/>
                <w:szCs w:val="21"/>
                <w:highlight w:val="none"/>
              </w:rPr>
            </w:pPr>
            <w:r>
              <w:rPr>
                <w:rFonts w:hint="eastAsia" w:ascii="宋体" w:hAnsi="宋体" w:cs="宋体"/>
                <w:b/>
                <w:bCs/>
                <w:color w:val="000000" w:themeColor="text1"/>
                <w:kern w:val="0"/>
                <w:szCs w:val="21"/>
                <w:highlight w:val="none"/>
              </w:rPr>
              <w:t>三、技术部分（</w:t>
            </w:r>
            <w:r>
              <w:rPr>
                <w:rFonts w:ascii="宋体" w:hAnsi="宋体" w:cs="宋体"/>
                <w:b/>
                <w:bCs/>
                <w:color w:val="000000" w:themeColor="text1"/>
                <w:kern w:val="0"/>
                <w:szCs w:val="21"/>
                <w:highlight w:val="none"/>
              </w:rPr>
              <w:t>45</w:t>
            </w:r>
            <w:r>
              <w:rPr>
                <w:rFonts w:hint="eastAsia" w:ascii="宋体" w:hAnsi="宋体" w:cs="宋体"/>
                <w:b/>
                <w:bCs/>
                <w:color w:val="000000" w:themeColor="text1"/>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54" w:type="dxa"/>
            <w:shd w:val="clear" w:color="auto" w:fill="auto"/>
            <w:vAlign w:val="center"/>
          </w:tcPr>
          <w:p>
            <w:pPr>
              <w:widowControl/>
              <w:spacing w:line="276" w:lineRule="auto"/>
              <w:ind w:firstLine="0" w:firstLineChars="0"/>
              <w:jc w:val="center"/>
              <w:rPr>
                <w:rFonts w:ascii="宋体" w:hAnsi="宋体" w:cs="宋体"/>
                <w:bCs/>
                <w:color w:val="000000" w:themeColor="text1"/>
                <w:kern w:val="0"/>
                <w:szCs w:val="21"/>
                <w:highlight w:val="none"/>
              </w:rPr>
            </w:pPr>
            <w:r>
              <w:rPr>
                <w:rFonts w:hint="eastAsia" w:ascii="宋体" w:hAnsi="宋体" w:cs="宋体"/>
                <w:bCs/>
                <w:color w:val="000000" w:themeColor="text1"/>
                <w:kern w:val="0"/>
                <w:szCs w:val="21"/>
                <w:highlight w:val="none"/>
              </w:rPr>
              <w:t>技术响应</w:t>
            </w:r>
          </w:p>
          <w:p>
            <w:pPr>
              <w:widowControl/>
              <w:spacing w:line="276" w:lineRule="auto"/>
              <w:ind w:firstLine="0" w:firstLineChars="0"/>
              <w:jc w:val="center"/>
              <w:rPr>
                <w:rFonts w:ascii="宋体" w:hAnsi="宋体" w:cs="宋体"/>
                <w:bCs/>
                <w:color w:val="000000" w:themeColor="text1"/>
                <w:kern w:val="0"/>
                <w:szCs w:val="21"/>
                <w:highlight w:val="none"/>
              </w:rPr>
            </w:pPr>
            <w:r>
              <w:rPr>
                <w:rFonts w:hint="eastAsia" w:ascii="宋体" w:hAnsi="宋体" w:cs="宋体"/>
                <w:bCs/>
                <w:color w:val="000000" w:themeColor="text1"/>
                <w:kern w:val="0"/>
                <w:szCs w:val="21"/>
                <w:highlight w:val="none"/>
              </w:rPr>
              <w:t>（包括产品基本要求与指标参数、功能）</w:t>
            </w:r>
          </w:p>
        </w:tc>
        <w:tc>
          <w:tcPr>
            <w:tcW w:w="6095" w:type="dxa"/>
            <w:shd w:val="clear" w:color="auto" w:fill="auto"/>
            <w:vAlign w:val="center"/>
          </w:tcPr>
          <w:p>
            <w:pPr>
              <w:widowControl/>
              <w:spacing w:line="276" w:lineRule="auto"/>
              <w:ind w:firstLine="0" w:firstLineChars="0"/>
              <w:jc w:val="left"/>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所投产品配置完全满足招标文件技术参数指标的，得</w:t>
            </w:r>
            <w:r>
              <w:rPr>
                <w:rFonts w:ascii="宋体" w:hAnsi="宋体" w:cs="宋体"/>
                <w:color w:val="000000" w:themeColor="text1"/>
                <w:kern w:val="0"/>
                <w:szCs w:val="21"/>
                <w:highlight w:val="none"/>
              </w:rPr>
              <w:t>20</w:t>
            </w:r>
            <w:r>
              <w:rPr>
                <w:rFonts w:hint="eastAsia" w:ascii="宋体" w:hAnsi="宋体" w:cs="宋体"/>
                <w:color w:val="000000" w:themeColor="text1"/>
                <w:kern w:val="0"/>
                <w:szCs w:val="21"/>
                <w:highlight w:val="none"/>
              </w:rPr>
              <w:t>分。如果产品配置有负偏离，则在满分2</w:t>
            </w:r>
            <w:r>
              <w:rPr>
                <w:rFonts w:ascii="宋体" w:hAnsi="宋体" w:cs="宋体"/>
                <w:color w:val="000000" w:themeColor="text1"/>
                <w:kern w:val="0"/>
                <w:szCs w:val="21"/>
                <w:highlight w:val="none"/>
              </w:rPr>
              <w:t>0</w:t>
            </w:r>
            <w:r>
              <w:rPr>
                <w:rFonts w:hint="eastAsia" w:ascii="宋体" w:hAnsi="宋体" w:cs="宋体"/>
                <w:color w:val="000000" w:themeColor="text1"/>
                <w:kern w:val="0"/>
                <w:szCs w:val="21"/>
                <w:highlight w:val="none"/>
              </w:rPr>
              <w:t>分的基础上，按照如下原则进行打分：标★项参数为关键参数，每项负偏离减</w:t>
            </w:r>
            <w:r>
              <w:rPr>
                <w:rFonts w:ascii="宋体" w:hAnsi="宋体" w:cs="宋体"/>
                <w:color w:val="000000" w:themeColor="text1"/>
                <w:kern w:val="0"/>
                <w:szCs w:val="21"/>
                <w:highlight w:val="none"/>
              </w:rPr>
              <w:t>2</w:t>
            </w:r>
            <w:r>
              <w:rPr>
                <w:rFonts w:hint="eastAsia" w:ascii="宋体" w:hAnsi="宋体" w:cs="宋体"/>
                <w:color w:val="000000" w:themeColor="text1"/>
                <w:kern w:val="0"/>
                <w:szCs w:val="21"/>
                <w:highlight w:val="none"/>
              </w:rPr>
              <w:t>分；未标★项参数为重要参数，每项负偏离减</w:t>
            </w:r>
            <w:r>
              <w:rPr>
                <w:rFonts w:ascii="宋体" w:hAnsi="宋体" w:cs="宋体"/>
                <w:color w:val="000000" w:themeColor="text1"/>
                <w:kern w:val="0"/>
                <w:szCs w:val="21"/>
                <w:highlight w:val="none"/>
              </w:rPr>
              <w:t>1</w:t>
            </w:r>
            <w:r>
              <w:rPr>
                <w:rFonts w:hint="eastAsia" w:ascii="宋体" w:hAnsi="宋体" w:cs="宋体"/>
                <w:color w:val="000000" w:themeColor="text1"/>
                <w:kern w:val="0"/>
                <w:szCs w:val="21"/>
                <w:highlight w:val="none"/>
              </w:rPr>
              <w:t>分；2</w:t>
            </w:r>
            <w:r>
              <w:rPr>
                <w:rFonts w:ascii="宋体" w:hAnsi="宋体" w:cs="宋体"/>
                <w:color w:val="000000" w:themeColor="text1"/>
                <w:kern w:val="0"/>
                <w:szCs w:val="21"/>
                <w:highlight w:val="none"/>
              </w:rPr>
              <w:t>0减完为止</w:t>
            </w:r>
            <w:r>
              <w:rPr>
                <w:rFonts w:hint="eastAsia" w:ascii="宋体" w:hAnsi="宋体" w:cs="宋体"/>
                <w:color w:val="000000" w:themeColor="text1"/>
                <w:kern w:val="0"/>
                <w:szCs w:val="21"/>
                <w:highlight w:val="none"/>
              </w:rPr>
              <w:t>。</w:t>
            </w:r>
          </w:p>
        </w:tc>
        <w:tc>
          <w:tcPr>
            <w:tcW w:w="1035" w:type="dxa"/>
            <w:shd w:val="clear" w:color="auto" w:fill="auto"/>
            <w:vAlign w:val="center"/>
          </w:tcPr>
          <w:p>
            <w:pPr>
              <w:widowControl/>
              <w:spacing w:line="276" w:lineRule="auto"/>
              <w:ind w:firstLine="0" w:firstLineChars="0"/>
              <w:jc w:val="center"/>
              <w:rPr>
                <w:rFonts w:ascii="宋体" w:hAnsi="宋体" w:cs="宋体"/>
                <w:bCs/>
                <w:color w:val="000000" w:themeColor="text1"/>
                <w:kern w:val="0"/>
                <w:szCs w:val="21"/>
                <w:highlight w:val="none"/>
              </w:rPr>
            </w:pPr>
            <w:r>
              <w:rPr>
                <w:rFonts w:ascii="宋体" w:hAnsi="宋体" w:cs="宋体"/>
                <w:bCs/>
                <w:color w:val="000000" w:themeColor="text1"/>
                <w:kern w:val="0"/>
                <w:szCs w:val="21"/>
                <w:highlight w:val="none"/>
              </w:rPr>
              <w:t>20</w:t>
            </w:r>
            <w:r>
              <w:rPr>
                <w:rFonts w:hint="eastAsia" w:ascii="宋体" w:hAnsi="宋体" w:cs="宋体"/>
                <w:bCs/>
                <w:color w:val="000000" w:themeColor="text1"/>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654"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方案设计</w:t>
            </w:r>
          </w:p>
          <w:p>
            <w:pPr>
              <w:widowControl/>
              <w:spacing w:line="276" w:lineRule="auto"/>
              <w:ind w:firstLine="0" w:firstLineChars="0"/>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w:t>
            </w:r>
            <w:r>
              <w:rPr>
                <w:rFonts w:ascii="宋体" w:hAnsi="宋体" w:cs="宋体"/>
                <w:color w:val="000000" w:themeColor="text1"/>
                <w:kern w:val="0"/>
                <w:szCs w:val="21"/>
                <w:highlight w:val="none"/>
              </w:rPr>
              <w:t>3</w:t>
            </w:r>
            <w:r>
              <w:rPr>
                <w:rFonts w:hint="eastAsia" w:ascii="宋体" w:hAnsi="宋体" w:cs="宋体"/>
                <w:color w:val="000000" w:themeColor="text1"/>
                <w:kern w:val="0"/>
                <w:szCs w:val="21"/>
                <w:highlight w:val="none"/>
              </w:rPr>
              <w:t>分）</w:t>
            </w:r>
          </w:p>
        </w:tc>
        <w:tc>
          <w:tcPr>
            <w:tcW w:w="6095" w:type="dxa"/>
            <w:shd w:val="clear" w:color="auto" w:fill="auto"/>
            <w:vAlign w:val="center"/>
          </w:tcPr>
          <w:p>
            <w:pPr>
              <w:pStyle w:val="250"/>
              <w:spacing w:line="276" w:lineRule="auto"/>
              <w:jc w:val="both"/>
              <w:rPr>
                <w:rFonts w:ascii="宋体" w:hAnsi="宋体" w:eastAsia="宋体" w:cs="宋体"/>
                <w:sz w:val="21"/>
                <w:szCs w:val="21"/>
                <w:highlight w:val="none"/>
                <w:lang w:eastAsia="zh-CN"/>
              </w:rPr>
            </w:pPr>
            <w:r>
              <w:rPr>
                <w:rFonts w:ascii="宋体" w:hAnsi="宋体" w:eastAsia="宋体" w:cs="宋体"/>
                <w:color w:val="000000" w:themeColor="text1"/>
                <w:sz w:val="21"/>
                <w:szCs w:val="21"/>
                <w:highlight w:val="none"/>
                <w:lang w:eastAsia="zh-CN"/>
              </w:rPr>
              <w:t>投标人应提供针对本次项目的</w:t>
            </w:r>
            <w:r>
              <w:rPr>
                <w:rFonts w:hint="eastAsia" w:ascii="宋体" w:hAnsi="宋体" w:eastAsia="宋体" w:cs="宋体"/>
                <w:color w:val="000000" w:themeColor="text1"/>
                <w:sz w:val="21"/>
                <w:szCs w:val="21"/>
                <w:highlight w:val="none"/>
                <w:lang w:eastAsia="zh-CN"/>
              </w:rPr>
              <w:t>整体</w:t>
            </w:r>
            <w:r>
              <w:rPr>
                <w:rFonts w:ascii="宋体" w:hAnsi="宋体" w:eastAsia="宋体" w:cs="宋体"/>
                <w:color w:val="000000" w:themeColor="text1"/>
                <w:sz w:val="21"/>
                <w:szCs w:val="21"/>
                <w:highlight w:val="none"/>
                <w:lang w:eastAsia="zh-CN"/>
              </w:rPr>
              <w:t>设计方案</w:t>
            </w:r>
            <w:r>
              <w:rPr>
                <w:rFonts w:hint="eastAsia" w:ascii="宋体" w:hAnsi="宋体" w:eastAsia="宋体" w:cs="宋体"/>
                <w:color w:val="000000" w:themeColor="text1"/>
                <w:sz w:val="21"/>
                <w:szCs w:val="21"/>
                <w:highlight w:val="none"/>
                <w:lang w:eastAsia="zh-CN"/>
              </w:rPr>
              <w:t>，</w:t>
            </w:r>
            <w:r>
              <w:rPr>
                <w:rFonts w:ascii="宋体" w:hAnsi="宋体" w:eastAsia="宋体" w:cs="宋体"/>
                <w:color w:val="000000" w:themeColor="text1"/>
                <w:sz w:val="21"/>
                <w:szCs w:val="21"/>
                <w:highlight w:val="none"/>
                <w:lang w:eastAsia="zh-CN"/>
              </w:rPr>
              <w:t>根据方案的合理性、可行性、先进性等方面进行优秀、良好、一般</w:t>
            </w:r>
            <w:r>
              <w:rPr>
                <w:rFonts w:hint="eastAsia" w:ascii="宋体" w:hAnsi="宋体" w:eastAsia="宋体" w:cs="宋体"/>
                <w:color w:val="000000" w:themeColor="text1"/>
                <w:sz w:val="21"/>
                <w:szCs w:val="21"/>
                <w:highlight w:val="none"/>
                <w:lang w:eastAsia="zh-CN"/>
              </w:rPr>
              <w:t>、</w:t>
            </w:r>
            <w:r>
              <w:rPr>
                <w:rFonts w:ascii="宋体" w:hAnsi="宋体" w:eastAsia="宋体" w:cs="宋体"/>
                <w:color w:val="000000" w:themeColor="text1"/>
                <w:sz w:val="21"/>
                <w:szCs w:val="21"/>
                <w:highlight w:val="none"/>
                <w:lang w:eastAsia="zh-CN"/>
              </w:rPr>
              <w:t>较差三个等级的评判，优秀得3分，良好得2分，一般得</w:t>
            </w:r>
            <w:r>
              <w:rPr>
                <w:rFonts w:hint="eastAsia" w:ascii="宋体" w:hAnsi="宋体" w:eastAsia="宋体" w:cs="宋体"/>
                <w:color w:val="000000" w:themeColor="text1"/>
                <w:sz w:val="21"/>
                <w:szCs w:val="21"/>
                <w:highlight w:val="none"/>
                <w:lang w:eastAsia="zh-CN"/>
              </w:rPr>
              <w:t>1分，</w:t>
            </w:r>
            <w:r>
              <w:rPr>
                <w:rFonts w:ascii="宋体" w:hAnsi="宋体" w:eastAsia="宋体" w:cs="宋体"/>
                <w:color w:val="000000" w:themeColor="text1"/>
                <w:sz w:val="21"/>
                <w:szCs w:val="21"/>
                <w:highlight w:val="none"/>
                <w:lang w:eastAsia="zh-CN"/>
              </w:rPr>
              <w:t>较差不得分。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ascii="宋体" w:hAnsi="宋体" w:cs="宋体"/>
                <w:color w:val="000000" w:themeColor="text1"/>
                <w:kern w:val="0"/>
                <w:szCs w:val="21"/>
                <w:highlight w:val="none"/>
              </w:rPr>
              <w:t>3</w:t>
            </w:r>
            <w:r>
              <w:rPr>
                <w:rFonts w:hint="eastAsia" w:ascii="宋体" w:hAnsi="宋体" w:cs="宋体"/>
                <w:color w:val="000000" w:themeColor="text1"/>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654" w:type="dxa"/>
            <w:vMerge w:val="restart"/>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技术先进性</w:t>
            </w:r>
          </w:p>
          <w:p>
            <w:pPr>
              <w:widowControl/>
              <w:spacing w:line="276" w:lineRule="auto"/>
              <w:ind w:firstLine="0" w:firstLineChars="0"/>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（1</w:t>
            </w:r>
            <w:r>
              <w:rPr>
                <w:rFonts w:ascii="宋体" w:hAnsi="宋体" w:cs="宋体"/>
                <w:color w:val="000000" w:themeColor="text1"/>
                <w:kern w:val="0"/>
                <w:szCs w:val="21"/>
                <w:highlight w:val="none"/>
              </w:rPr>
              <w:t>4分</w:t>
            </w:r>
            <w:r>
              <w:rPr>
                <w:rFonts w:hint="eastAsia" w:ascii="宋体" w:hAnsi="宋体" w:cs="宋体"/>
                <w:color w:val="000000" w:themeColor="text1"/>
                <w:kern w:val="0"/>
                <w:szCs w:val="21"/>
                <w:highlight w:val="none"/>
              </w:rPr>
              <w:t>）</w:t>
            </w:r>
          </w:p>
        </w:tc>
        <w:tc>
          <w:tcPr>
            <w:tcW w:w="6095" w:type="dxa"/>
            <w:shd w:val="clear" w:color="auto" w:fill="auto"/>
            <w:vAlign w:val="center"/>
          </w:tcPr>
          <w:p>
            <w:pPr>
              <w:spacing w:line="276" w:lineRule="auto"/>
              <w:ind w:firstLine="0" w:firstLineChars="0"/>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所投桌面云</w:t>
            </w:r>
            <w:r>
              <w:rPr>
                <w:rFonts w:hint="eastAsia" w:ascii="宋体" w:hAnsi="宋体" w:cs="宋体"/>
                <w:color w:val="000000" w:themeColor="text1"/>
                <w:kern w:val="0"/>
                <w:szCs w:val="21"/>
                <w:highlight w:val="none"/>
                <w:lang w:val="en-US" w:eastAsia="zh-CN"/>
              </w:rPr>
              <w:t>产品平台</w:t>
            </w:r>
            <w:r>
              <w:rPr>
                <w:rFonts w:hint="eastAsia" w:ascii="宋体" w:hAnsi="宋体" w:cs="宋体"/>
                <w:color w:val="000000" w:themeColor="text1"/>
                <w:kern w:val="0"/>
                <w:szCs w:val="21"/>
                <w:highlight w:val="none"/>
              </w:rPr>
              <w:t>软件支持显示器自动节能，可设置策略，根据用户VM使用状态动态自动休眠显示器，以达到节能的目的，提供软件功能截图证明（加盖原厂投标专用章或公章），满足得</w:t>
            </w:r>
            <w:r>
              <w:rPr>
                <w:rFonts w:ascii="宋体" w:hAnsi="宋体" w:cs="宋体"/>
                <w:color w:val="000000" w:themeColor="text1"/>
                <w:kern w:val="0"/>
                <w:szCs w:val="21"/>
                <w:highlight w:val="none"/>
              </w:rPr>
              <w:t>2</w:t>
            </w:r>
            <w:r>
              <w:rPr>
                <w:rFonts w:hint="eastAsia" w:ascii="宋体" w:hAnsi="宋体" w:cs="宋体"/>
                <w:color w:val="000000" w:themeColor="text1"/>
                <w:kern w:val="0"/>
                <w:szCs w:val="21"/>
                <w:highlight w:val="none"/>
              </w:rPr>
              <w:t>分，不满足不得分。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ascii="宋体" w:hAnsi="宋体" w:cs="宋体"/>
                <w:color w:val="000000" w:themeColor="text1"/>
                <w:kern w:val="0"/>
                <w:szCs w:val="21"/>
                <w:highlight w:val="none"/>
              </w:rPr>
              <w:t>2</w:t>
            </w:r>
            <w:r>
              <w:rPr>
                <w:rFonts w:hint="eastAsia" w:ascii="宋体" w:hAnsi="宋体" w:cs="宋体"/>
                <w:color w:val="000000" w:themeColor="text1"/>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654" w:type="dxa"/>
            <w:vMerge w:val="continue"/>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p>
        </w:tc>
        <w:tc>
          <w:tcPr>
            <w:tcW w:w="6095" w:type="dxa"/>
            <w:shd w:val="clear" w:color="auto" w:fill="auto"/>
            <w:vAlign w:val="center"/>
          </w:tcPr>
          <w:p>
            <w:pPr>
              <w:spacing w:line="276" w:lineRule="auto"/>
              <w:ind w:firstLine="0" w:firstLineChars="0"/>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所投桌面云</w:t>
            </w:r>
            <w:r>
              <w:rPr>
                <w:rFonts w:hint="eastAsia" w:ascii="宋体" w:hAnsi="宋体" w:cs="宋体"/>
                <w:color w:val="000000" w:themeColor="text1"/>
                <w:kern w:val="0"/>
                <w:szCs w:val="21"/>
                <w:highlight w:val="none"/>
                <w:lang w:val="en-US" w:eastAsia="zh-CN"/>
              </w:rPr>
              <w:t>产品平台</w:t>
            </w:r>
            <w:r>
              <w:rPr>
                <w:rFonts w:hint="eastAsia" w:ascii="宋体" w:hAnsi="宋体" w:cs="宋体"/>
                <w:color w:val="000000" w:themeColor="text1"/>
                <w:kern w:val="0"/>
                <w:szCs w:val="21"/>
                <w:highlight w:val="none"/>
              </w:rPr>
              <w:t>软件支持在维护管理界面上进行定时任务管理，包括定时创建虚拟机、定时开机、定时关机、定时重启等，可以在无人值守情况下对系统进行管理，实现自动化运维，提供软件功能截图证明（加盖原厂投标专用章或公章），满足得</w:t>
            </w:r>
            <w:r>
              <w:rPr>
                <w:rFonts w:ascii="宋体" w:hAnsi="宋体" w:cs="宋体"/>
                <w:color w:val="000000" w:themeColor="text1"/>
                <w:kern w:val="0"/>
                <w:szCs w:val="21"/>
                <w:highlight w:val="none"/>
              </w:rPr>
              <w:t>2</w:t>
            </w:r>
            <w:r>
              <w:rPr>
                <w:rFonts w:hint="eastAsia" w:ascii="宋体" w:hAnsi="宋体" w:cs="宋体"/>
                <w:color w:val="000000" w:themeColor="text1"/>
                <w:kern w:val="0"/>
                <w:szCs w:val="21"/>
                <w:highlight w:val="none"/>
              </w:rPr>
              <w:t>分，不满足不得分。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ascii="宋体" w:hAnsi="宋体" w:cs="宋体"/>
                <w:color w:val="000000" w:themeColor="text1"/>
                <w:kern w:val="0"/>
                <w:szCs w:val="21"/>
                <w:highlight w:val="none"/>
              </w:rPr>
              <w:t>2</w:t>
            </w:r>
            <w:r>
              <w:rPr>
                <w:rFonts w:hint="eastAsia" w:ascii="宋体" w:hAnsi="宋体" w:cs="宋体"/>
                <w:color w:val="000000" w:themeColor="text1"/>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654" w:type="dxa"/>
            <w:vMerge w:val="continue"/>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p>
        </w:tc>
        <w:tc>
          <w:tcPr>
            <w:tcW w:w="6095" w:type="dxa"/>
            <w:shd w:val="clear" w:color="auto" w:fill="auto"/>
            <w:vAlign w:val="center"/>
          </w:tcPr>
          <w:p>
            <w:pPr>
              <w:spacing w:line="276" w:lineRule="auto"/>
              <w:ind w:firstLine="0" w:firstLineChars="0"/>
              <w:jc w:val="left"/>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为了方便快捷更新办公桌面环境，所投桌面云</w:t>
            </w:r>
            <w:r>
              <w:rPr>
                <w:rFonts w:hint="eastAsia" w:ascii="宋体" w:hAnsi="宋体" w:cs="宋体"/>
                <w:color w:val="000000" w:themeColor="text1"/>
                <w:kern w:val="0"/>
                <w:szCs w:val="21"/>
                <w:highlight w:val="none"/>
                <w:lang w:val="en-US" w:eastAsia="zh-CN"/>
              </w:rPr>
              <w:t>产品</w:t>
            </w:r>
            <w:r>
              <w:rPr>
                <w:rFonts w:hint="eastAsia" w:ascii="宋体" w:hAnsi="宋体" w:cs="宋体"/>
                <w:color w:val="000000" w:themeColor="text1"/>
                <w:kern w:val="0"/>
                <w:szCs w:val="21"/>
                <w:highlight w:val="none"/>
              </w:rPr>
              <w:t>平台软件支持批量修改CPU/内存规格，重启虚拟机生效；支持在线增删虚拟网卡、在线增加磁盘的功能；提供软件功能截图证明（加盖原厂投标专用章或公章），满足得2分，不满足不得分。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ascii="宋体" w:hAnsi="宋体" w:cs="宋体"/>
                <w:color w:val="000000" w:themeColor="text1"/>
                <w:kern w:val="0"/>
                <w:szCs w:val="21"/>
                <w:highlight w:val="none"/>
              </w:rPr>
              <w:t>2</w:t>
            </w:r>
            <w:r>
              <w:rPr>
                <w:rFonts w:hint="eastAsia" w:ascii="宋体" w:hAnsi="宋体" w:cs="宋体"/>
                <w:color w:val="000000" w:themeColor="text1"/>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654" w:type="dxa"/>
            <w:vMerge w:val="continue"/>
            <w:shd w:val="clear" w:color="auto" w:fill="auto"/>
            <w:vAlign w:val="center"/>
          </w:tcPr>
          <w:p>
            <w:pPr>
              <w:widowControl/>
              <w:spacing w:line="276" w:lineRule="auto"/>
              <w:ind w:firstLine="0" w:firstLineChars="0"/>
              <w:jc w:val="center"/>
              <w:rPr>
                <w:rFonts w:ascii="宋体" w:hAnsi="宋体" w:cs="宋体"/>
                <w:bCs/>
                <w:color w:val="000000" w:themeColor="text1"/>
                <w:kern w:val="0"/>
                <w:szCs w:val="21"/>
                <w:highlight w:val="none"/>
              </w:rPr>
            </w:pPr>
          </w:p>
        </w:tc>
        <w:tc>
          <w:tcPr>
            <w:tcW w:w="6095" w:type="dxa"/>
            <w:shd w:val="clear" w:color="auto" w:fill="auto"/>
            <w:vAlign w:val="center"/>
          </w:tcPr>
          <w:p>
            <w:pPr>
              <w:spacing w:line="276" w:lineRule="auto"/>
              <w:ind w:firstLine="0" w:firstLineChars="0"/>
              <w:jc w:val="left"/>
              <w:rPr>
                <w:rFonts w:ascii="宋体" w:hAnsi="宋体" w:cs="宋体"/>
                <w:bCs/>
                <w:color w:val="000000" w:themeColor="text1"/>
                <w:kern w:val="0"/>
                <w:szCs w:val="21"/>
                <w:highlight w:val="none"/>
              </w:rPr>
            </w:pPr>
            <w:r>
              <w:rPr>
                <w:rFonts w:hint="eastAsia" w:ascii="宋体" w:hAnsi="宋体" w:cs="宋体"/>
                <w:color w:val="000000" w:themeColor="text1"/>
                <w:kern w:val="0"/>
                <w:szCs w:val="21"/>
                <w:highlight w:val="none"/>
              </w:rPr>
              <w:t>为了方便多桌面办公，所投桌面云</w:t>
            </w:r>
            <w:r>
              <w:rPr>
                <w:rFonts w:hint="eastAsia" w:ascii="宋体" w:hAnsi="宋体" w:cs="宋体"/>
                <w:color w:val="000000" w:themeColor="text1"/>
                <w:kern w:val="0"/>
                <w:szCs w:val="21"/>
                <w:highlight w:val="none"/>
                <w:lang w:val="en-US" w:eastAsia="zh-CN"/>
              </w:rPr>
              <w:t>产品</w:t>
            </w:r>
            <w:r>
              <w:rPr>
                <w:rFonts w:hint="eastAsia" w:ascii="宋体" w:hAnsi="宋体" w:cs="宋体"/>
                <w:color w:val="000000" w:themeColor="text1"/>
                <w:kern w:val="0"/>
                <w:szCs w:val="21"/>
                <w:highlight w:val="none"/>
              </w:rPr>
              <w:t>平台软件支持用户使用单终端可以同时登录多个桌面，在不断开链接的情况下，可以实现多桌面屏幕的快速切换，提供软件功能截图证明（加盖原厂投标专用章或公章），满足得2分，不满足不得分。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ascii="宋体" w:hAnsi="宋体" w:cs="宋体"/>
                <w:color w:val="000000" w:themeColor="text1"/>
                <w:kern w:val="0"/>
                <w:szCs w:val="21"/>
                <w:highlight w:val="none"/>
              </w:rPr>
              <w:t>2</w:t>
            </w:r>
            <w:r>
              <w:rPr>
                <w:rFonts w:hint="eastAsia" w:ascii="宋体" w:hAnsi="宋体" w:cs="宋体"/>
                <w:color w:val="000000" w:themeColor="text1"/>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654" w:type="dxa"/>
            <w:vMerge w:val="continue"/>
            <w:shd w:val="clear" w:color="auto" w:fill="auto"/>
            <w:vAlign w:val="center"/>
          </w:tcPr>
          <w:p>
            <w:pPr>
              <w:widowControl/>
              <w:spacing w:line="276" w:lineRule="auto"/>
              <w:ind w:firstLine="0" w:firstLineChars="0"/>
              <w:jc w:val="center"/>
              <w:rPr>
                <w:rFonts w:ascii="宋体" w:hAnsi="宋体" w:cs="宋体"/>
                <w:bCs/>
                <w:color w:val="000000" w:themeColor="text1"/>
                <w:kern w:val="0"/>
                <w:szCs w:val="21"/>
                <w:highlight w:val="none"/>
              </w:rPr>
            </w:pPr>
          </w:p>
        </w:tc>
        <w:tc>
          <w:tcPr>
            <w:tcW w:w="6095" w:type="dxa"/>
            <w:shd w:val="clear" w:color="auto" w:fill="auto"/>
            <w:vAlign w:val="center"/>
          </w:tcPr>
          <w:p>
            <w:pPr>
              <w:spacing w:line="276" w:lineRule="auto"/>
              <w:ind w:firstLine="0" w:firstLineChars="0"/>
              <w:jc w:val="left"/>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为了便于故障维护，提供桌面云连接修复工具，如对网卡状态、桌面代理、IP地址、系统时钟、桌面服务状态、虚拟机注册状态等进行检查，有异常情况可一键修复，减少管理员维护工作量，提供软件功能截图证明（加盖原厂投标专用章或公章），满足得2分，不满足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654" w:type="dxa"/>
            <w:vMerge w:val="continue"/>
            <w:shd w:val="clear" w:color="auto" w:fill="auto"/>
            <w:vAlign w:val="center"/>
          </w:tcPr>
          <w:p>
            <w:pPr>
              <w:widowControl/>
              <w:spacing w:line="276" w:lineRule="auto"/>
              <w:ind w:firstLine="0" w:firstLineChars="0"/>
              <w:jc w:val="center"/>
              <w:rPr>
                <w:rFonts w:ascii="宋体" w:hAnsi="宋体" w:cs="宋体"/>
                <w:bCs/>
                <w:color w:val="000000" w:themeColor="text1"/>
                <w:kern w:val="0"/>
                <w:szCs w:val="21"/>
                <w:highlight w:val="none"/>
              </w:rPr>
            </w:pPr>
          </w:p>
        </w:tc>
        <w:tc>
          <w:tcPr>
            <w:tcW w:w="6095" w:type="dxa"/>
            <w:shd w:val="clear" w:color="auto" w:fill="auto"/>
            <w:vAlign w:val="center"/>
          </w:tcPr>
          <w:p>
            <w:pPr>
              <w:spacing w:line="276" w:lineRule="auto"/>
              <w:ind w:firstLine="0" w:firstLineChars="0"/>
              <w:jc w:val="left"/>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为了加强管理员和用户之间的交互，所投桌面云</w:t>
            </w:r>
            <w:r>
              <w:rPr>
                <w:rFonts w:hint="eastAsia" w:ascii="宋体" w:hAnsi="宋体" w:cs="宋体"/>
                <w:color w:val="000000" w:themeColor="text1"/>
                <w:kern w:val="0"/>
                <w:szCs w:val="21"/>
                <w:highlight w:val="none"/>
                <w:lang w:val="en-US" w:eastAsia="zh-CN"/>
              </w:rPr>
              <w:t>产品</w:t>
            </w:r>
            <w:r>
              <w:rPr>
                <w:rFonts w:hint="eastAsia" w:ascii="宋体" w:hAnsi="宋体" w:cs="宋体"/>
                <w:color w:val="000000" w:themeColor="text1"/>
                <w:kern w:val="0"/>
                <w:szCs w:val="21"/>
                <w:highlight w:val="none"/>
              </w:rPr>
              <w:t>平台软件提供管理员通过工具更换登录界面上的网页标签图标、系统LOGO图片、每日提醒图片、登录图片和背景图片，提供软件功能截图证明（加盖原厂投标专用章或公章），满足得2分，不满足不得分。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654" w:type="dxa"/>
            <w:vMerge w:val="continue"/>
            <w:shd w:val="clear" w:color="auto" w:fill="auto"/>
            <w:vAlign w:val="center"/>
          </w:tcPr>
          <w:p>
            <w:pPr>
              <w:widowControl/>
              <w:spacing w:line="276" w:lineRule="auto"/>
              <w:ind w:firstLine="0" w:firstLineChars="0"/>
              <w:jc w:val="center"/>
              <w:rPr>
                <w:rFonts w:ascii="宋体" w:hAnsi="宋体" w:cs="宋体"/>
                <w:bCs/>
                <w:color w:val="000000" w:themeColor="text1"/>
                <w:kern w:val="0"/>
                <w:szCs w:val="21"/>
                <w:highlight w:val="none"/>
              </w:rPr>
            </w:pPr>
          </w:p>
        </w:tc>
        <w:tc>
          <w:tcPr>
            <w:tcW w:w="6095" w:type="dxa"/>
            <w:shd w:val="clear" w:color="auto" w:fill="auto"/>
            <w:vAlign w:val="center"/>
          </w:tcPr>
          <w:p>
            <w:pPr>
              <w:spacing w:line="276" w:lineRule="auto"/>
              <w:ind w:firstLine="0" w:firstLineChars="0"/>
              <w:jc w:val="left"/>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所投桌面云</w:t>
            </w:r>
            <w:r>
              <w:rPr>
                <w:rFonts w:hint="eastAsia" w:ascii="宋体" w:hAnsi="宋体" w:cs="宋体"/>
                <w:color w:val="000000" w:themeColor="text1"/>
                <w:kern w:val="0"/>
                <w:szCs w:val="21"/>
                <w:highlight w:val="none"/>
                <w:lang w:val="en-US" w:eastAsia="zh-CN"/>
              </w:rPr>
              <w:t>产品</w:t>
            </w:r>
            <w:r>
              <w:rPr>
                <w:rFonts w:hint="eastAsia" w:ascii="宋体" w:hAnsi="宋体" w:cs="宋体"/>
                <w:color w:val="000000" w:themeColor="text1"/>
                <w:kern w:val="0"/>
                <w:szCs w:val="21"/>
                <w:highlight w:val="none"/>
              </w:rPr>
              <w:t>虚拟化软件开发企业必须是OpenStack基金会会员，软件开发企业积极支持开源项目，铂金会员得</w:t>
            </w:r>
            <w:r>
              <w:rPr>
                <w:rFonts w:ascii="宋体" w:hAnsi="宋体" w:cs="宋体"/>
                <w:color w:val="000000" w:themeColor="text1"/>
                <w:kern w:val="0"/>
                <w:szCs w:val="21"/>
                <w:highlight w:val="none"/>
              </w:rPr>
              <w:t>2</w:t>
            </w:r>
            <w:r>
              <w:rPr>
                <w:rFonts w:hint="eastAsia" w:ascii="宋体" w:hAnsi="宋体" w:cs="宋体"/>
                <w:color w:val="000000" w:themeColor="text1"/>
                <w:kern w:val="0"/>
                <w:szCs w:val="21"/>
                <w:highlight w:val="none"/>
              </w:rPr>
              <w:t>分，黄金会员得1分，不满足不得分（证明文件需加盖原厂投标专用章或公章）。</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ascii="宋体" w:hAnsi="宋体" w:cs="宋体"/>
                <w:color w:val="000000" w:themeColor="text1"/>
                <w:kern w:val="0"/>
                <w:szCs w:val="21"/>
                <w:highlight w:val="none"/>
              </w:rPr>
              <w:t>2</w:t>
            </w:r>
            <w:r>
              <w:rPr>
                <w:rFonts w:hint="eastAsia" w:ascii="宋体" w:hAnsi="宋体" w:cs="宋体"/>
                <w:color w:val="000000" w:themeColor="text1"/>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654" w:type="dxa"/>
            <w:shd w:val="clear" w:color="auto" w:fill="auto"/>
            <w:vAlign w:val="center"/>
          </w:tcPr>
          <w:p>
            <w:pPr>
              <w:widowControl/>
              <w:spacing w:line="276" w:lineRule="auto"/>
              <w:ind w:firstLine="0" w:firstLineChars="0"/>
              <w:jc w:val="center"/>
              <w:rPr>
                <w:rFonts w:ascii="宋体" w:hAnsi="宋体" w:cs="宋体"/>
                <w:bCs/>
                <w:color w:val="000000" w:themeColor="text1"/>
                <w:kern w:val="0"/>
                <w:szCs w:val="21"/>
                <w:highlight w:val="none"/>
              </w:rPr>
            </w:pPr>
            <w:r>
              <w:rPr>
                <w:rFonts w:hint="eastAsia" w:ascii="宋体" w:hAnsi="宋体" w:cs="宋体"/>
                <w:bCs/>
                <w:color w:val="000000" w:themeColor="text1"/>
                <w:kern w:val="0"/>
                <w:szCs w:val="21"/>
                <w:highlight w:val="none"/>
              </w:rPr>
              <w:t>可靠性</w:t>
            </w:r>
          </w:p>
          <w:p>
            <w:pPr>
              <w:widowControl/>
              <w:spacing w:line="276" w:lineRule="auto"/>
              <w:ind w:firstLine="0" w:firstLineChars="0"/>
              <w:jc w:val="center"/>
              <w:rPr>
                <w:rFonts w:ascii="宋体" w:hAnsi="宋体" w:cs="宋体"/>
                <w:bCs/>
                <w:color w:val="000000" w:themeColor="text1"/>
                <w:kern w:val="0"/>
                <w:szCs w:val="21"/>
                <w:highlight w:val="none"/>
              </w:rPr>
            </w:pPr>
            <w:r>
              <w:rPr>
                <w:rFonts w:hint="eastAsia" w:ascii="宋体" w:hAnsi="宋体" w:cs="宋体"/>
                <w:bCs/>
                <w:color w:val="000000" w:themeColor="text1"/>
                <w:kern w:val="0"/>
                <w:szCs w:val="21"/>
                <w:highlight w:val="none"/>
              </w:rPr>
              <w:t>（</w:t>
            </w:r>
            <w:r>
              <w:rPr>
                <w:rFonts w:ascii="宋体" w:hAnsi="宋体" w:cs="宋体"/>
                <w:bCs/>
                <w:color w:val="000000" w:themeColor="text1"/>
                <w:kern w:val="0"/>
                <w:szCs w:val="21"/>
                <w:highlight w:val="none"/>
              </w:rPr>
              <w:t>3</w:t>
            </w:r>
            <w:r>
              <w:rPr>
                <w:rFonts w:hint="eastAsia" w:ascii="宋体" w:hAnsi="宋体" w:cs="宋体"/>
                <w:bCs/>
                <w:color w:val="000000" w:themeColor="text1"/>
                <w:kern w:val="0"/>
                <w:szCs w:val="21"/>
                <w:highlight w:val="none"/>
              </w:rPr>
              <w:t>分）</w:t>
            </w:r>
          </w:p>
        </w:tc>
        <w:tc>
          <w:tcPr>
            <w:tcW w:w="6095" w:type="dxa"/>
            <w:shd w:val="clear" w:color="auto" w:fill="auto"/>
            <w:vAlign w:val="center"/>
          </w:tcPr>
          <w:p>
            <w:pPr>
              <w:spacing w:line="276" w:lineRule="auto"/>
              <w:ind w:firstLine="0" w:firstLineChars="0"/>
              <w:rPr>
                <w:rFonts w:ascii="宋体" w:hAnsi="宋体" w:cs="宋体"/>
                <w:bCs/>
                <w:color w:val="000000" w:themeColor="text1"/>
                <w:kern w:val="0"/>
                <w:szCs w:val="21"/>
                <w:highlight w:val="none"/>
              </w:rPr>
            </w:pPr>
            <w:r>
              <w:rPr>
                <w:rFonts w:hint="eastAsia" w:ascii="宋体" w:hAnsi="宋体" w:cs="宋体"/>
                <w:color w:val="000000" w:themeColor="text1"/>
                <w:kern w:val="0"/>
                <w:szCs w:val="21"/>
                <w:highlight w:val="none"/>
              </w:rPr>
              <w:t>所投桌面云</w:t>
            </w:r>
            <w:r>
              <w:rPr>
                <w:rFonts w:hint="eastAsia" w:ascii="宋体" w:hAnsi="宋体" w:cs="宋体"/>
                <w:color w:val="000000" w:themeColor="text1"/>
                <w:kern w:val="0"/>
                <w:szCs w:val="21"/>
                <w:highlight w:val="none"/>
                <w:lang w:val="en-US" w:eastAsia="zh-CN"/>
              </w:rPr>
              <w:t>产品配置</w:t>
            </w:r>
            <w:r>
              <w:rPr>
                <w:rFonts w:hint="eastAsia" w:ascii="宋体" w:hAnsi="宋体" w:cs="宋体"/>
                <w:bCs/>
                <w:color w:val="000000" w:themeColor="text1"/>
                <w:kern w:val="0"/>
                <w:szCs w:val="21"/>
                <w:highlight w:val="none"/>
              </w:rPr>
              <w:t>系统盘存储SSD固态硬盘具备高可靠性，可消除高能粒子辐射导致的数据丢失或不一致，提供高能物理实验室等机构出具的测试报告（加盖原厂投标专用章</w:t>
            </w:r>
            <w:r>
              <w:rPr>
                <w:rFonts w:hint="eastAsia" w:ascii="宋体" w:hAnsi="宋体" w:cs="宋体"/>
                <w:color w:val="000000" w:themeColor="text1"/>
                <w:kern w:val="0"/>
                <w:szCs w:val="21"/>
                <w:highlight w:val="none"/>
              </w:rPr>
              <w:t>或公章</w:t>
            </w:r>
            <w:r>
              <w:rPr>
                <w:rFonts w:hint="eastAsia" w:ascii="宋体" w:hAnsi="宋体" w:cs="宋体"/>
                <w:bCs/>
                <w:color w:val="000000" w:themeColor="text1"/>
                <w:kern w:val="0"/>
                <w:szCs w:val="21"/>
                <w:highlight w:val="none"/>
              </w:rPr>
              <w:t>），满足得</w:t>
            </w:r>
            <w:r>
              <w:rPr>
                <w:rFonts w:ascii="宋体" w:hAnsi="宋体" w:cs="宋体"/>
                <w:bCs/>
                <w:color w:val="000000" w:themeColor="text1"/>
                <w:kern w:val="0"/>
                <w:szCs w:val="21"/>
                <w:highlight w:val="none"/>
              </w:rPr>
              <w:t>3</w:t>
            </w:r>
            <w:r>
              <w:rPr>
                <w:rFonts w:hint="eastAsia" w:ascii="宋体" w:hAnsi="宋体" w:cs="宋体"/>
                <w:bCs/>
                <w:color w:val="000000" w:themeColor="text1"/>
                <w:kern w:val="0"/>
                <w:szCs w:val="21"/>
                <w:highlight w:val="none"/>
              </w:rPr>
              <w:t>分，不满足不得分。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ascii="宋体" w:hAnsi="宋体" w:cs="宋体"/>
                <w:color w:val="000000" w:themeColor="text1"/>
                <w:kern w:val="0"/>
                <w:szCs w:val="21"/>
                <w:highlight w:val="none"/>
              </w:rPr>
              <w:t>3</w:t>
            </w:r>
            <w:r>
              <w:rPr>
                <w:rFonts w:hint="eastAsia" w:ascii="宋体" w:hAnsi="宋体" w:cs="宋体"/>
                <w:color w:val="000000" w:themeColor="text1"/>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654" w:type="dxa"/>
            <w:vMerge w:val="restart"/>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ascii="宋体" w:hAnsi="宋体" w:cs="宋体"/>
                <w:color w:val="000000" w:themeColor="text1"/>
                <w:kern w:val="0"/>
                <w:szCs w:val="21"/>
                <w:highlight w:val="none"/>
              </w:rPr>
              <w:t>安全性</w:t>
            </w:r>
          </w:p>
          <w:p>
            <w:pPr>
              <w:widowControl/>
              <w:spacing w:line="276" w:lineRule="auto"/>
              <w:ind w:firstLine="0" w:firstLineChars="0"/>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w:t>
            </w:r>
            <w:r>
              <w:rPr>
                <w:rFonts w:ascii="宋体" w:hAnsi="宋体" w:cs="宋体"/>
                <w:color w:val="000000" w:themeColor="text1"/>
                <w:kern w:val="0"/>
                <w:szCs w:val="21"/>
                <w:highlight w:val="none"/>
              </w:rPr>
              <w:t>5</w:t>
            </w:r>
            <w:r>
              <w:rPr>
                <w:rFonts w:hint="eastAsia" w:ascii="宋体" w:hAnsi="宋体" w:cs="宋体"/>
                <w:color w:val="000000" w:themeColor="text1"/>
                <w:kern w:val="0"/>
                <w:szCs w:val="21"/>
                <w:highlight w:val="none"/>
              </w:rPr>
              <w:t>分）</w:t>
            </w:r>
          </w:p>
        </w:tc>
        <w:tc>
          <w:tcPr>
            <w:tcW w:w="6095" w:type="dxa"/>
            <w:shd w:val="clear" w:color="auto" w:fill="auto"/>
            <w:vAlign w:val="center"/>
          </w:tcPr>
          <w:p>
            <w:pPr>
              <w:spacing w:line="276" w:lineRule="auto"/>
              <w:ind w:firstLine="0" w:firstLineChars="0"/>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所投桌面云</w:t>
            </w:r>
            <w:r>
              <w:rPr>
                <w:rFonts w:hint="eastAsia" w:ascii="宋体" w:hAnsi="宋体" w:cs="宋体"/>
                <w:color w:val="000000" w:themeColor="text1"/>
                <w:kern w:val="0"/>
                <w:szCs w:val="21"/>
                <w:highlight w:val="none"/>
                <w:lang w:val="en-US" w:eastAsia="zh-CN"/>
              </w:rPr>
              <w:t>产品配</w:t>
            </w:r>
            <w:r>
              <w:rPr>
                <w:rFonts w:hint="eastAsia" w:ascii="宋体" w:hAnsi="宋体" w:cs="宋体"/>
                <w:color w:val="000000" w:themeColor="text1"/>
                <w:kern w:val="0"/>
                <w:szCs w:val="21"/>
                <w:highlight w:val="none"/>
              </w:rPr>
              <w:t xml:space="preserve">存储须采用基于块虚拟化的 RAID 技术，而非传统的基于硬盘级别的 RAID 技术，提供存储模块生产厂家官网可查询的技术说明文档截图和链接证明（加盖原厂投标专用章鲜章），满足得 </w:t>
            </w:r>
            <w:r>
              <w:rPr>
                <w:rFonts w:ascii="宋体" w:hAnsi="宋体" w:cs="宋体"/>
                <w:color w:val="000000" w:themeColor="text1"/>
                <w:kern w:val="0"/>
                <w:szCs w:val="21"/>
                <w:highlight w:val="none"/>
              </w:rPr>
              <w:t>2</w:t>
            </w:r>
            <w:r>
              <w:rPr>
                <w:rFonts w:hint="eastAsia" w:ascii="宋体" w:hAnsi="宋体" w:cs="宋体"/>
                <w:color w:val="000000" w:themeColor="text1"/>
                <w:kern w:val="0"/>
                <w:szCs w:val="21"/>
                <w:highlight w:val="none"/>
              </w:rPr>
              <w:t>分，不满足不得分。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ascii="宋体" w:hAnsi="宋体" w:cs="宋体"/>
                <w:bCs/>
                <w:color w:val="000000" w:themeColor="text1"/>
                <w:kern w:val="0"/>
                <w:szCs w:val="21"/>
                <w:highlight w:val="none"/>
              </w:rPr>
              <w:t>2</w:t>
            </w:r>
            <w:r>
              <w:rPr>
                <w:rFonts w:hint="eastAsia" w:ascii="宋体" w:hAnsi="宋体" w:cs="宋体"/>
                <w:bCs/>
                <w:color w:val="000000" w:themeColor="text1"/>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654" w:type="dxa"/>
            <w:vMerge w:val="continue"/>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p>
        </w:tc>
        <w:tc>
          <w:tcPr>
            <w:tcW w:w="6095" w:type="dxa"/>
            <w:shd w:val="clear" w:color="auto" w:fill="auto"/>
            <w:vAlign w:val="center"/>
          </w:tcPr>
          <w:p>
            <w:pPr>
              <w:spacing w:line="276" w:lineRule="auto"/>
              <w:ind w:firstLine="0" w:firstLineChars="0"/>
              <w:rPr>
                <w:rFonts w:hint="eastAsia"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所投超融合服务器配置国产服务器管理芯片，提供芯片截图和厂家的资质证明，满足得</w:t>
            </w:r>
            <w:r>
              <w:rPr>
                <w:rFonts w:ascii="宋体" w:hAnsi="宋体" w:cs="宋体"/>
                <w:color w:val="000000" w:themeColor="text1"/>
                <w:kern w:val="0"/>
                <w:szCs w:val="21"/>
                <w:highlight w:val="none"/>
              </w:rPr>
              <w:t>3</w:t>
            </w:r>
            <w:r>
              <w:rPr>
                <w:rFonts w:hint="eastAsia" w:ascii="宋体" w:hAnsi="宋体" w:cs="宋体"/>
                <w:color w:val="000000" w:themeColor="text1"/>
                <w:kern w:val="0"/>
                <w:szCs w:val="21"/>
                <w:highlight w:val="none"/>
              </w:rPr>
              <w:t>分，不满足不得分。</w:t>
            </w:r>
          </w:p>
        </w:tc>
        <w:tc>
          <w:tcPr>
            <w:tcW w:w="1035" w:type="dxa"/>
            <w:shd w:val="clear" w:color="auto" w:fill="auto"/>
            <w:vAlign w:val="center"/>
          </w:tcPr>
          <w:p>
            <w:pPr>
              <w:widowControl/>
              <w:spacing w:line="276" w:lineRule="auto"/>
              <w:ind w:firstLine="0" w:firstLineChars="0"/>
              <w:jc w:val="center"/>
              <w:rPr>
                <w:rFonts w:ascii="宋体" w:hAnsi="宋体" w:cs="宋体"/>
                <w:bCs/>
                <w:color w:val="000000" w:themeColor="text1"/>
                <w:kern w:val="0"/>
                <w:szCs w:val="21"/>
                <w:highlight w:val="none"/>
              </w:rPr>
            </w:pPr>
            <w:r>
              <w:rPr>
                <w:rFonts w:ascii="宋体" w:hAnsi="宋体" w:cs="宋体"/>
                <w:bCs/>
                <w:color w:val="000000" w:themeColor="text1"/>
                <w:kern w:val="0"/>
                <w:szCs w:val="21"/>
                <w:highlight w:val="none"/>
              </w:rPr>
              <w:t>3</w:t>
            </w:r>
            <w:r>
              <w:rPr>
                <w:rFonts w:hint="eastAsia" w:ascii="宋体" w:hAnsi="宋体" w:cs="宋体"/>
                <w:bCs/>
                <w:color w:val="000000" w:themeColor="text1"/>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784" w:type="dxa"/>
            <w:gridSpan w:val="3"/>
            <w:shd w:val="clear" w:color="auto" w:fill="auto"/>
            <w:vAlign w:val="center"/>
          </w:tcPr>
          <w:p>
            <w:pPr>
              <w:widowControl/>
              <w:spacing w:line="276" w:lineRule="auto"/>
              <w:ind w:firstLine="0" w:firstLineChars="0"/>
              <w:jc w:val="left"/>
              <w:rPr>
                <w:rFonts w:ascii="宋体" w:hAnsi="宋体" w:cs="宋体"/>
                <w:color w:val="000000" w:themeColor="text1"/>
                <w:kern w:val="0"/>
                <w:szCs w:val="21"/>
                <w:highlight w:val="none"/>
              </w:rPr>
            </w:pPr>
            <w:r>
              <w:rPr>
                <w:rFonts w:hint="eastAsia" w:ascii="宋体" w:hAnsi="宋体" w:cs="宋体"/>
                <w:b/>
                <w:bCs/>
                <w:color w:val="000000" w:themeColor="text1"/>
                <w:kern w:val="0"/>
                <w:szCs w:val="21"/>
                <w:highlight w:val="none"/>
              </w:rPr>
              <w:t>四、售后服务（</w:t>
            </w:r>
            <w:r>
              <w:rPr>
                <w:rFonts w:ascii="宋体" w:hAnsi="宋体" w:cs="宋体"/>
                <w:b/>
                <w:bCs/>
                <w:color w:val="000000" w:themeColor="text1"/>
                <w:kern w:val="0"/>
                <w:szCs w:val="21"/>
                <w:highlight w:val="none"/>
              </w:rPr>
              <w:t>5</w:t>
            </w:r>
            <w:r>
              <w:rPr>
                <w:rFonts w:hint="eastAsia" w:ascii="宋体" w:hAnsi="宋体" w:cs="宋体"/>
                <w:b/>
                <w:bCs/>
                <w:color w:val="000000" w:themeColor="text1"/>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54" w:type="dxa"/>
            <w:shd w:val="clear" w:color="auto" w:fill="auto"/>
            <w:vAlign w:val="center"/>
          </w:tcPr>
          <w:p>
            <w:pPr>
              <w:widowControl/>
              <w:spacing w:line="276" w:lineRule="auto"/>
              <w:ind w:firstLine="0" w:firstLineChars="0"/>
              <w:jc w:val="center"/>
              <w:rPr>
                <w:rFonts w:ascii="宋体" w:hAnsi="宋体" w:cs="宋体"/>
                <w:szCs w:val="21"/>
                <w:highlight w:val="none"/>
              </w:rPr>
            </w:pPr>
            <w:r>
              <w:rPr>
                <w:rFonts w:hint="eastAsia" w:ascii="宋体" w:hAnsi="宋体" w:cs="宋体"/>
                <w:szCs w:val="21"/>
                <w:highlight w:val="none"/>
              </w:rPr>
              <w:t>售后</w:t>
            </w:r>
            <w:r>
              <w:rPr>
                <w:rFonts w:ascii="宋体" w:hAnsi="宋体" w:cs="宋体"/>
                <w:szCs w:val="21"/>
                <w:highlight w:val="none"/>
              </w:rPr>
              <w:t>服务方案</w:t>
            </w:r>
          </w:p>
        </w:tc>
        <w:tc>
          <w:tcPr>
            <w:tcW w:w="6095" w:type="dxa"/>
            <w:shd w:val="clear" w:color="auto" w:fill="auto"/>
            <w:vAlign w:val="center"/>
          </w:tcPr>
          <w:p>
            <w:pPr>
              <w:widowControl/>
              <w:spacing w:line="276" w:lineRule="auto"/>
              <w:ind w:firstLine="0" w:firstLineChars="0"/>
              <w:rPr>
                <w:rFonts w:ascii="宋体" w:hAnsi="宋体" w:cs="宋体"/>
                <w:color w:val="000000" w:themeColor="text1"/>
                <w:kern w:val="0"/>
                <w:szCs w:val="21"/>
                <w:highlight w:val="none"/>
              </w:rPr>
            </w:pPr>
            <w:r>
              <w:rPr>
                <w:rFonts w:hint="eastAsia" w:ascii="宋体" w:hAnsi="宋体" w:cs="宋体"/>
                <w:bCs/>
                <w:color w:val="000000" w:themeColor="text1"/>
                <w:kern w:val="0"/>
                <w:szCs w:val="21"/>
                <w:highlight w:val="none"/>
              </w:rPr>
              <w:t>投标人应提供针对本项目的完善的售后服务方案，从服务内容、服务方式、服务团队、响应时间、售后服务机构、提供本地化服务措施、应急保障措施等方面，横向比较给分，优得</w:t>
            </w:r>
            <w:r>
              <w:rPr>
                <w:rFonts w:ascii="宋体" w:hAnsi="宋体" w:cs="宋体"/>
                <w:bCs/>
                <w:color w:val="000000" w:themeColor="text1"/>
                <w:kern w:val="0"/>
                <w:szCs w:val="21"/>
                <w:highlight w:val="none"/>
              </w:rPr>
              <w:t>3-5</w:t>
            </w:r>
            <w:r>
              <w:rPr>
                <w:rFonts w:hint="eastAsia" w:ascii="宋体" w:hAnsi="宋体" w:cs="宋体"/>
                <w:bCs/>
                <w:color w:val="000000" w:themeColor="text1"/>
                <w:kern w:val="0"/>
                <w:szCs w:val="21"/>
                <w:highlight w:val="none"/>
              </w:rPr>
              <w:t>分，良得</w:t>
            </w:r>
            <w:r>
              <w:rPr>
                <w:rFonts w:ascii="宋体" w:hAnsi="宋体" w:cs="宋体"/>
                <w:bCs/>
                <w:color w:val="000000" w:themeColor="text1"/>
                <w:kern w:val="0"/>
                <w:szCs w:val="21"/>
                <w:highlight w:val="none"/>
              </w:rPr>
              <w:t>2-3</w:t>
            </w:r>
            <w:r>
              <w:rPr>
                <w:rFonts w:hint="eastAsia" w:ascii="宋体" w:hAnsi="宋体" w:cs="宋体"/>
                <w:bCs/>
                <w:color w:val="000000" w:themeColor="text1"/>
                <w:kern w:val="0"/>
                <w:szCs w:val="21"/>
                <w:highlight w:val="none"/>
              </w:rPr>
              <w:t>分，一般得1</w:t>
            </w:r>
            <w:r>
              <w:rPr>
                <w:rFonts w:ascii="宋体" w:hAnsi="宋体" w:cs="宋体"/>
                <w:bCs/>
                <w:color w:val="000000" w:themeColor="text1"/>
                <w:kern w:val="0"/>
                <w:szCs w:val="21"/>
                <w:highlight w:val="none"/>
              </w:rPr>
              <w:t>-2</w:t>
            </w:r>
            <w:r>
              <w:rPr>
                <w:rFonts w:hint="eastAsia" w:ascii="宋体" w:hAnsi="宋体" w:cs="宋体"/>
                <w:bCs/>
                <w:color w:val="000000" w:themeColor="text1"/>
                <w:kern w:val="0"/>
                <w:szCs w:val="21"/>
                <w:highlight w:val="none"/>
              </w:rPr>
              <w:t>分，较差不得分。</w:t>
            </w:r>
          </w:p>
        </w:tc>
        <w:tc>
          <w:tcPr>
            <w:tcW w:w="1035" w:type="dxa"/>
            <w:shd w:val="clear" w:color="auto" w:fill="auto"/>
            <w:vAlign w:val="center"/>
          </w:tcPr>
          <w:p>
            <w:pPr>
              <w:widowControl/>
              <w:spacing w:line="276" w:lineRule="auto"/>
              <w:ind w:firstLine="0" w:firstLineChars="0"/>
              <w:jc w:val="center"/>
              <w:rPr>
                <w:rFonts w:ascii="宋体" w:hAnsi="宋体" w:cs="宋体"/>
                <w:color w:val="000000" w:themeColor="text1"/>
                <w:kern w:val="0"/>
                <w:szCs w:val="21"/>
                <w:highlight w:val="none"/>
              </w:rPr>
            </w:pPr>
            <w:r>
              <w:rPr>
                <w:rFonts w:ascii="宋体" w:hAnsi="宋体" w:cs="宋体"/>
                <w:color w:val="000000" w:themeColor="text1"/>
                <w:kern w:val="0"/>
                <w:szCs w:val="21"/>
                <w:highlight w:val="none"/>
              </w:rPr>
              <w:t>5</w:t>
            </w:r>
            <w:r>
              <w:rPr>
                <w:rFonts w:hint="eastAsia" w:ascii="宋体" w:hAnsi="宋体" w:cs="宋体"/>
                <w:color w:val="000000" w:themeColor="text1"/>
                <w:kern w:val="0"/>
                <w:szCs w:val="21"/>
                <w:highlight w:val="none"/>
              </w:rPr>
              <w:t>分</w:t>
            </w:r>
          </w:p>
        </w:tc>
      </w:tr>
    </w:tbl>
    <w:p>
      <w:pPr>
        <w:pStyle w:val="4"/>
        <w:bidi w:val="0"/>
        <w:rPr>
          <w:rFonts w:hint="eastAsia" w:ascii="仿宋" w:hAnsi="仿宋" w:eastAsia="仿宋" w:cs="仿宋"/>
          <w:color w:val="auto"/>
          <w:highlight w:val="none"/>
        </w:rPr>
      </w:pPr>
      <w:bookmarkStart w:id="24" w:name="_Toc17342"/>
      <w:r>
        <w:rPr>
          <w:rFonts w:hint="eastAsia" w:ascii="仿宋" w:hAnsi="仿宋" w:eastAsia="仿宋" w:cs="仿宋"/>
          <w:color w:val="auto"/>
          <w:highlight w:val="none"/>
        </w:rPr>
        <w:t>二、评标程序</w:t>
      </w:r>
      <w:bookmarkEnd w:id="24"/>
    </w:p>
    <w:p>
      <w:pPr>
        <w:pStyle w:val="31"/>
        <w:widowControl w:val="0"/>
        <w:numPr>
          <w:ilvl w:val="0"/>
          <w:numId w:val="2"/>
        </w:numPr>
        <w:adjustRightInd w:val="0"/>
        <w:snapToGrid w:val="0"/>
        <w:spacing w:beforeLines="50" w:line="360" w:lineRule="auto"/>
        <w:jc w:val="left"/>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投标文件初</w:t>
      </w:r>
      <w:r>
        <w:rPr>
          <w:rFonts w:hint="eastAsia" w:ascii="仿宋" w:hAnsi="仿宋" w:eastAsia="仿宋" w:cs="仿宋"/>
          <w:b/>
          <w:color w:val="auto"/>
          <w:sz w:val="24"/>
          <w:szCs w:val="24"/>
          <w:highlight w:val="none"/>
        </w:rPr>
        <w:t>审</w:t>
      </w:r>
    </w:p>
    <w:p>
      <w:pPr>
        <w:numPr>
          <w:ilvl w:val="1"/>
          <w:numId w:val="2"/>
        </w:numPr>
        <w:adjustRightInd w:val="0"/>
        <w:snapToGrid w:val="0"/>
        <w:spacing w:line="400" w:lineRule="exact"/>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初步</w:t>
      </w:r>
      <w:r>
        <w:rPr>
          <w:rFonts w:hint="eastAsia" w:ascii="仿宋" w:hAnsi="仿宋" w:eastAsia="仿宋" w:cs="仿宋"/>
          <w:color w:val="auto"/>
          <w:sz w:val="24"/>
          <w:szCs w:val="24"/>
          <w:highlight w:val="none"/>
        </w:rPr>
        <w:t>评审分为资格性检查和符合性检查。</w:t>
      </w:r>
    </w:p>
    <w:p>
      <w:pPr>
        <w:adjustRightInd w:val="0"/>
        <w:snapToGrid w:val="0"/>
        <w:spacing w:line="400" w:lineRule="exact"/>
        <w:ind w:left="900" w:leftChars="200" w:right="-109" w:rightChars="-52" w:hanging="480" w:hanging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资格性检查。根据法律法规和招标文件的规定，对投标文件中的资格证明、投标保证金等进行审查，以确定投标人是否具备投标资格。</w:t>
      </w:r>
    </w:p>
    <w:p>
      <w:pPr>
        <w:adjustRightInd w:val="0"/>
        <w:snapToGrid w:val="0"/>
        <w:spacing w:line="400" w:lineRule="exact"/>
        <w:ind w:left="900" w:leftChars="200" w:hanging="480" w:hanging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符合性检查。依据招标文件的规定，从投标文件的有效性、完整性和对招标文件的响应程度进行审查，以确定是否对招标文件的实质性要求作出响应。评标委员会决定投标文件的响应性只根据投标文件本身的内容，而不寻求外部的证据。</w:t>
      </w:r>
    </w:p>
    <w:p>
      <w:pPr>
        <w:adjustRightInd w:val="0"/>
        <w:snapToGrid w:val="0"/>
        <w:spacing w:line="400" w:lineRule="exact"/>
        <w:ind w:right="-109" w:rightChars="-52"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（3）投标人不得通过修正或撤销不合要求的偏离从而使其投标成为实质上响应的投标。</w:t>
      </w:r>
    </w:p>
    <w:p>
      <w:pPr>
        <w:pStyle w:val="31"/>
        <w:widowControl w:val="0"/>
        <w:numPr>
          <w:ilvl w:val="0"/>
          <w:numId w:val="2"/>
        </w:numPr>
        <w:adjustRightInd w:val="0"/>
        <w:snapToGrid w:val="0"/>
        <w:spacing w:beforeLines="50" w:line="400" w:lineRule="exact"/>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中标供应商数量</w:t>
      </w:r>
    </w:p>
    <w:p>
      <w:pPr>
        <w:numPr>
          <w:ilvl w:val="1"/>
          <w:numId w:val="2"/>
        </w:numPr>
        <w:adjustRightInd w:val="0"/>
        <w:snapToGrid w:val="0"/>
        <w:spacing w:line="400" w:lineRule="exact"/>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推荐拟中标供应商数量1名。</w:t>
      </w:r>
    </w:p>
    <w:p>
      <w:pPr>
        <w:pStyle w:val="31"/>
        <w:widowControl w:val="0"/>
        <w:numPr>
          <w:ilvl w:val="0"/>
          <w:numId w:val="2"/>
        </w:numPr>
        <w:adjustRightInd w:val="0"/>
        <w:snapToGrid w:val="0"/>
        <w:spacing w:beforeLines="50" w:line="400" w:lineRule="exact"/>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推荐中标候选人名单</w:t>
      </w:r>
    </w:p>
    <w:p>
      <w:pPr>
        <w:autoSpaceDE w:val="0"/>
        <w:autoSpaceDN w:val="0"/>
        <w:adjustRightInd w:val="0"/>
        <w:snapToGrid w:val="0"/>
        <w:spacing w:line="5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  按评审后得分由高到低顺序排列推荐拟中标供应商。得分相同的，按投标报价由低到高顺</w:t>
      </w:r>
    </w:p>
    <w:p>
      <w:pPr>
        <w:autoSpaceDE w:val="0"/>
        <w:autoSpaceDN w:val="0"/>
        <w:adjustRightInd w:val="0"/>
        <w:snapToGrid w:val="0"/>
        <w:spacing w:line="5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序排列。得分且投标报价相同的，按技术指标优劣顺序排列。</w:t>
      </w:r>
    </w:p>
    <w:p>
      <w:pPr>
        <w:autoSpaceDE w:val="0"/>
        <w:autoSpaceDN w:val="0"/>
        <w:adjustRightInd w:val="0"/>
        <w:snapToGrid w:val="0"/>
        <w:spacing w:line="5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  本项目为非单一产品采购，根据采购项目技术构成、产品价格比重等。多家投标人提供的</w:t>
      </w:r>
    </w:p>
    <w:p>
      <w:pPr>
        <w:autoSpaceDE w:val="0"/>
        <w:autoSpaceDN w:val="0"/>
        <w:adjustRightInd w:val="0"/>
        <w:snapToGrid w:val="0"/>
        <w:spacing w:line="5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核心产品品牌相同时，依照财政部令第87 号第31 条之规定确定投标人获得中标人推荐资格。</w:t>
      </w:r>
    </w:p>
    <w:p>
      <w:pPr>
        <w:pStyle w:val="31"/>
        <w:widowControl w:val="0"/>
        <w:numPr>
          <w:ilvl w:val="0"/>
          <w:numId w:val="2"/>
        </w:numPr>
        <w:adjustRightInd w:val="0"/>
        <w:snapToGrid w:val="0"/>
        <w:spacing w:beforeLines="50" w:line="400" w:lineRule="exact"/>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编写评标报告</w:t>
      </w:r>
    </w:p>
    <w:p>
      <w:pPr>
        <w:numPr>
          <w:ilvl w:val="1"/>
          <w:numId w:val="2"/>
        </w:numPr>
        <w:adjustRightInd w:val="0"/>
        <w:snapToGrid w:val="0"/>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评标报告是评标委员会根据全体评标成员签字的原始评标记录和评标结果编写的报告，评标报告应当包括以下内容：</w:t>
      </w:r>
    </w:p>
    <w:p>
      <w:pPr>
        <w:pStyle w:val="177"/>
        <w:adjustRightInd w:val="0"/>
        <w:snapToGrid w:val="0"/>
        <w:spacing w:before="120" w:beforeAutospacing="0" w:after="120" w:afterAutospacing="0" w:line="400" w:lineRule="exact"/>
        <w:ind w:left="425" w:firstLine="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（1）招标公告刊登的媒体名称、开标日期和地点；</w:t>
      </w:r>
    </w:p>
    <w:p>
      <w:pPr>
        <w:pStyle w:val="177"/>
        <w:adjustRightInd w:val="0"/>
        <w:snapToGrid w:val="0"/>
        <w:spacing w:before="120" w:beforeAutospacing="0" w:after="120" w:afterAutospacing="0" w:line="400" w:lineRule="exact"/>
        <w:ind w:left="425" w:firstLine="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（2）投标人名单和评标委员会成员名单；</w:t>
      </w:r>
    </w:p>
    <w:p>
      <w:pPr>
        <w:pStyle w:val="177"/>
        <w:adjustRightInd w:val="0"/>
        <w:snapToGrid w:val="0"/>
        <w:spacing w:before="120" w:beforeAutospacing="0" w:after="120" w:afterAutospacing="0" w:line="400" w:lineRule="exact"/>
        <w:ind w:left="425" w:firstLine="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（3）评标方法和标准；</w:t>
      </w:r>
    </w:p>
    <w:p>
      <w:pPr>
        <w:pStyle w:val="177"/>
        <w:adjustRightInd w:val="0"/>
        <w:snapToGrid w:val="0"/>
        <w:spacing w:before="120" w:beforeAutospacing="0" w:after="120" w:afterAutospacing="0" w:line="400" w:lineRule="exact"/>
        <w:ind w:left="425" w:firstLine="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（4）开标记录和评标情况及说明，包括投标无效投标人名单及原因；</w:t>
      </w:r>
    </w:p>
    <w:p>
      <w:pPr>
        <w:pStyle w:val="177"/>
        <w:adjustRightInd w:val="0"/>
        <w:snapToGrid w:val="0"/>
        <w:spacing w:before="120" w:beforeAutospacing="0" w:after="120" w:afterAutospacing="0" w:line="400" w:lineRule="exact"/>
        <w:ind w:left="425" w:firstLine="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（5）评标结果，确定的中标候选人名单或者经采购人委托直接确定的中标人；</w:t>
      </w:r>
    </w:p>
    <w:p>
      <w:pPr>
        <w:pStyle w:val="177"/>
        <w:adjustRightInd w:val="0"/>
        <w:snapToGrid w:val="0"/>
        <w:spacing w:before="120" w:beforeAutospacing="0" w:after="120" w:afterAutospacing="0" w:line="500" w:lineRule="exact"/>
        <w:ind w:left="425" w:firstLine="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（6）其他需要说明的情况，包括评标过程中投标人根据评标委员会要求进行的澄清、说明或者补正，评标委员会成员的更换等。</w:t>
      </w:r>
    </w:p>
    <w:p>
      <w:pPr>
        <w:adjustRightInd w:val="0"/>
        <w:snapToGrid w:val="0"/>
        <w:spacing w:line="400" w:lineRule="exact"/>
        <w:rPr>
          <w:rFonts w:hint="eastAsia" w:ascii="仿宋" w:hAnsi="仿宋" w:eastAsia="仿宋" w:cs="仿宋"/>
          <w:color w:val="auto"/>
          <w:highlight w:val="none"/>
        </w:rPr>
      </w:pPr>
    </w:p>
    <w:p>
      <w:pPr>
        <w:adjustRightInd w:val="0"/>
        <w:snapToGrid w:val="0"/>
        <w:spacing w:line="400" w:lineRule="exact"/>
        <w:rPr>
          <w:rFonts w:hint="eastAsia" w:ascii="仿宋" w:hAnsi="仿宋" w:eastAsia="仿宋" w:cs="仿宋"/>
          <w:color w:val="auto"/>
          <w:highlight w:val="none"/>
        </w:rPr>
      </w:pPr>
    </w:p>
    <w:p>
      <w:pPr>
        <w:adjustRightInd w:val="0"/>
        <w:snapToGrid w:val="0"/>
        <w:spacing w:line="400" w:lineRule="exact"/>
        <w:rPr>
          <w:rFonts w:hint="eastAsia" w:ascii="仿宋" w:hAnsi="仿宋" w:eastAsia="仿宋" w:cs="仿宋"/>
          <w:color w:val="auto"/>
          <w:highlight w:val="none"/>
        </w:rPr>
      </w:pPr>
    </w:p>
    <w:p>
      <w:pPr>
        <w:pStyle w:val="3"/>
        <w:bidi w:val="0"/>
        <w:rPr>
          <w:rFonts w:hint="eastAsia" w:ascii="仿宋" w:hAnsi="仿宋" w:eastAsia="仿宋" w:cs="仿宋"/>
          <w:color w:val="auto"/>
          <w:highlight w:val="none"/>
        </w:rPr>
      </w:pPr>
      <w:bookmarkStart w:id="25" w:name="_Toc16734"/>
    </w:p>
    <w:p>
      <w:pPr>
        <w:rPr>
          <w:rFonts w:hint="eastAsia"/>
          <w:color w:val="auto"/>
          <w:highlight w:val="none"/>
        </w:rPr>
      </w:pPr>
    </w:p>
    <w:p>
      <w:pPr>
        <w:pStyle w:val="3"/>
        <w:bidi w:val="0"/>
        <w:jc w:val="both"/>
        <w:rPr>
          <w:rFonts w:hint="eastAsia" w:ascii="仿宋" w:hAnsi="仿宋" w:eastAsia="仿宋" w:cs="仿宋"/>
          <w:color w:val="auto"/>
          <w:highlight w:val="none"/>
        </w:rPr>
      </w:pPr>
    </w:p>
    <w:p>
      <w:pPr>
        <w:rPr>
          <w:rFonts w:hint="eastAsia"/>
          <w:color w:val="auto"/>
          <w:highlight w:val="none"/>
        </w:rPr>
      </w:pPr>
    </w:p>
    <w:p>
      <w:pPr>
        <w:pStyle w:val="3"/>
        <w:bidi w:val="0"/>
        <w:ind w:firstLine="2711" w:firstLineChars="900"/>
        <w:jc w:val="both"/>
        <w:rPr>
          <w:rFonts w:hint="eastAsia" w:ascii="仿宋" w:hAnsi="仿宋" w:eastAsia="仿宋" w:cs="仿宋"/>
          <w:color w:val="auto"/>
          <w:highlight w:val="none"/>
        </w:rPr>
      </w:pPr>
      <w:r>
        <w:rPr>
          <w:rFonts w:hint="eastAsia" w:ascii="仿宋" w:hAnsi="仿宋" w:eastAsia="仿宋" w:cs="仿宋"/>
          <w:color w:val="auto"/>
          <w:highlight w:val="none"/>
        </w:rPr>
        <w:t>第三章  项目说明  采购内容</w:t>
      </w:r>
      <w:bookmarkEnd w:id="25"/>
    </w:p>
    <w:p>
      <w:pPr>
        <w:pStyle w:val="4"/>
        <w:bidi w:val="0"/>
        <w:rPr>
          <w:rFonts w:hint="eastAsia" w:ascii="仿宋" w:hAnsi="仿宋" w:eastAsia="仿宋" w:cs="仿宋"/>
          <w:color w:val="auto"/>
          <w:highlight w:val="none"/>
        </w:rPr>
      </w:pPr>
      <w:bookmarkStart w:id="26" w:name="_Toc22063"/>
      <w:bookmarkStart w:id="27" w:name="_Toc2359"/>
      <w:bookmarkStart w:id="28" w:name="_Toc498369426"/>
      <w:bookmarkStart w:id="29" w:name="_Toc292953639"/>
      <w:r>
        <w:rPr>
          <w:rFonts w:hint="eastAsia" w:ascii="仿宋" w:hAnsi="仿宋" w:eastAsia="仿宋" w:cs="仿宋"/>
          <w:color w:val="auto"/>
          <w:highlight w:val="none"/>
        </w:rPr>
        <w:t>一、招标内容</w:t>
      </w:r>
      <w:bookmarkEnd w:id="26"/>
      <w:bookmarkEnd w:id="27"/>
      <w:bookmarkEnd w:id="28"/>
    </w:p>
    <w:p>
      <w:pPr>
        <w:tabs>
          <w:tab w:val="left" w:pos="773"/>
        </w:tabs>
        <w:bidi w:val="0"/>
        <w:ind w:firstLine="280" w:firstLineChars="100"/>
        <w:jc w:val="left"/>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“桌面云”系统</w:t>
      </w:r>
    </w:p>
    <w:tbl>
      <w:tblPr>
        <w:tblStyle w:val="69"/>
        <w:tblW w:w="6903" w:type="dxa"/>
        <w:jc w:val="center"/>
        <w:tblInd w:w="-3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3619"/>
        <w:gridCol w:w="884"/>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464" w:type="dxa"/>
            <w:vAlign w:val="center"/>
          </w:tcPr>
          <w:p>
            <w:pPr>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序号</w:t>
            </w:r>
          </w:p>
        </w:tc>
        <w:tc>
          <w:tcPr>
            <w:tcW w:w="3619" w:type="dxa"/>
            <w:vAlign w:val="center"/>
          </w:tcPr>
          <w:p>
            <w:pPr>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设备名称</w:t>
            </w:r>
          </w:p>
        </w:tc>
        <w:tc>
          <w:tcPr>
            <w:tcW w:w="884" w:type="dxa"/>
            <w:vAlign w:val="center"/>
          </w:tcPr>
          <w:p>
            <w:pPr>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数量</w:t>
            </w:r>
          </w:p>
        </w:tc>
        <w:tc>
          <w:tcPr>
            <w:tcW w:w="936" w:type="dxa"/>
            <w:vAlign w:val="center"/>
          </w:tcPr>
          <w:p>
            <w:pPr>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64" w:type="dxa"/>
            <w:vAlign w:val="center"/>
          </w:tcPr>
          <w:p>
            <w:pPr>
              <w:widowControl/>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val="en-US" w:eastAsia="zh-CN" w:bidi="ar"/>
              </w:rPr>
              <w:t>1</w:t>
            </w:r>
          </w:p>
        </w:tc>
        <w:tc>
          <w:tcPr>
            <w:tcW w:w="3619"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超融合服务器</w:t>
            </w:r>
            <w:r>
              <w:rPr>
                <w:rFonts w:hint="eastAsia" w:ascii="宋体" w:hAnsi="宋体" w:eastAsia="宋体" w:cs="宋体"/>
                <w:i w:val="0"/>
                <w:color w:val="000000" w:themeColor="text1"/>
                <w:kern w:val="0"/>
                <w:sz w:val="22"/>
                <w:szCs w:val="22"/>
                <w:highlight w:val="none"/>
                <w:u w:val="none"/>
                <w:lang w:val="en-US" w:eastAsia="zh-CN" w:bidi="ar"/>
              </w:rPr>
              <w:br w:type="textWrapping"/>
            </w:r>
            <w:r>
              <w:rPr>
                <w:rFonts w:hint="eastAsia" w:ascii="宋体" w:hAnsi="宋体" w:eastAsia="宋体" w:cs="宋体"/>
                <w:i w:val="0"/>
                <w:color w:val="000000" w:themeColor="text1"/>
                <w:kern w:val="0"/>
                <w:sz w:val="22"/>
                <w:szCs w:val="22"/>
                <w:highlight w:val="none"/>
                <w:u w:val="none"/>
                <w:lang w:val="en-US" w:eastAsia="zh-CN" w:bidi="ar"/>
              </w:rPr>
              <w:t>(桌面云)</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color w:val="000000" w:themeColor="text1"/>
                <w:highlight w:val="none"/>
                <w:vertAlign w:val="baseline"/>
                <w:lang w:val="en-US" w:eastAsia="zh-CN"/>
              </w:rPr>
              <w:t>3</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464" w:type="dxa"/>
            <w:vAlign w:val="center"/>
          </w:tcPr>
          <w:p>
            <w:pPr>
              <w:widowControl/>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val="en-US" w:eastAsia="zh-CN" w:bidi="ar"/>
              </w:rPr>
              <w:t>2</w:t>
            </w:r>
          </w:p>
        </w:tc>
        <w:tc>
          <w:tcPr>
            <w:tcW w:w="3619"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桌面云平台软件（含63个授权）</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1</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464" w:type="dxa"/>
            <w:vAlign w:val="center"/>
          </w:tcPr>
          <w:p>
            <w:pPr>
              <w:widowControl/>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val="en-US" w:eastAsia="zh-CN" w:bidi="ar"/>
              </w:rPr>
              <w:t>3</w:t>
            </w:r>
          </w:p>
        </w:tc>
        <w:tc>
          <w:tcPr>
            <w:tcW w:w="3619" w:type="dxa"/>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themeColor="text1"/>
                <w:kern w:val="0"/>
                <w:sz w:val="22"/>
                <w:szCs w:val="22"/>
                <w:highlight w:val="none"/>
                <w:u w:val="none"/>
                <w:lang w:val="en-US" w:eastAsia="zh-CN" w:bidi="ar"/>
              </w:rPr>
              <w:t>桌面云瘦终端（包含终端KVM 切换器）</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color w:val="000000" w:themeColor="text1"/>
                <w:highlight w:val="none"/>
                <w:vertAlign w:val="baseline"/>
                <w:lang w:val="en-US" w:eastAsia="zh-CN"/>
              </w:rPr>
              <w:t>56</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464" w:type="dxa"/>
            <w:vAlign w:val="center"/>
          </w:tcPr>
          <w:p>
            <w:pPr>
              <w:widowControl/>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val="en-US" w:eastAsia="zh-CN" w:bidi="ar"/>
              </w:rPr>
              <w:t>4</w:t>
            </w:r>
          </w:p>
        </w:tc>
        <w:tc>
          <w:tcPr>
            <w:tcW w:w="3619"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显示器及支架</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color w:val="000000" w:themeColor="text1"/>
                <w:highlight w:val="none"/>
                <w:vertAlign w:val="baseline"/>
                <w:lang w:val="en-US" w:eastAsia="zh-CN"/>
              </w:rPr>
              <w:t>56</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464" w:type="dxa"/>
            <w:vAlign w:val="center"/>
          </w:tcPr>
          <w:p>
            <w:pPr>
              <w:widowControl/>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val="en-US" w:eastAsia="zh-CN" w:bidi="ar"/>
              </w:rPr>
              <w:t>5</w:t>
            </w:r>
          </w:p>
        </w:tc>
        <w:tc>
          <w:tcPr>
            <w:tcW w:w="3619" w:type="dxa"/>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themeColor="text1"/>
                <w:kern w:val="0"/>
                <w:sz w:val="22"/>
                <w:szCs w:val="22"/>
                <w:highlight w:val="none"/>
                <w:u w:val="none"/>
                <w:lang w:val="en-US" w:eastAsia="zh-CN" w:bidi="ar"/>
              </w:rPr>
              <w:t>键盘键鼠套件</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color w:val="000000" w:themeColor="text1"/>
                <w:highlight w:val="none"/>
                <w:vertAlign w:val="baseline"/>
                <w:lang w:val="en-US" w:eastAsia="zh-CN"/>
              </w:rPr>
              <w:t>56</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464" w:type="dxa"/>
            <w:vAlign w:val="center"/>
          </w:tcPr>
          <w:p>
            <w:pPr>
              <w:widowControl/>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val="en-US" w:eastAsia="zh-CN" w:bidi="ar"/>
              </w:rPr>
              <w:t>6</w:t>
            </w:r>
          </w:p>
        </w:tc>
        <w:tc>
          <w:tcPr>
            <w:tcW w:w="3619" w:type="dxa"/>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themeColor="text1"/>
                <w:kern w:val="0"/>
                <w:sz w:val="22"/>
                <w:szCs w:val="22"/>
                <w:highlight w:val="none"/>
                <w:u w:val="none"/>
                <w:lang w:val="en-US" w:eastAsia="zh-CN" w:bidi="ar"/>
              </w:rPr>
              <w:t>实施服务</w:t>
            </w:r>
          </w:p>
        </w:tc>
        <w:tc>
          <w:tcPr>
            <w:tcW w:w="884"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1</w:t>
            </w:r>
          </w:p>
        </w:tc>
        <w:tc>
          <w:tcPr>
            <w:tcW w:w="936" w:type="dxa"/>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i w:val="0"/>
                <w:color w:val="000000" w:themeColor="text1"/>
                <w:kern w:val="0"/>
                <w:sz w:val="22"/>
                <w:szCs w:val="22"/>
                <w:highlight w:val="none"/>
                <w:u w:val="none"/>
                <w:lang w:val="en-US" w:eastAsia="zh-CN" w:bidi="ar"/>
              </w:rPr>
              <w:t>项</w:t>
            </w:r>
          </w:p>
        </w:tc>
      </w:tr>
    </w:tbl>
    <w:p>
      <w:pPr>
        <w:pStyle w:val="2"/>
        <w:rPr>
          <w:rFonts w:hint="eastAsia"/>
          <w:color w:val="auto"/>
          <w:highlight w:val="none"/>
          <w:lang w:val="en-US" w:eastAsia="zh-CN"/>
        </w:rPr>
      </w:pPr>
    </w:p>
    <w:p>
      <w:pPr>
        <w:pStyle w:val="4"/>
        <w:numPr>
          <w:ilvl w:val="0"/>
          <w:numId w:val="0"/>
        </w:numPr>
        <w:bidi w:val="0"/>
        <w:rPr>
          <w:rFonts w:hint="eastAsia" w:ascii="仿宋" w:hAnsi="仿宋" w:eastAsia="仿宋" w:cs="仿宋"/>
          <w:color w:val="auto"/>
          <w:highlight w:val="none"/>
        </w:rPr>
      </w:pPr>
      <w:bookmarkStart w:id="30" w:name="_Toc5274"/>
      <w:r>
        <w:rPr>
          <w:rFonts w:hint="eastAsia" w:ascii="仿宋" w:hAnsi="仿宋" w:cs="仿宋"/>
          <w:color w:val="auto"/>
          <w:highlight w:val="none"/>
          <w:lang w:eastAsia="zh-CN"/>
        </w:rPr>
        <w:t>二</w:t>
      </w:r>
      <w:r>
        <w:rPr>
          <w:rFonts w:hint="eastAsia" w:ascii="仿宋" w:hAnsi="仿宋" w:eastAsia="仿宋" w:cs="仿宋"/>
          <w:color w:val="auto"/>
          <w:highlight w:val="none"/>
        </w:rPr>
        <w:t>、技术规格、参数与要求</w:t>
      </w:r>
      <w:bookmarkEnd w:id="30"/>
    </w:p>
    <w:p>
      <w:pPr>
        <w:jc w:val="center"/>
        <w:rPr>
          <w:rFonts w:ascii="宋体" w:hAnsi="宋体" w:eastAsia="宋体"/>
          <w:color w:val="auto"/>
          <w:sz w:val="28"/>
          <w:szCs w:val="28"/>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sz w:val="24"/>
          <w:szCs w:val="24"/>
          <w:highlight w:val="none"/>
          <w:lang w:val="en-US" w:eastAsia="zh-CN"/>
        </w:rPr>
        <w:t xml:space="preserve"> </w:t>
      </w:r>
      <w:bookmarkStart w:id="31" w:name="_Toc12529"/>
    </w:p>
    <w:tbl>
      <w:tblPr>
        <w:tblStyle w:val="69"/>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255"/>
        <w:gridCol w:w="6111"/>
        <w:gridCol w:w="441"/>
        <w:gridCol w:w="486"/>
        <w:gridCol w:w="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 w:type="dxa"/>
            <w:vAlign w:val="center"/>
          </w:tcPr>
          <w:p>
            <w:pPr>
              <w:keepNext w:val="0"/>
              <w:keepLines w:val="0"/>
              <w:widowControl/>
              <w:suppressLineNumbers w:val="0"/>
              <w:jc w:val="center"/>
              <w:textAlignment w:val="center"/>
              <w:rPr>
                <w:b w:val="0"/>
                <w:bCs/>
                <w:color w:val="000000" w:themeColor="text1"/>
                <w:sz w:val="21"/>
                <w:szCs w:val="21"/>
                <w:highlight w:val="none"/>
                <w:vertAlign w:val="baseline"/>
              </w:rPr>
            </w:pPr>
            <w:r>
              <w:rPr>
                <w:rFonts w:hint="eastAsia" w:ascii="宋体" w:hAnsi="宋体" w:eastAsia="宋体" w:cs="宋体"/>
                <w:b w:val="0"/>
                <w:bCs/>
                <w:i w:val="0"/>
                <w:color w:val="000000" w:themeColor="text1"/>
                <w:kern w:val="0"/>
                <w:sz w:val="21"/>
                <w:szCs w:val="21"/>
                <w:highlight w:val="none"/>
                <w:u w:val="none"/>
                <w:lang w:val="en-US" w:eastAsia="zh-CN" w:bidi="ar"/>
              </w:rPr>
              <w:t>序号</w:t>
            </w:r>
          </w:p>
        </w:tc>
        <w:tc>
          <w:tcPr>
            <w:tcW w:w="1255" w:type="dxa"/>
            <w:vAlign w:val="center"/>
          </w:tcPr>
          <w:p>
            <w:pPr>
              <w:keepNext w:val="0"/>
              <w:keepLines w:val="0"/>
              <w:widowControl/>
              <w:suppressLineNumbers w:val="0"/>
              <w:jc w:val="center"/>
              <w:textAlignment w:val="center"/>
              <w:rPr>
                <w:b w:val="0"/>
                <w:bCs/>
                <w:color w:val="000000" w:themeColor="text1"/>
                <w:sz w:val="21"/>
                <w:szCs w:val="21"/>
                <w:highlight w:val="none"/>
                <w:vertAlign w:val="baseline"/>
              </w:rPr>
            </w:pPr>
            <w:r>
              <w:rPr>
                <w:rFonts w:hint="eastAsia" w:ascii="宋体" w:hAnsi="宋体" w:eastAsia="宋体" w:cs="宋体"/>
                <w:b w:val="0"/>
                <w:bCs/>
                <w:i w:val="0"/>
                <w:color w:val="000000" w:themeColor="text1"/>
                <w:kern w:val="0"/>
                <w:sz w:val="21"/>
                <w:szCs w:val="21"/>
                <w:highlight w:val="none"/>
                <w:u w:val="none"/>
                <w:lang w:val="en-US" w:eastAsia="zh-CN" w:bidi="ar"/>
              </w:rPr>
              <w:t>设备名称</w:t>
            </w:r>
          </w:p>
        </w:tc>
        <w:tc>
          <w:tcPr>
            <w:tcW w:w="6111" w:type="dxa"/>
            <w:vAlign w:val="center"/>
          </w:tcPr>
          <w:p>
            <w:pPr>
              <w:keepNext w:val="0"/>
              <w:keepLines w:val="0"/>
              <w:widowControl/>
              <w:suppressLineNumbers w:val="0"/>
              <w:jc w:val="center"/>
              <w:textAlignment w:val="center"/>
              <w:rPr>
                <w:b w:val="0"/>
                <w:bCs/>
                <w:color w:val="000000" w:themeColor="text1"/>
                <w:sz w:val="21"/>
                <w:szCs w:val="21"/>
                <w:highlight w:val="none"/>
                <w:vertAlign w:val="baseline"/>
              </w:rPr>
            </w:pPr>
            <w:r>
              <w:rPr>
                <w:rFonts w:hint="eastAsia" w:ascii="宋体" w:hAnsi="宋体" w:eastAsia="宋体" w:cs="宋体"/>
                <w:b w:val="0"/>
                <w:bCs/>
                <w:i w:val="0"/>
                <w:color w:val="000000" w:themeColor="text1"/>
                <w:kern w:val="0"/>
                <w:sz w:val="21"/>
                <w:szCs w:val="21"/>
                <w:highlight w:val="none"/>
                <w:u w:val="none"/>
                <w:lang w:val="en-US" w:eastAsia="zh-CN" w:bidi="ar"/>
              </w:rPr>
              <w:t>技术参数及要求</w:t>
            </w:r>
          </w:p>
        </w:tc>
        <w:tc>
          <w:tcPr>
            <w:tcW w:w="441" w:type="dxa"/>
            <w:vAlign w:val="center"/>
          </w:tcPr>
          <w:p>
            <w:pPr>
              <w:keepNext w:val="0"/>
              <w:keepLines w:val="0"/>
              <w:widowControl/>
              <w:suppressLineNumbers w:val="0"/>
              <w:jc w:val="center"/>
              <w:textAlignment w:val="center"/>
              <w:rPr>
                <w:b w:val="0"/>
                <w:bCs/>
                <w:color w:val="000000" w:themeColor="text1"/>
                <w:sz w:val="21"/>
                <w:szCs w:val="21"/>
                <w:highlight w:val="none"/>
                <w:vertAlign w:val="baseline"/>
              </w:rPr>
            </w:pPr>
            <w:r>
              <w:rPr>
                <w:rFonts w:hint="eastAsia" w:ascii="宋体" w:hAnsi="宋体" w:eastAsia="宋体" w:cs="宋体"/>
                <w:b w:val="0"/>
                <w:bCs/>
                <w:i w:val="0"/>
                <w:color w:val="000000" w:themeColor="text1"/>
                <w:kern w:val="0"/>
                <w:sz w:val="21"/>
                <w:szCs w:val="21"/>
                <w:highlight w:val="none"/>
                <w:u w:val="none"/>
                <w:lang w:val="en-US" w:eastAsia="zh-CN" w:bidi="ar"/>
              </w:rPr>
              <w:t>数量</w:t>
            </w:r>
          </w:p>
        </w:tc>
        <w:tc>
          <w:tcPr>
            <w:tcW w:w="486" w:type="dxa"/>
            <w:vAlign w:val="center"/>
          </w:tcPr>
          <w:p>
            <w:pPr>
              <w:keepNext w:val="0"/>
              <w:keepLines w:val="0"/>
              <w:widowControl/>
              <w:suppressLineNumbers w:val="0"/>
              <w:jc w:val="center"/>
              <w:textAlignment w:val="center"/>
              <w:rPr>
                <w:b w:val="0"/>
                <w:bCs/>
                <w:color w:val="000000" w:themeColor="text1"/>
                <w:sz w:val="21"/>
                <w:szCs w:val="21"/>
                <w:highlight w:val="none"/>
                <w:vertAlign w:val="baseline"/>
              </w:rPr>
            </w:pPr>
            <w:r>
              <w:rPr>
                <w:rFonts w:hint="eastAsia" w:ascii="宋体" w:hAnsi="宋体" w:eastAsia="宋体" w:cs="宋体"/>
                <w:b w:val="0"/>
                <w:bCs/>
                <w:i w:val="0"/>
                <w:color w:val="000000" w:themeColor="text1"/>
                <w:kern w:val="0"/>
                <w:sz w:val="21"/>
                <w:szCs w:val="21"/>
                <w:highlight w:val="none"/>
                <w:u w:val="none"/>
                <w:lang w:val="en-US" w:eastAsia="zh-CN" w:bidi="ar"/>
              </w:rPr>
              <w:t>单位</w:t>
            </w:r>
          </w:p>
        </w:tc>
        <w:tc>
          <w:tcPr>
            <w:tcW w:w="530" w:type="dxa"/>
            <w:vAlign w:val="center"/>
          </w:tcPr>
          <w:p>
            <w:pPr>
              <w:keepNext w:val="0"/>
              <w:keepLines w:val="0"/>
              <w:widowControl/>
              <w:suppressLineNumbers w:val="0"/>
              <w:jc w:val="center"/>
              <w:textAlignment w:val="center"/>
              <w:rPr>
                <w:b w:val="0"/>
                <w:bCs/>
                <w:color w:val="000000" w:themeColor="text1"/>
                <w:sz w:val="21"/>
                <w:szCs w:val="21"/>
                <w:highlight w:val="none"/>
                <w:vertAlign w:val="baseline"/>
              </w:rPr>
            </w:pPr>
            <w:r>
              <w:rPr>
                <w:rFonts w:hint="eastAsia" w:ascii="宋体" w:hAnsi="宋体" w:eastAsia="宋体" w:cs="宋体"/>
                <w:b w:val="0"/>
                <w:bCs/>
                <w:i w:val="0"/>
                <w:color w:val="000000" w:themeColor="text1"/>
                <w:kern w:val="0"/>
                <w:sz w:val="21"/>
                <w:szCs w:val="21"/>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 w:type="dxa"/>
            <w:vAlign w:val="center"/>
          </w:tcPr>
          <w:p>
            <w:pPr>
              <w:keepNext w:val="0"/>
              <w:keepLines w:val="0"/>
              <w:widowControl/>
              <w:suppressLineNumbers w:val="0"/>
              <w:jc w:val="center"/>
              <w:textAlignment w:val="center"/>
              <w:rPr>
                <w:b w:val="0"/>
                <w:bCs/>
                <w:color w:val="000000" w:themeColor="text1"/>
                <w:highlight w:val="none"/>
                <w:vertAlign w:val="baseline"/>
              </w:rPr>
            </w:pPr>
            <w:r>
              <w:rPr>
                <w:rFonts w:hint="eastAsia" w:ascii="宋体" w:hAnsi="宋体" w:eastAsia="宋体" w:cs="宋体"/>
                <w:b w:val="0"/>
                <w:bCs/>
                <w:i w:val="0"/>
                <w:color w:val="000000" w:themeColor="text1"/>
                <w:kern w:val="0"/>
                <w:sz w:val="22"/>
                <w:szCs w:val="22"/>
                <w:highlight w:val="none"/>
                <w:u w:val="none"/>
                <w:lang w:val="en-US" w:eastAsia="zh-CN" w:bidi="ar"/>
              </w:rPr>
              <w:t>1</w:t>
            </w:r>
          </w:p>
        </w:tc>
        <w:tc>
          <w:tcPr>
            <w:tcW w:w="1255" w:type="dxa"/>
            <w:vAlign w:val="center"/>
          </w:tcPr>
          <w:p>
            <w:pPr>
              <w:keepNext w:val="0"/>
              <w:keepLines w:val="0"/>
              <w:widowControl/>
              <w:suppressLineNumbers w:val="0"/>
              <w:jc w:val="center"/>
              <w:textAlignment w:val="center"/>
              <w:rPr>
                <w:b w:val="0"/>
                <w:bCs/>
                <w:color w:val="000000" w:themeColor="text1"/>
                <w:highlight w:val="none"/>
                <w:vertAlign w:val="baseline"/>
              </w:rPr>
            </w:pPr>
            <w:r>
              <w:rPr>
                <w:rFonts w:hint="eastAsia" w:ascii="宋体" w:hAnsi="宋体" w:eastAsia="宋体" w:cs="宋体"/>
                <w:b w:val="0"/>
                <w:bCs/>
                <w:i w:val="0"/>
                <w:color w:val="000000" w:themeColor="text1"/>
                <w:kern w:val="0"/>
                <w:sz w:val="22"/>
                <w:szCs w:val="22"/>
                <w:highlight w:val="none"/>
                <w:u w:val="none"/>
                <w:lang w:val="en-US" w:eastAsia="zh-CN" w:bidi="ar"/>
              </w:rPr>
              <w:t>超融合服务器</w:t>
            </w:r>
            <w:r>
              <w:rPr>
                <w:rFonts w:hint="eastAsia" w:ascii="宋体" w:hAnsi="宋体" w:eastAsia="宋体" w:cs="宋体"/>
                <w:b w:val="0"/>
                <w:bCs/>
                <w:i w:val="0"/>
                <w:color w:val="000000" w:themeColor="text1"/>
                <w:kern w:val="0"/>
                <w:sz w:val="22"/>
                <w:szCs w:val="22"/>
                <w:highlight w:val="none"/>
                <w:u w:val="none"/>
                <w:lang w:val="en-US" w:eastAsia="zh-CN" w:bidi="ar"/>
              </w:rPr>
              <w:br w:type="textWrapping"/>
            </w:r>
            <w:r>
              <w:rPr>
                <w:rFonts w:hint="eastAsia" w:ascii="宋体" w:hAnsi="宋体" w:eastAsia="宋体" w:cs="宋体"/>
                <w:b w:val="0"/>
                <w:bCs/>
                <w:i w:val="0"/>
                <w:color w:val="000000" w:themeColor="text1"/>
                <w:kern w:val="0"/>
                <w:sz w:val="22"/>
                <w:szCs w:val="22"/>
                <w:highlight w:val="none"/>
                <w:u w:val="none"/>
                <w:lang w:val="en-US" w:eastAsia="zh-CN" w:bidi="ar"/>
              </w:rPr>
              <w:t>(桌面云)</w:t>
            </w:r>
          </w:p>
        </w:tc>
        <w:tc>
          <w:tcPr>
            <w:tcW w:w="6111" w:type="dxa"/>
            <w:vAlign w:val="center"/>
          </w:tcPr>
          <w:p>
            <w:pPr>
              <w:keepNext w:val="0"/>
              <w:keepLines w:val="0"/>
              <w:widowControl/>
              <w:suppressLineNumbers w:val="0"/>
              <w:jc w:val="left"/>
              <w:textAlignment w:val="center"/>
              <w:rPr>
                <w:b w:val="0"/>
                <w:bCs/>
                <w:color w:val="000000" w:themeColor="text1"/>
                <w:highlight w:val="none"/>
                <w:vertAlign w:val="baseline"/>
              </w:rPr>
            </w:pPr>
            <w:r>
              <w:rPr>
                <w:rFonts w:hint="eastAsia" w:ascii="宋体" w:hAnsi="宋体" w:eastAsia="宋体" w:cs="宋体"/>
                <w:b w:val="0"/>
                <w:bCs/>
                <w:i w:val="0"/>
                <w:color w:val="000000" w:themeColor="text1"/>
                <w:kern w:val="0"/>
                <w:sz w:val="22"/>
                <w:szCs w:val="22"/>
                <w:highlight w:val="none"/>
                <w:u w:val="none"/>
                <w:lang w:val="en-US" w:eastAsia="zh-CN" w:bidi="ar"/>
              </w:rPr>
              <w:t>★≥2U机架式，标配自主研发的服务器管理软件，提供服务器管理软件著作权登记证书；</w:t>
            </w:r>
            <w:r>
              <w:rPr>
                <w:rFonts w:hint="eastAsia" w:ascii="宋体" w:hAnsi="宋体" w:eastAsia="宋体" w:cs="宋体"/>
                <w:b w:val="0"/>
                <w:bCs/>
                <w:i w:val="0"/>
                <w:color w:val="000000" w:themeColor="text1"/>
                <w:kern w:val="0"/>
                <w:sz w:val="22"/>
                <w:szCs w:val="22"/>
                <w:highlight w:val="none"/>
                <w:u w:val="none"/>
                <w:lang w:val="en-US" w:eastAsia="zh-CN" w:bidi="ar"/>
              </w:rPr>
              <w:br w:type="textWrapping"/>
            </w:r>
            <w:r>
              <w:rPr>
                <w:rFonts w:hint="eastAsia" w:ascii="宋体" w:hAnsi="宋体" w:eastAsia="宋体" w:cs="宋体"/>
                <w:b w:val="0"/>
                <w:bCs/>
                <w:i w:val="0"/>
                <w:color w:val="000000" w:themeColor="text1"/>
                <w:kern w:val="0"/>
                <w:sz w:val="22"/>
                <w:szCs w:val="22"/>
                <w:highlight w:val="none"/>
                <w:u w:val="none"/>
                <w:lang w:val="en-US" w:eastAsia="zh-CN" w:bidi="ar"/>
              </w:rPr>
              <w:t>处理器：配置≥2颗英特尔处理器（性能不低于2.2GHz/14核）；</w:t>
            </w:r>
            <w:r>
              <w:rPr>
                <w:rFonts w:hint="eastAsia" w:ascii="宋体" w:hAnsi="宋体" w:eastAsia="宋体" w:cs="宋体"/>
                <w:b w:val="0"/>
                <w:bCs/>
                <w:i w:val="0"/>
                <w:color w:val="000000" w:themeColor="text1"/>
                <w:kern w:val="0"/>
                <w:sz w:val="22"/>
                <w:szCs w:val="22"/>
                <w:highlight w:val="none"/>
                <w:u w:val="none"/>
                <w:lang w:val="en-US" w:eastAsia="zh-CN" w:bidi="ar"/>
              </w:rPr>
              <w:br w:type="textWrapping"/>
            </w:r>
            <w:r>
              <w:rPr>
                <w:rFonts w:hint="eastAsia" w:ascii="宋体" w:hAnsi="宋体" w:eastAsia="宋体" w:cs="宋体"/>
                <w:b w:val="0"/>
                <w:bCs/>
                <w:i w:val="0"/>
                <w:color w:val="000000" w:themeColor="text1"/>
                <w:kern w:val="0"/>
                <w:sz w:val="22"/>
                <w:szCs w:val="22"/>
                <w:highlight w:val="none"/>
                <w:u w:val="none"/>
                <w:lang w:val="en-US" w:eastAsia="zh-CN" w:bidi="ar"/>
              </w:rPr>
              <w:t>★内存：配置≥384GB DDR4 2666MHz内存，支持≥24个内存插槽；</w:t>
            </w:r>
            <w:r>
              <w:rPr>
                <w:rFonts w:hint="eastAsia" w:ascii="宋体" w:hAnsi="宋体" w:eastAsia="宋体" w:cs="宋体"/>
                <w:b w:val="0"/>
                <w:bCs/>
                <w:i w:val="0"/>
                <w:color w:val="000000" w:themeColor="text1"/>
                <w:kern w:val="0"/>
                <w:sz w:val="22"/>
                <w:szCs w:val="22"/>
                <w:highlight w:val="none"/>
                <w:u w:val="none"/>
                <w:lang w:val="en-US" w:eastAsia="zh-CN" w:bidi="ar"/>
              </w:rPr>
              <w:br w:type="textWrapping"/>
            </w:r>
            <w:r>
              <w:rPr>
                <w:rFonts w:hint="eastAsia" w:ascii="宋体" w:hAnsi="宋体" w:eastAsia="宋体" w:cs="宋体"/>
                <w:b w:val="0"/>
                <w:bCs/>
                <w:i w:val="0"/>
                <w:color w:val="000000" w:themeColor="text1"/>
                <w:kern w:val="0"/>
                <w:sz w:val="22"/>
                <w:szCs w:val="22"/>
                <w:highlight w:val="none"/>
                <w:u w:val="none"/>
                <w:lang w:val="en-US" w:eastAsia="zh-CN" w:bidi="ar"/>
              </w:rPr>
              <w:t>硬盘：配置≥</w:t>
            </w:r>
            <w:r>
              <w:rPr>
                <w:rStyle w:val="216"/>
                <w:b w:val="0"/>
                <w:bCs/>
                <w:color w:val="000000" w:themeColor="text1"/>
                <w:highlight w:val="none"/>
                <w:lang w:val="en-US" w:eastAsia="zh-CN" w:bidi="ar"/>
              </w:rPr>
              <w:t>2块600GB</w:t>
            </w:r>
            <w:r>
              <w:rPr>
                <w:rStyle w:val="184"/>
                <w:b w:val="0"/>
                <w:bCs/>
                <w:color w:val="000000" w:themeColor="text1"/>
                <w:highlight w:val="none"/>
                <w:lang w:val="en-US" w:eastAsia="zh-CN" w:bidi="ar"/>
              </w:rPr>
              <w:t xml:space="preserve"> 10K RPM 2.5" SAS热插拔硬盘；</w:t>
            </w:r>
            <w:r>
              <w:rPr>
                <w:rStyle w:val="184"/>
                <w:b w:val="0"/>
                <w:bCs/>
                <w:color w:val="000000" w:themeColor="text1"/>
                <w:highlight w:val="none"/>
                <w:lang w:val="en-US" w:eastAsia="zh-CN" w:bidi="ar"/>
              </w:rPr>
              <w:br w:type="textWrapping"/>
            </w:r>
            <w:r>
              <w:rPr>
                <w:rStyle w:val="184"/>
                <w:b w:val="0"/>
                <w:bCs/>
                <w:color w:val="000000" w:themeColor="text1"/>
                <w:highlight w:val="none"/>
                <w:lang w:val="en-US" w:eastAsia="zh-CN" w:bidi="ar"/>
              </w:rPr>
              <w:t>RAID卡：配置≥1块高性能 PCIe RAID卡，支持RAID 0,1；</w:t>
            </w:r>
            <w:r>
              <w:rPr>
                <w:rStyle w:val="184"/>
                <w:b w:val="0"/>
                <w:bCs/>
                <w:color w:val="000000" w:themeColor="text1"/>
                <w:highlight w:val="none"/>
                <w:lang w:val="en-US" w:eastAsia="zh-CN" w:bidi="ar"/>
              </w:rPr>
              <w:br w:type="textWrapping"/>
            </w:r>
            <w:r>
              <w:rPr>
                <w:rStyle w:val="184"/>
                <w:b w:val="0"/>
                <w:bCs/>
                <w:color w:val="000000" w:themeColor="text1"/>
                <w:highlight w:val="none"/>
                <w:lang w:val="en-US" w:eastAsia="zh-CN" w:bidi="ar"/>
              </w:rPr>
              <w:t>★I/O扩展：支持≥10个PCIe I/O扩展插槽；</w:t>
            </w:r>
            <w:r>
              <w:rPr>
                <w:rStyle w:val="184"/>
                <w:b w:val="0"/>
                <w:bCs/>
                <w:color w:val="000000" w:themeColor="text1"/>
                <w:highlight w:val="none"/>
                <w:lang w:val="en-US" w:eastAsia="zh-CN" w:bidi="ar"/>
              </w:rPr>
              <w:br w:type="textWrapping"/>
            </w:r>
            <w:r>
              <w:rPr>
                <w:rStyle w:val="184"/>
                <w:b w:val="0"/>
                <w:bCs/>
                <w:color w:val="000000" w:themeColor="text1"/>
                <w:highlight w:val="none"/>
                <w:lang w:val="en-US" w:eastAsia="zh-CN" w:bidi="ar"/>
              </w:rPr>
              <w:t>网络接口：配置≥4*GE+2*10G光口（满配模块）；</w:t>
            </w:r>
            <w:r>
              <w:rPr>
                <w:rStyle w:val="184"/>
                <w:b w:val="0"/>
                <w:bCs/>
                <w:color w:val="000000" w:themeColor="text1"/>
                <w:highlight w:val="none"/>
                <w:lang w:val="en-US" w:eastAsia="zh-CN" w:bidi="ar"/>
              </w:rPr>
              <w:br w:type="textWrapping"/>
            </w:r>
            <w:r>
              <w:rPr>
                <w:rStyle w:val="184"/>
                <w:b w:val="0"/>
                <w:bCs/>
                <w:color w:val="000000" w:themeColor="text1"/>
                <w:highlight w:val="none"/>
                <w:lang w:val="en-US" w:eastAsia="zh-CN" w:bidi="ar"/>
              </w:rPr>
              <w:t>电源：配置冗余电源，单电源功率≥900W，支持电源热插拔；</w:t>
            </w:r>
            <w:r>
              <w:rPr>
                <w:rStyle w:val="184"/>
                <w:b w:val="0"/>
                <w:bCs/>
                <w:color w:val="000000" w:themeColor="text1"/>
                <w:highlight w:val="none"/>
                <w:lang w:val="en-US" w:eastAsia="zh-CN" w:bidi="ar"/>
              </w:rPr>
              <w:br w:type="textWrapping"/>
            </w:r>
            <w:r>
              <w:rPr>
                <w:rStyle w:val="184"/>
                <w:b w:val="0"/>
                <w:bCs/>
                <w:color w:val="000000" w:themeColor="text1"/>
                <w:highlight w:val="none"/>
                <w:lang w:val="en-US" w:eastAsia="zh-CN" w:bidi="ar"/>
              </w:rPr>
              <w:t>兼容性：支持Windows、Redhat Linux、SuSE Linux、Citrix XenServer、FusionSphere、VMware等主流操作系统；</w:t>
            </w:r>
            <w:r>
              <w:rPr>
                <w:rStyle w:val="184"/>
                <w:b w:val="0"/>
                <w:bCs/>
                <w:color w:val="000000" w:themeColor="text1"/>
                <w:highlight w:val="none"/>
                <w:lang w:val="en-US" w:eastAsia="zh-CN" w:bidi="ar"/>
              </w:rPr>
              <w:br w:type="textWrapping"/>
            </w:r>
            <w:r>
              <w:rPr>
                <w:rStyle w:val="184"/>
                <w:b w:val="0"/>
                <w:bCs/>
                <w:color w:val="000000" w:themeColor="text1"/>
                <w:highlight w:val="none"/>
                <w:lang w:val="en-US" w:eastAsia="zh-CN" w:bidi="ar"/>
              </w:rPr>
              <w:t>售后服务：提供至少三年免费硬件保修服务，硬盘介质保留服务，厂商在国内设有400技术服务热线。</w:t>
            </w:r>
          </w:p>
        </w:tc>
        <w:tc>
          <w:tcPr>
            <w:tcW w:w="441" w:type="dxa"/>
            <w:vAlign w:val="center"/>
          </w:tcPr>
          <w:p>
            <w:pPr>
              <w:keepNext w:val="0"/>
              <w:keepLines w:val="0"/>
              <w:widowControl/>
              <w:suppressLineNumbers w:val="0"/>
              <w:jc w:val="center"/>
              <w:textAlignment w:val="center"/>
              <w:rPr>
                <w:rFonts w:hint="default" w:eastAsiaTheme="minorEastAsia"/>
                <w:b w:val="0"/>
                <w:bCs/>
                <w:color w:val="000000" w:themeColor="text1"/>
                <w:highlight w:val="none"/>
                <w:vertAlign w:val="baseline"/>
                <w:lang w:val="en-US" w:eastAsia="zh-CN"/>
              </w:rPr>
            </w:pPr>
            <w:r>
              <w:rPr>
                <w:rFonts w:hint="eastAsia"/>
                <w:b w:val="0"/>
                <w:bCs/>
                <w:color w:val="000000" w:themeColor="text1"/>
                <w:highlight w:val="none"/>
                <w:vertAlign w:val="baseline"/>
                <w:lang w:val="en-US" w:eastAsia="zh-CN"/>
              </w:rPr>
              <w:t>3</w:t>
            </w:r>
          </w:p>
        </w:tc>
        <w:tc>
          <w:tcPr>
            <w:tcW w:w="486" w:type="dxa"/>
            <w:vAlign w:val="center"/>
          </w:tcPr>
          <w:p>
            <w:pPr>
              <w:keepNext w:val="0"/>
              <w:keepLines w:val="0"/>
              <w:widowControl/>
              <w:suppressLineNumbers w:val="0"/>
              <w:jc w:val="center"/>
              <w:textAlignment w:val="center"/>
              <w:rPr>
                <w:b w:val="0"/>
                <w:bCs/>
                <w:color w:val="000000" w:themeColor="text1"/>
                <w:highlight w:val="none"/>
                <w:vertAlign w:val="baseline"/>
              </w:rPr>
            </w:pPr>
            <w:r>
              <w:rPr>
                <w:rFonts w:hint="eastAsia" w:ascii="宋体" w:hAnsi="宋体" w:eastAsia="宋体" w:cs="宋体"/>
                <w:b w:val="0"/>
                <w:bCs/>
                <w:i w:val="0"/>
                <w:color w:val="000000" w:themeColor="text1"/>
                <w:kern w:val="0"/>
                <w:sz w:val="22"/>
                <w:szCs w:val="22"/>
                <w:highlight w:val="none"/>
                <w:u w:val="none"/>
                <w:lang w:val="en-US" w:eastAsia="zh-CN" w:bidi="ar"/>
              </w:rPr>
              <w:t>台</w:t>
            </w:r>
          </w:p>
        </w:tc>
        <w:tc>
          <w:tcPr>
            <w:tcW w:w="530" w:type="dxa"/>
            <w:vAlign w:val="center"/>
          </w:tcPr>
          <w:p>
            <w:pPr>
              <w:jc w:val="center"/>
              <w:rPr>
                <w:b w:val="0"/>
                <w:bCs/>
                <w:color w:val="000000" w:themeColor="text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 w:type="dxa"/>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kern w:val="0"/>
                <w:sz w:val="22"/>
                <w:szCs w:val="22"/>
                <w:highlight w:val="none"/>
                <w:u w:val="none"/>
                <w:lang w:val="en-US" w:eastAsia="zh-CN" w:bidi="ar"/>
              </w:rPr>
            </w:pPr>
            <w:r>
              <w:rPr>
                <w:rFonts w:hint="eastAsia" w:ascii="宋体" w:hAnsi="宋体" w:eastAsia="宋体" w:cs="宋体"/>
                <w:b w:val="0"/>
                <w:bCs/>
                <w:i w:val="0"/>
                <w:color w:val="000000" w:themeColor="text1"/>
                <w:kern w:val="0"/>
                <w:sz w:val="22"/>
                <w:szCs w:val="22"/>
                <w:highlight w:val="none"/>
                <w:u w:val="none"/>
                <w:lang w:val="en-US" w:eastAsia="zh-CN" w:bidi="ar"/>
              </w:rPr>
              <w:t>2</w:t>
            </w:r>
          </w:p>
        </w:tc>
        <w:tc>
          <w:tcPr>
            <w:tcW w:w="1255" w:type="dxa"/>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kern w:val="0"/>
                <w:sz w:val="22"/>
                <w:szCs w:val="22"/>
                <w:highlight w:val="none"/>
                <w:u w:val="none"/>
                <w:lang w:val="en-US" w:eastAsia="zh-CN" w:bidi="ar"/>
              </w:rPr>
            </w:pPr>
            <w:r>
              <w:rPr>
                <w:rFonts w:hint="eastAsia" w:ascii="宋体" w:hAnsi="宋体" w:eastAsia="宋体" w:cs="宋体"/>
                <w:b w:val="0"/>
                <w:bCs/>
                <w:i w:val="0"/>
                <w:color w:val="000000" w:themeColor="text1"/>
                <w:kern w:val="0"/>
                <w:sz w:val="22"/>
                <w:szCs w:val="22"/>
                <w:highlight w:val="none"/>
                <w:u w:val="none"/>
                <w:lang w:val="en-US" w:eastAsia="zh-CN" w:bidi="ar"/>
              </w:rPr>
              <w:t>桌面云平台软件（含63个授权）</w:t>
            </w:r>
          </w:p>
        </w:tc>
        <w:tc>
          <w:tcPr>
            <w:tcW w:w="6111" w:type="dxa"/>
            <w:vAlign w:val="center"/>
          </w:tcPr>
          <w:p>
            <w:pPr>
              <w:keepNext w:val="0"/>
              <w:keepLines w:val="0"/>
              <w:widowControl/>
              <w:suppressLineNumbers w:val="0"/>
              <w:jc w:val="left"/>
              <w:textAlignment w:val="center"/>
              <w:rPr>
                <w:rFonts w:hint="eastAsia" w:ascii="宋体" w:hAnsi="宋体" w:eastAsia="宋体" w:cs="宋体"/>
                <w:b w:val="0"/>
                <w:bCs/>
                <w:i w:val="0"/>
                <w:color w:val="000000" w:themeColor="text1"/>
                <w:kern w:val="0"/>
                <w:sz w:val="22"/>
                <w:szCs w:val="22"/>
                <w:highlight w:val="none"/>
                <w:u w:val="none"/>
                <w:lang w:val="en-US" w:eastAsia="zh-CN" w:bidi="ar"/>
              </w:rPr>
            </w:pPr>
            <w:r>
              <w:rPr>
                <w:rFonts w:hint="eastAsia" w:ascii="宋体" w:hAnsi="宋体" w:eastAsia="宋体" w:cs="宋体"/>
                <w:b w:val="0"/>
                <w:bCs/>
                <w:i w:val="0"/>
                <w:color w:val="000000" w:themeColor="text1"/>
                <w:kern w:val="0"/>
                <w:sz w:val="22"/>
                <w:szCs w:val="22"/>
                <w:highlight w:val="none"/>
                <w:u w:val="none"/>
                <w:lang w:val="en-US" w:eastAsia="zh-CN" w:bidi="ar"/>
              </w:rPr>
              <w:t>国内自主品牌，提供63端桌面云软件授权，提供至少3年软件订阅升级及7x24原厂远程电话技术支持服务；</w:t>
            </w:r>
          </w:p>
          <w:p>
            <w:pPr>
              <w:keepNext w:val="0"/>
              <w:keepLines w:val="0"/>
              <w:widowControl/>
              <w:suppressLineNumbers w:val="0"/>
              <w:jc w:val="left"/>
              <w:textAlignment w:val="center"/>
              <w:rPr>
                <w:rFonts w:hint="eastAsia" w:ascii="宋体" w:hAnsi="宋体" w:eastAsia="宋体" w:cs="宋体"/>
                <w:b w:val="0"/>
                <w:bCs/>
                <w:i w:val="0"/>
                <w:color w:val="000000" w:themeColor="text1"/>
                <w:kern w:val="0"/>
                <w:sz w:val="22"/>
                <w:szCs w:val="22"/>
                <w:highlight w:val="none"/>
                <w:u w:val="none"/>
                <w:lang w:val="en-US" w:eastAsia="zh-CN" w:bidi="ar"/>
              </w:rPr>
            </w:pPr>
            <w:r>
              <w:rPr>
                <w:rFonts w:hint="eastAsia" w:ascii="宋体" w:hAnsi="宋体" w:eastAsia="宋体" w:cs="宋体"/>
                <w:b w:val="0"/>
                <w:bCs/>
                <w:i w:val="0"/>
                <w:color w:val="000000" w:themeColor="text1"/>
                <w:kern w:val="0"/>
                <w:sz w:val="22"/>
                <w:szCs w:val="22"/>
                <w:highlight w:val="none"/>
                <w:u w:val="none"/>
                <w:lang w:val="en-US" w:eastAsia="zh-CN" w:bidi="ar"/>
              </w:rPr>
              <w:t>桌面云系统支持Windows7、Windows 10，支持虚拟机用户单点登录Windows虚拟机；</w:t>
            </w:r>
          </w:p>
          <w:p>
            <w:pPr>
              <w:keepNext w:val="0"/>
              <w:keepLines w:val="0"/>
              <w:widowControl/>
              <w:suppressLineNumbers w:val="0"/>
              <w:jc w:val="left"/>
              <w:textAlignment w:val="center"/>
              <w:rPr>
                <w:rFonts w:hint="eastAsia" w:ascii="宋体" w:hAnsi="宋体" w:eastAsia="宋体" w:cs="宋体"/>
                <w:b w:val="0"/>
                <w:bCs/>
                <w:i w:val="0"/>
                <w:color w:val="000000" w:themeColor="text1"/>
                <w:kern w:val="0"/>
                <w:sz w:val="22"/>
                <w:szCs w:val="22"/>
                <w:highlight w:val="none"/>
                <w:u w:val="none"/>
                <w:lang w:val="en-US" w:eastAsia="zh-CN" w:bidi="ar"/>
              </w:rPr>
            </w:pPr>
            <w:r>
              <w:rPr>
                <w:rFonts w:hint="eastAsia" w:ascii="宋体" w:hAnsi="宋体" w:eastAsia="宋体" w:cs="宋体"/>
                <w:b w:val="0"/>
                <w:bCs/>
                <w:i w:val="0"/>
                <w:color w:val="000000" w:themeColor="text1"/>
                <w:kern w:val="0"/>
                <w:sz w:val="22"/>
                <w:szCs w:val="22"/>
                <w:highlight w:val="none"/>
                <w:u w:val="none"/>
                <w:lang w:val="en-US" w:eastAsia="zh-CN" w:bidi="ar"/>
              </w:rPr>
              <w:t>接入设备支持PC、笔记本、瘦客户机、ChromeOS终端、Android TC以及安卓和iOS的移动终端；</w:t>
            </w:r>
          </w:p>
          <w:p>
            <w:pPr>
              <w:keepNext w:val="0"/>
              <w:keepLines w:val="0"/>
              <w:widowControl/>
              <w:suppressLineNumbers w:val="0"/>
              <w:jc w:val="left"/>
              <w:textAlignment w:val="center"/>
              <w:rPr>
                <w:rFonts w:hint="eastAsia" w:ascii="宋体" w:hAnsi="宋体" w:eastAsia="宋体" w:cs="宋体"/>
                <w:b w:val="0"/>
                <w:bCs/>
                <w:i w:val="0"/>
                <w:color w:val="000000" w:themeColor="text1"/>
                <w:kern w:val="0"/>
                <w:sz w:val="22"/>
                <w:szCs w:val="22"/>
                <w:highlight w:val="none"/>
                <w:u w:val="none"/>
                <w:lang w:val="en-US" w:eastAsia="zh-CN" w:bidi="ar"/>
              </w:rPr>
            </w:pPr>
            <w:r>
              <w:rPr>
                <w:rFonts w:hint="eastAsia" w:ascii="宋体" w:hAnsi="宋体" w:eastAsia="宋体" w:cs="宋体"/>
                <w:b w:val="0"/>
                <w:bCs/>
                <w:i w:val="0"/>
                <w:color w:val="000000" w:themeColor="text1"/>
                <w:kern w:val="0"/>
                <w:sz w:val="22"/>
                <w:szCs w:val="22"/>
                <w:highlight w:val="none"/>
                <w:u w:val="none"/>
                <w:lang w:val="en-US" w:eastAsia="zh-CN" w:bidi="ar"/>
              </w:rPr>
              <w:t>用户虚拟桌面颜色至少32位，保证图像显示质量，根据连接客户端的分辨率，动态调整虚拟桌面分辨率；</w:t>
            </w:r>
          </w:p>
          <w:p>
            <w:pPr>
              <w:keepNext w:val="0"/>
              <w:keepLines w:val="0"/>
              <w:widowControl/>
              <w:suppressLineNumbers w:val="0"/>
              <w:jc w:val="left"/>
              <w:textAlignment w:val="center"/>
              <w:rPr>
                <w:rFonts w:hint="eastAsia" w:ascii="宋体" w:hAnsi="宋体" w:eastAsia="宋体" w:cs="宋体"/>
                <w:b w:val="0"/>
                <w:bCs/>
                <w:i w:val="0"/>
                <w:color w:val="000000" w:themeColor="text1"/>
                <w:kern w:val="0"/>
                <w:sz w:val="22"/>
                <w:szCs w:val="22"/>
                <w:highlight w:val="none"/>
                <w:u w:val="none"/>
                <w:lang w:val="en-US" w:eastAsia="zh-CN" w:bidi="ar"/>
              </w:rPr>
            </w:pPr>
            <w:r>
              <w:rPr>
                <w:rFonts w:hint="eastAsia" w:ascii="宋体" w:hAnsi="宋体" w:eastAsia="宋体" w:cs="宋体"/>
                <w:b w:val="0"/>
                <w:bCs/>
                <w:i w:val="0"/>
                <w:color w:val="000000" w:themeColor="text1"/>
                <w:kern w:val="0"/>
                <w:sz w:val="22"/>
                <w:szCs w:val="22"/>
                <w:highlight w:val="none"/>
                <w:u w:val="none"/>
                <w:lang w:val="en-US" w:eastAsia="zh-CN" w:bidi="ar"/>
              </w:rPr>
              <w:t>在虚拟机开机、关机过程中，用户可完整看到虚拟机开机和关机过程，提供类似于PC一样的体验；</w:t>
            </w:r>
          </w:p>
          <w:p>
            <w:pPr>
              <w:keepNext w:val="0"/>
              <w:keepLines w:val="0"/>
              <w:widowControl/>
              <w:suppressLineNumbers w:val="0"/>
              <w:jc w:val="left"/>
              <w:textAlignment w:val="center"/>
              <w:rPr>
                <w:rFonts w:hint="eastAsia" w:ascii="宋体" w:hAnsi="宋体" w:eastAsia="宋体" w:cs="宋体"/>
                <w:b w:val="0"/>
                <w:bCs/>
                <w:i w:val="0"/>
                <w:color w:val="000000" w:themeColor="text1"/>
                <w:kern w:val="0"/>
                <w:sz w:val="22"/>
                <w:szCs w:val="22"/>
                <w:highlight w:val="none"/>
                <w:u w:val="none"/>
                <w:lang w:val="en-US" w:eastAsia="zh-CN" w:bidi="ar"/>
              </w:rPr>
            </w:pPr>
            <w:r>
              <w:rPr>
                <w:rFonts w:hint="eastAsia" w:ascii="宋体" w:hAnsi="宋体" w:eastAsia="宋体" w:cs="宋体"/>
                <w:b w:val="0"/>
                <w:bCs/>
                <w:i w:val="0"/>
                <w:color w:val="000000" w:themeColor="text1"/>
                <w:kern w:val="0"/>
                <w:sz w:val="22"/>
                <w:szCs w:val="22"/>
                <w:highlight w:val="none"/>
                <w:u w:val="none"/>
                <w:lang w:val="en-US" w:eastAsia="zh-CN" w:bidi="ar"/>
              </w:rPr>
              <w:t>支持单客户端同时登录多个桌面，并在不断开链接的情况下，实现多桌面屏幕的快速切换功能；</w:t>
            </w:r>
          </w:p>
          <w:p>
            <w:pPr>
              <w:keepNext w:val="0"/>
              <w:keepLines w:val="0"/>
              <w:widowControl/>
              <w:suppressLineNumbers w:val="0"/>
              <w:jc w:val="left"/>
              <w:textAlignment w:val="center"/>
              <w:rPr>
                <w:rFonts w:hint="eastAsia" w:ascii="宋体" w:hAnsi="宋体" w:eastAsia="宋体" w:cs="宋体"/>
                <w:b w:val="0"/>
                <w:bCs/>
                <w:i w:val="0"/>
                <w:color w:val="000000" w:themeColor="text1"/>
                <w:kern w:val="0"/>
                <w:sz w:val="22"/>
                <w:szCs w:val="22"/>
                <w:highlight w:val="none"/>
                <w:u w:val="none"/>
                <w:lang w:val="en-US" w:eastAsia="zh-CN" w:bidi="ar"/>
              </w:rPr>
            </w:pPr>
            <w:r>
              <w:rPr>
                <w:rFonts w:hint="eastAsia" w:ascii="宋体" w:hAnsi="宋体" w:eastAsia="宋体" w:cs="宋体"/>
                <w:b w:val="0"/>
                <w:bCs/>
                <w:i w:val="0"/>
                <w:color w:val="000000" w:themeColor="text1"/>
                <w:kern w:val="0"/>
                <w:sz w:val="22"/>
                <w:szCs w:val="22"/>
                <w:highlight w:val="none"/>
                <w:u w:val="none"/>
                <w:lang w:val="en-US" w:eastAsia="zh-CN" w:bidi="ar"/>
              </w:rPr>
              <w:t>支持用户登录界面的背景、通知栏可以根据需求进行定制；</w:t>
            </w:r>
          </w:p>
          <w:p>
            <w:pPr>
              <w:keepNext w:val="0"/>
              <w:keepLines w:val="0"/>
              <w:widowControl/>
              <w:suppressLineNumbers w:val="0"/>
              <w:jc w:val="left"/>
              <w:textAlignment w:val="center"/>
              <w:rPr>
                <w:rFonts w:hint="eastAsia" w:ascii="宋体" w:hAnsi="宋体" w:eastAsia="宋体" w:cs="宋体"/>
                <w:b w:val="0"/>
                <w:bCs/>
                <w:i w:val="0"/>
                <w:color w:val="000000" w:themeColor="text1"/>
                <w:kern w:val="0"/>
                <w:sz w:val="22"/>
                <w:szCs w:val="22"/>
                <w:highlight w:val="none"/>
                <w:u w:val="none"/>
                <w:lang w:val="en-US" w:eastAsia="zh-CN" w:bidi="ar"/>
              </w:rPr>
            </w:pPr>
            <w:r>
              <w:rPr>
                <w:rFonts w:hint="eastAsia" w:ascii="宋体" w:hAnsi="宋体" w:eastAsia="宋体" w:cs="宋体"/>
                <w:b w:val="0"/>
                <w:bCs/>
                <w:i w:val="0"/>
                <w:color w:val="000000" w:themeColor="text1"/>
                <w:kern w:val="0"/>
                <w:sz w:val="22"/>
                <w:szCs w:val="22"/>
                <w:highlight w:val="none"/>
                <w:u w:val="none"/>
                <w:lang w:val="en-US" w:eastAsia="zh-CN" w:bidi="ar"/>
              </w:rPr>
              <w:t>支持桌面水印，通过管理员配置桌面显示水印功能，可配置固定位置水印和随机位置水印；</w:t>
            </w:r>
          </w:p>
          <w:p>
            <w:pPr>
              <w:keepNext w:val="0"/>
              <w:keepLines w:val="0"/>
              <w:widowControl/>
              <w:suppressLineNumbers w:val="0"/>
              <w:jc w:val="left"/>
              <w:textAlignment w:val="center"/>
              <w:rPr>
                <w:rFonts w:hint="eastAsia" w:ascii="宋体" w:hAnsi="宋体" w:eastAsia="宋体" w:cs="宋体"/>
                <w:b w:val="0"/>
                <w:bCs/>
                <w:i w:val="0"/>
                <w:color w:val="000000" w:themeColor="text1"/>
                <w:kern w:val="0"/>
                <w:sz w:val="22"/>
                <w:szCs w:val="22"/>
                <w:highlight w:val="none"/>
                <w:u w:val="none"/>
                <w:lang w:val="en-US" w:eastAsia="zh-CN" w:bidi="ar"/>
              </w:rPr>
            </w:pPr>
            <w:r>
              <w:rPr>
                <w:rFonts w:hint="eastAsia" w:ascii="宋体" w:hAnsi="宋体" w:eastAsia="宋体" w:cs="宋体"/>
                <w:b w:val="0"/>
                <w:bCs/>
                <w:i w:val="0"/>
                <w:color w:val="000000" w:themeColor="text1"/>
                <w:kern w:val="0"/>
                <w:sz w:val="22"/>
                <w:szCs w:val="22"/>
                <w:highlight w:val="none"/>
                <w:u w:val="none"/>
                <w:lang w:val="en-US" w:eastAsia="zh-CN" w:bidi="ar"/>
              </w:rPr>
              <w:t>★支持单终端双桌面办公：当用户单终端双屏办公时，可以同时登录两个不同的VM，每个屏幕分别呈现1个VM的桌面；也可以用于PC办公场景，一个屏幕显示本地PC桌面，一个屏幕显示远程虚拟桌面；</w:t>
            </w:r>
          </w:p>
          <w:p>
            <w:pPr>
              <w:keepNext w:val="0"/>
              <w:keepLines w:val="0"/>
              <w:widowControl/>
              <w:suppressLineNumbers w:val="0"/>
              <w:jc w:val="left"/>
              <w:textAlignment w:val="center"/>
              <w:rPr>
                <w:rFonts w:hint="eastAsia" w:ascii="宋体" w:hAnsi="宋体" w:eastAsia="宋体" w:cs="宋体"/>
                <w:b w:val="0"/>
                <w:bCs/>
                <w:i w:val="0"/>
                <w:color w:val="000000" w:themeColor="text1"/>
                <w:kern w:val="0"/>
                <w:sz w:val="22"/>
                <w:szCs w:val="22"/>
                <w:highlight w:val="none"/>
                <w:u w:val="none"/>
                <w:lang w:val="en-US" w:eastAsia="zh-CN" w:bidi="ar"/>
              </w:rPr>
            </w:pPr>
            <w:r>
              <w:rPr>
                <w:rFonts w:hint="eastAsia" w:ascii="宋体" w:hAnsi="宋体" w:eastAsia="宋体" w:cs="宋体"/>
                <w:b w:val="0"/>
                <w:bCs/>
                <w:i w:val="0"/>
                <w:color w:val="000000" w:themeColor="text1"/>
                <w:kern w:val="0"/>
                <w:sz w:val="22"/>
                <w:szCs w:val="22"/>
                <w:highlight w:val="none"/>
                <w:u w:val="none"/>
                <w:lang w:val="en-US" w:eastAsia="zh-CN" w:bidi="ar"/>
              </w:rPr>
              <w:t>支持基于位置的打印，可根据策略条件动态匹配添加邻近网络打印机；</w:t>
            </w:r>
          </w:p>
          <w:p>
            <w:pPr>
              <w:keepNext w:val="0"/>
              <w:keepLines w:val="0"/>
              <w:widowControl/>
              <w:suppressLineNumbers w:val="0"/>
              <w:jc w:val="left"/>
              <w:textAlignment w:val="center"/>
              <w:rPr>
                <w:rFonts w:hint="eastAsia" w:ascii="宋体" w:hAnsi="宋体" w:eastAsia="宋体" w:cs="宋体"/>
                <w:b w:val="0"/>
                <w:bCs/>
                <w:i w:val="0"/>
                <w:color w:val="000000" w:themeColor="text1"/>
                <w:kern w:val="0"/>
                <w:sz w:val="22"/>
                <w:szCs w:val="22"/>
                <w:highlight w:val="none"/>
                <w:u w:val="none"/>
                <w:lang w:val="en-US" w:eastAsia="zh-CN" w:bidi="ar"/>
              </w:rPr>
            </w:pPr>
            <w:r>
              <w:rPr>
                <w:rFonts w:hint="eastAsia" w:ascii="宋体" w:hAnsi="宋体" w:eastAsia="宋体" w:cs="宋体"/>
                <w:b w:val="0"/>
                <w:bCs/>
                <w:i w:val="0"/>
                <w:color w:val="000000" w:themeColor="text1"/>
                <w:kern w:val="0"/>
                <w:sz w:val="22"/>
                <w:szCs w:val="22"/>
                <w:highlight w:val="none"/>
                <w:u w:val="none"/>
                <w:lang w:val="en-US" w:eastAsia="zh-CN" w:bidi="ar"/>
              </w:rPr>
              <w:t>提供基于完全B/S架构的业务管理和运维管理界面，无需安装单独的客户端插件；</w:t>
            </w:r>
          </w:p>
          <w:p>
            <w:pPr>
              <w:keepNext w:val="0"/>
              <w:keepLines w:val="0"/>
              <w:widowControl/>
              <w:suppressLineNumbers w:val="0"/>
              <w:jc w:val="left"/>
              <w:textAlignment w:val="center"/>
              <w:rPr>
                <w:rFonts w:hint="eastAsia" w:ascii="宋体" w:hAnsi="宋体" w:eastAsia="宋体" w:cs="宋体"/>
                <w:b w:val="0"/>
                <w:bCs/>
                <w:i w:val="0"/>
                <w:color w:val="000000" w:themeColor="text1"/>
                <w:kern w:val="0"/>
                <w:sz w:val="22"/>
                <w:szCs w:val="22"/>
                <w:highlight w:val="none"/>
                <w:u w:val="none"/>
                <w:lang w:val="en-US" w:eastAsia="zh-CN" w:bidi="ar"/>
              </w:rPr>
            </w:pPr>
            <w:r>
              <w:rPr>
                <w:rFonts w:hint="eastAsia" w:ascii="宋体" w:hAnsi="宋体" w:eastAsia="宋体" w:cs="宋体"/>
                <w:b w:val="0"/>
                <w:bCs/>
                <w:i w:val="0"/>
                <w:color w:val="000000" w:themeColor="text1"/>
                <w:kern w:val="0"/>
                <w:sz w:val="22"/>
                <w:szCs w:val="22"/>
                <w:highlight w:val="none"/>
                <w:u w:val="none"/>
                <w:lang w:val="en-US" w:eastAsia="zh-CN" w:bidi="ar"/>
              </w:rPr>
              <w:t>支持虚拟桌面的批量创建、批量关联、批量解关联、批量开机、批量启动、批量重启；</w:t>
            </w:r>
          </w:p>
          <w:p>
            <w:pPr>
              <w:keepNext w:val="0"/>
              <w:keepLines w:val="0"/>
              <w:widowControl/>
              <w:suppressLineNumbers w:val="0"/>
              <w:jc w:val="left"/>
              <w:textAlignment w:val="center"/>
              <w:rPr>
                <w:rFonts w:hint="eastAsia" w:ascii="宋体" w:hAnsi="宋体" w:eastAsia="宋体" w:cs="宋体"/>
                <w:b w:val="0"/>
                <w:bCs/>
                <w:i w:val="0"/>
                <w:color w:val="000000" w:themeColor="text1"/>
                <w:kern w:val="0"/>
                <w:sz w:val="22"/>
                <w:szCs w:val="22"/>
                <w:highlight w:val="none"/>
                <w:u w:val="none"/>
                <w:lang w:val="en-US" w:eastAsia="zh-CN" w:bidi="ar"/>
              </w:rPr>
            </w:pPr>
            <w:r>
              <w:rPr>
                <w:rFonts w:hint="eastAsia" w:ascii="宋体" w:hAnsi="宋体" w:eastAsia="宋体" w:cs="宋体"/>
                <w:b w:val="0"/>
                <w:bCs/>
                <w:i w:val="0"/>
                <w:color w:val="000000" w:themeColor="text1"/>
                <w:kern w:val="0"/>
                <w:sz w:val="22"/>
                <w:szCs w:val="22"/>
                <w:highlight w:val="none"/>
                <w:u w:val="none"/>
                <w:lang w:val="en-US" w:eastAsia="zh-CN" w:bidi="ar"/>
              </w:rPr>
              <w:t>支持虚拟桌面快速发放，一次操作就可以完成虚拟机的创建与发放，无需管理员中间干预。</w:t>
            </w:r>
          </w:p>
        </w:tc>
        <w:tc>
          <w:tcPr>
            <w:tcW w:w="441" w:type="dxa"/>
            <w:vAlign w:val="center"/>
          </w:tcPr>
          <w:p>
            <w:pPr>
              <w:keepNext w:val="0"/>
              <w:keepLines w:val="0"/>
              <w:widowControl/>
              <w:suppressLineNumbers w:val="0"/>
              <w:jc w:val="center"/>
              <w:textAlignment w:val="center"/>
              <w:rPr>
                <w:rFonts w:hint="eastAsia"/>
                <w:b w:val="0"/>
                <w:bCs/>
                <w:color w:val="000000" w:themeColor="text1"/>
                <w:highlight w:val="none"/>
                <w:vertAlign w:val="baseline"/>
                <w:lang w:val="en-US" w:eastAsia="zh-CN"/>
              </w:rPr>
            </w:pPr>
            <w:r>
              <w:rPr>
                <w:rFonts w:hint="eastAsia" w:ascii="宋体" w:hAnsi="宋体" w:eastAsia="宋体" w:cs="宋体"/>
                <w:b w:val="0"/>
                <w:bCs/>
                <w:i w:val="0"/>
                <w:color w:val="000000" w:themeColor="text1"/>
                <w:kern w:val="0"/>
                <w:sz w:val="22"/>
                <w:szCs w:val="22"/>
                <w:highlight w:val="none"/>
                <w:u w:val="none"/>
                <w:lang w:val="en-US" w:eastAsia="zh-CN" w:bidi="ar"/>
              </w:rPr>
              <w:t>1</w:t>
            </w:r>
          </w:p>
        </w:tc>
        <w:tc>
          <w:tcPr>
            <w:tcW w:w="486" w:type="dxa"/>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kern w:val="0"/>
                <w:sz w:val="22"/>
                <w:szCs w:val="22"/>
                <w:highlight w:val="none"/>
                <w:u w:val="none"/>
                <w:lang w:val="en-US" w:eastAsia="zh-CN" w:bidi="ar"/>
              </w:rPr>
            </w:pPr>
            <w:r>
              <w:rPr>
                <w:rFonts w:hint="eastAsia" w:ascii="宋体" w:hAnsi="宋体" w:eastAsia="宋体" w:cs="宋体"/>
                <w:b w:val="0"/>
                <w:bCs/>
                <w:i w:val="0"/>
                <w:color w:val="000000" w:themeColor="text1"/>
                <w:kern w:val="0"/>
                <w:sz w:val="22"/>
                <w:szCs w:val="22"/>
                <w:highlight w:val="none"/>
                <w:u w:val="none"/>
                <w:lang w:val="en-US" w:eastAsia="zh-CN" w:bidi="ar"/>
              </w:rPr>
              <w:t>项</w:t>
            </w:r>
          </w:p>
        </w:tc>
        <w:tc>
          <w:tcPr>
            <w:tcW w:w="530" w:type="dxa"/>
            <w:vAlign w:val="center"/>
          </w:tcPr>
          <w:p>
            <w:pPr>
              <w:rPr>
                <w:b w:val="0"/>
                <w:bCs/>
                <w:color w:val="000000" w:themeColor="text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 w:type="dxa"/>
            <w:vAlign w:val="center"/>
          </w:tcPr>
          <w:p>
            <w:pPr>
              <w:keepNext w:val="0"/>
              <w:keepLines w:val="0"/>
              <w:widowControl/>
              <w:suppressLineNumbers w:val="0"/>
              <w:jc w:val="center"/>
              <w:textAlignment w:val="center"/>
              <w:rPr>
                <w:rFonts w:hint="eastAsia" w:eastAsiaTheme="minorEastAsia"/>
                <w:b w:val="0"/>
                <w:bCs/>
                <w:color w:val="000000" w:themeColor="text1"/>
                <w:highlight w:val="none"/>
                <w:vertAlign w:val="baseline"/>
                <w:lang w:val="en-US" w:eastAsia="zh-CN"/>
              </w:rPr>
            </w:pPr>
            <w:r>
              <w:rPr>
                <w:rFonts w:hint="eastAsia"/>
                <w:b w:val="0"/>
                <w:bCs/>
                <w:color w:val="000000" w:themeColor="text1"/>
                <w:highlight w:val="none"/>
                <w:vertAlign w:val="baseline"/>
                <w:lang w:val="en-US" w:eastAsia="zh-CN"/>
              </w:rPr>
              <w:t>3</w:t>
            </w:r>
          </w:p>
        </w:tc>
        <w:tc>
          <w:tcPr>
            <w:tcW w:w="1255" w:type="dxa"/>
            <w:vAlign w:val="center"/>
          </w:tcPr>
          <w:p>
            <w:pPr>
              <w:keepNext w:val="0"/>
              <w:keepLines w:val="0"/>
              <w:widowControl/>
              <w:suppressLineNumbers w:val="0"/>
              <w:jc w:val="center"/>
              <w:textAlignment w:val="center"/>
              <w:rPr>
                <w:b w:val="0"/>
                <w:bCs/>
                <w:color w:val="000000" w:themeColor="text1"/>
                <w:highlight w:val="none"/>
                <w:vertAlign w:val="baseline"/>
              </w:rPr>
            </w:pPr>
            <w:r>
              <w:rPr>
                <w:rFonts w:hint="eastAsia" w:ascii="宋体" w:hAnsi="宋体" w:eastAsia="宋体" w:cs="宋体"/>
                <w:b w:val="0"/>
                <w:bCs/>
                <w:i w:val="0"/>
                <w:color w:val="000000" w:themeColor="text1"/>
                <w:kern w:val="0"/>
                <w:sz w:val="22"/>
                <w:szCs w:val="22"/>
                <w:highlight w:val="none"/>
                <w:u w:val="none"/>
                <w:lang w:val="en-US" w:eastAsia="zh-CN" w:bidi="ar"/>
              </w:rPr>
              <w:t>桌面云瘦终端（包含终端KVM 切换器）</w:t>
            </w:r>
          </w:p>
        </w:tc>
        <w:tc>
          <w:tcPr>
            <w:tcW w:w="6111" w:type="dxa"/>
            <w:vAlign w:val="center"/>
          </w:tcPr>
          <w:p>
            <w:pPr>
              <w:keepNext w:val="0"/>
              <w:keepLines w:val="0"/>
              <w:widowControl/>
              <w:suppressLineNumbers w:val="0"/>
              <w:jc w:val="left"/>
              <w:textAlignment w:val="center"/>
              <w:rPr>
                <w:b w:val="0"/>
                <w:bCs/>
                <w:color w:val="000000" w:themeColor="text1"/>
                <w:highlight w:val="none"/>
                <w:vertAlign w:val="baseline"/>
              </w:rPr>
            </w:pPr>
            <w:r>
              <w:rPr>
                <w:rFonts w:hint="eastAsia" w:ascii="宋体" w:hAnsi="宋体" w:eastAsia="宋体" w:cs="宋体"/>
                <w:b w:val="0"/>
                <w:bCs/>
                <w:i w:val="0"/>
                <w:color w:val="000000" w:themeColor="text1"/>
                <w:kern w:val="0"/>
                <w:sz w:val="22"/>
                <w:szCs w:val="22"/>
                <w:highlight w:val="none"/>
                <w:u w:val="none"/>
                <w:lang w:val="en-US" w:eastAsia="zh-CN" w:bidi="ar"/>
              </w:rPr>
              <w:t>采用Intel处理器，处理器计算能力双核2.41GHz，Linux操作系统；</w:t>
            </w:r>
            <w:r>
              <w:rPr>
                <w:rFonts w:hint="eastAsia" w:ascii="宋体" w:hAnsi="宋体" w:eastAsia="宋体" w:cs="宋体"/>
                <w:b w:val="0"/>
                <w:bCs/>
                <w:i w:val="0"/>
                <w:color w:val="000000" w:themeColor="text1"/>
                <w:kern w:val="0"/>
                <w:sz w:val="22"/>
                <w:szCs w:val="22"/>
                <w:highlight w:val="none"/>
                <w:u w:val="none"/>
                <w:lang w:val="en-US" w:eastAsia="zh-CN" w:bidi="ar"/>
              </w:rPr>
              <w:br w:type="textWrapping"/>
            </w:r>
            <w:r>
              <w:rPr>
                <w:rFonts w:hint="eastAsia" w:ascii="宋体" w:hAnsi="宋体" w:eastAsia="宋体" w:cs="宋体"/>
                <w:b w:val="0"/>
                <w:bCs/>
                <w:i w:val="0"/>
                <w:color w:val="000000" w:themeColor="text1"/>
                <w:kern w:val="0"/>
                <w:sz w:val="22"/>
                <w:szCs w:val="22"/>
                <w:highlight w:val="none"/>
                <w:u w:val="none"/>
                <w:lang w:val="en-US" w:eastAsia="zh-CN" w:bidi="ar"/>
              </w:rPr>
              <w:t>采用DDR3内存，容量2GB；</w:t>
            </w:r>
            <w:r>
              <w:rPr>
                <w:rFonts w:hint="eastAsia" w:ascii="宋体" w:hAnsi="宋体" w:eastAsia="宋体" w:cs="宋体"/>
                <w:b w:val="0"/>
                <w:bCs/>
                <w:i w:val="0"/>
                <w:color w:val="000000" w:themeColor="text1"/>
                <w:kern w:val="0"/>
                <w:sz w:val="22"/>
                <w:szCs w:val="22"/>
                <w:highlight w:val="none"/>
                <w:u w:val="none"/>
                <w:lang w:val="en-US" w:eastAsia="zh-CN" w:bidi="ar"/>
              </w:rPr>
              <w:br w:type="textWrapping"/>
            </w:r>
            <w:r>
              <w:rPr>
                <w:rFonts w:hint="eastAsia" w:ascii="宋体" w:hAnsi="宋体" w:eastAsia="宋体" w:cs="宋体"/>
                <w:b w:val="0"/>
                <w:bCs/>
                <w:i w:val="0"/>
                <w:color w:val="000000" w:themeColor="text1"/>
                <w:kern w:val="0"/>
                <w:sz w:val="22"/>
                <w:szCs w:val="22"/>
                <w:highlight w:val="none"/>
                <w:u w:val="none"/>
                <w:lang w:val="en-US" w:eastAsia="zh-CN" w:bidi="ar"/>
              </w:rPr>
              <w:t>采用eMMC/SSD/SATA DOM存储，容量16GB；</w:t>
            </w:r>
            <w:r>
              <w:rPr>
                <w:rFonts w:hint="eastAsia" w:ascii="宋体" w:hAnsi="宋体" w:eastAsia="宋体" w:cs="宋体"/>
                <w:b w:val="0"/>
                <w:bCs/>
                <w:i w:val="0"/>
                <w:color w:val="000000" w:themeColor="text1"/>
                <w:kern w:val="0"/>
                <w:sz w:val="22"/>
                <w:szCs w:val="22"/>
                <w:highlight w:val="none"/>
                <w:u w:val="none"/>
                <w:lang w:val="en-US" w:eastAsia="zh-CN" w:bidi="ar"/>
              </w:rPr>
              <w:br w:type="textWrapping"/>
            </w:r>
            <w:r>
              <w:rPr>
                <w:rFonts w:hint="eastAsia" w:ascii="宋体" w:hAnsi="宋体" w:eastAsia="宋体" w:cs="宋体"/>
                <w:b w:val="0"/>
                <w:bCs/>
                <w:i w:val="0"/>
                <w:color w:val="000000" w:themeColor="text1"/>
                <w:kern w:val="0"/>
                <w:sz w:val="22"/>
                <w:szCs w:val="22"/>
                <w:highlight w:val="none"/>
                <w:u w:val="none"/>
                <w:lang w:val="en-US" w:eastAsia="zh-CN" w:bidi="ar"/>
              </w:rPr>
              <w:t>提供1个千兆自适应电口网卡；</w:t>
            </w:r>
            <w:r>
              <w:rPr>
                <w:rFonts w:hint="eastAsia" w:ascii="宋体" w:hAnsi="宋体" w:eastAsia="宋体" w:cs="宋体"/>
                <w:b w:val="0"/>
                <w:bCs/>
                <w:i w:val="0"/>
                <w:color w:val="000000" w:themeColor="text1"/>
                <w:kern w:val="0"/>
                <w:sz w:val="22"/>
                <w:szCs w:val="22"/>
                <w:highlight w:val="none"/>
                <w:u w:val="none"/>
                <w:lang w:val="en-US" w:eastAsia="zh-CN" w:bidi="ar"/>
              </w:rPr>
              <w:br w:type="textWrapping"/>
            </w:r>
            <w:r>
              <w:rPr>
                <w:rFonts w:hint="eastAsia" w:ascii="宋体" w:hAnsi="宋体" w:eastAsia="宋体" w:cs="宋体"/>
                <w:b w:val="0"/>
                <w:bCs/>
                <w:i w:val="0"/>
                <w:color w:val="000000" w:themeColor="text1"/>
                <w:kern w:val="0"/>
                <w:sz w:val="22"/>
                <w:szCs w:val="22"/>
                <w:highlight w:val="none"/>
                <w:u w:val="none"/>
                <w:lang w:val="en-US" w:eastAsia="zh-CN" w:bidi="ar"/>
              </w:rPr>
              <w:t>提供5个USB 2.0标准接口+1个USB 3.0标准接口；</w:t>
            </w:r>
            <w:r>
              <w:rPr>
                <w:rFonts w:hint="eastAsia" w:ascii="宋体" w:hAnsi="宋体" w:eastAsia="宋体" w:cs="宋体"/>
                <w:b w:val="0"/>
                <w:bCs/>
                <w:i w:val="0"/>
                <w:color w:val="000000" w:themeColor="text1"/>
                <w:kern w:val="0"/>
                <w:sz w:val="22"/>
                <w:szCs w:val="22"/>
                <w:highlight w:val="none"/>
                <w:u w:val="none"/>
                <w:lang w:val="en-US" w:eastAsia="zh-CN" w:bidi="ar"/>
              </w:rPr>
              <w:br w:type="textWrapping"/>
            </w:r>
            <w:r>
              <w:rPr>
                <w:rFonts w:hint="eastAsia" w:ascii="宋体" w:hAnsi="宋体" w:eastAsia="宋体" w:cs="宋体"/>
                <w:b w:val="0"/>
                <w:bCs/>
                <w:i w:val="0"/>
                <w:color w:val="000000" w:themeColor="text1"/>
                <w:kern w:val="0"/>
                <w:sz w:val="22"/>
                <w:szCs w:val="22"/>
                <w:highlight w:val="none"/>
                <w:u w:val="none"/>
                <w:lang w:val="en-US" w:eastAsia="zh-CN" w:bidi="ar"/>
              </w:rPr>
              <w:t>提供音频接口，含耳机和麦克风接口；</w:t>
            </w:r>
            <w:r>
              <w:rPr>
                <w:rFonts w:hint="eastAsia" w:ascii="宋体" w:hAnsi="宋体" w:eastAsia="宋体" w:cs="宋体"/>
                <w:b w:val="0"/>
                <w:bCs/>
                <w:i w:val="0"/>
                <w:color w:val="000000" w:themeColor="text1"/>
                <w:kern w:val="0"/>
                <w:sz w:val="22"/>
                <w:szCs w:val="22"/>
                <w:highlight w:val="none"/>
                <w:u w:val="none"/>
                <w:lang w:val="en-US" w:eastAsia="zh-CN" w:bidi="ar"/>
              </w:rPr>
              <w:br w:type="textWrapping"/>
            </w:r>
            <w:r>
              <w:rPr>
                <w:rFonts w:hint="eastAsia" w:ascii="宋体" w:hAnsi="宋体" w:eastAsia="宋体" w:cs="宋体"/>
                <w:b w:val="0"/>
                <w:bCs/>
                <w:i w:val="0"/>
                <w:color w:val="000000" w:themeColor="text1"/>
                <w:kern w:val="0"/>
                <w:sz w:val="22"/>
                <w:szCs w:val="22"/>
                <w:highlight w:val="none"/>
                <w:u w:val="none"/>
                <w:lang w:val="en-US" w:eastAsia="zh-CN" w:bidi="ar"/>
              </w:rPr>
              <w:t>提供DVI-I显示接口，最大分辨率：1920x1200@60Hz；</w:t>
            </w:r>
            <w:r>
              <w:rPr>
                <w:rFonts w:hint="eastAsia" w:ascii="宋体" w:hAnsi="宋体" w:eastAsia="宋体" w:cs="宋体"/>
                <w:b w:val="0"/>
                <w:bCs/>
                <w:i w:val="0"/>
                <w:color w:val="000000" w:themeColor="text1"/>
                <w:kern w:val="0"/>
                <w:sz w:val="22"/>
                <w:szCs w:val="22"/>
                <w:highlight w:val="none"/>
                <w:u w:val="none"/>
                <w:lang w:val="en-US" w:eastAsia="zh-CN" w:bidi="ar"/>
              </w:rPr>
              <w:br w:type="textWrapping"/>
            </w:r>
            <w:r>
              <w:rPr>
                <w:rFonts w:hint="eastAsia" w:ascii="宋体" w:hAnsi="宋体" w:eastAsia="宋体" w:cs="宋体"/>
                <w:b w:val="0"/>
                <w:bCs/>
                <w:i w:val="0"/>
                <w:color w:val="000000" w:themeColor="text1"/>
                <w:kern w:val="0"/>
                <w:sz w:val="22"/>
                <w:szCs w:val="22"/>
                <w:highlight w:val="none"/>
                <w:u w:val="none"/>
                <w:lang w:val="en-US" w:eastAsia="zh-CN" w:bidi="ar"/>
              </w:rPr>
              <w:t>支持通过终端管理系统进行远程管理：终端分组添加、终端管理与升级、远程配置&amp;更新；</w:t>
            </w:r>
            <w:r>
              <w:rPr>
                <w:rFonts w:hint="eastAsia" w:ascii="宋体" w:hAnsi="宋体" w:eastAsia="宋体" w:cs="宋体"/>
                <w:b w:val="0"/>
                <w:bCs/>
                <w:i w:val="0"/>
                <w:color w:val="000000" w:themeColor="text1"/>
                <w:kern w:val="0"/>
                <w:sz w:val="22"/>
                <w:szCs w:val="22"/>
                <w:highlight w:val="none"/>
                <w:u w:val="none"/>
                <w:lang w:val="en-US" w:eastAsia="zh-CN" w:bidi="ar"/>
              </w:rPr>
              <w:br w:type="textWrapping"/>
            </w:r>
            <w:r>
              <w:rPr>
                <w:rFonts w:hint="eastAsia" w:ascii="宋体" w:hAnsi="宋体" w:eastAsia="宋体" w:cs="宋体"/>
                <w:b w:val="0"/>
                <w:bCs/>
                <w:i w:val="0"/>
                <w:color w:val="000000" w:themeColor="text1"/>
                <w:kern w:val="0"/>
                <w:sz w:val="22"/>
                <w:szCs w:val="22"/>
                <w:highlight w:val="none"/>
                <w:u w:val="none"/>
                <w:lang w:val="en-US" w:eastAsia="zh-CN" w:bidi="ar"/>
              </w:rPr>
              <w:t>提供至少三年硬件维保服务；</w:t>
            </w:r>
            <w:r>
              <w:rPr>
                <w:rFonts w:hint="eastAsia" w:ascii="宋体" w:hAnsi="宋体" w:eastAsia="宋体" w:cs="宋体"/>
                <w:b w:val="0"/>
                <w:bCs/>
                <w:i w:val="0"/>
                <w:color w:val="000000" w:themeColor="text1"/>
                <w:kern w:val="0"/>
                <w:sz w:val="22"/>
                <w:szCs w:val="22"/>
                <w:highlight w:val="none"/>
                <w:u w:val="none"/>
                <w:lang w:val="en-US" w:eastAsia="zh-CN" w:bidi="ar"/>
              </w:rPr>
              <w:br w:type="textWrapping"/>
            </w:r>
            <w:r>
              <w:rPr>
                <w:rFonts w:hint="eastAsia" w:ascii="宋体" w:hAnsi="宋体" w:eastAsia="宋体" w:cs="宋体"/>
                <w:b w:val="0"/>
                <w:bCs/>
                <w:i w:val="0"/>
                <w:color w:val="000000" w:themeColor="text1"/>
                <w:kern w:val="0"/>
                <w:sz w:val="22"/>
                <w:szCs w:val="22"/>
                <w:highlight w:val="none"/>
                <w:u w:val="none"/>
                <w:lang w:val="en-US" w:eastAsia="zh-CN" w:bidi="ar"/>
              </w:rPr>
              <w:t>2 kvm切换器2口dvi高清4k二进一出2进1出电脑切换器主机共享鼠标键盘显示器屏幕</w:t>
            </w:r>
          </w:p>
        </w:tc>
        <w:tc>
          <w:tcPr>
            <w:tcW w:w="441" w:type="dxa"/>
            <w:vAlign w:val="center"/>
          </w:tcPr>
          <w:p>
            <w:pPr>
              <w:keepNext w:val="0"/>
              <w:keepLines w:val="0"/>
              <w:widowControl/>
              <w:suppressLineNumbers w:val="0"/>
              <w:jc w:val="center"/>
              <w:textAlignment w:val="center"/>
              <w:rPr>
                <w:rFonts w:hint="default" w:eastAsiaTheme="minorEastAsia"/>
                <w:b w:val="0"/>
                <w:bCs/>
                <w:color w:val="000000" w:themeColor="text1"/>
                <w:highlight w:val="none"/>
                <w:vertAlign w:val="baseline"/>
                <w:lang w:val="en-US" w:eastAsia="zh-CN"/>
              </w:rPr>
            </w:pPr>
            <w:r>
              <w:rPr>
                <w:rFonts w:hint="eastAsia"/>
                <w:b w:val="0"/>
                <w:bCs/>
                <w:color w:val="000000" w:themeColor="text1"/>
                <w:highlight w:val="none"/>
                <w:vertAlign w:val="baseline"/>
                <w:lang w:val="en-US" w:eastAsia="zh-CN"/>
              </w:rPr>
              <w:t>56</w:t>
            </w:r>
          </w:p>
        </w:tc>
        <w:tc>
          <w:tcPr>
            <w:tcW w:w="486" w:type="dxa"/>
            <w:vAlign w:val="center"/>
          </w:tcPr>
          <w:p>
            <w:pPr>
              <w:keepNext w:val="0"/>
              <w:keepLines w:val="0"/>
              <w:widowControl/>
              <w:suppressLineNumbers w:val="0"/>
              <w:jc w:val="center"/>
              <w:textAlignment w:val="center"/>
              <w:rPr>
                <w:b w:val="0"/>
                <w:bCs/>
                <w:color w:val="000000" w:themeColor="text1"/>
                <w:highlight w:val="none"/>
                <w:vertAlign w:val="baseline"/>
              </w:rPr>
            </w:pPr>
            <w:r>
              <w:rPr>
                <w:rFonts w:hint="eastAsia" w:ascii="宋体" w:hAnsi="宋体" w:eastAsia="宋体" w:cs="宋体"/>
                <w:b w:val="0"/>
                <w:bCs/>
                <w:i w:val="0"/>
                <w:color w:val="000000" w:themeColor="text1"/>
                <w:kern w:val="0"/>
                <w:sz w:val="22"/>
                <w:szCs w:val="22"/>
                <w:highlight w:val="none"/>
                <w:u w:val="none"/>
                <w:lang w:val="en-US" w:eastAsia="zh-CN" w:bidi="ar"/>
              </w:rPr>
              <w:t>台</w:t>
            </w:r>
          </w:p>
        </w:tc>
        <w:tc>
          <w:tcPr>
            <w:tcW w:w="530" w:type="dxa"/>
            <w:vAlign w:val="center"/>
          </w:tcPr>
          <w:p>
            <w:pPr>
              <w:jc w:val="center"/>
              <w:rPr>
                <w:b w:val="0"/>
                <w:bCs/>
                <w:color w:val="000000" w:themeColor="text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 w:type="dxa"/>
            <w:vAlign w:val="center"/>
          </w:tcPr>
          <w:p>
            <w:pPr>
              <w:keepNext w:val="0"/>
              <w:keepLines w:val="0"/>
              <w:widowControl/>
              <w:suppressLineNumbers w:val="0"/>
              <w:jc w:val="center"/>
              <w:textAlignment w:val="center"/>
              <w:rPr>
                <w:rFonts w:hint="eastAsia" w:eastAsiaTheme="minorEastAsia"/>
                <w:b w:val="0"/>
                <w:bCs/>
                <w:color w:val="000000" w:themeColor="text1"/>
                <w:highlight w:val="none"/>
                <w:vertAlign w:val="baseline"/>
                <w:lang w:val="en-US" w:eastAsia="zh-CN"/>
              </w:rPr>
            </w:pPr>
            <w:r>
              <w:rPr>
                <w:rFonts w:hint="eastAsia"/>
                <w:b w:val="0"/>
                <w:bCs/>
                <w:color w:val="000000" w:themeColor="text1"/>
                <w:highlight w:val="none"/>
                <w:vertAlign w:val="baseline"/>
                <w:lang w:val="en-US" w:eastAsia="zh-CN"/>
              </w:rPr>
              <w:t>4</w:t>
            </w:r>
          </w:p>
        </w:tc>
        <w:tc>
          <w:tcPr>
            <w:tcW w:w="1255" w:type="dxa"/>
            <w:vAlign w:val="center"/>
          </w:tcPr>
          <w:p>
            <w:pPr>
              <w:keepNext w:val="0"/>
              <w:keepLines w:val="0"/>
              <w:widowControl/>
              <w:suppressLineNumbers w:val="0"/>
              <w:jc w:val="center"/>
              <w:textAlignment w:val="center"/>
              <w:rPr>
                <w:b w:val="0"/>
                <w:bCs/>
                <w:color w:val="000000" w:themeColor="text1"/>
                <w:highlight w:val="none"/>
                <w:vertAlign w:val="baseline"/>
              </w:rPr>
            </w:pPr>
            <w:r>
              <w:rPr>
                <w:rFonts w:hint="eastAsia" w:ascii="宋体" w:hAnsi="宋体" w:eastAsia="宋体" w:cs="宋体"/>
                <w:b w:val="0"/>
                <w:bCs/>
                <w:i w:val="0"/>
                <w:color w:val="000000" w:themeColor="text1"/>
                <w:kern w:val="0"/>
                <w:sz w:val="22"/>
                <w:szCs w:val="22"/>
                <w:highlight w:val="none"/>
                <w:u w:val="none"/>
                <w:lang w:val="en-US" w:eastAsia="zh-CN" w:bidi="ar"/>
              </w:rPr>
              <w:t>显示器及支架</w:t>
            </w:r>
          </w:p>
        </w:tc>
        <w:tc>
          <w:tcPr>
            <w:tcW w:w="6111" w:type="dxa"/>
            <w:vAlign w:val="center"/>
          </w:tcPr>
          <w:p>
            <w:pPr>
              <w:keepNext w:val="0"/>
              <w:keepLines w:val="0"/>
              <w:widowControl/>
              <w:suppressLineNumbers w:val="0"/>
              <w:jc w:val="left"/>
              <w:textAlignment w:val="center"/>
              <w:rPr>
                <w:b w:val="0"/>
                <w:bCs/>
                <w:color w:val="000000" w:themeColor="text1"/>
                <w:highlight w:val="none"/>
                <w:vertAlign w:val="baseline"/>
              </w:rPr>
            </w:pPr>
            <w:r>
              <w:rPr>
                <w:rFonts w:hint="eastAsia" w:ascii="宋体" w:hAnsi="宋体" w:eastAsia="宋体" w:cs="宋体"/>
                <w:b w:val="0"/>
                <w:bCs/>
                <w:i w:val="0"/>
                <w:color w:val="000000" w:themeColor="text1"/>
                <w:kern w:val="0"/>
                <w:sz w:val="22"/>
                <w:szCs w:val="22"/>
                <w:highlight w:val="none"/>
                <w:u w:val="none"/>
                <w:lang w:val="en-US" w:eastAsia="zh-CN" w:bidi="ar"/>
              </w:rPr>
              <w:t xml:space="preserve">显示器：22.5W 16:10三边无边+快拆支架；AH-IPS广视角，DC不闪屏，低蓝光设置，VGA/HDMI,72%NTSC(基于 CIE 1931)，1920*1200；支持iMenu 调节软件；支持e-Saver管理软件，智能关机；支持VESA壁挂；国家节能认证产品。 </w:t>
            </w:r>
            <w:r>
              <w:rPr>
                <w:rFonts w:hint="eastAsia" w:ascii="宋体" w:hAnsi="宋体" w:eastAsia="宋体" w:cs="宋体"/>
                <w:b w:val="0"/>
                <w:bCs/>
                <w:i w:val="0"/>
                <w:color w:val="000000" w:themeColor="text1"/>
                <w:kern w:val="0"/>
                <w:sz w:val="22"/>
                <w:szCs w:val="22"/>
                <w:highlight w:val="none"/>
                <w:u w:val="none"/>
                <w:lang w:val="en-US" w:eastAsia="zh-CN" w:bidi="ar"/>
              </w:rPr>
              <w:br w:type="textWrapping"/>
            </w:r>
            <w:r>
              <w:rPr>
                <w:rFonts w:hint="eastAsia" w:ascii="宋体" w:hAnsi="宋体" w:eastAsia="宋体" w:cs="宋体"/>
                <w:b w:val="0"/>
                <w:bCs/>
                <w:i w:val="0"/>
                <w:color w:val="000000" w:themeColor="text1"/>
                <w:kern w:val="0"/>
                <w:sz w:val="22"/>
                <w:szCs w:val="22"/>
                <w:highlight w:val="none"/>
                <w:u w:val="none"/>
                <w:lang w:val="en-US" w:eastAsia="zh-CN" w:bidi="ar"/>
              </w:rPr>
              <w:t>显示支架：银色航空级铝材一体锻压成型；弹簧式悬臂；悬臂悬停承重不低于8KG；适用显示器孔距：100*100,75*75mm；孔式、夹持两种安装方式；360°自由旋转/伸缩/升降，屏幕水平旋转+-90度，悬臂水平旋转+-180度， 底座上支点水平旋转270度，屏幕水平旋转+-90 度，悬臂水平旋转+-180度，底座上支点水平 旋转 270度；仰角-90度，俯角-90度，横竖屏旋转角度360度。</w:t>
            </w:r>
          </w:p>
        </w:tc>
        <w:tc>
          <w:tcPr>
            <w:tcW w:w="441" w:type="dxa"/>
            <w:vAlign w:val="center"/>
          </w:tcPr>
          <w:p>
            <w:pPr>
              <w:keepNext w:val="0"/>
              <w:keepLines w:val="0"/>
              <w:widowControl/>
              <w:suppressLineNumbers w:val="0"/>
              <w:jc w:val="both"/>
              <w:textAlignment w:val="center"/>
              <w:rPr>
                <w:rFonts w:hint="default" w:eastAsiaTheme="minorEastAsia"/>
                <w:b w:val="0"/>
                <w:bCs/>
                <w:color w:val="000000" w:themeColor="text1"/>
                <w:highlight w:val="none"/>
                <w:vertAlign w:val="baseline"/>
                <w:lang w:val="en-US" w:eastAsia="zh-CN"/>
              </w:rPr>
            </w:pPr>
            <w:r>
              <w:rPr>
                <w:rFonts w:hint="eastAsia"/>
                <w:b w:val="0"/>
                <w:bCs/>
                <w:color w:val="000000" w:themeColor="text1"/>
                <w:highlight w:val="none"/>
                <w:vertAlign w:val="baseline"/>
                <w:lang w:val="en-US" w:eastAsia="zh-CN"/>
              </w:rPr>
              <w:t>56</w:t>
            </w:r>
          </w:p>
        </w:tc>
        <w:tc>
          <w:tcPr>
            <w:tcW w:w="486" w:type="dxa"/>
            <w:vAlign w:val="center"/>
          </w:tcPr>
          <w:p>
            <w:pPr>
              <w:keepNext w:val="0"/>
              <w:keepLines w:val="0"/>
              <w:widowControl/>
              <w:suppressLineNumbers w:val="0"/>
              <w:jc w:val="center"/>
              <w:textAlignment w:val="center"/>
              <w:rPr>
                <w:b w:val="0"/>
                <w:bCs/>
                <w:color w:val="000000" w:themeColor="text1"/>
                <w:highlight w:val="none"/>
                <w:vertAlign w:val="baseline"/>
              </w:rPr>
            </w:pPr>
            <w:r>
              <w:rPr>
                <w:rFonts w:hint="eastAsia" w:ascii="宋体" w:hAnsi="宋体" w:eastAsia="宋体" w:cs="宋体"/>
                <w:b w:val="0"/>
                <w:bCs/>
                <w:i w:val="0"/>
                <w:color w:val="000000" w:themeColor="text1"/>
                <w:kern w:val="0"/>
                <w:sz w:val="22"/>
                <w:szCs w:val="22"/>
                <w:highlight w:val="none"/>
                <w:u w:val="none"/>
                <w:lang w:val="en-US" w:eastAsia="zh-CN" w:bidi="ar"/>
              </w:rPr>
              <w:t>台</w:t>
            </w:r>
          </w:p>
        </w:tc>
        <w:tc>
          <w:tcPr>
            <w:tcW w:w="530" w:type="dxa"/>
            <w:vAlign w:val="center"/>
          </w:tcPr>
          <w:p>
            <w:pPr>
              <w:jc w:val="center"/>
              <w:rPr>
                <w:b w:val="0"/>
                <w:bCs/>
                <w:color w:val="000000" w:themeColor="text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 w:type="dxa"/>
            <w:vAlign w:val="center"/>
          </w:tcPr>
          <w:p>
            <w:pPr>
              <w:keepNext w:val="0"/>
              <w:keepLines w:val="0"/>
              <w:widowControl/>
              <w:suppressLineNumbers w:val="0"/>
              <w:jc w:val="center"/>
              <w:textAlignment w:val="center"/>
              <w:rPr>
                <w:rFonts w:hint="eastAsia" w:eastAsiaTheme="minorEastAsia"/>
                <w:b w:val="0"/>
                <w:bCs/>
                <w:color w:val="000000" w:themeColor="text1"/>
                <w:highlight w:val="none"/>
                <w:vertAlign w:val="baseline"/>
                <w:lang w:val="en-US" w:eastAsia="zh-CN"/>
              </w:rPr>
            </w:pPr>
            <w:r>
              <w:rPr>
                <w:rFonts w:hint="eastAsia"/>
                <w:b w:val="0"/>
                <w:bCs/>
                <w:color w:val="000000" w:themeColor="text1"/>
                <w:highlight w:val="none"/>
                <w:vertAlign w:val="baseline"/>
                <w:lang w:val="en-US" w:eastAsia="zh-CN"/>
              </w:rPr>
              <w:t>5</w:t>
            </w:r>
          </w:p>
        </w:tc>
        <w:tc>
          <w:tcPr>
            <w:tcW w:w="1255" w:type="dxa"/>
            <w:vAlign w:val="center"/>
          </w:tcPr>
          <w:p>
            <w:pPr>
              <w:keepNext w:val="0"/>
              <w:keepLines w:val="0"/>
              <w:widowControl/>
              <w:suppressLineNumbers w:val="0"/>
              <w:jc w:val="center"/>
              <w:textAlignment w:val="center"/>
              <w:rPr>
                <w:b w:val="0"/>
                <w:bCs/>
                <w:color w:val="000000" w:themeColor="text1"/>
                <w:highlight w:val="none"/>
                <w:vertAlign w:val="baseline"/>
              </w:rPr>
            </w:pPr>
            <w:r>
              <w:rPr>
                <w:rFonts w:hint="eastAsia" w:ascii="宋体" w:hAnsi="宋体" w:eastAsia="宋体" w:cs="宋体"/>
                <w:b w:val="0"/>
                <w:bCs/>
                <w:i w:val="0"/>
                <w:color w:val="000000" w:themeColor="text1"/>
                <w:kern w:val="0"/>
                <w:sz w:val="22"/>
                <w:szCs w:val="22"/>
                <w:highlight w:val="none"/>
                <w:u w:val="none"/>
                <w:lang w:val="en-US" w:eastAsia="zh-CN" w:bidi="ar"/>
              </w:rPr>
              <w:t>键盘键鼠套件</w:t>
            </w:r>
          </w:p>
        </w:tc>
        <w:tc>
          <w:tcPr>
            <w:tcW w:w="6111" w:type="dxa"/>
            <w:vAlign w:val="center"/>
          </w:tcPr>
          <w:p>
            <w:pPr>
              <w:keepNext w:val="0"/>
              <w:keepLines w:val="0"/>
              <w:widowControl/>
              <w:suppressLineNumbers w:val="0"/>
              <w:jc w:val="left"/>
              <w:textAlignment w:val="center"/>
              <w:rPr>
                <w:b w:val="0"/>
                <w:bCs/>
                <w:color w:val="000000" w:themeColor="text1"/>
                <w:highlight w:val="none"/>
                <w:vertAlign w:val="baseline"/>
              </w:rPr>
            </w:pPr>
            <w:r>
              <w:rPr>
                <w:rFonts w:hint="eastAsia" w:ascii="宋体" w:hAnsi="宋体" w:eastAsia="宋体" w:cs="宋体"/>
                <w:b w:val="0"/>
                <w:bCs/>
                <w:i w:val="0"/>
                <w:color w:val="000000" w:themeColor="text1"/>
                <w:kern w:val="0"/>
                <w:sz w:val="22"/>
                <w:szCs w:val="22"/>
                <w:highlight w:val="none"/>
                <w:u w:val="none"/>
                <w:lang w:val="en-US" w:eastAsia="zh-CN" w:bidi="ar"/>
              </w:rPr>
              <w:t>黑色；104键完整键位，有数字键盘；有线连接方式：USB 接口，内置防水导电膜；折叠支架，符合人体工学。</w:t>
            </w:r>
          </w:p>
        </w:tc>
        <w:tc>
          <w:tcPr>
            <w:tcW w:w="441" w:type="dxa"/>
            <w:vAlign w:val="center"/>
          </w:tcPr>
          <w:p>
            <w:pPr>
              <w:keepNext w:val="0"/>
              <w:keepLines w:val="0"/>
              <w:widowControl/>
              <w:suppressLineNumbers w:val="0"/>
              <w:jc w:val="center"/>
              <w:textAlignment w:val="center"/>
              <w:rPr>
                <w:rFonts w:hint="default" w:eastAsiaTheme="minorEastAsia"/>
                <w:b w:val="0"/>
                <w:bCs/>
                <w:color w:val="000000" w:themeColor="text1"/>
                <w:highlight w:val="none"/>
                <w:vertAlign w:val="baseline"/>
                <w:lang w:val="en-US" w:eastAsia="zh-CN"/>
              </w:rPr>
            </w:pPr>
            <w:r>
              <w:rPr>
                <w:rFonts w:hint="eastAsia"/>
                <w:b w:val="0"/>
                <w:bCs/>
                <w:color w:val="000000" w:themeColor="text1"/>
                <w:highlight w:val="none"/>
                <w:vertAlign w:val="baseline"/>
                <w:lang w:val="en-US" w:eastAsia="zh-CN"/>
              </w:rPr>
              <w:t>56</w:t>
            </w:r>
          </w:p>
        </w:tc>
        <w:tc>
          <w:tcPr>
            <w:tcW w:w="486" w:type="dxa"/>
            <w:vAlign w:val="center"/>
          </w:tcPr>
          <w:p>
            <w:pPr>
              <w:keepNext w:val="0"/>
              <w:keepLines w:val="0"/>
              <w:widowControl/>
              <w:suppressLineNumbers w:val="0"/>
              <w:jc w:val="center"/>
              <w:textAlignment w:val="center"/>
              <w:rPr>
                <w:b w:val="0"/>
                <w:bCs/>
                <w:color w:val="000000" w:themeColor="text1"/>
                <w:highlight w:val="none"/>
                <w:vertAlign w:val="baseline"/>
              </w:rPr>
            </w:pPr>
            <w:r>
              <w:rPr>
                <w:rFonts w:hint="eastAsia" w:ascii="宋体" w:hAnsi="宋体" w:eastAsia="宋体" w:cs="宋体"/>
                <w:b w:val="0"/>
                <w:bCs/>
                <w:i w:val="0"/>
                <w:color w:val="000000" w:themeColor="text1"/>
                <w:kern w:val="0"/>
                <w:sz w:val="22"/>
                <w:szCs w:val="22"/>
                <w:highlight w:val="none"/>
                <w:u w:val="none"/>
                <w:lang w:val="en-US" w:eastAsia="zh-CN" w:bidi="ar"/>
              </w:rPr>
              <w:t>套</w:t>
            </w:r>
          </w:p>
        </w:tc>
        <w:tc>
          <w:tcPr>
            <w:tcW w:w="530" w:type="dxa"/>
            <w:vAlign w:val="center"/>
          </w:tcPr>
          <w:p>
            <w:pPr>
              <w:rPr>
                <w:b w:val="0"/>
                <w:bCs/>
                <w:color w:val="000000" w:themeColor="text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 w:type="dxa"/>
            <w:vAlign w:val="center"/>
          </w:tcPr>
          <w:p>
            <w:pPr>
              <w:keepNext w:val="0"/>
              <w:keepLines w:val="0"/>
              <w:widowControl/>
              <w:suppressLineNumbers w:val="0"/>
              <w:jc w:val="center"/>
              <w:textAlignment w:val="center"/>
              <w:rPr>
                <w:rFonts w:hint="eastAsia" w:eastAsiaTheme="minorEastAsia"/>
                <w:b w:val="0"/>
                <w:bCs/>
                <w:color w:val="000000" w:themeColor="text1"/>
                <w:highlight w:val="none"/>
                <w:vertAlign w:val="baseline"/>
                <w:lang w:val="en-US" w:eastAsia="zh-CN"/>
              </w:rPr>
            </w:pPr>
            <w:r>
              <w:rPr>
                <w:rFonts w:hint="eastAsia"/>
                <w:b w:val="0"/>
                <w:bCs/>
                <w:color w:val="000000" w:themeColor="text1"/>
                <w:highlight w:val="none"/>
                <w:vertAlign w:val="baseline"/>
                <w:lang w:val="en-US" w:eastAsia="zh-CN"/>
              </w:rPr>
              <w:t>6</w:t>
            </w:r>
          </w:p>
        </w:tc>
        <w:tc>
          <w:tcPr>
            <w:tcW w:w="1255" w:type="dxa"/>
            <w:vAlign w:val="center"/>
          </w:tcPr>
          <w:p>
            <w:pPr>
              <w:keepNext w:val="0"/>
              <w:keepLines w:val="0"/>
              <w:widowControl/>
              <w:suppressLineNumbers w:val="0"/>
              <w:jc w:val="center"/>
              <w:textAlignment w:val="center"/>
              <w:rPr>
                <w:b w:val="0"/>
                <w:bCs/>
                <w:color w:val="000000" w:themeColor="text1"/>
                <w:highlight w:val="none"/>
                <w:vertAlign w:val="baseline"/>
              </w:rPr>
            </w:pPr>
            <w:r>
              <w:rPr>
                <w:rFonts w:hint="eastAsia" w:ascii="宋体" w:hAnsi="宋体" w:eastAsia="宋体" w:cs="宋体"/>
                <w:b w:val="0"/>
                <w:bCs/>
                <w:i w:val="0"/>
                <w:color w:val="000000" w:themeColor="text1"/>
                <w:kern w:val="0"/>
                <w:sz w:val="22"/>
                <w:szCs w:val="22"/>
                <w:highlight w:val="none"/>
                <w:u w:val="none"/>
                <w:lang w:val="en-US" w:eastAsia="zh-CN" w:bidi="ar"/>
              </w:rPr>
              <w:t>实施服务</w:t>
            </w:r>
          </w:p>
        </w:tc>
        <w:tc>
          <w:tcPr>
            <w:tcW w:w="6111" w:type="dxa"/>
            <w:vAlign w:val="center"/>
          </w:tcPr>
          <w:p>
            <w:pPr>
              <w:keepNext w:val="0"/>
              <w:keepLines w:val="0"/>
              <w:widowControl/>
              <w:suppressLineNumbers w:val="0"/>
              <w:jc w:val="left"/>
              <w:textAlignment w:val="center"/>
              <w:rPr>
                <w:b w:val="0"/>
                <w:bCs/>
                <w:color w:val="000000" w:themeColor="text1"/>
                <w:highlight w:val="none"/>
                <w:vertAlign w:val="baseline"/>
              </w:rPr>
            </w:pPr>
            <w:r>
              <w:rPr>
                <w:rFonts w:hint="eastAsia" w:ascii="宋体" w:hAnsi="宋体" w:eastAsia="宋体" w:cs="宋体"/>
                <w:b w:val="0"/>
                <w:bCs/>
                <w:i w:val="0"/>
                <w:color w:val="000000" w:themeColor="text1"/>
                <w:kern w:val="0"/>
                <w:sz w:val="22"/>
                <w:szCs w:val="22"/>
                <w:highlight w:val="none"/>
                <w:u w:val="none"/>
                <w:lang w:val="en-US" w:eastAsia="zh-CN" w:bidi="ar"/>
              </w:rPr>
              <w:t>为了保证云桌面系统设备安全、稳定运行，设备提供商须提供技术人员1年驻 场服务，技术人员熟悉云桌面内部流程和需求，熟悉现网运行情况，长期专注于现网产品和技术，协助预付重大故障的发生，或者在故障发生时能够快速解决故障。</w:t>
            </w:r>
            <w:r>
              <w:rPr>
                <w:rFonts w:hint="eastAsia" w:ascii="宋体" w:hAnsi="宋体" w:eastAsia="宋体" w:cs="宋体"/>
                <w:b w:val="0"/>
                <w:bCs/>
                <w:i w:val="0"/>
                <w:color w:val="000000" w:themeColor="text1"/>
                <w:kern w:val="0"/>
                <w:sz w:val="22"/>
                <w:szCs w:val="22"/>
                <w:highlight w:val="none"/>
                <w:u w:val="none"/>
                <w:lang w:val="en-US" w:eastAsia="zh-CN" w:bidi="ar"/>
              </w:rPr>
              <w:br w:type="textWrapping"/>
            </w:r>
            <w:r>
              <w:rPr>
                <w:rFonts w:hint="eastAsia" w:ascii="宋体" w:hAnsi="宋体" w:eastAsia="宋体" w:cs="宋体"/>
                <w:b w:val="0"/>
                <w:bCs/>
                <w:i w:val="0"/>
                <w:color w:val="000000" w:themeColor="text1"/>
                <w:kern w:val="0"/>
                <w:sz w:val="22"/>
                <w:szCs w:val="22"/>
                <w:highlight w:val="none"/>
                <w:u w:val="none"/>
                <w:lang w:val="en-US" w:eastAsia="zh-CN" w:bidi="ar"/>
              </w:rPr>
              <w:t>桌面云解决方案实施服务</w:t>
            </w:r>
            <w:r>
              <w:rPr>
                <w:rFonts w:hint="eastAsia" w:ascii="宋体" w:hAnsi="宋体" w:eastAsia="宋体" w:cs="宋体"/>
                <w:b w:val="0"/>
                <w:bCs/>
                <w:i w:val="0"/>
                <w:color w:val="000000" w:themeColor="text1"/>
                <w:kern w:val="0"/>
                <w:sz w:val="22"/>
                <w:szCs w:val="22"/>
                <w:highlight w:val="none"/>
                <w:u w:val="none"/>
                <w:lang w:val="en-US" w:eastAsia="zh-CN" w:bidi="ar"/>
              </w:rPr>
              <w:br w:type="textWrapping"/>
            </w:r>
            <w:r>
              <w:rPr>
                <w:rFonts w:hint="eastAsia" w:ascii="宋体" w:hAnsi="宋体" w:eastAsia="宋体" w:cs="宋体"/>
                <w:b w:val="0"/>
                <w:bCs/>
                <w:i w:val="0"/>
                <w:color w:val="000000" w:themeColor="text1"/>
                <w:kern w:val="0"/>
                <w:sz w:val="22"/>
                <w:szCs w:val="22"/>
                <w:highlight w:val="none"/>
                <w:u w:val="none"/>
                <w:lang w:val="en-US" w:eastAsia="zh-CN" w:bidi="ar"/>
              </w:rPr>
              <w:t xml:space="preserve">虚拟化解决方案实施服务 </w:t>
            </w:r>
            <w:r>
              <w:rPr>
                <w:rFonts w:hint="eastAsia" w:ascii="宋体" w:hAnsi="宋体" w:eastAsia="宋体" w:cs="宋体"/>
                <w:b w:val="0"/>
                <w:bCs/>
                <w:i w:val="0"/>
                <w:color w:val="000000" w:themeColor="text1"/>
                <w:kern w:val="0"/>
                <w:sz w:val="22"/>
                <w:szCs w:val="22"/>
                <w:highlight w:val="none"/>
                <w:u w:val="none"/>
                <w:lang w:val="en-US" w:eastAsia="zh-CN" w:bidi="ar"/>
              </w:rPr>
              <w:br w:type="textWrapping"/>
            </w:r>
            <w:r>
              <w:rPr>
                <w:rFonts w:hint="eastAsia" w:ascii="宋体" w:hAnsi="宋体" w:eastAsia="宋体" w:cs="宋体"/>
                <w:b w:val="0"/>
                <w:bCs/>
                <w:i w:val="0"/>
                <w:color w:val="000000" w:themeColor="text1"/>
                <w:kern w:val="0"/>
                <w:sz w:val="22"/>
                <w:szCs w:val="22"/>
                <w:highlight w:val="none"/>
                <w:u w:val="none"/>
                <w:lang w:val="en-US" w:eastAsia="zh-CN" w:bidi="ar"/>
              </w:rPr>
              <w:t>存储方案实施服务</w:t>
            </w:r>
          </w:p>
        </w:tc>
        <w:tc>
          <w:tcPr>
            <w:tcW w:w="441" w:type="dxa"/>
            <w:vAlign w:val="center"/>
          </w:tcPr>
          <w:p>
            <w:pPr>
              <w:keepNext w:val="0"/>
              <w:keepLines w:val="0"/>
              <w:widowControl/>
              <w:suppressLineNumbers w:val="0"/>
              <w:jc w:val="center"/>
              <w:textAlignment w:val="center"/>
              <w:rPr>
                <w:b w:val="0"/>
                <w:bCs/>
                <w:color w:val="000000" w:themeColor="text1"/>
                <w:highlight w:val="none"/>
                <w:vertAlign w:val="baseline"/>
              </w:rPr>
            </w:pPr>
            <w:r>
              <w:rPr>
                <w:rFonts w:hint="eastAsia" w:ascii="宋体" w:hAnsi="宋体" w:eastAsia="宋体" w:cs="宋体"/>
                <w:b w:val="0"/>
                <w:bCs/>
                <w:i w:val="0"/>
                <w:color w:val="000000" w:themeColor="text1"/>
                <w:kern w:val="0"/>
                <w:sz w:val="22"/>
                <w:szCs w:val="22"/>
                <w:highlight w:val="none"/>
                <w:u w:val="none"/>
                <w:lang w:val="en-US" w:eastAsia="zh-CN" w:bidi="ar"/>
              </w:rPr>
              <w:t>1</w:t>
            </w:r>
          </w:p>
        </w:tc>
        <w:tc>
          <w:tcPr>
            <w:tcW w:w="486" w:type="dxa"/>
            <w:vAlign w:val="center"/>
          </w:tcPr>
          <w:p>
            <w:pPr>
              <w:keepNext w:val="0"/>
              <w:keepLines w:val="0"/>
              <w:widowControl/>
              <w:suppressLineNumbers w:val="0"/>
              <w:jc w:val="center"/>
              <w:textAlignment w:val="center"/>
              <w:rPr>
                <w:b w:val="0"/>
                <w:bCs/>
                <w:color w:val="000000" w:themeColor="text1"/>
                <w:highlight w:val="none"/>
                <w:vertAlign w:val="baseline"/>
              </w:rPr>
            </w:pPr>
            <w:r>
              <w:rPr>
                <w:rFonts w:hint="eastAsia" w:ascii="宋体" w:hAnsi="宋体" w:eastAsia="宋体" w:cs="宋体"/>
                <w:b w:val="0"/>
                <w:bCs/>
                <w:i w:val="0"/>
                <w:color w:val="000000" w:themeColor="text1"/>
                <w:kern w:val="0"/>
                <w:sz w:val="22"/>
                <w:szCs w:val="22"/>
                <w:highlight w:val="none"/>
                <w:u w:val="none"/>
                <w:lang w:val="en-US" w:eastAsia="zh-CN" w:bidi="ar"/>
              </w:rPr>
              <w:t>项</w:t>
            </w:r>
          </w:p>
        </w:tc>
        <w:tc>
          <w:tcPr>
            <w:tcW w:w="530" w:type="dxa"/>
            <w:vAlign w:val="center"/>
          </w:tcPr>
          <w:p>
            <w:pPr>
              <w:rPr>
                <w:b w:val="0"/>
                <w:bCs/>
                <w:color w:val="000000" w:themeColor="text1"/>
                <w:highlight w:val="none"/>
                <w:vertAlign w:val="baseline"/>
              </w:rPr>
            </w:pPr>
          </w:p>
        </w:tc>
      </w:tr>
    </w:tbl>
    <w:p>
      <w:pPr>
        <w:pStyle w:val="4"/>
        <w:bidi w:val="0"/>
        <w:rPr>
          <w:rFonts w:hint="eastAsia" w:ascii="仿宋" w:hAnsi="仿宋" w:eastAsia="仿宋" w:cs="仿宋"/>
          <w:color w:val="auto"/>
          <w:highlight w:val="none"/>
        </w:rPr>
      </w:pPr>
      <w:r>
        <w:rPr>
          <w:rFonts w:hint="eastAsia" w:ascii="仿宋" w:hAnsi="仿宋" w:eastAsia="仿宋" w:cs="仿宋"/>
          <w:color w:val="auto"/>
          <w:highlight w:val="none"/>
        </w:rPr>
        <w:t>三、包装、运输、保管及保险</w:t>
      </w:r>
      <w:bookmarkEnd w:id="31"/>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1、必须为制造商原厂包装，设备的包装均应有良好的防湿、防潮、防锈、防雨、防腐及防碰撞的措施，符合国家环保标准。凡由于包装不良造成的损失和由此产生的费用均由中标人承担。</w:t>
      </w:r>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2、中标人负责将设备材料运到招标人指定地点的全部运输费用，包括装卸车、货物的现场搬运费、安装费及税费等所有费用。</w:t>
      </w:r>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3、货物在安装调试验收合格前的保险由中标人负责。</w:t>
      </w:r>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4、设备在验收合格前的保管由中标人负责。</w:t>
      </w:r>
    </w:p>
    <w:p>
      <w:pPr>
        <w:pStyle w:val="4"/>
        <w:bidi w:val="0"/>
        <w:rPr>
          <w:rFonts w:hint="eastAsia" w:ascii="仿宋" w:hAnsi="仿宋" w:eastAsia="仿宋" w:cs="仿宋"/>
          <w:color w:val="auto"/>
          <w:highlight w:val="none"/>
        </w:rPr>
      </w:pPr>
      <w:bookmarkStart w:id="32" w:name="_Toc10903"/>
      <w:r>
        <w:rPr>
          <w:rFonts w:hint="eastAsia" w:ascii="仿宋" w:hAnsi="仿宋" w:eastAsia="仿宋" w:cs="仿宋"/>
          <w:color w:val="auto"/>
          <w:highlight w:val="none"/>
        </w:rPr>
        <w:t>四、验收标准和方法</w:t>
      </w:r>
      <w:bookmarkEnd w:id="32"/>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1、设备安装开始前，中标人按照招标人的书面通知，按装箱清单共同开箱验收，主要检验设备的外观质量，设备的原产地及配件清单。</w:t>
      </w:r>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2、竣工验收由招标人与中标人依据国家有关标准、合同要求进行验收，验收后填写“项目验收单”。</w:t>
      </w:r>
    </w:p>
    <w:p>
      <w:pPr>
        <w:pStyle w:val="4"/>
        <w:bidi w:val="0"/>
        <w:rPr>
          <w:rFonts w:hint="eastAsia" w:ascii="仿宋" w:hAnsi="仿宋" w:eastAsia="仿宋" w:cs="仿宋"/>
          <w:color w:val="auto"/>
          <w:highlight w:val="none"/>
        </w:rPr>
      </w:pPr>
      <w:bookmarkStart w:id="33" w:name="_Toc4434"/>
      <w:r>
        <w:rPr>
          <w:rFonts w:hint="eastAsia" w:ascii="仿宋" w:hAnsi="仿宋" w:eastAsia="仿宋" w:cs="仿宋"/>
          <w:color w:val="auto"/>
          <w:highlight w:val="none"/>
        </w:rPr>
        <w:t>五、质量保证及质量保证期</w:t>
      </w:r>
      <w:bookmarkEnd w:id="33"/>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1、投标人所投货物必须是原装、全新产品，并且符合国家以及该产品的出厂标准。</w:t>
      </w:r>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2、所有货物在开箱检验时必须完好，无破损，配置与装箱单相符。数量、质量及性能不低于需求中提出的要求。</w:t>
      </w:r>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3、货物外观清洁，标记编号以及盘面显示等字体清晰，明确。</w:t>
      </w:r>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4、对于影响货物正常工作的必要组成部分，无论在技术规范中指出与否，投标人都应提供并在投标文件中明确列出。</w:t>
      </w:r>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货物验收合格后一年为质量保证期，质保期内中标人免费提供产品正常使用情况下的维修及保养服务。质量保证起始日期以项目验收之日起为准。对于延长质量保证期限的，最终以投标人的投标文件中的承诺为标准。</w:t>
      </w:r>
    </w:p>
    <w:p>
      <w:pPr>
        <w:pStyle w:val="4"/>
        <w:bidi w:val="0"/>
        <w:rPr>
          <w:rFonts w:hint="eastAsia" w:ascii="仿宋" w:hAnsi="仿宋" w:eastAsia="仿宋" w:cs="仿宋"/>
          <w:color w:val="auto"/>
          <w:highlight w:val="none"/>
        </w:rPr>
      </w:pPr>
      <w:bookmarkStart w:id="34" w:name="_Toc25359"/>
      <w:r>
        <w:rPr>
          <w:rFonts w:hint="eastAsia" w:ascii="仿宋" w:hAnsi="仿宋" w:eastAsia="仿宋" w:cs="仿宋"/>
          <w:color w:val="auto"/>
          <w:highlight w:val="none"/>
        </w:rPr>
        <w:t>六、交付方式、交付完工期限及交付地点</w:t>
      </w:r>
      <w:bookmarkEnd w:id="34"/>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1、采购设备在招标人指定地点安装运行正常后交付招标人组织验收小组验收并使用。</w:t>
      </w:r>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2、交货期：合同签订后</w:t>
      </w:r>
      <w:r>
        <w:rPr>
          <w:rFonts w:hint="eastAsia" w:ascii="仿宋" w:hAnsi="仿宋" w:eastAsia="仿宋" w:cs="仿宋"/>
          <w:color w:val="auto"/>
          <w:sz w:val="24"/>
          <w:highlight w:val="none"/>
          <w:lang w:val="en-US" w:eastAsia="zh-CN"/>
        </w:rPr>
        <w:t>30</w:t>
      </w:r>
      <w:r>
        <w:rPr>
          <w:rFonts w:hint="eastAsia" w:ascii="仿宋" w:hAnsi="仿宋" w:eastAsia="仿宋" w:cs="仿宋"/>
          <w:color w:val="auto"/>
          <w:sz w:val="24"/>
          <w:highlight w:val="none"/>
        </w:rPr>
        <w:t>天内。</w:t>
      </w:r>
    </w:p>
    <w:p>
      <w:pPr>
        <w:pStyle w:val="4"/>
        <w:bidi w:val="0"/>
        <w:rPr>
          <w:rFonts w:hint="eastAsia" w:ascii="仿宋" w:hAnsi="仿宋" w:eastAsia="仿宋" w:cs="仿宋"/>
          <w:color w:val="auto"/>
          <w:highlight w:val="none"/>
        </w:rPr>
      </w:pPr>
      <w:bookmarkStart w:id="35" w:name="_Toc6462"/>
      <w:r>
        <w:rPr>
          <w:rFonts w:hint="eastAsia" w:ascii="仿宋" w:hAnsi="仿宋" w:eastAsia="仿宋" w:cs="仿宋"/>
          <w:color w:val="auto"/>
          <w:highlight w:val="none"/>
        </w:rPr>
        <w:t>七、付款办法</w:t>
      </w:r>
      <w:bookmarkEnd w:id="35"/>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合同签订并经验收合格，财政审核拨付资金资料后，支付合同金额的95%，剩余5%作为质量保证金待一年后无质量、安全或服务方面的问题一次性付清。</w:t>
      </w:r>
    </w:p>
    <w:p>
      <w:pPr>
        <w:pStyle w:val="4"/>
        <w:bidi w:val="0"/>
        <w:rPr>
          <w:rFonts w:hint="eastAsia" w:ascii="仿宋" w:hAnsi="仿宋" w:eastAsia="仿宋" w:cs="仿宋"/>
          <w:color w:val="auto"/>
          <w:highlight w:val="none"/>
        </w:rPr>
      </w:pPr>
      <w:bookmarkStart w:id="36" w:name="_Toc31980"/>
      <w:r>
        <w:rPr>
          <w:rFonts w:hint="eastAsia" w:ascii="仿宋" w:hAnsi="仿宋" w:eastAsia="仿宋" w:cs="仿宋"/>
          <w:color w:val="auto"/>
          <w:highlight w:val="none"/>
        </w:rPr>
        <w:t>八、安装调试及技术服务(含培训)要求</w:t>
      </w:r>
      <w:bookmarkEnd w:id="36"/>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1、中标人负责本项目安装调试及运行维护，专业人员现场安装，确保在合同范围期间人员、相关设备设施及其他方面工作的安全正常运行，检修装置的设置合理。</w:t>
      </w:r>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2、安装调试所需工具设施物料由中标人自备、自费运到现场，完工后自行搬走。</w:t>
      </w:r>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3、对所有货物的使用、维护、故障排除等进行免费技术培训，确保正常使用。</w:t>
      </w:r>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4、中标人应提供设备及附件的安装、运行、维护和调整所必须的专用工具。</w:t>
      </w:r>
    </w:p>
    <w:p>
      <w:pPr>
        <w:pStyle w:val="4"/>
        <w:bidi w:val="0"/>
        <w:rPr>
          <w:rFonts w:hint="eastAsia" w:ascii="仿宋" w:hAnsi="仿宋" w:eastAsia="仿宋" w:cs="仿宋"/>
          <w:color w:val="auto"/>
          <w:highlight w:val="none"/>
        </w:rPr>
      </w:pPr>
      <w:bookmarkStart w:id="37" w:name="_Toc26083"/>
      <w:r>
        <w:rPr>
          <w:rFonts w:hint="eastAsia" w:ascii="仿宋" w:hAnsi="仿宋" w:eastAsia="仿宋" w:cs="仿宋"/>
          <w:color w:val="auto"/>
          <w:highlight w:val="none"/>
        </w:rPr>
        <w:t>九、售后服务的要求</w:t>
      </w:r>
      <w:bookmarkEnd w:id="37"/>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维护响应时间：质量保证期内，中标人接到故障通知后2小时内到达现场进行维修。质保期后如果招标人要求，中标人应负责有偿优惠维修。</w:t>
      </w:r>
    </w:p>
    <w:p>
      <w:pPr>
        <w:pStyle w:val="4"/>
        <w:bidi w:val="0"/>
        <w:rPr>
          <w:rFonts w:hint="eastAsia" w:ascii="仿宋" w:hAnsi="仿宋" w:eastAsia="仿宋" w:cs="仿宋"/>
          <w:color w:val="auto"/>
          <w:highlight w:val="none"/>
        </w:rPr>
      </w:pPr>
      <w:bookmarkStart w:id="38" w:name="_Toc15078"/>
      <w:r>
        <w:rPr>
          <w:rFonts w:hint="eastAsia" w:ascii="仿宋" w:hAnsi="仿宋" w:eastAsia="仿宋" w:cs="仿宋"/>
          <w:color w:val="auto"/>
          <w:highlight w:val="none"/>
        </w:rPr>
        <w:t>十、其它需要说明的事项（技术资料）</w:t>
      </w:r>
      <w:bookmarkEnd w:id="38"/>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1、中标人应在验收后向用户提供验收报告、技术文档的归纳、整理、提交，并提供完整的技术资料，应满足招标人总体设计、</w:t>
      </w:r>
    </w:p>
    <w:p>
      <w:pPr>
        <w:adjustRightInd w:val="0"/>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2、技术文件：包括货物清单、合格证、安装验收报告、完整的技术资料。</w:t>
      </w:r>
    </w:p>
    <w:bookmarkEnd w:id="29"/>
    <w:p>
      <w:pPr>
        <w:pStyle w:val="3"/>
        <w:bidi w:val="0"/>
        <w:jc w:val="both"/>
        <w:rPr>
          <w:rFonts w:hint="eastAsia" w:ascii="仿宋" w:hAnsi="仿宋" w:eastAsia="仿宋" w:cs="仿宋"/>
          <w:color w:val="auto"/>
          <w:sz w:val="32"/>
          <w:szCs w:val="32"/>
          <w:highlight w:val="none"/>
          <w:lang w:val="en-US" w:eastAsia="zh-CN"/>
        </w:rPr>
      </w:pPr>
      <w:bookmarkStart w:id="39" w:name="_Toc26706"/>
      <w:bookmarkStart w:id="40" w:name="_Toc10433"/>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bidi w:val="0"/>
        <w:jc w:val="both"/>
        <w:rPr>
          <w:rFonts w:hint="eastAsia" w:ascii="仿宋" w:hAnsi="仿宋" w:eastAsia="仿宋" w:cs="仿宋"/>
          <w:color w:val="auto"/>
          <w:sz w:val="32"/>
          <w:szCs w:val="32"/>
          <w:highlight w:val="none"/>
          <w:lang w:val="en-US" w:eastAsia="zh-CN"/>
        </w:rPr>
      </w:pPr>
    </w:p>
    <w:p>
      <w:pPr>
        <w:pStyle w:val="3"/>
        <w:bidi w:val="0"/>
        <w:jc w:val="cente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第四章  拟签订的合同条款及格式</w:t>
      </w:r>
      <w:bookmarkEnd w:id="39"/>
      <w:bookmarkEnd w:id="40"/>
    </w:p>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（说明：本合同作为合同的基本格式，不作为最终合同，甲乙双方有权在签订合</w:t>
      </w:r>
    </w:p>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同时对合同的相关条款及内容作进一步的细化和修改。）</w:t>
      </w:r>
    </w:p>
    <w:p>
      <w:pPr>
        <w:jc w:val="center"/>
        <w:rPr>
          <w:rFonts w:hint="eastAsia" w:ascii="仿宋" w:hAnsi="仿宋" w:eastAsia="仿宋" w:cs="仿宋"/>
          <w:color w:val="auto"/>
          <w:sz w:val="24"/>
          <w:szCs w:val="24"/>
          <w:highlight w:val="none"/>
          <w:lang w:val="en-US" w:eastAsia="zh-CN"/>
        </w:rPr>
      </w:pPr>
    </w:p>
    <w:p>
      <w:pPr>
        <w:jc w:val="center"/>
        <w:rPr>
          <w:rFonts w:hint="eastAsia" w:ascii="仿宋" w:hAnsi="仿宋" w:eastAsia="仿宋" w:cs="仿宋"/>
          <w:color w:val="auto"/>
          <w:highlight w:val="none"/>
          <w:lang w:val="en-US" w:eastAsia="zh-CN"/>
        </w:rPr>
      </w:pPr>
    </w:p>
    <w:p>
      <w:pPr>
        <w:jc w:val="center"/>
        <w:rPr>
          <w:rFonts w:hint="eastAsia" w:ascii="仿宋" w:hAnsi="仿宋" w:eastAsia="仿宋" w:cs="仿宋"/>
          <w:color w:val="auto"/>
          <w:highlight w:val="none"/>
          <w:lang w:val="en-US" w:eastAsia="zh-CN"/>
        </w:rPr>
      </w:pPr>
    </w:p>
    <w:p>
      <w:pPr>
        <w:jc w:val="center"/>
        <w:rPr>
          <w:rFonts w:hint="eastAsia" w:ascii="仿宋" w:hAnsi="仿宋" w:eastAsia="仿宋" w:cs="仿宋"/>
          <w:color w:val="auto"/>
          <w:highlight w:val="none"/>
          <w:lang w:val="en-US" w:eastAsia="zh-CN"/>
        </w:rPr>
      </w:pPr>
    </w:p>
    <w:p>
      <w:pPr>
        <w:jc w:val="center"/>
        <w:rPr>
          <w:rFonts w:hint="eastAsia" w:ascii="仿宋" w:hAnsi="仿宋" w:eastAsia="仿宋" w:cs="仿宋"/>
          <w:color w:val="auto"/>
          <w:sz w:val="44"/>
          <w:szCs w:val="44"/>
          <w:highlight w:val="none"/>
          <w:lang w:val="en-US" w:eastAsia="zh-CN"/>
        </w:rPr>
      </w:pPr>
      <w:r>
        <w:rPr>
          <w:rFonts w:hint="eastAsia" w:ascii="仿宋" w:hAnsi="仿宋" w:eastAsia="仿宋" w:cs="仿宋"/>
          <w:color w:val="auto"/>
          <w:sz w:val="44"/>
          <w:szCs w:val="44"/>
          <w:highlight w:val="none"/>
          <w:lang w:eastAsia="zh-CN"/>
        </w:rPr>
        <w:t>武山县人民检察院“桌面云”系统</w:t>
      </w:r>
      <w:r>
        <w:rPr>
          <w:rFonts w:hint="eastAsia" w:ascii="仿宋" w:hAnsi="仿宋" w:eastAsia="仿宋" w:cs="仿宋"/>
          <w:color w:val="auto"/>
          <w:sz w:val="44"/>
          <w:szCs w:val="44"/>
          <w:highlight w:val="none"/>
          <w:lang w:val="en-US" w:eastAsia="zh-CN"/>
        </w:rPr>
        <w:t>公开招标项目</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项目编号：TGZC2019-592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auto"/>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color w:val="auto"/>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auto"/>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auto"/>
          <w:sz w:val="48"/>
          <w:szCs w:val="48"/>
          <w:highlight w:val="none"/>
          <w:lang w:val="en-US" w:eastAsia="zh-CN"/>
        </w:rPr>
      </w:pPr>
      <w:r>
        <w:rPr>
          <w:rFonts w:hint="eastAsia" w:ascii="仿宋" w:hAnsi="仿宋" w:eastAsia="仿宋" w:cs="仿宋"/>
          <w:b/>
          <w:bCs/>
          <w:color w:val="auto"/>
          <w:sz w:val="48"/>
          <w:szCs w:val="48"/>
          <w:highlight w:val="none"/>
          <w:lang w:val="en-US" w:eastAsia="zh-CN"/>
        </w:rPr>
        <w:t>政府采购合同</w:t>
      </w:r>
    </w:p>
    <w:p>
      <w:pPr>
        <w:jc w:val="both"/>
        <w:rPr>
          <w:rFonts w:hint="eastAsia" w:ascii="仿宋" w:hAnsi="仿宋" w:eastAsia="仿宋" w:cs="仿宋"/>
          <w:color w:val="auto"/>
          <w:sz w:val="44"/>
          <w:szCs w:val="44"/>
          <w:highlight w:val="none"/>
          <w:lang w:val="en-US" w:eastAsia="zh-CN"/>
        </w:rPr>
      </w:pPr>
    </w:p>
    <w:p>
      <w:pPr>
        <w:jc w:val="center"/>
        <w:rPr>
          <w:rFonts w:hint="eastAsia" w:ascii="仿宋" w:hAnsi="仿宋" w:eastAsia="仿宋" w:cs="仿宋"/>
          <w:color w:val="auto"/>
          <w:sz w:val="44"/>
          <w:szCs w:val="44"/>
          <w:highlight w:val="none"/>
          <w:lang w:val="en-US" w:eastAsia="zh-CN"/>
        </w:rPr>
      </w:pPr>
    </w:p>
    <w:p>
      <w:pPr>
        <w:jc w:val="center"/>
        <w:rPr>
          <w:rFonts w:hint="eastAsia" w:ascii="仿宋" w:hAnsi="仿宋" w:eastAsia="仿宋" w:cs="仿宋"/>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采购单位：武山县人民检察院</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 应 商：X X X X X X X X X X X X X X</w:t>
      </w:r>
    </w:p>
    <w:p>
      <w:pP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br w:type="page"/>
      </w:r>
    </w:p>
    <w:p>
      <w:pPr>
        <w:numPr>
          <w:ilvl w:val="0"/>
          <w:numId w:val="0"/>
        </w:numPr>
        <w:rPr>
          <w:rFonts w:hint="eastAsia" w:ascii="仿宋" w:hAnsi="仿宋" w:eastAsia="仿宋" w:cs="仿宋"/>
          <w:color w:val="auto"/>
          <w:highlight w:val="none"/>
        </w:rPr>
      </w:pPr>
    </w:p>
    <w:p>
      <w:pPr>
        <w:spacing w:line="460" w:lineRule="exact"/>
        <w:jc w:val="center"/>
        <w:rPr>
          <w:rFonts w:hint="eastAsia" w:ascii="仿宋" w:hAnsi="仿宋" w:eastAsia="仿宋" w:cs="仿宋"/>
          <w:b/>
          <w:color w:val="auto"/>
          <w:sz w:val="28"/>
          <w:szCs w:val="28"/>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合同编号：</w:t>
      </w:r>
      <w:r>
        <w:rPr>
          <w:rFonts w:hint="eastAsia" w:ascii="仿宋" w:hAnsi="仿宋" w:eastAsia="仿宋" w:cs="仿宋"/>
          <w:color w:val="auto"/>
          <w:szCs w:val="21"/>
          <w:highlight w:val="none"/>
        </w:rPr>
        <w:t>XXXX。</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签订地点：</w:t>
      </w:r>
      <w:r>
        <w:rPr>
          <w:rFonts w:hint="eastAsia" w:ascii="仿宋" w:hAnsi="仿宋" w:eastAsia="仿宋" w:cs="仿宋"/>
          <w:color w:val="auto"/>
          <w:szCs w:val="21"/>
          <w:highlight w:val="none"/>
        </w:rPr>
        <w:t>XXXX。</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签订时间：</w:t>
      </w:r>
      <w:r>
        <w:rPr>
          <w:rFonts w:hint="eastAsia" w:ascii="仿宋" w:hAnsi="仿宋" w:eastAsia="仿宋" w:cs="仿宋"/>
          <w:color w:val="auto"/>
          <w:szCs w:val="21"/>
          <w:highlight w:val="none"/>
        </w:rPr>
        <w:t>XXXX</w:t>
      </w:r>
      <w:r>
        <w:rPr>
          <w:rFonts w:hint="eastAsia" w:ascii="仿宋" w:hAnsi="仿宋" w:eastAsia="仿宋" w:cs="仿宋"/>
          <w:color w:val="auto"/>
          <w:sz w:val="24"/>
          <w:highlight w:val="none"/>
        </w:rPr>
        <w:t>年</w:t>
      </w:r>
      <w:r>
        <w:rPr>
          <w:rFonts w:hint="eastAsia" w:ascii="仿宋" w:hAnsi="仿宋" w:eastAsia="仿宋" w:cs="仿宋"/>
          <w:color w:val="auto"/>
          <w:szCs w:val="21"/>
          <w:highlight w:val="none"/>
        </w:rPr>
        <w:t>XX</w:t>
      </w:r>
      <w:r>
        <w:rPr>
          <w:rFonts w:hint="eastAsia" w:ascii="仿宋" w:hAnsi="仿宋" w:eastAsia="仿宋" w:cs="仿宋"/>
          <w:color w:val="auto"/>
          <w:sz w:val="24"/>
          <w:highlight w:val="none"/>
        </w:rPr>
        <w:t>月</w:t>
      </w:r>
      <w:r>
        <w:rPr>
          <w:rFonts w:hint="eastAsia" w:ascii="仿宋" w:hAnsi="仿宋" w:eastAsia="仿宋" w:cs="仿宋"/>
          <w:color w:val="auto"/>
          <w:szCs w:val="21"/>
          <w:highlight w:val="none"/>
        </w:rPr>
        <w:t>XX</w:t>
      </w:r>
      <w:r>
        <w:rPr>
          <w:rFonts w:hint="eastAsia" w:ascii="仿宋" w:hAnsi="仿宋" w:eastAsia="仿宋" w:cs="仿宋"/>
          <w:color w:val="auto"/>
          <w:sz w:val="24"/>
          <w:highlight w:val="none"/>
        </w:rPr>
        <w:t>日。</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采购人（甲方）：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供应商（乙方）：                              </w:t>
      </w:r>
      <w:r>
        <w:rPr>
          <w:rFonts w:hint="eastAsia" w:ascii="仿宋" w:hAnsi="仿宋" w:eastAsia="仿宋" w:cs="仿宋"/>
          <w:color w:val="auto"/>
          <w:highlight w:val="none"/>
        </w:rPr>
        <w:t xml:space="preserve">                                       </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根据《中华人民共和国政府采购法》、《中华人民共和国合同法》及</w:t>
      </w:r>
      <w:r>
        <w:rPr>
          <w:rFonts w:hint="eastAsia" w:ascii="仿宋" w:hAnsi="仿宋" w:eastAsia="仿宋" w:cs="仿宋"/>
          <w:color w:val="auto"/>
          <w:szCs w:val="21"/>
          <w:highlight w:val="none"/>
        </w:rPr>
        <w:t>XXXX</w:t>
      </w:r>
      <w:r>
        <w:rPr>
          <w:rFonts w:hint="eastAsia" w:ascii="仿宋" w:hAnsi="仿宋" w:eastAsia="仿宋" w:cs="仿宋"/>
          <w:color w:val="auto"/>
          <w:highlight w:val="none"/>
        </w:rPr>
        <w:t>采购项目（项目编号：</w:t>
      </w:r>
      <w:r>
        <w:rPr>
          <w:rFonts w:hint="eastAsia" w:ascii="仿宋" w:hAnsi="仿宋" w:eastAsia="仿宋" w:cs="仿宋"/>
          <w:color w:val="auto"/>
          <w:szCs w:val="21"/>
          <w:highlight w:val="none"/>
        </w:rPr>
        <w:t>XX</w:t>
      </w:r>
      <w:r>
        <w:rPr>
          <w:rFonts w:hint="eastAsia" w:ascii="仿宋" w:hAnsi="仿宋" w:eastAsia="仿宋" w:cs="仿宋"/>
          <w:color w:val="auto"/>
          <w:highlight w:val="none"/>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pStyle w:val="4"/>
        <w:bidi w:val="0"/>
        <w:rPr>
          <w:rFonts w:hint="eastAsia" w:ascii="仿宋" w:hAnsi="仿宋" w:eastAsia="仿宋" w:cs="仿宋"/>
          <w:color w:val="auto"/>
          <w:highlight w:val="none"/>
        </w:rPr>
      </w:pPr>
      <w:bookmarkStart w:id="41" w:name="_Toc217446107"/>
      <w:bookmarkStart w:id="42" w:name="_Toc1572"/>
      <w:r>
        <w:rPr>
          <w:rFonts w:hint="eastAsia" w:ascii="仿宋" w:hAnsi="仿宋" w:eastAsia="仿宋" w:cs="仿宋"/>
          <w:color w:val="auto"/>
          <w:highlight w:val="none"/>
        </w:rPr>
        <w:t>一、合同货物</w:t>
      </w:r>
      <w:bookmarkEnd w:id="41"/>
      <w:bookmarkEnd w:id="42"/>
    </w:p>
    <w:tbl>
      <w:tblPr>
        <w:tblStyle w:val="68"/>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货物品名</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规格</w:t>
            </w:r>
          </w:p>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型号</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单位</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rPr>
                <w:rFonts w:hint="eastAsia"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单价</w:t>
            </w:r>
          </w:p>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总价</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随机</w:t>
            </w:r>
          </w:p>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配件</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rPr>
                <w:rFonts w:hint="eastAsia" w:ascii="仿宋" w:hAnsi="仿宋" w:eastAsia="仿宋" w:cs="仿宋"/>
                <w:color w:val="auto"/>
                <w:sz w:val="24"/>
                <w:highlight w:val="none"/>
              </w:rPr>
            </w:pPr>
            <w:r>
              <w:rPr>
                <w:rFonts w:hint="eastAsia" w:ascii="仿宋" w:hAnsi="仿宋" w:eastAsia="仿宋" w:cs="仿宋"/>
                <w:color w:val="auto"/>
                <w:sz w:val="24"/>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w:t>
            </w:r>
          </w:p>
        </w:tc>
      </w:tr>
    </w:tbl>
    <w:p>
      <w:pPr>
        <w:pStyle w:val="4"/>
        <w:bidi w:val="0"/>
        <w:rPr>
          <w:rFonts w:hint="eastAsia" w:ascii="仿宋" w:hAnsi="仿宋" w:eastAsia="仿宋" w:cs="仿宋"/>
          <w:color w:val="auto"/>
          <w:highlight w:val="none"/>
        </w:rPr>
      </w:pPr>
      <w:bookmarkStart w:id="43" w:name="_Toc30755"/>
      <w:bookmarkStart w:id="44" w:name="_Toc217446108"/>
      <w:r>
        <w:rPr>
          <w:rFonts w:hint="eastAsia" w:ascii="仿宋" w:hAnsi="仿宋" w:eastAsia="仿宋" w:cs="仿宋"/>
          <w:color w:val="auto"/>
          <w:highlight w:val="none"/>
        </w:rPr>
        <w:t>二、合同总价</w:t>
      </w:r>
      <w:bookmarkEnd w:id="43"/>
      <w:bookmarkEnd w:id="44"/>
    </w:p>
    <w:p>
      <w:pPr>
        <w:pStyle w:val="2"/>
        <w:spacing w:line="400" w:lineRule="exact"/>
        <w:ind w:firstLineChars="175"/>
        <w:rPr>
          <w:rFonts w:hint="eastAsia" w:ascii="仿宋" w:hAnsi="仿宋" w:eastAsia="仿宋" w:cs="仿宋"/>
          <w:color w:val="auto"/>
          <w:sz w:val="24"/>
          <w:highlight w:val="none"/>
        </w:rPr>
      </w:pPr>
      <w:r>
        <w:rPr>
          <w:rFonts w:hint="eastAsia" w:ascii="仿宋" w:hAnsi="仿宋" w:eastAsia="仿宋" w:cs="仿宋"/>
          <w:color w:val="auto"/>
          <w:sz w:val="24"/>
          <w:highlight w:val="none"/>
        </w:rPr>
        <w:t>合同总价为人民币大写：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元，即RMB￥</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pStyle w:val="3"/>
        <w:bidi w:val="0"/>
        <w:rPr>
          <w:rFonts w:hint="eastAsia" w:ascii="仿宋" w:hAnsi="仿宋" w:eastAsia="仿宋" w:cs="仿宋"/>
          <w:color w:val="auto"/>
          <w:highlight w:val="none"/>
        </w:rPr>
      </w:pPr>
      <w:bookmarkStart w:id="45" w:name="_Toc217446109"/>
      <w:bookmarkStart w:id="46" w:name="_Toc18103"/>
      <w:r>
        <w:rPr>
          <w:rFonts w:hint="eastAsia" w:ascii="仿宋" w:hAnsi="仿宋" w:eastAsia="仿宋" w:cs="仿宋"/>
          <w:color w:val="auto"/>
          <w:highlight w:val="none"/>
        </w:rPr>
        <w:t>三、质量要求</w:t>
      </w:r>
      <w:bookmarkEnd w:id="45"/>
      <w:bookmarkEnd w:id="46"/>
    </w:p>
    <w:p>
      <w:pPr>
        <w:pStyle w:val="138"/>
        <w:rPr>
          <w:rFonts w:hint="eastAsia" w:ascii="仿宋" w:hAnsi="仿宋" w:eastAsia="仿宋" w:cs="仿宋"/>
          <w:color w:val="auto"/>
          <w:highlight w:val="none"/>
        </w:rPr>
      </w:pPr>
      <w:r>
        <w:rPr>
          <w:rFonts w:hint="eastAsia" w:ascii="仿宋" w:hAnsi="仿宋" w:eastAsia="仿宋" w:cs="仿宋"/>
          <w:color w:val="auto"/>
          <w:highlight w:val="none"/>
        </w:rPr>
        <w:t>1、乙方须提供全新的货物（含零部件、配件等），表面无划伤、无碰撞痕迹，且权属清楚，不得侵害他人的知识产权。</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2、货物必须符合或优于国家（行业）标准，以及本项目招标文件的质量要求和技术指标与出厂标准。</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3、乙方须在本合同签订之日起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日内送交货物成品样品给甲方确认，在甲方出具样品确认书并封存成品样品外观尺寸后，乙方才能按样生产，并以此样品作为验收样品；每台货物上均应有产品质量检验合格标志。</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4、货物制造质量出现问题，乙方应负责三包（包修、包换、包退），费用由乙方负担，甲方有权到乙方生产场地检查货物质量和生产进度。</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5、货到现场后由于甲方保管不当造成的质量问题，乙方亦应负责修理，但费用由甲方负担。</w:t>
      </w:r>
    </w:p>
    <w:p>
      <w:pPr>
        <w:pStyle w:val="4"/>
        <w:bidi w:val="0"/>
        <w:rPr>
          <w:rFonts w:hint="eastAsia" w:ascii="仿宋" w:hAnsi="仿宋" w:eastAsia="仿宋" w:cs="仿宋"/>
          <w:color w:val="auto"/>
          <w:highlight w:val="none"/>
        </w:rPr>
      </w:pPr>
      <w:bookmarkStart w:id="47" w:name="_Toc217446110"/>
      <w:bookmarkStart w:id="48" w:name="_Toc6263"/>
      <w:r>
        <w:rPr>
          <w:rFonts w:hint="eastAsia" w:ascii="仿宋" w:hAnsi="仿宋" w:eastAsia="仿宋" w:cs="仿宋"/>
          <w:color w:val="auto"/>
          <w:highlight w:val="none"/>
        </w:rPr>
        <w:t>四、交货及验收</w:t>
      </w:r>
      <w:bookmarkEnd w:id="47"/>
      <w:bookmarkEnd w:id="48"/>
    </w:p>
    <w:p>
      <w:pPr>
        <w:pStyle w:val="138"/>
        <w:rPr>
          <w:rFonts w:hint="eastAsia" w:ascii="仿宋" w:hAnsi="仿宋" w:eastAsia="仿宋" w:cs="仿宋"/>
          <w:color w:val="auto"/>
          <w:highlight w:val="none"/>
        </w:rPr>
      </w:pPr>
      <w:r>
        <w:rPr>
          <w:rFonts w:hint="eastAsia" w:ascii="仿宋" w:hAnsi="仿宋" w:eastAsia="仿宋" w:cs="仿宋"/>
          <w:color w:val="auto"/>
          <w:highlight w:val="none"/>
        </w:rPr>
        <w:t>1、乙方交货期限为合同签订生效后的</w:t>
      </w:r>
      <w:r>
        <w:rPr>
          <w:rFonts w:hint="eastAsia" w:ascii="仿宋" w:hAnsi="仿宋" w:eastAsia="仿宋" w:cs="仿宋"/>
          <w:color w:val="auto"/>
          <w:szCs w:val="21"/>
          <w:highlight w:val="none"/>
        </w:rPr>
        <w:t>XX</w:t>
      </w:r>
      <w:r>
        <w:rPr>
          <w:rFonts w:hint="eastAsia" w:ascii="仿宋" w:hAnsi="仿宋" w:eastAsia="仿宋" w:cs="仿宋"/>
          <w:color w:val="auto"/>
          <w:highlight w:val="none"/>
        </w:rPr>
        <w:t>日内，在合同签订生效之日起</w:t>
      </w:r>
      <w:r>
        <w:rPr>
          <w:rFonts w:hint="eastAsia" w:ascii="仿宋" w:hAnsi="仿宋" w:eastAsia="仿宋" w:cs="仿宋"/>
          <w:color w:val="auto"/>
          <w:szCs w:val="21"/>
          <w:highlight w:val="none"/>
        </w:rPr>
        <w:t>XX）</w:t>
      </w:r>
      <w:r>
        <w:rPr>
          <w:rFonts w:hint="eastAsia" w:ascii="仿宋" w:hAnsi="仿宋" w:eastAsia="仿宋" w:cs="仿宋"/>
          <w:color w:val="auto"/>
          <w:highlight w:val="none"/>
        </w:rPr>
        <w:t>天内交货到甲方指定地点，随即在</w:t>
      </w:r>
      <w:r>
        <w:rPr>
          <w:rFonts w:hint="eastAsia" w:ascii="仿宋" w:hAnsi="仿宋" w:eastAsia="仿宋" w:cs="仿宋"/>
          <w:color w:val="auto"/>
          <w:szCs w:val="21"/>
          <w:highlight w:val="none"/>
        </w:rPr>
        <w:t>XX</w:t>
      </w:r>
      <w:r>
        <w:rPr>
          <w:rFonts w:hint="eastAsia" w:ascii="仿宋" w:hAnsi="仿宋" w:eastAsia="仿宋" w:cs="仿宋"/>
          <w:color w:val="auto"/>
          <w:highlight w:val="none"/>
        </w:rPr>
        <w:t>日内全部完成安装调试验收合格交付使用，并且最迟应在</w:t>
      </w:r>
      <w:r>
        <w:rPr>
          <w:rFonts w:hint="eastAsia" w:ascii="仿宋" w:hAnsi="仿宋" w:eastAsia="仿宋" w:cs="仿宋"/>
          <w:color w:val="auto"/>
          <w:szCs w:val="21"/>
          <w:highlight w:val="none"/>
        </w:rPr>
        <w:t>XX</w:t>
      </w:r>
      <w:r>
        <w:rPr>
          <w:rFonts w:hint="eastAsia" w:ascii="仿宋" w:hAnsi="仿宋" w:eastAsia="仿宋" w:cs="仿宋"/>
          <w:color w:val="auto"/>
          <w:highlight w:val="none"/>
        </w:rPr>
        <w:t>年</w:t>
      </w:r>
      <w:r>
        <w:rPr>
          <w:rFonts w:hint="eastAsia" w:ascii="仿宋" w:hAnsi="仿宋" w:eastAsia="仿宋" w:cs="仿宋"/>
          <w:color w:val="auto"/>
          <w:szCs w:val="21"/>
          <w:highlight w:val="none"/>
        </w:rPr>
        <w:t>XX</w:t>
      </w:r>
      <w:r>
        <w:rPr>
          <w:rFonts w:hint="eastAsia" w:ascii="仿宋" w:hAnsi="仿宋" w:eastAsia="仿宋" w:cs="仿宋"/>
          <w:color w:val="auto"/>
          <w:highlight w:val="none"/>
        </w:rPr>
        <w:t>月</w:t>
      </w:r>
      <w:r>
        <w:rPr>
          <w:rFonts w:hint="eastAsia" w:ascii="仿宋" w:hAnsi="仿宋" w:eastAsia="仿宋" w:cs="仿宋"/>
          <w:color w:val="auto"/>
          <w:szCs w:val="21"/>
          <w:highlight w:val="none"/>
        </w:rPr>
        <w:t>XX</w:t>
      </w:r>
      <w:r>
        <w:rPr>
          <w:rFonts w:hint="eastAsia" w:ascii="仿宋" w:hAnsi="仿宋" w:eastAsia="仿宋" w:cs="仿宋"/>
          <w:color w:val="auto"/>
          <w:highlight w:val="none"/>
        </w:rPr>
        <w:t>日前全部完成安装调试验收合格交付使用(如由于采购人的原因造成合同延迟签订或验收的，时间顺延)。交货验收时须提供产品质检部门从同类产品中抽样检查合格的检测报告。</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2、验收由甲方组织，乙方配合进行：</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(1) 货物在乙方通知安装调试完毕后</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日内初步验收。初步验收合格后，进入</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试用期；试用期间发生重大质量问题，修复后试用相应顺延；试用期结束后</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日内完成最终验收；</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(4) 如质量验收合格，双方签署质量验收报告。</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3、货物安装完成后</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日内，甲方无故不进行验收工作并已使用货物的，视同已安装调试完成并验收合格。</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4、乙方应将所提供货物的装箱清单、配件、随机工具、用户使用手册、原厂保修卡等资料交付给甲方；乙方不能完整交付货物及本款规定的单证和工具的，必须负责补齐，否则视为未按合同约定交货。</w:t>
      </w:r>
    </w:p>
    <w:p>
      <w:pPr>
        <w:pStyle w:val="138"/>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5、如货物经乙方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次维修仍不能达到合同约定的质量标准，甲方有权退货，并视作乙方不能交付货物而须支付违约赔偿金给甲方，甲方还可依法追究乙方的违约责任</w:t>
      </w:r>
      <w:r>
        <w:rPr>
          <w:rFonts w:hint="eastAsia" w:ascii="仿宋" w:hAnsi="仿宋" w:eastAsia="仿宋" w:cs="仿宋"/>
          <w:color w:val="auto"/>
          <w:highlight w:val="none"/>
          <w:lang w:eastAsia="zh-CN"/>
        </w:rPr>
        <w:t>。</w:t>
      </w:r>
    </w:p>
    <w:p>
      <w:pPr>
        <w:pStyle w:val="4"/>
        <w:bidi w:val="0"/>
        <w:rPr>
          <w:rFonts w:hint="eastAsia" w:ascii="仿宋" w:hAnsi="仿宋" w:eastAsia="仿宋" w:cs="仿宋"/>
          <w:color w:val="auto"/>
          <w:highlight w:val="none"/>
        </w:rPr>
      </w:pPr>
      <w:bookmarkStart w:id="49" w:name="_Toc217446111"/>
      <w:bookmarkStart w:id="50" w:name="_Toc10543"/>
      <w:r>
        <w:rPr>
          <w:rFonts w:hint="eastAsia" w:ascii="仿宋" w:hAnsi="仿宋" w:eastAsia="仿宋" w:cs="仿宋"/>
          <w:color w:val="auto"/>
          <w:highlight w:val="none"/>
        </w:rPr>
        <w:t>五、付款方式</w:t>
      </w:r>
      <w:bookmarkEnd w:id="49"/>
      <w:bookmarkEnd w:id="50"/>
    </w:p>
    <w:p>
      <w:pPr>
        <w:pStyle w:val="138"/>
        <w:rPr>
          <w:rFonts w:hint="eastAsia" w:ascii="仿宋" w:hAnsi="仿宋" w:eastAsia="仿宋" w:cs="仿宋"/>
          <w:color w:val="auto"/>
          <w:highlight w:val="none"/>
        </w:rPr>
      </w:pPr>
      <w:r>
        <w:rPr>
          <w:rFonts w:hint="eastAsia" w:ascii="仿宋" w:hAnsi="仿宋" w:eastAsia="仿宋" w:cs="仿宋"/>
          <w:color w:val="auto"/>
          <w:highlight w:val="none"/>
        </w:rPr>
        <w:t>（一）适用于无预付款采购项目</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1、全部货物安装调试完毕并验收合格之日起，甲方接到乙方通知与票据凭证资料以后的</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日内，按照财政性资金支付有关规定，向乙方支付合同价款￥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元，人民币大写</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元整；</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2、履约保证金退还：在货物验收合格满</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后，甲方接到乙方通知和支付凭证资料文件，以及由甲方确认本合同货物质量与服务等约定事项已经履行完毕的正式书面文件后的</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日内，递交结算凭证资料给银行并由其向乙方支付价款￥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元， 人民币大写：</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元整；乙方履约不合格的，履约保证金不予退还。</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3、乙方须向甲方出具合法有效完整的完税发票及凭证资料进行支付结算。</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（二）适用于有预付款采购项目（预付款建议不超过政府采购合同金额的30%）</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1、甲方在本合同签订生效之日起接到乙方通知和票据凭证资料以及乙方交给甲方的合同履约保证金（按合同总价的百分之  计算款额￥</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元，人民币大写：</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元整）后的</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日内支付合同金额百分之</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的价款；</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2、全部货物安装调试完毕并验收合格之日起，甲方接到乙方通知与票据凭证资料以后的</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日内，提交支付凭证资料给</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财政国库支付执行机构办理财政国库支付手续，并由其向乙方核拨合同总价的百分之</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款项：￥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元，人民币大写</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元整；</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3、履约保证金退还：在货物验收合格满</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后，甲方接到乙方通知和支付凭证资料文件，以及由甲方确认本合同货物质量与服务等约定事项已经履行完毕的正式书面文件后的</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日内，递交结算凭证资料给银行并由其向乙方支付价款￥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元， 人民币大写：</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元整；乙方履约不合格的，履约保证金不予退还。</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4、乙方须向甲方出具合法有效完整的完税发票及凭证资料进行支付结算。</w:t>
      </w:r>
    </w:p>
    <w:p>
      <w:pPr>
        <w:pStyle w:val="4"/>
        <w:bidi w:val="0"/>
        <w:rPr>
          <w:rFonts w:hint="eastAsia" w:ascii="仿宋" w:hAnsi="仿宋" w:eastAsia="仿宋" w:cs="仿宋"/>
          <w:color w:val="auto"/>
          <w:highlight w:val="none"/>
        </w:rPr>
      </w:pPr>
      <w:bookmarkStart w:id="51" w:name="_Toc217446112"/>
      <w:bookmarkStart w:id="52" w:name="_Toc27083"/>
      <w:r>
        <w:rPr>
          <w:rFonts w:hint="eastAsia" w:ascii="仿宋" w:hAnsi="仿宋" w:eastAsia="仿宋" w:cs="仿宋"/>
          <w:color w:val="auto"/>
          <w:highlight w:val="none"/>
        </w:rPr>
        <w:t>六、售后服务</w:t>
      </w:r>
      <w:bookmarkEnd w:id="51"/>
      <w:bookmarkEnd w:id="52"/>
    </w:p>
    <w:p>
      <w:pPr>
        <w:pStyle w:val="138"/>
        <w:rPr>
          <w:rFonts w:hint="eastAsia" w:ascii="仿宋" w:hAnsi="仿宋" w:eastAsia="仿宋" w:cs="仿宋"/>
          <w:color w:val="auto"/>
          <w:highlight w:val="none"/>
        </w:rPr>
      </w:pPr>
      <w:r>
        <w:rPr>
          <w:rFonts w:hint="eastAsia" w:ascii="仿宋" w:hAnsi="仿宋" w:eastAsia="仿宋" w:cs="仿宋"/>
          <w:color w:val="auto"/>
          <w:highlight w:val="none"/>
        </w:rPr>
        <w:t>1、质保期为验收合格后</w:t>
      </w:r>
      <w:r>
        <w:rPr>
          <w:rFonts w:hint="eastAsia" w:ascii="仿宋" w:hAnsi="仿宋" w:eastAsia="仿宋" w:cs="仿宋"/>
          <w:color w:val="auto"/>
          <w:szCs w:val="21"/>
          <w:highlight w:val="none"/>
        </w:rPr>
        <w:t>XX</w:t>
      </w:r>
      <w:r>
        <w:rPr>
          <w:rFonts w:hint="eastAsia" w:ascii="仿宋" w:hAnsi="仿宋" w:eastAsia="仿宋" w:cs="仿宋"/>
          <w:color w:val="auto"/>
          <w:highlight w:val="none"/>
        </w:rPr>
        <w:t>年，质保期内出现质量问题，乙方在接到通知后</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小时内响应到场，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小时内完成维修或更换，并承担修理调换的费用；如货物经乙方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次维修仍不能达到本合同约定的质量标准，视作乙方未能按时交货，甲方有权退货并追究乙方的违约责任。货到现场后由于甲方保管不当造成的问题，乙方亦应负责修复，但费用由甲方负担。</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2、乙方须指派专人负责与甲方联系售后服务事宜。 </w:t>
      </w:r>
    </w:p>
    <w:p>
      <w:pPr>
        <w:pStyle w:val="4"/>
        <w:bidi w:val="0"/>
        <w:rPr>
          <w:rFonts w:hint="eastAsia" w:ascii="仿宋" w:hAnsi="仿宋" w:eastAsia="仿宋" w:cs="仿宋"/>
          <w:color w:val="auto"/>
          <w:highlight w:val="none"/>
        </w:rPr>
      </w:pPr>
      <w:bookmarkStart w:id="53" w:name="_Toc413"/>
      <w:bookmarkStart w:id="54" w:name="_Toc217446113"/>
      <w:r>
        <w:rPr>
          <w:rFonts w:hint="eastAsia" w:ascii="仿宋" w:hAnsi="仿宋" w:eastAsia="仿宋" w:cs="仿宋"/>
          <w:color w:val="auto"/>
          <w:highlight w:val="none"/>
        </w:rPr>
        <w:t>七、违约责任</w:t>
      </w:r>
      <w:bookmarkEnd w:id="53"/>
      <w:bookmarkEnd w:id="54"/>
    </w:p>
    <w:p>
      <w:pPr>
        <w:pStyle w:val="138"/>
        <w:rPr>
          <w:rFonts w:hint="eastAsia" w:ascii="仿宋" w:hAnsi="仿宋" w:eastAsia="仿宋" w:cs="仿宋"/>
          <w:color w:val="auto"/>
          <w:highlight w:val="none"/>
        </w:rPr>
      </w:pPr>
      <w:r>
        <w:rPr>
          <w:rFonts w:hint="eastAsia" w:ascii="仿宋" w:hAnsi="仿宋" w:eastAsia="仿宋" w:cs="仿宋"/>
          <w:color w:val="auto"/>
          <w:highlight w:val="none"/>
        </w:rPr>
        <w:t>1、甲方违约责任</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（1） 甲方无正当理由拒收货物的，甲方应偿付合同总价百分之  的违约金；</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（2） 甲方逾期支付货款的，除应及时付足货款外，应向乙方偿付欠款总额万分之</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/天的违约金；逾期付款超过</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天的，乙方有权终止合同；</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（3） 甲方偿付的违约金不足以弥补乙方损失的，还应按乙方损失尚未弥补的部分，支付赔偿金给乙方。</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2、乙方违约责任</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（1）乙方交付的货物质量不符合合同规定的，乙方应向甲方支付合同总价的百分之</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的违约金，并须在合同规定的交货时间内更换合格的货物给甲方，否则，视作乙方不能交付货物而违约，按本条本款下述第“（2）”项规定由乙方偿付违约赔偿金给甲方。</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（2）乙方不能交付货物或逾期交付货物而违约的，除应及时交足货物外，应向甲方偿付逾期交货部分货款总额的万分之</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/天的违约金；逾期交货超过</w:t>
      </w:r>
      <w:r>
        <w:rPr>
          <w:rFonts w:hint="eastAsia" w:ascii="仿宋" w:hAnsi="仿宋" w:eastAsia="仿宋" w:cs="仿宋"/>
          <w:color w:val="auto"/>
          <w:szCs w:val="21"/>
          <w:highlight w:val="none"/>
        </w:rPr>
        <w:t>XX</w:t>
      </w:r>
      <w:r>
        <w:rPr>
          <w:rFonts w:hint="eastAsia" w:ascii="仿宋" w:hAnsi="仿宋" w:eastAsia="仿宋" w:cs="仿宋"/>
          <w:color w:val="auto"/>
          <w:highlight w:val="none"/>
        </w:rPr>
        <w:t>天，甲方有权终止合同，乙方则应按合同总价的百分之</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的款额向甲方偿付赔偿金，并须全额退还甲方已经付给乙方的货款及其利息。</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（3）乙方货物经甲方送交具有法定资格条件的质量技术监督机构检测后，如检测结果认定货物质量不符合本合同规定标准的，则视为乙方没有按时交货而违约，乙方须在</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天内无条件更换合格的货物，如逾期不能更换合格的货物，甲方有权终止本合同，乙方应另付合同总价的百分之</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的赔偿金给甲方。</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向甲方支付违约金并赔偿因此给甲方造成的一切损失。</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（5）乙方偿付的违约金不足以弥补甲方损失的，还应按甲方损失尚未弥补的部分，支付赔偿金给甲方。</w:t>
      </w:r>
    </w:p>
    <w:p>
      <w:pPr>
        <w:pStyle w:val="4"/>
        <w:bidi w:val="0"/>
        <w:rPr>
          <w:rFonts w:hint="eastAsia" w:ascii="仿宋" w:hAnsi="仿宋" w:eastAsia="仿宋" w:cs="仿宋"/>
          <w:color w:val="auto"/>
          <w:highlight w:val="none"/>
        </w:rPr>
      </w:pPr>
      <w:bookmarkStart w:id="55" w:name="_Toc22377"/>
      <w:bookmarkStart w:id="56" w:name="_Toc217446114"/>
      <w:r>
        <w:rPr>
          <w:rFonts w:hint="eastAsia" w:ascii="仿宋" w:hAnsi="仿宋" w:eastAsia="仿宋" w:cs="仿宋"/>
          <w:color w:val="auto"/>
          <w:highlight w:val="none"/>
        </w:rPr>
        <w:t>八、争议解决办法</w:t>
      </w:r>
      <w:bookmarkEnd w:id="55"/>
      <w:bookmarkEnd w:id="56"/>
    </w:p>
    <w:p>
      <w:pPr>
        <w:pStyle w:val="138"/>
        <w:rPr>
          <w:rFonts w:hint="eastAsia" w:ascii="仿宋" w:hAnsi="仿宋" w:eastAsia="仿宋" w:cs="仿宋"/>
          <w:color w:val="auto"/>
          <w:highlight w:val="none"/>
        </w:rPr>
      </w:pPr>
      <w:r>
        <w:rPr>
          <w:rFonts w:hint="eastAsia" w:ascii="仿宋" w:hAnsi="仿宋" w:eastAsia="仿宋" w:cs="仿宋"/>
          <w:color w:val="auto"/>
          <w:highlight w:val="none"/>
        </w:rPr>
        <w:t>1、因货物的质量问题发生争议，由质量技术监督部门或其指定的质量鉴定机构进行质量鉴定。货物符合标准的，鉴定费由甲方承担；货物不符合质量标准的，鉴定费由乙方承担。</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2、合同履行期间,若双方发生争议，可协商或由有关部门调解解决，协商或调解不成的，由当事人依法维护其合法权益。</w:t>
      </w:r>
    </w:p>
    <w:p>
      <w:pPr>
        <w:pStyle w:val="4"/>
        <w:bidi w:val="0"/>
        <w:rPr>
          <w:rFonts w:hint="eastAsia" w:ascii="仿宋" w:hAnsi="仿宋" w:eastAsia="仿宋" w:cs="仿宋"/>
          <w:color w:val="auto"/>
          <w:highlight w:val="none"/>
        </w:rPr>
      </w:pPr>
      <w:bookmarkStart w:id="57" w:name="_Toc217446115"/>
      <w:bookmarkStart w:id="58" w:name="_Toc16303"/>
      <w:r>
        <w:rPr>
          <w:rFonts w:hint="eastAsia" w:ascii="仿宋" w:hAnsi="仿宋" w:eastAsia="仿宋" w:cs="仿宋"/>
          <w:color w:val="auto"/>
          <w:highlight w:val="none"/>
        </w:rPr>
        <w:t>九、其他</w:t>
      </w:r>
      <w:bookmarkEnd w:id="57"/>
      <w:bookmarkEnd w:id="58"/>
    </w:p>
    <w:p>
      <w:pPr>
        <w:pStyle w:val="138"/>
        <w:rPr>
          <w:rFonts w:hint="eastAsia" w:ascii="仿宋" w:hAnsi="仿宋" w:eastAsia="仿宋" w:cs="仿宋"/>
          <w:color w:val="auto"/>
          <w:highlight w:val="none"/>
        </w:rPr>
      </w:pPr>
      <w:r>
        <w:rPr>
          <w:rFonts w:hint="eastAsia" w:ascii="仿宋" w:hAnsi="仿宋" w:eastAsia="仿宋" w:cs="仿宋"/>
          <w:color w:val="auto"/>
          <w:highlight w:val="none"/>
        </w:rPr>
        <w:t>1、如有未尽事宜，由双方依法订立补充合同。</w:t>
      </w:r>
    </w:p>
    <w:p>
      <w:pPr>
        <w:pStyle w:val="138"/>
        <w:rPr>
          <w:rFonts w:hint="eastAsia" w:ascii="仿宋" w:hAnsi="仿宋" w:eastAsia="仿宋" w:cs="仿宋"/>
          <w:color w:val="auto"/>
          <w:highlight w:val="none"/>
        </w:rPr>
      </w:pPr>
      <w:r>
        <w:rPr>
          <w:rFonts w:hint="eastAsia" w:ascii="仿宋" w:hAnsi="仿宋" w:eastAsia="仿宋" w:cs="仿宋"/>
          <w:color w:val="auto"/>
          <w:highlight w:val="none"/>
        </w:rPr>
        <w:t>2、本合同一式</w:t>
      </w:r>
      <w:r>
        <w:rPr>
          <w:rFonts w:hint="eastAsia" w:ascii="仿宋" w:hAnsi="仿宋" w:eastAsia="仿宋" w:cs="仿宋"/>
          <w:color w:val="auto"/>
          <w:highlight w:val="none"/>
          <w:lang w:eastAsia="zh-CN"/>
        </w:rPr>
        <w:t>陆</w:t>
      </w:r>
      <w:r>
        <w:rPr>
          <w:rFonts w:hint="eastAsia" w:ascii="仿宋" w:hAnsi="仿宋" w:eastAsia="仿宋" w:cs="仿宋"/>
          <w:color w:val="auto"/>
          <w:highlight w:val="none"/>
        </w:rPr>
        <w:t>份，自双方签章之日起生效。甲方贰份、乙方、政府采购管理部门、代理机构各壹份。</w:t>
      </w:r>
    </w:p>
    <w:p>
      <w:pPr>
        <w:spacing w:line="400" w:lineRule="exact"/>
        <w:rPr>
          <w:rFonts w:hint="eastAsia" w:ascii="仿宋" w:hAnsi="仿宋" w:eastAsia="仿宋" w:cs="仿宋"/>
          <w:color w:val="auto"/>
          <w:sz w:val="24"/>
          <w:highlight w:val="none"/>
        </w:rPr>
      </w:pPr>
    </w:p>
    <w:p>
      <w:pPr>
        <w:spacing w:line="400" w:lineRule="exact"/>
        <w:rPr>
          <w:rFonts w:hint="eastAsia" w:ascii="仿宋" w:hAnsi="仿宋" w:eastAsia="仿宋" w:cs="仿宋"/>
          <w:color w:val="auto"/>
          <w:sz w:val="24"/>
          <w:highlight w:val="none"/>
        </w:rPr>
      </w:pPr>
    </w:p>
    <w:p>
      <w:pPr>
        <w:spacing w:line="400" w:lineRule="exact"/>
        <w:rPr>
          <w:rFonts w:hint="eastAsia" w:ascii="仿宋" w:hAnsi="仿宋" w:eastAsia="仿宋" w:cs="仿宋"/>
          <w:color w:val="auto"/>
          <w:sz w:val="24"/>
          <w:highlight w:val="none"/>
        </w:rPr>
      </w:pP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甲方：   （盖章）   </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 xml:space="preserve">       乙方：   （盖章）</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法定代表人（授权代表）：           法定代表人（授权代表）：</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                         地    址：</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电    话：                         电    话：</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传    真：</w:t>
      </w:r>
    </w:p>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签约日期：XX年XX月XX日 </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签约日期：XX年XX月XX日</w:t>
      </w:r>
    </w:p>
    <w:p>
      <w:pPr>
        <w:pStyle w:val="94"/>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3"/>
        <w:bidi w:val="0"/>
        <w:rPr>
          <w:rFonts w:hint="eastAsia" w:ascii="仿宋" w:hAnsi="仿宋" w:eastAsia="仿宋" w:cs="仿宋"/>
          <w:color w:val="auto"/>
          <w:highlight w:val="none"/>
        </w:rPr>
      </w:pPr>
      <w:bookmarkStart w:id="59" w:name="_Toc17802"/>
      <w:r>
        <w:rPr>
          <w:rFonts w:hint="eastAsia" w:ascii="仿宋" w:hAnsi="仿宋" w:eastAsia="仿宋" w:cs="仿宋"/>
          <w:color w:val="auto"/>
          <w:highlight w:val="none"/>
        </w:rPr>
        <w:t>第五章  投标文件格式（部分）</w:t>
      </w:r>
      <w:bookmarkEnd w:id="59"/>
    </w:p>
    <w:p>
      <w:pPr>
        <w:pStyle w:val="4"/>
        <w:bidi w:val="0"/>
        <w:rPr>
          <w:rFonts w:hint="eastAsia" w:ascii="仿宋" w:hAnsi="仿宋" w:eastAsia="仿宋" w:cs="仿宋"/>
          <w:color w:val="auto"/>
          <w:highlight w:val="none"/>
        </w:rPr>
      </w:pPr>
      <w:bookmarkStart w:id="60" w:name="_Toc17630"/>
      <w:bookmarkStart w:id="61" w:name="_Toc383155944"/>
      <w:bookmarkStart w:id="62" w:name="_Toc498369442"/>
      <w:bookmarkStart w:id="63" w:name="_Toc380742995"/>
      <w:bookmarkStart w:id="64" w:name="_Toc387653043"/>
      <w:r>
        <w:rPr>
          <w:rFonts w:hint="eastAsia" w:ascii="仿宋" w:hAnsi="仿宋" w:eastAsia="仿宋" w:cs="仿宋"/>
          <w:color w:val="auto"/>
          <w:highlight w:val="none"/>
        </w:rPr>
        <w:t>附件1投标承诺书</w:t>
      </w:r>
      <w:bookmarkEnd w:id="60"/>
      <w:bookmarkEnd w:id="61"/>
      <w:bookmarkEnd w:id="62"/>
      <w:bookmarkEnd w:id="63"/>
      <w:bookmarkEnd w:id="64"/>
    </w:p>
    <w:p>
      <w:pPr>
        <w:adjustRightInd w:val="0"/>
        <w:snapToGrid w:val="0"/>
        <w:spacing w:beforeLines="50" w:line="4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(采购人)：</w:t>
      </w:r>
    </w:p>
    <w:p>
      <w:pPr>
        <w:adjustRightInd w:val="0"/>
        <w:snapToGrid w:val="0"/>
        <w:spacing w:line="4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根据贵方为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（项目名称、招标文件编号）的要求，为杜绝商业欺诈和商业贿赂行为，我公司在此庄严承诺：</w:t>
      </w:r>
    </w:p>
    <w:p>
      <w:pPr>
        <w:adjustRightInd w:val="0"/>
        <w:snapToGrid w:val="0"/>
        <w:spacing w:line="4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1、在参与政府采购活动中遵纪守法、诚信经营、公平竞争。</w:t>
      </w:r>
    </w:p>
    <w:p>
      <w:pPr>
        <w:adjustRightInd w:val="0"/>
        <w:snapToGrid w:val="0"/>
        <w:spacing w:line="460" w:lineRule="exact"/>
        <w:ind w:left="36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2、不向采购人、招标代理机购和采购评审专家进行任何形式的商业贿赂以谋取交易机会。</w:t>
      </w:r>
    </w:p>
    <w:p>
      <w:pPr>
        <w:adjustRightInd w:val="0"/>
        <w:snapToGrid w:val="0"/>
        <w:spacing w:line="460" w:lineRule="exact"/>
        <w:ind w:left="36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3、不向采购人和采购代理机构提供虚假资格文件或采用虚假应标方式参与政府采购市场竞争并谋取中标、成交。</w:t>
      </w:r>
    </w:p>
    <w:p>
      <w:pPr>
        <w:adjustRightInd w:val="0"/>
        <w:snapToGrid w:val="0"/>
        <w:spacing w:line="4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4、我公司投标文件中所提供的货物和服务的参数都如实描述，无任何虚假情况。</w:t>
      </w:r>
    </w:p>
    <w:p>
      <w:pPr>
        <w:adjustRightInd w:val="0"/>
        <w:snapToGrid w:val="0"/>
        <w:spacing w:line="4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5、不采取“围标、陪标”等商业欺诈手段获得政府采购定单。</w:t>
      </w:r>
    </w:p>
    <w:p>
      <w:pPr>
        <w:adjustRightInd w:val="0"/>
        <w:snapToGrid w:val="0"/>
        <w:spacing w:line="4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6、不采取不正当手段诋毁、排挤其他供应商。</w:t>
      </w:r>
    </w:p>
    <w:p>
      <w:pPr>
        <w:adjustRightInd w:val="0"/>
        <w:snapToGrid w:val="0"/>
        <w:spacing w:line="4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7、不在提供货物和服务时“偷梁换柱、以次充好”损害采购人的合法权益。</w:t>
      </w:r>
    </w:p>
    <w:p>
      <w:pPr>
        <w:adjustRightInd w:val="0"/>
        <w:snapToGrid w:val="0"/>
        <w:spacing w:line="460" w:lineRule="exact"/>
        <w:ind w:left="36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8、不与采购人、采购代理机构和采购评审专家或其它供应商恶意串通，进行质疑和投诉，维护政府采购市场秩序。</w:t>
      </w:r>
    </w:p>
    <w:p>
      <w:pPr>
        <w:adjustRightInd w:val="0"/>
        <w:snapToGrid w:val="0"/>
        <w:spacing w:line="460" w:lineRule="exact"/>
        <w:ind w:left="360" w:hanging="360" w:hanging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9、尊重和接受政府采购监督管理部门的监督，承担因违规违约行为给采购人造成的损失。</w:t>
      </w:r>
    </w:p>
    <w:p>
      <w:pPr>
        <w:adjustRightInd w:val="0"/>
        <w:snapToGrid w:val="0"/>
        <w:spacing w:line="4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10、不发生其他有悖于政府采购公平、公正和诚信原则的行为。</w:t>
      </w:r>
    </w:p>
    <w:p>
      <w:pPr>
        <w:adjustRightInd w:val="0"/>
        <w:snapToGrid w:val="0"/>
        <w:spacing w:line="4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以上承诺如有违反，除被没收投标保证金外，还自愿承担一切法律责任及后果。</w:t>
      </w:r>
    </w:p>
    <w:p>
      <w:pPr>
        <w:pStyle w:val="31"/>
        <w:adjustRightInd w:val="0"/>
        <w:snapToGrid w:val="0"/>
        <w:spacing w:beforeLines="50" w:line="60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投标人名称(盖公章)：</w:t>
      </w:r>
      <w:r>
        <w:rPr>
          <w:rFonts w:hint="eastAsia" w:ascii="仿宋" w:hAnsi="仿宋" w:eastAsia="仿宋" w:cs="仿宋"/>
          <w:color w:val="auto"/>
          <w:sz w:val="24"/>
          <w:szCs w:val="24"/>
          <w:highlight w:val="none"/>
          <w:u w:val="single"/>
        </w:rPr>
        <w:t xml:space="preserve">                             </w:t>
      </w:r>
    </w:p>
    <w:p>
      <w:pPr>
        <w:adjustRightInd w:val="0"/>
        <w:snapToGrid w:val="0"/>
        <w:spacing w:beforeLines="50" w:line="600" w:lineRule="exac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法定代表人或其授权的代理人(签字)：</w:t>
      </w:r>
      <w:r>
        <w:rPr>
          <w:rFonts w:hint="eastAsia" w:ascii="仿宋" w:hAnsi="仿宋" w:eastAsia="仿宋" w:cs="仿宋"/>
          <w:color w:val="auto"/>
          <w:sz w:val="24"/>
          <w:highlight w:val="none"/>
          <w:u w:val="single"/>
        </w:rPr>
        <w:t xml:space="preserve">               </w:t>
      </w:r>
    </w:p>
    <w:p>
      <w:pPr>
        <w:adjustRightInd w:val="0"/>
        <w:snapToGrid w:val="0"/>
        <w:spacing w:beforeLines="50" w:line="6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adjustRightInd w:val="0"/>
        <w:snapToGrid w:val="0"/>
        <w:spacing w:beforeLines="50"/>
        <w:ind w:left="-88" w:leftChars="-42"/>
        <w:rPr>
          <w:rFonts w:hint="eastAsia" w:ascii="仿宋" w:hAnsi="仿宋" w:eastAsia="仿宋" w:cs="仿宋"/>
          <w:color w:val="auto"/>
          <w:sz w:val="24"/>
          <w:highlight w:val="none"/>
        </w:rPr>
      </w:pPr>
      <w:r>
        <w:rPr>
          <w:rFonts w:hint="eastAsia" w:ascii="仿宋" w:hAnsi="仿宋" w:eastAsia="仿宋" w:cs="仿宋"/>
          <w:b/>
          <w:color w:val="auto"/>
          <w:sz w:val="24"/>
          <w:highlight w:val="none"/>
        </w:rPr>
        <w:t>注</w:t>
      </w:r>
      <w:r>
        <w:rPr>
          <w:rFonts w:hint="eastAsia" w:ascii="仿宋" w:hAnsi="仿宋" w:eastAsia="仿宋" w:cs="仿宋"/>
          <w:color w:val="auto"/>
          <w:sz w:val="24"/>
          <w:highlight w:val="none"/>
        </w:rPr>
        <w:t>：对本投标承诺书的任何修改将被视为非实质性响应投标，在评标时将其视为无效投标。</w:t>
      </w:r>
    </w:p>
    <w:p>
      <w:pPr>
        <w:pStyle w:val="5"/>
        <w:jc w:val="left"/>
        <w:rPr>
          <w:rFonts w:hint="eastAsia" w:ascii="仿宋" w:hAnsi="仿宋" w:eastAsia="仿宋" w:cs="仿宋"/>
          <w:color w:val="auto"/>
          <w:sz w:val="28"/>
          <w:szCs w:val="28"/>
          <w:highlight w:val="none"/>
        </w:rPr>
      </w:pPr>
      <w:r>
        <w:rPr>
          <w:rFonts w:hint="eastAsia" w:ascii="仿宋" w:hAnsi="仿宋" w:eastAsia="仿宋" w:cs="仿宋"/>
          <w:b w:val="0"/>
          <w:bCs w:val="0"/>
          <w:color w:val="auto"/>
          <w:sz w:val="24"/>
          <w:highlight w:val="none"/>
        </w:rPr>
        <w:br w:type="page"/>
      </w:r>
      <w:bookmarkStart w:id="65" w:name="_Toc471805995"/>
      <w:bookmarkStart w:id="66" w:name="_Toc28005"/>
      <w:r>
        <w:rPr>
          <w:rStyle w:val="210"/>
          <w:rFonts w:hint="eastAsia" w:ascii="仿宋" w:hAnsi="仿宋" w:eastAsia="仿宋" w:cs="仿宋"/>
          <w:b/>
          <w:color w:val="auto"/>
          <w:highlight w:val="none"/>
        </w:rPr>
        <w:t>附件2 投标函</w:t>
      </w:r>
      <w:bookmarkEnd w:id="65"/>
      <w:bookmarkEnd w:id="66"/>
    </w:p>
    <w:p>
      <w:pPr>
        <w:adjustRightInd w:val="0"/>
        <w:snapToGrid w:val="0"/>
        <w:spacing w:beforeLines="50" w:line="400" w:lineRule="exact"/>
        <w:rPr>
          <w:rFonts w:hint="eastAsia" w:ascii="仿宋" w:hAnsi="仿宋" w:eastAsia="仿宋" w:cs="仿宋"/>
          <w:color w:val="auto"/>
          <w:sz w:val="24"/>
          <w:highlight w:val="none"/>
        </w:rPr>
      </w:pPr>
      <w:bookmarkStart w:id="67" w:name="_Toc471805996"/>
      <w:r>
        <w:rPr>
          <w:rFonts w:hint="eastAsia" w:ascii="仿宋" w:hAnsi="仿宋" w:eastAsia="仿宋" w:cs="仿宋"/>
          <w:color w:val="auto"/>
          <w:sz w:val="24"/>
          <w:highlight w:val="none"/>
        </w:rPr>
        <w:t>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(采购人)：</w:t>
      </w:r>
    </w:p>
    <w:p>
      <w:pPr>
        <w:adjustRightInd w:val="0"/>
        <w:snapToGrid w:val="0"/>
        <w:spacing w:beforeLines="50" w:line="400" w:lineRule="exact"/>
        <w:ind w:firstLine="435"/>
        <w:rPr>
          <w:rFonts w:hint="eastAsia" w:ascii="仿宋" w:hAnsi="仿宋" w:eastAsia="仿宋" w:cs="仿宋"/>
          <w:color w:val="auto"/>
          <w:sz w:val="24"/>
          <w:highlight w:val="none"/>
        </w:rPr>
      </w:pPr>
      <w:r>
        <w:rPr>
          <w:rFonts w:hint="eastAsia" w:ascii="仿宋" w:hAnsi="仿宋" w:eastAsia="仿宋" w:cs="仿宋"/>
          <w:color w:val="auto"/>
          <w:sz w:val="24"/>
          <w:highlight w:val="none"/>
        </w:rPr>
        <w:t>根据贵方为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（项目名称）的招标公告（招标文件编号：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），签字代表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（姓名、职务）经正式授权并代表投标人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（投标人名称、地址）提交下述文件正本一份、副本</w:t>
      </w:r>
      <w:r>
        <w:rPr>
          <w:rFonts w:hint="eastAsia" w:ascii="仿宋" w:hAnsi="仿宋" w:eastAsia="仿宋" w:cs="仿宋"/>
          <w:color w:val="auto"/>
          <w:sz w:val="24"/>
          <w:highlight w:val="none"/>
          <w:lang w:eastAsia="zh-CN"/>
        </w:rPr>
        <w:t>三</w:t>
      </w:r>
      <w:r>
        <w:rPr>
          <w:rFonts w:hint="eastAsia" w:ascii="仿宋" w:hAnsi="仿宋" w:eastAsia="仿宋" w:cs="仿宋"/>
          <w:color w:val="auto"/>
          <w:sz w:val="24"/>
          <w:highlight w:val="none"/>
        </w:rPr>
        <w:t>份，</w:t>
      </w:r>
      <w:r>
        <w:rPr>
          <w:rFonts w:hint="eastAsia" w:ascii="仿宋" w:hAnsi="仿宋" w:eastAsia="仿宋" w:cs="仿宋"/>
          <w:color w:val="auto"/>
          <w:sz w:val="24"/>
          <w:szCs w:val="24"/>
          <w:highlight w:val="none"/>
          <w:lang w:val="en-US" w:eastAsia="zh-CN"/>
        </w:rPr>
        <w:t>电子版可编辑 U 盘一份</w:t>
      </w:r>
      <w:r>
        <w:rPr>
          <w:rFonts w:hint="eastAsia" w:ascii="仿宋" w:hAnsi="仿宋" w:eastAsia="仿宋" w:cs="仿宋"/>
          <w:color w:val="auto"/>
          <w:sz w:val="24"/>
          <w:highlight w:val="none"/>
        </w:rPr>
        <w:t>并在此声明，所递交的投标文件内容完整、真实。</w:t>
      </w:r>
    </w:p>
    <w:p>
      <w:pPr>
        <w:adjustRightInd w:val="0"/>
        <w:snapToGrid w:val="0"/>
        <w:spacing w:beforeLines="50"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1、商务文件：投标承诺书、投标函、开标报价一览表、投标人资格证明文件、商务响应说明书； </w:t>
      </w:r>
    </w:p>
    <w:p>
      <w:pPr>
        <w:adjustRightInd w:val="0"/>
        <w:snapToGrid w:val="0"/>
        <w:spacing w:beforeLines="50" w:line="4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2、技术文件：投标方案说明书。</w:t>
      </w:r>
    </w:p>
    <w:p>
      <w:pPr>
        <w:adjustRightInd w:val="0"/>
        <w:snapToGrid w:val="0"/>
        <w:spacing w:beforeLines="50"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在此，签字代表宣布同意如下：</w:t>
      </w:r>
    </w:p>
    <w:p>
      <w:pPr>
        <w:adjustRightInd w:val="0"/>
        <w:snapToGrid w:val="0"/>
        <w:spacing w:beforeLines="50"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1、所附投标价格表中规定的应提交和交付的货物和服务投标总价为：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(人民币大写)。</w:t>
      </w:r>
    </w:p>
    <w:p>
      <w:pPr>
        <w:adjustRightInd w:val="0"/>
        <w:snapToGrid w:val="0"/>
        <w:spacing w:beforeLines="50"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2、投标人将按招标文件的规定履行合同责任和义务。</w:t>
      </w:r>
    </w:p>
    <w:p>
      <w:pPr>
        <w:adjustRightInd w:val="0"/>
        <w:snapToGrid w:val="0"/>
        <w:spacing w:beforeLines="50"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3、投标人已详细审查全部招标文件。我们完全理解并同意放弃对这方面有不明及误解的权力。</w:t>
      </w:r>
    </w:p>
    <w:p>
      <w:pPr>
        <w:adjustRightInd w:val="0"/>
        <w:snapToGrid w:val="0"/>
        <w:spacing w:beforeLines="50"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4、本投标有效期为自招标文件规定的提交投标文件截止之日起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个日历日。在投标有效期内我方同意遵守本投标文件中的承诺且在此期限期满之前投标文件对我方具有法律约束力。</w:t>
      </w:r>
    </w:p>
    <w:p>
      <w:pPr>
        <w:adjustRightInd w:val="0"/>
        <w:snapToGrid w:val="0"/>
        <w:spacing w:beforeLines="50"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5、我方同意提供贵方可能要求的与其投标有关的一切数据或资料。 </w:t>
      </w:r>
    </w:p>
    <w:p>
      <w:pPr>
        <w:adjustRightInd w:val="0"/>
        <w:snapToGrid w:val="0"/>
        <w:spacing w:beforeLines="50"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6、与本投标有关的一切正式往来信函请寄：</w:t>
      </w:r>
    </w:p>
    <w:p>
      <w:pPr>
        <w:adjustRightInd w:val="0"/>
        <w:snapToGrid w:val="0"/>
        <w:spacing w:beforeLines="50"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邮编：</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传真：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Style w:val="31"/>
        <w:adjustRightInd w:val="0"/>
        <w:snapToGrid w:val="0"/>
        <w:spacing w:beforeLines="50" w:line="40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投标人名称(盖公章)：</w:t>
      </w:r>
      <w:r>
        <w:rPr>
          <w:rFonts w:hint="eastAsia" w:ascii="仿宋" w:hAnsi="仿宋" w:eastAsia="仿宋" w:cs="仿宋"/>
          <w:color w:val="auto"/>
          <w:sz w:val="24"/>
          <w:szCs w:val="24"/>
          <w:highlight w:val="none"/>
          <w:u w:val="single"/>
        </w:rPr>
        <w:t xml:space="preserve">                            </w:t>
      </w:r>
    </w:p>
    <w:p>
      <w:pPr>
        <w:adjustRightInd w:val="0"/>
        <w:snapToGrid w:val="0"/>
        <w:spacing w:beforeLines="50" w:line="400" w:lineRule="exac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法定代表人或其授权的代理人(签字)：</w:t>
      </w:r>
      <w:r>
        <w:rPr>
          <w:rFonts w:hint="eastAsia" w:ascii="仿宋" w:hAnsi="仿宋" w:eastAsia="仿宋" w:cs="仿宋"/>
          <w:color w:val="auto"/>
          <w:sz w:val="24"/>
          <w:highlight w:val="none"/>
          <w:u w:val="single"/>
        </w:rPr>
        <w:t xml:space="preserve">               </w:t>
      </w:r>
    </w:p>
    <w:p>
      <w:pPr>
        <w:adjustRightInd w:val="0"/>
        <w:snapToGrid w:val="0"/>
        <w:spacing w:beforeLines="50"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adjustRightInd w:val="0"/>
        <w:snapToGrid w:val="0"/>
        <w:spacing w:beforeLines="50" w:line="400" w:lineRule="exact"/>
        <w:ind w:left="-88" w:leftChars="-42"/>
        <w:rPr>
          <w:rFonts w:hint="eastAsia" w:ascii="仿宋" w:hAnsi="仿宋" w:eastAsia="仿宋" w:cs="仿宋"/>
          <w:color w:val="auto"/>
          <w:sz w:val="24"/>
          <w:highlight w:val="none"/>
        </w:rPr>
      </w:pPr>
      <w:r>
        <w:rPr>
          <w:rFonts w:hint="eastAsia" w:ascii="仿宋" w:hAnsi="仿宋" w:eastAsia="仿宋" w:cs="仿宋"/>
          <w:b/>
          <w:color w:val="auto"/>
          <w:sz w:val="24"/>
          <w:highlight w:val="none"/>
        </w:rPr>
        <w:t>注</w:t>
      </w:r>
      <w:r>
        <w:rPr>
          <w:rFonts w:hint="eastAsia" w:ascii="仿宋" w:hAnsi="仿宋" w:eastAsia="仿宋" w:cs="仿宋"/>
          <w:color w:val="auto"/>
          <w:sz w:val="24"/>
          <w:highlight w:val="none"/>
        </w:rPr>
        <w:t>：除可填报的部分外，对本投标函的任何修改将被视为非实质性响应投标，在评标时将其视为无效投标。</w:t>
      </w:r>
    </w:p>
    <w:p>
      <w:pPr>
        <w:adjustRightInd w:val="0"/>
        <w:snapToGrid w:val="0"/>
        <w:spacing w:beforeLines="50" w:line="400" w:lineRule="exact"/>
        <w:ind w:left="-88" w:leftChars="-42"/>
        <w:rPr>
          <w:rFonts w:hint="eastAsia" w:ascii="仿宋" w:hAnsi="仿宋" w:eastAsia="仿宋" w:cs="仿宋"/>
          <w:color w:val="auto"/>
          <w:highlight w:val="none"/>
        </w:rPr>
      </w:pPr>
    </w:p>
    <w:p>
      <w:pPr>
        <w:pStyle w:val="4"/>
        <w:bidi w:val="0"/>
        <w:rPr>
          <w:rFonts w:hint="eastAsia" w:ascii="仿宋" w:hAnsi="仿宋" w:eastAsia="仿宋" w:cs="仿宋"/>
          <w:color w:val="auto"/>
          <w:highlight w:val="none"/>
        </w:rPr>
      </w:pPr>
      <w:bookmarkStart w:id="68" w:name="_Toc13496"/>
      <w:r>
        <w:rPr>
          <w:rFonts w:hint="eastAsia" w:ascii="仿宋" w:hAnsi="仿宋" w:eastAsia="仿宋" w:cs="仿宋"/>
          <w:color w:val="auto"/>
          <w:highlight w:val="none"/>
        </w:rPr>
        <w:t>附件3  开标一览表</w:t>
      </w:r>
      <w:bookmarkEnd w:id="67"/>
      <w:bookmarkEnd w:id="68"/>
    </w:p>
    <w:p>
      <w:pPr>
        <w:spacing w:before="100" w:beforeAutospacing="1" w:after="100" w:afterAutospacing="1"/>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开标一览表</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采购项目</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项目编号：  </w:t>
      </w:r>
    </w:p>
    <w:tbl>
      <w:tblPr>
        <w:tblStyle w:val="68"/>
        <w:tblW w:w="9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trPr>
        <w:tc>
          <w:tcPr>
            <w:tcW w:w="1913"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w:t>
            </w:r>
          </w:p>
        </w:tc>
        <w:tc>
          <w:tcPr>
            <w:tcW w:w="7559" w:type="dxa"/>
            <w:vAlign w:val="center"/>
          </w:tcPr>
          <w:p>
            <w:pP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trPr>
        <w:tc>
          <w:tcPr>
            <w:tcW w:w="1913" w:type="dxa"/>
            <w:vMerge w:val="restart"/>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投标报价</w:t>
            </w:r>
          </w:p>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（元）</w:t>
            </w:r>
          </w:p>
        </w:tc>
        <w:tc>
          <w:tcPr>
            <w:tcW w:w="7559"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trPr>
        <w:tc>
          <w:tcPr>
            <w:tcW w:w="1913" w:type="dxa"/>
            <w:vMerge w:val="continue"/>
            <w:vAlign w:val="center"/>
          </w:tcPr>
          <w:p>
            <w:pPr>
              <w:jc w:val="center"/>
              <w:rPr>
                <w:rFonts w:hint="eastAsia" w:ascii="仿宋" w:hAnsi="仿宋" w:eastAsia="仿宋" w:cs="仿宋"/>
                <w:color w:val="auto"/>
                <w:sz w:val="24"/>
                <w:highlight w:val="none"/>
              </w:rPr>
            </w:pPr>
          </w:p>
        </w:tc>
        <w:tc>
          <w:tcPr>
            <w:tcW w:w="7559"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913"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交货期</w:t>
            </w:r>
          </w:p>
          <w:p>
            <w:pPr>
              <w:jc w:val="center"/>
              <w:rPr>
                <w:rFonts w:hint="eastAsia" w:ascii="仿宋" w:hAnsi="仿宋" w:eastAsia="仿宋" w:cs="仿宋"/>
                <w:color w:val="auto"/>
                <w:sz w:val="24"/>
                <w:highlight w:val="none"/>
              </w:rPr>
            </w:pPr>
          </w:p>
        </w:tc>
        <w:tc>
          <w:tcPr>
            <w:tcW w:w="7559" w:type="dxa"/>
            <w:vAlign w:val="center"/>
          </w:tcPr>
          <w:p>
            <w:pP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913"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质保期</w:t>
            </w:r>
          </w:p>
        </w:tc>
        <w:tc>
          <w:tcPr>
            <w:tcW w:w="7559" w:type="dxa"/>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913"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投标保证金</w:t>
            </w:r>
          </w:p>
        </w:tc>
        <w:tc>
          <w:tcPr>
            <w:tcW w:w="7559"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金额大写：</w:t>
            </w:r>
            <w:r>
              <w:rPr>
                <w:rFonts w:hint="eastAsia" w:ascii="仿宋" w:hAnsi="仿宋" w:eastAsia="仿宋" w:cs="仿宋"/>
                <w:color w:val="auto"/>
                <w:highlight w:val="none"/>
                <w:u w:val="single"/>
              </w:rPr>
              <w:t xml:space="preserve">                    </w:t>
            </w:r>
          </w:p>
        </w:tc>
      </w:tr>
    </w:tbl>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供应商：（加盖公章）</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供应商法定代表人或其全权代表：（签字或印章）</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    年  月  日</w:t>
      </w:r>
    </w:p>
    <w:p>
      <w:pPr>
        <w:pStyle w:val="6"/>
        <w:rPr>
          <w:rFonts w:hint="eastAsia"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b/>
          <w:bCs/>
          <w:color w:val="auto"/>
          <w:sz w:val="32"/>
          <w:szCs w:val="32"/>
          <w:highlight w:val="none"/>
        </w:rPr>
        <w:t xml:space="preserve">  分项报价表：</w:t>
      </w:r>
    </w:p>
    <w:p>
      <w:pPr>
        <w:adjustRightInd w:val="0"/>
        <w:snapToGrid w:val="0"/>
        <w:spacing w:line="500" w:lineRule="exact"/>
        <w:ind w:left="-88" w:leftChars="-42" w:firstLine="240" w:firstLineChars="1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u w:val="single"/>
        </w:rPr>
        <w:t xml:space="preserve">                   </w:t>
      </w:r>
    </w:p>
    <w:p>
      <w:pPr>
        <w:adjustRightInd w:val="0"/>
        <w:snapToGrid w:val="0"/>
        <w:spacing w:line="500" w:lineRule="exact"/>
        <w:ind w:left="-88" w:leftChars="-42"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招标文件编号：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adjustRightInd w:val="0"/>
        <w:snapToGrid w:val="0"/>
        <w:spacing w:line="500" w:lineRule="exact"/>
        <w:ind w:left="-88" w:leftChars="-42"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投标包号：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金额单位：人民币元 </w:t>
      </w:r>
    </w:p>
    <w:tbl>
      <w:tblPr>
        <w:tblStyle w:val="68"/>
        <w:tblW w:w="9895" w:type="dxa"/>
        <w:jc w:val="center"/>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168"/>
        <w:gridCol w:w="1383"/>
        <w:gridCol w:w="1134"/>
        <w:gridCol w:w="993"/>
        <w:gridCol w:w="992"/>
        <w:gridCol w:w="1134"/>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jc w:val="center"/>
        </w:trPr>
        <w:tc>
          <w:tcPr>
            <w:tcW w:w="823" w:type="dxa"/>
            <w:vAlign w:val="center"/>
          </w:tcPr>
          <w:p>
            <w:pPr>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168" w:type="dxa"/>
            <w:vAlign w:val="center"/>
          </w:tcPr>
          <w:p>
            <w:pPr>
              <w:spacing w:line="500" w:lineRule="exact"/>
              <w:ind w:hanging="3"/>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货物名称</w:t>
            </w:r>
          </w:p>
        </w:tc>
        <w:tc>
          <w:tcPr>
            <w:tcW w:w="1383" w:type="dxa"/>
            <w:vAlign w:val="center"/>
          </w:tcPr>
          <w:p>
            <w:pPr>
              <w:spacing w:line="500" w:lineRule="exact"/>
              <w:ind w:hanging="3"/>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品牌及型号</w:t>
            </w:r>
          </w:p>
        </w:tc>
        <w:tc>
          <w:tcPr>
            <w:tcW w:w="1134" w:type="dxa"/>
            <w:vAlign w:val="center"/>
          </w:tcPr>
          <w:p>
            <w:pPr>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制造商</w:t>
            </w:r>
          </w:p>
        </w:tc>
        <w:tc>
          <w:tcPr>
            <w:tcW w:w="993" w:type="dxa"/>
            <w:vAlign w:val="center"/>
          </w:tcPr>
          <w:p>
            <w:pPr>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992" w:type="dxa"/>
            <w:vAlign w:val="center"/>
          </w:tcPr>
          <w:p>
            <w:pPr>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134" w:type="dxa"/>
            <w:vAlign w:val="center"/>
          </w:tcPr>
          <w:p>
            <w:pPr>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单价</w:t>
            </w:r>
          </w:p>
        </w:tc>
        <w:tc>
          <w:tcPr>
            <w:tcW w:w="992" w:type="dxa"/>
            <w:vAlign w:val="center"/>
          </w:tcPr>
          <w:p>
            <w:pPr>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金额</w:t>
            </w:r>
          </w:p>
        </w:tc>
        <w:tc>
          <w:tcPr>
            <w:tcW w:w="1276" w:type="dxa"/>
            <w:vAlign w:val="center"/>
          </w:tcPr>
          <w:p>
            <w:pPr>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823" w:type="dxa"/>
            <w:vAlign w:val="center"/>
          </w:tcPr>
          <w:p>
            <w:pPr>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168" w:type="dxa"/>
          </w:tcPr>
          <w:p>
            <w:pPr>
              <w:spacing w:line="500" w:lineRule="exact"/>
              <w:ind w:firstLine="240"/>
              <w:rPr>
                <w:rFonts w:hint="eastAsia" w:ascii="仿宋" w:hAnsi="仿宋" w:eastAsia="仿宋" w:cs="仿宋"/>
                <w:color w:val="auto"/>
                <w:sz w:val="24"/>
                <w:szCs w:val="24"/>
                <w:highlight w:val="none"/>
              </w:rPr>
            </w:pPr>
          </w:p>
        </w:tc>
        <w:tc>
          <w:tcPr>
            <w:tcW w:w="1383" w:type="dxa"/>
          </w:tcPr>
          <w:p>
            <w:pPr>
              <w:spacing w:line="500" w:lineRule="exact"/>
              <w:rPr>
                <w:rFonts w:hint="eastAsia" w:ascii="仿宋" w:hAnsi="仿宋" w:eastAsia="仿宋" w:cs="仿宋"/>
                <w:color w:val="auto"/>
                <w:sz w:val="24"/>
                <w:szCs w:val="24"/>
                <w:highlight w:val="none"/>
              </w:rPr>
            </w:pPr>
          </w:p>
        </w:tc>
        <w:tc>
          <w:tcPr>
            <w:tcW w:w="1134" w:type="dxa"/>
          </w:tcPr>
          <w:p>
            <w:pPr>
              <w:spacing w:line="500" w:lineRule="exact"/>
              <w:rPr>
                <w:rFonts w:hint="eastAsia" w:ascii="仿宋" w:hAnsi="仿宋" w:eastAsia="仿宋" w:cs="仿宋"/>
                <w:color w:val="auto"/>
                <w:sz w:val="24"/>
                <w:szCs w:val="24"/>
                <w:highlight w:val="none"/>
              </w:rPr>
            </w:pPr>
          </w:p>
        </w:tc>
        <w:tc>
          <w:tcPr>
            <w:tcW w:w="993" w:type="dxa"/>
          </w:tcPr>
          <w:p>
            <w:pPr>
              <w:spacing w:line="500" w:lineRule="exact"/>
              <w:rPr>
                <w:rFonts w:hint="eastAsia" w:ascii="仿宋" w:hAnsi="仿宋" w:eastAsia="仿宋" w:cs="仿宋"/>
                <w:color w:val="auto"/>
                <w:sz w:val="24"/>
                <w:szCs w:val="24"/>
                <w:highlight w:val="none"/>
              </w:rPr>
            </w:pPr>
          </w:p>
        </w:tc>
        <w:tc>
          <w:tcPr>
            <w:tcW w:w="992" w:type="dxa"/>
          </w:tcPr>
          <w:p>
            <w:pPr>
              <w:spacing w:line="500" w:lineRule="exact"/>
              <w:rPr>
                <w:rFonts w:hint="eastAsia" w:ascii="仿宋" w:hAnsi="仿宋" w:eastAsia="仿宋" w:cs="仿宋"/>
                <w:color w:val="auto"/>
                <w:sz w:val="24"/>
                <w:szCs w:val="24"/>
                <w:highlight w:val="none"/>
              </w:rPr>
            </w:pPr>
          </w:p>
        </w:tc>
        <w:tc>
          <w:tcPr>
            <w:tcW w:w="1134" w:type="dxa"/>
          </w:tcPr>
          <w:p>
            <w:pPr>
              <w:spacing w:line="500" w:lineRule="exact"/>
              <w:rPr>
                <w:rFonts w:hint="eastAsia" w:ascii="仿宋" w:hAnsi="仿宋" w:eastAsia="仿宋" w:cs="仿宋"/>
                <w:color w:val="auto"/>
                <w:sz w:val="24"/>
                <w:szCs w:val="24"/>
                <w:highlight w:val="none"/>
              </w:rPr>
            </w:pPr>
          </w:p>
        </w:tc>
        <w:tc>
          <w:tcPr>
            <w:tcW w:w="992" w:type="dxa"/>
          </w:tcPr>
          <w:p>
            <w:pPr>
              <w:spacing w:line="500" w:lineRule="exact"/>
              <w:rPr>
                <w:rFonts w:hint="eastAsia" w:ascii="仿宋" w:hAnsi="仿宋" w:eastAsia="仿宋" w:cs="仿宋"/>
                <w:color w:val="auto"/>
                <w:sz w:val="24"/>
                <w:szCs w:val="24"/>
                <w:highlight w:val="none"/>
              </w:rPr>
            </w:pPr>
          </w:p>
        </w:tc>
        <w:tc>
          <w:tcPr>
            <w:tcW w:w="1276" w:type="dxa"/>
          </w:tcPr>
          <w:p>
            <w:pPr>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823" w:type="dxa"/>
            <w:vAlign w:val="center"/>
          </w:tcPr>
          <w:p>
            <w:pPr>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168" w:type="dxa"/>
          </w:tcPr>
          <w:p>
            <w:pPr>
              <w:spacing w:line="500" w:lineRule="exact"/>
              <w:ind w:firstLine="240"/>
              <w:rPr>
                <w:rFonts w:hint="eastAsia" w:ascii="仿宋" w:hAnsi="仿宋" w:eastAsia="仿宋" w:cs="仿宋"/>
                <w:color w:val="auto"/>
                <w:sz w:val="24"/>
                <w:szCs w:val="24"/>
                <w:highlight w:val="none"/>
              </w:rPr>
            </w:pPr>
          </w:p>
        </w:tc>
        <w:tc>
          <w:tcPr>
            <w:tcW w:w="1383" w:type="dxa"/>
          </w:tcPr>
          <w:p>
            <w:pPr>
              <w:spacing w:line="500" w:lineRule="exact"/>
              <w:rPr>
                <w:rFonts w:hint="eastAsia" w:ascii="仿宋" w:hAnsi="仿宋" w:eastAsia="仿宋" w:cs="仿宋"/>
                <w:color w:val="auto"/>
                <w:sz w:val="24"/>
                <w:szCs w:val="24"/>
                <w:highlight w:val="none"/>
              </w:rPr>
            </w:pPr>
          </w:p>
        </w:tc>
        <w:tc>
          <w:tcPr>
            <w:tcW w:w="1134" w:type="dxa"/>
          </w:tcPr>
          <w:p>
            <w:pPr>
              <w:spacing w:line="500" w:lineRule="exact"/>
              <w:rPr>
                <w:rFonts w:hint="eastAsia" w:ascii="仿宋" w:hAnsi="仿宋" w:eastAsia="仿宋" w:cs="仿宋"/>
                <w:color w:val="auto"/>
                <w:sz w:val="24"/>
                <w:szCs w:val="24"/>
                <w:highlight w:val="none"/>
              </w:rPr>
            </w:pPr>
          </w:p>
        </w:tc>
        <w:tc>
          <w:tcPr>
            <w:tcW w:w="993" w:type="dxa"/>
          </w:tcPr>
          <w:p>
            <w:pPr>
              <w:spacing w:line="500" w:lineRule="exact"/>
              <w:rPr>
                <w:rFonts w:hint="eastAsia" w:ascii="仿宋" w:hAnsi="仿宋" w:eastAsia="仿宋" w:cs="仿宋"/>
                <w:color w:val="auto"/>
                <w:sz w:val="24"/>
                <w:szCs w:val="24"/>
                <w:highlight w:val="none"/>
              </w:rPr>
            </w:pPr>
          </w:p>
        </w:tc>
        <w:tc>
          <w:tcPr>
            <w:tcW w:w="992" w:type="dxa"/>
          </w:tcPr>
          <w:p>
            <w:pPr>
              <w:spacing w:line="500" w:lineRule="exact"/>
              <w:rPr>
                <w:rFonts w:hint="eastAsia" w:ascii="仿宋" w:hAnsi="仿宋" w:eastAsia="仿宋" w:cs="仿宋"/>
                <w:color w:val="auto"/>
                <w:sz w:val="24"/>
                <w:szCs w:val="24"/>
                <w:highlight w:val="none"/>
              </w:rPr>
            </w:pPr>
          </w:p>
        </w:tc>
        <w:tc>
          <w:tcPr>
            <w:tcW w:w="1134" w:type="dxa"/>
          </w:tcPr>
          <w:p>
            <w:pPr>
              <w:spacing w:line="500" w:lineRule="exact"/>
              <w:rPr>
                <w:rFonts w:hint="eastAsia" w:ascii="仿宋" w:hAnsi="仿宋" w:eastAsia="仿宋" w:cs="仿宋"/>
                <w:color w:val="auto"/>
                <w:sz w:val="24"/>
                <w:szCs w:val="24"/>
                <w:highlight w:val="none"/>
              </w:rPr>
            </w:pPr>
          </w:p>
        </w:tc>
        <w:tc>
          <w:tcPr>
            <w:tcW w:w="992" w:type="dxa"/>
          </w:tcPr>
          <w:p>
            <w:pPr>
              <w:spacing w:line="500" w:lineRule="exact"/>
              <w:rPr>
                <w:rFonts w:hint="eastAsia" w:ascii="仿宋" w:hAnsi="仿宋" w:eastAsia="仿宋" w:cs="仿宋"/>
                <w:color w:val="auto"/>
                <w:sz w:val="24"/>
                <w:szCs w:val="24"/>
                <w:highlight w:val="none"/>
              </w:rPr>
            </w:pPr>
          </w:p>
        </w:tc>
        <w:tc>
          <w:tcPr>
            <w:tcW w:w="1276" w:type="dxa"/>
          </w:tcPr>
          <w:p>
            <w:pPr>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823" w:type="dxa"/>
            <w:vAlign w:val="center"/>
          </w:tcPr>
          <w:p>
            <w:pPr>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168" w:type="dxa"/>
          </w:tcPr>
          <w:p>
            <w:pPr>
              <w:spacing w:line="500" w:lineRule="exact"/>
              <w:ind w:firstLine="240"/>
              <w:rPr>
                <w:rFonts w:hint="eastAsia" w:ascii="仿宋" w:hAnsi="仿宋" w:eastAsia="仿宋" w:cs="仿宋"/>
                <w:color w:val="auto"/>
                <w:sz w:val="24"/>
                <w:szCs w:val="24"/>
                <w:highlight w:val="none"/>
              </w:rPr>
            </w:pPr>
          </w:p>
        </w:tc>
        <w:tc>
          <w:tcPr>
            <w:tcW w:w="1383" w:type="dxa"/>
          </w:tcPr>
          <w:p>
            <w:pPr>
              <w:spacing w:line="500" w:lineRule="exact"/>
              <w:rPr>
                <w:rFonts w:hint="eastAsia" w:ascii="仿宋" w:hAnsi="仿宋" w:eastAsia="仿宋" w:cs="仿宋"/>
                <w:color w:val="auto"/>
                <w:sz w:val="24"/>
                <w:szCs w:val="24"/>
                <w:highlight w:val="none"/>
              </w:rPr>
            </w:pPr>
          </w:p>
        </w:tc>
        <w:tc>
          <w:tcPr>
            <w:tcW w:w="1134" w:type="dxa"/>
          </w:tcPr>
          <w:p>
            <w:pPr>
              <w:spacing w:line="500" w:lineRule="exact"/>
              <w:rPr>
                <w:rFonts w:hint="eastAsia" w:ascii="仿宋" w:hAnsi="仿宋" w:eastAsia="仿宋" w:cs="仿宋"/>
                <w:color w:val="auto"/>
                <w:sz w:val="24"/>
                <w:szCs w:val="24"/>
                <w:highlight w:val="none"/>
              </w:rPr>
            </w:pPr>
          </w:p>
        </w:tc>
        <w:tc>
          <w:tcPr>
            <w:tcW w:w="993" w:type="dxa"/>
          </w:tcPr>
          <w:p>
            <w:pPr>
              <w:spacing w:line="500" w:lineRule="exact"/>
              <w:rPr>
                <w:rFonts w:hint="eastAsia" w:ascii="仿宋" w:hAnsi="仿宋" w:eastAsia="仿宋" w:cs="仿宋"/>
                <w:color w:val="auto"/>
                <w:sz w:val="24"/>
                <w:szCs w:val="24"/>
                <w:highlight w:val="none"/>
              </w:rPr>
            </w:pPr>
          </w:p>
        </w:tc>
        <w:tc>
          <w:tcPr>
            <w:tcW w:w="992" w:type="dxa"/>
          </w:tcPr>
          <w:p>
            <w:pPr>
              <w:spacing w:line="500" w:lineRule="exact"/>
              <w:rPr>
                <w:rFonts w:hint="eastAsia" w:ascii="仿宋" w:hAnsi="仿宋" w:eastAsia="仿宋" w:cs="仿宋"/>
                <w:color w:val="auto"/>
                <w:sz w:val="24"/>
                <w:szCs w:val="24"/>
                <w:highlight w:val="none"/>
              </w:rPr>
            </w:pPr>
          </w:p>
        </w:tc>
        <w:tc>
          <w:tcPr>
            <w:tcW w:w="1134" w:type="dxa"/>
          </w:tcPr>
          <w:p>
            <w:pPr>
              <w:spacing w:line="500" w:lineRule="exact"/>
              <w:rPr>
                <w:rFonts w:hint="eastAsia" w:ascii="仿宋" w:hAnsi="仿宋" w:eastAsia="仿宋" w:cs="仿宋"/>
                <w:color w:val="auto"/>
                <w:sz w:val="24"/>
                <w:szCs w:val="24"/>
                <w:highlight w:val="none"/>
              </w:rPr>
            </w:pPr>
          </w:p>
        </w:tc>
        <w:tc>
          <w:tcPr>
            <w:tcW w:w="992" w:type="dxa"/>
          </w:tcPr>
          <w:p>
            <w:pPr>
              <w:spacing w:line="500" w:lineRule="exact"/>
              <w:rPr>
                <w:rFonts w:hint="eastAsia" w:ascii="仿宋" w:hAnsi="仿宋" w:eastAsia="仿宋" w:cs="仿宋"/>
                <w:color w:val="auto"/>
                <w:sz w:val="24"/>
                <w:szCs w:val="24"/>
                <w:highlight w:val="none"/>
              </w:rPr>
            </w:pPr>
          </w:p>
        </w:tc>
        <w:tc>
          <w:tcPr>
            <w:tcW w:w="1276" w:type="dxa"/>
          </w:tcPr>
          <w:p>
            <w:pPr>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823" w:type="dxa"/>
            <w:vAlign w:val="center"/>
          </w:tcPr>
          <w:p>
            <w:pPr>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168" w:type="dxa"/>
          </w:tcPr>
          <w:p>
            <w:pPr>
              <w:spacing w:line="500" w:lineRule="exact"/>
              <w:ind w:firstLine="240"/>
              <w:rPr>
                <w:rFonts w:hint="eastAsia" w:ascii="仿宋" w:hAnsi="仿宋" w:eastAsia="仿宋" w:cs="仿宋"/>
                <w:color w:val="auto"/>
                <w:sz w:val="24"/>
                <w:szCs w:val="24"/>
                <w:highlight w:val="none"/>
              </w:rPr>
            </w:pPr>
          </w:p>
        </w:tc>
        <w:tc>
          <w:tcPr>
            <w:tcW w:w="1383" w:type="dxa"/>
          </w:tcPr>
          <w:p>
            <w:pPr>
              <w:spacing w:line="500" w:lineRule="exact"/>
              <w:rPr>
                <w:rFonts w:hint="eastAsia" w:ascii="仿宋" w:hAnsi="仿宋" w:eastAsia="仿宋" w:cs="仿宋"/>
                <w:color w:val="auto"/>
                <w:sz w:val="24"/>
                <w:szCs w:val="24"/>
                <w:highlight w:val="none"/>
              </w:rPr>
            </w:pPr>
          </w:p>
        </w:tc>
        <w:tc>
          <w:tcPr>
            <w:tcW w:w="1134" w:type="dxa"/>
          </w:tcPr>
          <w:p>
            <w:pPr>
              <w:spacing w:line="500" w:lineRule="exact"/>
              <w:rPr>
                <w:rFonts w:hint="eastAsia" w:ascii="仿宋" w:hAnsi="仿宋" w:eastAsia="仿宋" w:cs="仿宋"/>
                <w:color w:val="auto"/>
                <w:sz w:val="24"/>
                <w:szCs w:val="24"/>
                <w:highlight w:val="none"/>
              </w:rPr>
            </w:pPr>
          </w:p>
        </w:tc>
        <w:tc>
          <w:tcPr>
            <w:tcW w:w="993" w:type="dxa"/>
          </w:tcPr>
          <w:p>
            <w:pPr>
              <w:spacing w:line="500" w:lineRule="exact"/>
              <w:rPr>
                <w:rFonts w:hint="eastAsia" w:ascii="仿宋" w:hAnsi="仿宋" w:eastAsia="仿宋" w:cs="仿宋"/>
                <w:color w:val="auto"/>
                <w:sz w:val="24"/>
                <w:szCs w:val="24"/>
                <w:highlight w:val="none"/>
              </w:rPr>
            </w:pPr>
          </w:p>
        </w:tc>
        <w:tc>
          <w:tcPr>
            <w:tcW w:w="992" w:type="dxa"/>
          </w:tcPr>
          <w:p>
            <w:pPr>
              <w:spacing w:line="500" w:lineRule="exact"/>
              <w:rPr>
                <w:rFonts w:hint="eastAsia" w:ascii="仿宋" w:hAnsi="仿宋" w:eastAsia="仿宋" w:cs="仿宋"/>
                <w:color w:val="auto"/>
                <w:sz w:val="24"/>
                <w:szCs w:val="24"/>
                <w:highlight w:val="none"/>
              </w:rPr>
            </w:pPr>
          </w:p>
        </w:tc>
        <w:tc>
          <w:tcPr>
            <w:tcW w:w="1134" w:type="dxa"/>
          </w:tcPr>
          <w:p>
            <w:pPr>
              <w:spacing w:line="500" w:lineRule="exact"/>
              <w:rPr>
                <w:rFonts w:hint="eastAsia" w:ascii="仿宋" w:hAnsi="仿宋" w:eastAsia="仿宋" w:cs="仿宋"/>
                <w:color w:val="auto"/>
                <w:sz w:val="24"/>
                <w:szCs w:val="24"/>
                <w:highlight w:val="none"/>
              </w:rPr>
            </w:pPr>
          </w:p>
        </w:tc>
        <w:tc>
          <w:tcPr>
            <w:tcW w:w="992" w:type="dxa"/>
          </w:tcPr>
          <w:p>
            <w:pPr>
              <w:spacing w:line="500" w:lineRule="exact"/>
              <w:rPr>
                <w:rFonts w:hint="eastAsia" w:ascii="仿宋" w:hAnsi="仿宋" w:eastAsia="仿宋" w:cs="仿宋"/>
                <w:color w:val="auto"/>
                <w:sz w:val="24"/>
                <w:szCs w:val="24"/>
                <w:highlight w:val="none"/>
              </w:rPr>
            </w:pPr>
          </w:p>
        </w:tc>
        <w:tc>
          <w:tcPr>
            <w:tcW w:w="1276" w:type="dxa"/>
          </w:tcPr>
          <w:p>
            <w:pPr>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823" w:type="dxa"/>
            <w:vAlign w:val="center"/>
          </w:tcPr>
          <w:p>
            <w:pPr>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168" w:type="dxa"/>
          </w:tcPr>
          <w:p>
            <w:pPr>
              <w:spacing w:line="500" w:lineRule="exact"/>
              <w:ind w:firstLine="240"/>
              <w:rPr>
                <w:rFonts w:hint="eastAsia" w:ascii="仿宋" w:hAnsi="仿宋" w:eastAsia="仿宋" w:cs="仿宋"/>
                <w:color w:val="auto"/>
                <w:sz w:val="24"/>
                <w:szCs w:val="24"/>
                <w:highlight w:val="none"/>
              </w:rPr>
            </w:pPr>
          </w:p>
        </w:tc>
        <w:tc>
          <w:tcPr>
            <w:tcW w:w="1383" w:type="dxa"/>
          </w:tcPr>
          <w:p>
            <w:pPr>
              <w:spacing w:line="500" w:lineRule="exact"/>
              <w:rPr>
                <w:rFonts w:hint="eastAsia" w:ascii="仿宋" w:hAnsi="仿宋" w:eastAsia="仿宋" w:cs="仿宋"/>
                <w:color w:val="auto"/>
                <w:sz w:val="24"/>
                <w:szCs w:val="24"/>
                <w:highlight w:val="none"/>
              </w:rPr>
            </w:pPr>
          </w:p>
        </w:tc>
        <w:tc>
          <w:tcPr>
            <w:tcW w:w="1134" w:type="dxa"/>
          </w:tcPr>
          <w:p>
            <w:pPr>
              <w:spacing w:line="500" w:lineRule="exact"/>
              <w:rPr>
                <w:rFonts w:hint="eastAsia" w:ascii="仿宋" w:hAnsi="仿宋" w:eastAsia="仿宋" w:cs="仿宋"/>
                <w:color w:val="auto"/>
                <w:sz w:val="24"/>
                <w:szCs w:val="24"/>
                <w:highlight w:val="none"/>
              </w:rPr>
            </w:pPr>
          </w:p>
        </w:tc>
        <w:tc>
          <w:tcPr>
            <w:tcW w:w="993" w:type="dxa"/>
          </w:tcPr>
          <w:p>
            <w:pPr>
              <w:spacing w:line="500" w:lineRule="exact"/>
              <w:rPr>
                <w:rFonts w:hint="eastAsia" w:ascii="仿宋" w:hAnsi="仿宋" w:eastAsia="仿宋" w:cs="仿宋"/>
                <w:color w:val="auto"/>
                <w:sz w:val="24"/>
                <w:szCs w:val="24"/>
                <w:highlight w:val="none"/>
              </w:rPr>
            </w:pPr>
          </w:p>
        </w:tc>
        <w:tc>
          <w:tcPr>
            <w:tcW w:w="992" w:type="dxa"/>
          </w:tcPr>
          <w:p>
            <w:pPr>
              <w:spacing w:line="500" w:lineRule="exact"/>
              <w:rPr>
                <w:rFonts w:hint="eastAsia" w:ascii="仿宋" w:hAnsi="仿宋" w:eastAsia="仿宋" w:cs="仿宋"/>
                <w:color w:val="auto"/>
                <w:sz w:val="24"/>
                <w:szCs w:val="24"/>
                <w:highlight w:val="none"/>
              </w:rPr>
            </w:pPr>
          </w:p>
        </w:tc>
        <w:tc>
          <w:tcPr>
            <w:tcW w:w="1134" w:type="dxa"/>
          </w:tcPr>
          <w:p>
            <w:pPr>
              <w:spacing w:line="500" w:lineRule="exact"/>
              <w:rPr>
                <w:rFonts w:hint="eastAsia" w:ascii="仿宋" w:hAnsi="仿宋" w:eastAsia="仿宋" w:cs="仿宋"/>
                <w:color w:val="auto"/>
                <w:sz w:val="24"/>
                <w:szCs w:val="24"/>
                <w:highlight w:val="none"/>
              </w:rPr>
            </w:pPr>
          </w:p>
        </w:tc>
        <w:tc>
          <w:tcPr>
            <w:tcW w:w="992" w:type="dxa"/>
          </w:tcPr>
          <w:p>
            <w:pPr>
              <w:spacing w:line="500" w:lineRule="exact"/>
              <w:rPr>
                <w:rFonts w:hint="eastAsia" w:ascii="仿宋" w:hAnsi="仿宋" w:eastAsia="仿宋" w:cs="仿宋"/>
                <w:color w:val="auto"/>
                <w:sz w:val="24"/>
                <w:szCs w:val="24"/>
                <w:highlight w:val="none"/>
              </w:rPr>
            </w:pPr>
          </w:p>
        </w:tc>
        <w:tc>
          <w:tcPr>
            <w:tcW w:w="1276" w:type="dxa"/>
          </w:tcPr>
          <w:p>
            <w:pPr>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823" w:type="dxa"/>
          </w:tcPr>
          <w:p>
            <w:pPr>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168" w:type="dxa"/>
          </w:tcPr>
          <w:p>
            <w:pPr>
              <w:spacing w:line="500" w:lineRule="exact"/>
              <w:ind w:firstLine="240"/>
              <w:rPr>
                <w:rFonts w:hint="eastAsia" w:ascii="仿宋" w:hAnsi="仿宋" w:eastAsia="仿宋" w:cs="仿宋"/>
                <w:color w:val="auto"/>
                <w:sz w:val="24"/>
                <w:szCs w:val="24"/>
                <w:highlight w:val="none"/>
              </w:rPr>
            </w:pPr>
          </w:p>
        </w:tc>
        <w:tc>
          <w:tcPr>
            <w:tcW w:w="1383" w:type="dxa"/>
          </w:tcPr>
          <w:p>
            <w:pPr>
              <w:spacing w:line="500" w:lineRule="exact"/>
              <w:rPr>
                <w:rFonts w:hint="eastAsia" w:ascii="仿宋" w:hAnsi="仿宋" w:eastAsia="仿宋" w:cs="仿宋"/>
                <w:color w:val="auto"/>
                <w:sz w:val="24"/>
                <w:szCs w:val="24"/>
                <w:highlight w:val="none"/>
              </w:rPr>
            </w:pPr>
          </w:p>
        </w:tc>
        <w:tc>
          <w:tcPr>
            <w:tcW w:w="1134" w:type="dxa"/>
          </w:tcPr>
          <w:p>
            <w:pPr>
              <w:spacing w:line="500" w:lineRule="exact"/>
              <w:rPr>
                <w:rFonts w:hint="eastAsia" w:ascii="仿宋" w:hAnsi="仿宋" w:eastAsia="仿宋" w:cs="仿宋"/>
                <w:color w:val="auto"/>
                <w:sz w:val="24"/>
                <w:szCs w:val="24"/>
                <w:highlight w:val="none"/>
              </w:rPr>
            </w:pPr>
          </w:p>
        </w:tc>
        <w:tc>
          <w:tcPr>
            <w:tcW w:w="993" w:type="dxa"/>
          </w:tcPr>
          <w:p>
            <w:pPr>
              <w:spacing w:line="500" w:lineRule="exact"/>
              <w:rPr>
                <w:rFonts w:hint="eastAsia" w:ascii="仿宋" w:hAnsi="仿宋" w:eastAsia="仿宋" w:cs="仿宋"/>
                <w:color w:val="auto"/>
                <w:sz w:val="24"/>
                <w:szCs w:val="24"/>
                <w:highlight w:val="none"/>
              </w:rPr>
            </w:pPr>
          </w:p>
        </w:tc>
        <w:tc>
          <w:tcPr>
            <w:tcW w:w="992" w:type="dxa"/>
          </w:tcPr>
          <w:p>
            <w:pPr>
              <w:spacing w:line="500" w:lineRule="exact"/>
              <w:rPr>
                <w:rFonts w:hint="eastAsia" w:ascii="仿宋" w:hAnsi="仿宋" w:eastAsia="仿宋" w:cs="仿宋"/>
                <w:color w:val="auto"/>
                <w:sz w:val="24"/>
                <w:szCs w:val="24"/>
                <w:highlight w:val="none"/>
              </w:rPr>
            </w:pPr>
          </w:p>
        </w:tc>
        <w:tc>
          <w:tcPr>
            <w:tcW w:w="1134" w:type="dxa"/>
          </w:tcPr>
          <w:p>
            <w:pPr>
              <w:spacing w:line="500" w:lineRule="exact"/>
              <w:rPr>
                <w:rFonts w:hint="eastAsia" w:ascii="仿宋" w:hAnsi="仿宋" w:eastAsia="仿宋" w:cs="仿宋"/>
                <w:color w:val="auto"/>
                <w:sz w:val="24"/>
                <w:szCs w:val="24"/>
                <w:highlight w:val="none"/>
              </w:rPr>
            </w:pPr>
          </w:p>
        </w:tc>
        <w:tc>
          <w:tcPr>
            <w:tcW w:w="992" w:type="dxa"/>
          </w:tcPr>
          <w:p>
            <w:pPr>
              <w:spacing w:line="500" w:lineRule="exact"/>
              <w:rPr>
                <w:rFonts w:hint="eastAsia" w:ascii="仿宋" w:hAnsi="仿宋" w:eastAsia="仿宋" w:cs="仿宋"/>
                <w:color w:val="auto"/>
                <w:sz w:val="24"/>
                <w:szCs w:val="24"/>
                <w:highlight w:val="none"/>
              </w:rPr>
            </w:pPr>
          </w:p>
        </w:tc>
        <w:tc>
          <w:tcPr>
            <w:tcW w:w="1276" w:type="dxa"/>
          </w:tcPr>
          <w:p>
            <w:pPr>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2" w:hRule="atLeast"/>
          <w:jc w:val="center"/>
        </w:trPr>
        <w:tc>
          <w:tcPr>
            <w:tcW w:w="1991" w:type="dxa"/>
            <w:gridSpan w:val="2"/>
            <w:vAlign w:val="center"/>
          </w:tcPr>
          <w:p>
            <w:pPr>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投标总报价</w:t>
            </w:r>
          </w:p>
        </w:tc>
        <w:tc>
          <w:tcPr>
            <w:tcW w:w="7904" w:type="dxa"/>
            <w:gridSpan w:val="7"/>
          </w:tcPr>
          <w:p>
            <w:pPr>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（大写）人民币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tc>
      </w:tr>
    </w:tbl>
    <w:p>
      <w:pPr>
        <w:adjustRightInd w:val="0"/>
        <w:snapToGrid w:val="0"/>
        <w:spacing w:line="500" w:lineRule="exact"/>
        <w:ind w:left="-88" w:leftChars="-42"/>
        <w:rPr>
          <w:rFonts w:hint="eastAsia" w:ascii="仿宋" w:hAnsi="仿宋" w:eastAsia="仿宋" w:cs="仿宋"/>
          <w:color w:val="auto"/>
          <w:sz w:val="24"/>
          <w:szCs w:val="24"/>
          <w:highlight w:val="none"/>
        </w:rPr>
      </w:pPr>
    </w:p>
    <w:p>
      <w:pPr>
        <w:adjustRightInd w:val="0"/>
        <w:snapToGrid w:val="0"/>
        <w:spacing w:line="500" w:lineRule="exact"/>
        <w:ind w:left="-88" w:leftChars="-42"/>
        <w:rPr>
          <w:rFonts w:hint="eastAsia" w:ascii="仿宋" w:hAnsi="仿宋" w:eastAsia="仿宋" w:cs="仿宋"/>
          <w:color w:val="auto"/>
          <w:sz w:val="24"/>
          <w:szCs w:val="24"/>
          <w:highlight w:val="none"/>
        </w:rPr>
      </w:pPr>
    </w:p>
    <w:p>
      <w:pPr>
        <w:adjustRightInd w:val="0"/>
        <w:snapToGrid w:val="0"/>
        <w:spacing w:line="500" w:lineRule="exact"/>
        <w:rPr>
          <w:rFonts w:hint="eastAsia" w:ascii="仿宋" w:hAnsi="仿宋" w:eastAsia="仿宋" w:cs="仿宋"/>
          <w:color w:val="auto"/>
          <w:sz w:val="24"/>
          <w:szCs w:val="24"/>
          <w:highlight w:val="none"/>
        </w:rPr>
      </w:pPr>
    </w:p>
    <w:p>
      <w:pPr>
        <w:spacing w:line="500" w:lineRule="exact"/>
        <w:ind w:firstLine="120" w:firstLineChars="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供应商：（加盖公章）</w:t>
      </w:r>
    </w:p>
    <w:p>
      <w:pPr>
        <w:spacing w:line="500" w:lineRule="exact"/>
        <w:ind w:firstLine="120" w:firstLineChars="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供应商法定代表人或其全权代表：（签字或印章）</w:t>
      </w:r>
    </w:p>
    <w:p>
      <w:pPr>
        <w:spacing w:line="500" w:lineRule="exact"/>
        <w:ind w:firstLine="120" w:firstLineChars="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    年  月  日</w:t>
      </w:r>
    </w:p>
    <w:p>
      <w:pPr>
        <w:spacing w:line="500" w:lineRule="exact"/>
        <w:jc w:val="center"/>
        <w:rPr>
          <w:rFonts w:hint="eastAsia" w:ascii="仿宋" w:hAnsi="仿宋" w:eastAsia="仿宋" w:cs="仿宋"/>
          <w:color w:val="auto"/>
          <w:sz w:val="24"/>
          <w:szCs w:val="24"/>
          <w:highlight w:val="none"/>
        </w:rPr>
      </w:pPr>
    </w:p>
    <w:p>
      <w:pPr>
        <w:adjustRightInd w:val="0"/>
        <w:snapToGrid w:val="0"/>
        <w:spacing w:line="500" w:lineRule="exact"/>
        <w:rPr>
          <w:rFonts w:hint="eastAsia" w:ascii="仿宋" w:hAnsi="仿宋" w:eastAsia="仿宋" w:cs="仿宋"/>
          <w:color w:val="auto"/>
          <w:sz w:val="24"/>
          <w:szCs w:val="24"/>
          <w:highlight w:val="none"/>
        </w:rPr>
      </w:pPr>
    </w:p>
    <w:p>
      <w:pPr>
        <w:spacing w:line="500" w:lineRule="exact"/>
        <w:ind w:left="960" w:hanging="96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注：1、应按照 “投标须知”的要求报价。</w:t>
      </w:r>
    </w:p>
    <w:p>
      <w:pPr>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2、总价金额与按单价汇总金额不一致的，以单价金额计算结果为准。</w:t>
      </w:r>
    </w:p>
    <w:p>
      <w:pPr>
        <w:jc w:val="center"/>
        <w:rPr>
          <w:rFonts w:hint="eastAsia" w:ascii="仿宋" w:hAnsi="仿宋" w:eastAsia="仿宋" w:cs="仿宋"/>
          <w:b/>
          <w:color w:val="auto"/>
          <w:sz w:val="24"/>
          <w:szCs w:val="24"/>
          <w:highlight w:val="none"/>
        </w:rPr>
      </w:pPr>
    </w:p>
    <w:p>
      <w:pPr>
        <w:spacing w:line="360" w:lineRule="auto"/>
        <w:rPr>
          <w:rFonts w:hint="eastAsia" w:ascii="仿宋" w:hAnsi="仿宋" w:eastAsia="仿宋" w:cs="仿宋"/>
          <w:color w:val="auto"/>
          <w:sz w:val="24"/>
          <w:szCs w:val="24"/>
          <w:highlight w:val="none"/>
        </w:rPr>
      </w:pPr>
    </w:p>
    <w:p>
      <w:pPr>
        <w:pStyle w:val="6"/>
        <w:rPr>
          <w:rFonts w:hint="eastAsia" w:ascii="仿宋" w:hAnsi="仿宋" w:eastAsia="仿宋" w:cs="仿宋"/>
          <w:color w:val="auto"/>
          <w:highlight w:val="none"/>
        </w:rPr>
      </w:pPr>
      <w:r>
        <w:rPr>
          <w:rFonts w:hint="eastAsia" w:ascii="仿宋" w:hAnsi="仿宋" w:eastAsia="仿宋" w:cs="仿宋"/>
          <w:color w:val="auto"/>
          <w:highlight w:val="none"/>
        </w:rPr>
        <w:t>附件：小微企业证明函（须出具国家行政机关证明材料）：</w:t>
      </w:r>
    </w:p>
    <w:p>
      <w:pPr>
        <w:autoSpaceDE w:val="0"/>
        <w:autoSpaceDN w:val="0"/>
        <w:adjustRightInd w:val="0"/>
        <w:spacing w:before="100" w:beforeAutospacing="1" w:after="100" w:afterAutospacing="1"/>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小微企业声明函</w:t>
      </w:r>
    </w:p>
    <w:p>
      <w:pPr>
        <w:autoSpaceDE w:val="0"/>
        <w:autoSpaceDN w:val="0"/>
        <w:adjustRightIn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本公司郑重声明，根据《政府采购促进中小企业发展暂行办法》（财库〔2011〕181号）的规定，本公司为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（请填写：小型、微型）企业。即，本公司同时满足以下条件：</w:t>
      </w:r>
    </w:p>
    <w:p>
      <w:pPr>
        <w:autoSpaceDE w:val="0"/>
        <w:autoSpaceDN w:val="0"/>
        <w:adjustRightIn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（请填写：小型、微型）企业。</w:t>
      </w:r>
    </w:p>
    <w:p>
      <w:pPr>
        <w:autoSpaceDE w:val="0"/>
        <w:autoSpaceDN w:val="0"/>
        <w:adjustRightIn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2.本公司参加</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单位的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项目采购活动提供本企业制造的货物，由本企业承担工程、提供服务，或者提供其他</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（请填写：小型、微型）企业制造的货物。本条所称货物不包括使用大型企业注册商标的货物。</w:t>
      </w:r>
    </w:p>
    <w:p>
      <w:pPr>
        <w:autoSpaceDE w:val="0"/>
        <w:autoSpaceDN w:val="0"/>
        <w:adjustRightIn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3.代理商投标的，还须提供生产企业的《小微企业声明函》、《从业人员声明函》原件。</w:t>
      </w:r>
    </w:p>
    <w:p>
      <w:pPr>
        <w:autoSpaceDE w:val="0"/>
        <w:autoSpaceDN w:val="0"/>
        <w:adjustRightIn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本公司对上述声明的真实性负责。如有虚假，将依法承担相应责任。</w:t>
      </w:r>
    </w:p>
    <w:p>
      <w:pPr>
        <w:autoSpaceDE w:val="0"/>
        <w:autoSpaceDN w:val="0"/>
        <w:adjustRightInd w:val="0"/>
        <w:spacing w:line="360" w:lineRule="auto"/>
        <w:ind w:firstLine="480" w:firstLineChars="200"/>
        <w:rPr>
          <w:rFonts w:hint="eastAsia" w:ascii="仿宋" w:hAnsi="仿宋" w:eastAsia="仿宋" w:cs="仿宋"/>
          <w:color w:val="auto"/>
          <w:sz w:val="24"/>
          <w:highlight w:val="none"/>
        </w:rPr>
      </w:pPr>
    </w:p>
    <w:p>
      <w:pPr>
        <w:autoSpaceDE w:val="0"/>
        <w:autoSpaceDN w:val="0"/>
        <w:adjustRightIn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企业名称（盖章）：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法定代表人或授权代表（签字）：</w:t>
      </w:r>
    </w:p>
    <w:p>
      <w:pPr>
        <w:autoSpaceDE w:val="0"/>
        <w:autoSpaceDN w:val="0"/>
        <w:adjustRightInd w:val="0"/>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日    期：</w:t>
      </w:r>
    </w:p>
    <w:p>
      <w:pPr>
        <w:autoSpaceDE w:val="0"/>
        <w:autoSpaceDN w:val="0"/>
        <w:adjustRightInd w:val="0"/>
        <w:spacing w:before="100" w:beforeAutospacing="1" w:after="100" w:afterAutospacing="1"/>
        <w:jc w:val="center"/>
        <w:rPr>
          <w:rFonts w:hint="eastAsia" w:ascii="仿宋" w:hAnsi="仿宋" w:eastAsia="仿宋" w:cs="仿宋"/>
          <w:sz w:val="24"/>
          <w:highlight w:val="none"/>
        </w:rPr>
      </w:pPr>
      <w:r>
        <w:rPr>
          <w:rFonts w:hint="eastAsia" w:ascii="仿宋" w:hAnsi="仿宋" w:eastAsia="仿宋" w:cs="仿宋"/>
          <w:color w:val="auto"/>
          <w:highlight w:val="none"/>
        </w:rPr>
        <w:br w:type="page"/>
      </w:r>
      <w:r>
        <w:rPr>
          <w:rFonts w:hint="eastAsia" w:ascii="仿宋" w:hAnsi="仿宋" w:eastAsia="仿宋" w:cs="仿宋"/>
          <w:sz w:val="24"/>
          <w:highlight w:val="none"/>
        </w:rPr>
        <w:t>从业人员声明函</w:t>
      </w:r>
    </w:p>
    <w:p>
      <w:pPr>
        <w:autoSpaceDE w:val="0"/>
        <w:autoSpaceDN w:val="0"/>
        <w:adjustRightIn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本公司郑重声明：根据《政府采购促进中小企业发展暂行办法》（财库[2011]181 号）、《工业和信息部、国家统计局、国家发展和改革委员会、财政部关于印发中小企业划型标准规定的通知》（工信部联企业[2011]300 号）规定，本公司从业人员数为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autoSpaceDE w:val="0"/>
        <w:autoSpaceDN w:val="0"/>
        <w:adjustRightIn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本公司对上述声明的真实性负责。如有虚假，将依法承担相应责任。</w:t>
      </w:r>
    </w:p>
    <w:p>
      <w:pPr>
        <w:autoSpaceDE w:val="0"/>
        <w:autoSpaceDN w:val="0"/>
        <w:adjustRightInd w:val="0"/>
        <w:spacing w:line="360" w:lineRule="auto"/>
        <w:ind w:firstLine="480" w:firstLineChars="200"/>
        <w:rPr>
          <w:rFonts w:hint="eastAsia" w:ascii="仿宋" w:hAnsi="仿宋" w:eastAsia="仿宋" w:cs="仿宋"/>
          <w:sz w:val="24"/>
          <w:highlight w:val="none"/>
        </w:rPr>
      </w:pPr>
    </w:p>
    <w:p>
      <w:pPr>
        <w:autoSpaceDE w:val="0"/>
        <w:autoSpaceDN w:val="0"/>
        <w:adjustRightInd w:val="0"/>
        <w:spacing w:line="360" w:lineRule="auto"/>
        <w:ind w:firstLine="480" w:firstLineChars="200"/>
        <w:rPr>
          <w:rFonts w:hint="eastAsia" w:ascii="仿宋" w:hAnsi="仿宋" w:eastAsia="仿宋" w:cs="仿宋"/>
          <w:sz w:val="24"/>
          <w:highlight w:val="none"/>
        </w:rPr>
      </w:pPr>
    </w:p>
    <w:p>
      <w:pPr>
        <w:autoSpaceDE w:val="0"/>
        <w:autoSpaceDN w:val="0"/>
        <w:adjustRightInd w:val="0"/>
        <w:spacing w:line="360" w:lineRule="auto"/>
        <w:ind w:firstLine="480" w:firstLineChars="200"/>
        <w:rPr>
          <w:rFonts w:hint="eastAsia" w:ascii="仿宋" w:hAnsi="仿宋" w:eastAsia="仿宋" w:cs="仿宋"/>
          <w:sz w:val="24"/>
          <w:highlight w:val="none"/>
        </w:rPr>
      </w:pPr>
    </w:p>
    <w:p>
      <w:pPr>
        <w:autoSpaceDE w:val="0"/>
        <w:autoSpaceDN w:val="0"/>
        <w:adjustRightInd w:val="0"/>
        <w:spacing w:line="360" w:lineRule="auto"/>
        <w:ind w:firstLine="480" w:firstLineChars="200"/>
        <w:rPr>
          <w:rFonts w:hint="eastAsia" w:ascii="仿宋" w:hAnsi="仿宋" w:eastAsia="仿宋" w:cs="仿宋"/>
          <w:sz w:val="24"/>
          <w:highlight w:val="none"/>
        </w:rPr>
      </w:pPr>
    </w:p>
    <w:p>
      <w:pPr>
        <w:autoSpaceDE w:val="0"/>
        <w:autoSpaceDN w:val="0"/>
        <w:adjustRightIn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企业名称（盖章）：</w:t>
      </w:r>
    </w:p>
    <w:p>
      <w:pPr>
        <w:autoSpaceDE w:val="0"/>
        <w:autoSpaceDN w:val="0"/>
        <w:adjustRightIn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日    期：</w:t>
      </w:r>
    </w:p>
    <w:p>
      <w:pPr>
        <w:autoSpaceDE w:val="0"/>
        <w:autoSpaceDN w:val="0"/>
        <w:adjustRightInd w:val="0"/>
        <w:spacing w:line="360" w:lineRule="auto"/>
        <w:ind w:firstLine="480" w:firstLineChars="200"/>
        <w:rPr>
          <w:rFonts w:hint="eastAsia" w:ascii="仿宋" w:hAnsi="仿宋" w:eastAsia="仿宋" w:cs="仿宋"/>
          <w:sz w:val="24"/>
          <w:highlight w:val="none"/>
        </w:rPr>
      </w:pPr>
    </w:p>
    <w:p>
      <w:pPr>
        <w:autoSpaceDE w:val="0"/>
        <w:autoSpaceDN w:val="0"/>
        <w:adjustRightInd w:val="0"/>
        <w:spacing w:line="360" w:lineRule="auto"/>
        <w:ind w:firstLine="480" w:firstLineChars="200"/>
        <w:rPr>
          <w:rFonts w:hint="eastAsia" w:ascii="仿宋" w:hAnsi="仿宋" w:eastAsia="仿宋" w:cs="仿宋"/>
          <w:sz w:val="24"/>
          <w:highlight w:val="none"/>
        </w:rPr>
      </w:pPr>
    </w:p>
    <w:p>
      <w:pPr>
        <w:autoSpaceDE w:val="0"/>
        <w:autoSpaceDN w:val="0"/>
        <w:adjustRightInd w:val="0"/>
        <w:spacing w:line="360" w:lineRule="auto"/>
        <w:ind w:firstLine="560" w:firstLineChars="20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r>
        <w:rPr>
          <w:rFonts w:hint="eastAsia" w:ascii="仿宋" w:hAnsi="仿宋" w:eastAsia="仿宋" w:cs="仿宋"/>
          <w:sz w:val="28"/>
          <w:szCs w:val="28"/>
          <w:highlight w:val="none"/>
        </w:rPr>
        <w:t>小微企业产品清单</w:t>
      </w:r>
    </w:p>
    <w:tbl>
      <w:tblPr>
        <w:tblStyle w:val="68"/>
        <w:tblW w:w="78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03"/>
        <w:gridCol w:w="1703"/>
        <w:gridCol w:w="1101"/>
        <w:gridCol w:w="1101"/>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highlight w:val="none"/>
              </w:rPr>
            </w:pPr>
            <w:r>
              <w:rPr>
                <w:rFonts w:hint="eastAsia" w:ascii="仿宋" w:hAnsi="仿宋" w:eastAsia="仿宋" w:cs="仿宋"/>
                <w:sz w:val="24"/>
                <w:highlight w:val="none"/>
              </w:rPr>
              <w:t>序号</w:t>
            </w:r>
          </w:p>
        </w:tc>
        <w:tc>
          <w:tcPr>
            <w:tcW w:w="1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highlight w:val="none"/>
              </w:rPr>
            </w:pPr>
            <w:r>
              <w:rPr>
                <w:rFonts w:hint="eastAsia" w:ascii="仿宋" w:hAnsi="仿宋" w:eastAsia="仿宋" w:cs="仿宋"/>
                <w:sz w:val="24"/>
                <w:highlight w:val="none"/>
              </w:rPr>
              <w:t>产品名称</w:t>
            </w:r>
          </w:p>
        </w:tc>
        <w:tc>
          <w:tcPr>
            <w:tcW w:w="1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highlight w:val="none"/>
              </w:rPr>
            </w:pPr>
            <w:r>
              <w:rPr>
                <w:rFonts w:hint="eastAsia" w:ascii="仿宋" w:hAnsi="仿宋" w:eastAsia="仿宋" w:cs="仿宋"/>
                <w:sz w:val="24"/>
                <w:highlight w:val="none"/>
              </w:rPr>
              <w:t>生产厂家</w:t>
            </w:r>
          </w:p>
        </w:tc>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highlight w:val="none"/>
              </w:rPr>
            </w:pPr>
            <w:r>
              <w:rPr>
                <w:rFonts w:hint="eastAsia" w:ascii="仿宋" w:hAnsi="仿宋" w:eastAsia="仿宋" w:cs="仿宋"/>
                <w:sz w:val="24"/>
                <w:highlight w:val="none"/>
              </w:rPr>
              <w:t>单价</w:t>
            </w:r>
          </w:p>
        </w:tc>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highlight w:val="none"/>
              </w:rPr>
            </w:pPr>
            <w:r>
              <w:rPr>
                <w:rFonts w:hint="eastAsia" w:ascii="仿宋" w:hAnsi="仿宋" w:eastAsia="仿宋" w:cs="仿宋"/>
                <w:sz w:val="24"/>
                <w:highlight w:val="none"/>
              </w:rPr>
              <w:t>数量</w:t>
            </w:r>
          </w:p>
        </w:tc>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highlight w:val="none"/>
              </w:rPr>
            </w:pPr>
            <w:r>
              <w:rPr>
                <w:rFonts w:hint="eastAsia" w:ascii="仿宋" w:hAnsi="仿宋" w:eastAsia="仿宋" w:cs="仿宋"/>
                <w:sz w:val="24"/>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highlight w:val="none"/>
              </w:rPr>
            </w:pPr>
          </w:p>
        </w:tc>
        <w:tc>
          <w:tcPr>
            <w:tcW w:w="1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highlight w:val="none"/>
              </w:rPr>
            </w:pPr>
          </w:p>
        </w:tc>
        <w:tc>
          <w:tcPr>
            <w:tcW w:w="1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highlight w:val="none"/>
              </w:rPr>
            </w:pPr>
          </w:p>
        </w:tc>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highlight w:val="none"/>
              </w:rPr>
            </w:pPr>
          </w:p>
        </w:tc>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highlight w:val="none"/>
              </w:rPr>
            </w:pPr>
          </w:p>
        </w:tc>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highlight w:val="none"/>
              </w:rPr>
            </w:pPr>
          </w:p>
        </w:tc>
        <w:tc>
          <w:tcPr>
            <w:tcW w:w="1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highlight w:val="none"/>
              </w:rPr>
            </w:pPr>
          </w:p>
        </w:tc>
        <w:tc>
          <w:tcPr>
            <w:tcW w:w="1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highlight w:val="none"/>
              </w:rPr>
            </w:pPr>
          </w:p>
        </w:tc>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highlight w:val="none"/>
              </w:rPr>
            </w:pPr>
          </w:p>
        </w:tc>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highlight w:val="none"/>
              </w:rPr>
            </w:pPr>
          </w:p>
        </w:tc>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6709"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highlight w:val="none"/>
              </w:rPr>
            </w:pPr>
            <w:r>
              <w:rPr>
                <w:rFonts w:hint="eastAsia" w:ascii="仿宋" w:hAnsi="仿宋" w:eastAsia="仿宋" w:cs="仿宋"/>
                <w:sz w:val="24"/>
                <w:highlight w:val="none"/>
              </w:rPr>
              <w:t>合计</w:t>
            </w:r>
          </w:p>
        </w:tc>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仿宋" w:hAnsi="仿宋" w:eastAsia="仿宋" w:cs="仿宋"/>
                <w:sz w:val="24"/>
                <w:highlight w:val="none"/>
              </w:rPr>
            </w:pPr>
          </w:p>
        </w:tc>
      </w:tr>
    </w:tbl>
    <w:p>
      <w:pPr>
        <w:autoSpaceDE w:val="0"/>
        <w:autoSpaceDN w:val="0"/>
        <w:adjustRightInd w:val="0"/>
        <w:spacing w:line="360" w:lineRule="auto"/>
        <w:ind w:firstLine="480" w:firstLineChars="200"/>
        <w:rPr>
          <w:rFonts w:hint="eastAsia" w:ascii="仿宋" w:hAnsi="仿宋" w:eastAsia="仿宋" w:cs="仿宋"/>
          <w:sz w:val="24"/>
          <w:szCs w:val="20"/>
          <w:highlight w:val="none"/>
        </w:rPr>
      </w:pPr>
      <w:r>
        <w:rPr>
          <w:rFonts w:hint="eastAsia" w:ascii="仿宋" w:hAnsi="仿宋" w:eastAsia="仿宋" w:cs="仿宋"/>
          <w:sz w:val="24"/>
          <w:szCs w:val="20"/>
          <w:highlight w:val="none"/>
        </w:rPr>
        <w:t xml:space="preserve"> </w:t>
      </w:r>
    </w:p>
    <w:p>
      <w:pPr>
        <w:autoSpaceDE w:val="0"/>
        <w:autoSpaceDN w:val="0"/>
        <w:adjustRightInd w:val="0"/>
        <w:spacing w:line="360" w:lineRule="auto"/>
        <w:ind w:firstLine="480" w:firstLineChars="200"/>
        <w:jc w:val="center"/>
        <w:rPr>
          <w:rFonts w:hint="eastAsia" w:ascii="仿宋" w:hAnsi="仿宋" w:eastAsia="仿宋" w:cs="仿宋"/>
          <w:sz w:val="24"/>
          <w:highlight w:val="none"/>
        </w:rPr>
      </w:pP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供应商（盖章）：</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法定代表人或授权代表（签字）：</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日    期：</w:t>
      </w:r>
    </w:p>
    <w:p>
      <w:pPr>
        <w:autoSpaceDE w:val="0"/>
        <w:autoSpaceDN w:val="0"/>
        <w:spacing w:line="640" w:lineRule="exact"/>
        <w:rPr>
          <w:rFonts w:hint="eastAsia" w:ascii="仿宋" w:hAnsi="仿宋" w:eastAsia="仿宋" w:cs="仿宋"/>
          <w:sz w:val="24"/>
          <w:highlight w:val="none"/>
          <w:lang w:val="en-US"/>
        </w:rPr>
      </w:pPr>
      <w:r>
        <w:rPr>
          <w:rFonts w:hint="eastAsia" w:ascii="仿宋" w:hAnsi="仿宋" w:eastAsia="仿宋" w:cs="仿宋"/>
          <w:sz w:val="24"/>
          <w:highlight w:val="none"/>
        </w:rPr>
        <w:br w:type="page"/>
      </w:r>
      <w:r>
        <w:rPr>
          <w:rFonts w:hint="eastAsia" w:ascii="仿宋" w:hAnsi="仿宋" w:eastAsia="仿宋" w:cs="仿宋"/>
          <w:b/>
          <w:bCs/>
          <w:sz w:val="32"/>
          <w:szCs w:val="32"/>
          <w:highlight w:val="none"/>
        </w:rPr>
        <w:t>附件</w:t>
      </w:r>
    </w:p>
    <w:p>
      <w:pPr>
        <w:autoSpaceDE w:val="0"/>
        <w:autoSpaceDN w:val="0"/>
        <w:spacing w:before="120" w:after="120" w:line="300" w:lineRule="auto"/>
        <w:jc w:val="center"/>
        <w:rPr>
          <w:rFonts w:hint="eastAsia" w:ascii="仿宋" w:hAnsi="仿宋" w:eastAsia="仿宋" w:cs="仿宋"/>
          <w:sz w:val="30"/>
          <w:szCs w:val="30"/>
          <w:highlight w:val="none"/>
          <w:lang w:val="zh-CN"/>
        </w:rPr>
      </w:pPr>
      <w:r>
        <w:rPr>
          <w:rFonts w:hint="eastAsia" w:ascii="仿宋" w:hAnsi="仿宋" w:eastAsia="仿宋" w:cs="仿宋"/>
          <w:sz w:val="30"/>
          <w:szCs w:val="30"/>
          <w:highlight w:val="none"/>
          <w:lang w:val="zh-CN"/>
        </w:rPr>
        <w:t>监狱企业证明材料</w:t>
      </w:r>
    </w:p>
    <w:p>
      <w:pPr>
        <w:autoSpaceDE w:val="0"/>
        <w:autoSpaceDN w:val="0"/>
        <w:snapToGrid w:val="0"/>
        <w:spacing w:line="360" w:lineRule="auto"/>
        <w:jc w:val="center"/>
        <w:rPr>
          <w:rFonts w:hint="eastAsia" w:ascii="仿宋" w:hAnsi="仿宋" w:eastAsia="仿宋" w:cs="仿宋"/>
          <w:sz w:val="32"/>
          <w:highlight w:val="none"/>
          <w:lang w:val="zh-CN"/>
        </w:rPr>
      </w:pPr>
    </w:p>
    <w:p>
      <w:pPr>
        <w:autoSpaceDE w:val="0"/>
        <w:autoSpaceDN w:val="0"/>
        <w:adjustRightInd w:val="0"/>
        <w:spacing w:line="360" w:lineRule="auto"/>
        <w:ind w:firstLine="480" w:firstLineChars="200"/>
        <w:rPr>
          <w:rFonts w:hint="eastAsia" w:ascii="仿宋" w:hAnsi="仿宋" w:eastAsia="仿宋" w:cs="仿宋"/>
          <w:sz w:val="24"/>
          <w:highlight w:val="none"/>
          <w:lang w:val="zh-CN"/>
        </w:rPr>
      </w:pPr>
    </w:p>
    <w:p>
      <w:pPr>
        <w:autoSpaceDE w:val="0"/>
        <w:autoSpaceDN w:val="0"/>
        <w:adjustRightInd w:val="0"/>
        <w:spacing w:line="360" w:lineRule="auto"/>
        <w:ind w:firstLine="480" w:firstLineChars="200"/>
        <w:rPr>
          <w:rFonts w:hint="eastAsia" w:ascii="仿宋" w:hAnsi="仿宋" w:eastAsia="仿宋" w:cs="仿宋"/>
          <w:sz w:val="24"/>
          <w:highlight w:val="none"/>
          <w:lang w:val="zh-CN"/>
        </w:rPr>
      </w:pPr>
    </w:p>
    <w:p>
      <w:pPr>
        <w:autoSpaceDE w:val="0"/>
        <w:autoSpaceDN w:val="0"/>
        <w:adjustRightInd w:val="0"/>
        <w:spacing w:line="360" w:lineRule="auto"/>
        <w:ind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lang w:val="zh-CN"/>
        </w:rPr>
        <w:t xml:space="preserve">             </w:t>
      </w:r>
    </w:p>
    <w:p>
      <w:pPr>
        <w:autoSpaceDE w:val="0"/>
        <w:autoSpaceDN w:val="0"/>
        <w:adjustRightInd w:val="0"/>
        <w:spacing w:line="360" w:lineRule="auto"/>
        <w:ind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lang w:val="zh-CN"/>
        </w:rPr>
        <w:t xml:space="preserve">                                      企业名称（公章）：</w:t>
      </w:r>
    </w:p>
    <w:p>
      <w:pPr>
        <w:autoSpaceDE w:val="0"/>
        <w:autoSpaceDN w:val="0"/>
        <w:adjustRightInd w:val="0"/>
        <w:spacing w:line="360" w:lineRule="auto"/>
        <w:ind w:firstLine="5040" w:firstLineChars="2100"/>
        <w:rPr>
          <w:rFonts w:hint="eastAsia" w:ascii="仿宋" w:hAnsi="仿宋" w:eastAsia="仿宋" w:cs="仿宋"/>
          <w:sz w:val="24"/>
          <w:highlight w:val="none"/>
        </w:rPr>
      </w:pPr>
      <w:r>
        <w:rPr>
          <w:rFonts w:hint="eastAsia" w:ascii="仿宋" w:hAnsi="仿宋" w:eastAsia="仿宋" w:cs="仿宋"/>
          <w:sz w:val="24"/>
          <w:highlight w:val="none"/>
          <w:lang w:val="zh-CN"/>
        </w:rPr>
        <w:t xml:space="preserve">日   期：   </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年</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月</w:t>
      </w:r>
      <w:r>
        <w:rPr>
          <w:rFonts w:hint="eastAsia" w:ascii="仿宋" w:hAnsi="仿宋" w:eastAsia="仿宋" w:cs="仿宋"/>
          <w:sz w:val="24"/>
          <w:highlight w:val="none"/>
        </w:rPr>
        <w:t xml:space="preserve">   </w:t>
      </w:r>
      <w:r>
        <w:rPr>
          <w:rFonts w:hint="eastAsia" w:ascii="仿宋" w:hAnsi="仿宋" w:eastAsia="仿宋" w:cs="仿宋"/>
          <w:sz w:val="24"/>
          <w:highlight w:val="none"/>
          <w:lang w:val="zh-CN"/>
        </w:rPr>
        <w:t>日</w:t>
      </w:r>
    </w:p>
    <w:p>
      <w:pPr>
        <w:pStyle w:val="4"/>
        <w:bidi w:val="0"/>
        <w:rPr>
          <w:rFonts w:hint="eastAsia" w:ascii="仿宋" w:hAnsi="仿宋" w:eastAsia="仿宋" w:cs="仿宋"/>
          <w:sz w:val="24"/>
          <w:highlight w:val="none"/>
          <w:lang w:val="en-US"/>
        </w:rPr>
      </w:pPr>
      <w:r>
        <w:rPr>
          <w:rFonts w:hint="eastAsia" w:ascii="仿宋" w:hAnsi="仿宋" w:eastAsia="仿宋" w:cs="仿宋"/>
          <w:sz w:val="24"/>
          <w:highlight w:val="none"/>
        </w:rPr>
        <w:br w:type="page"/>
      </w:r>
      <w:bookmarkStart w:id="69" w:name="_Toc16053"/>
      <w:r>
        <w:rPr>
          <w:rFonts w:hint="eastAsia" w:ascii="仿宋" w:hAnsi="仿宋" w:eastAsia="仿宋" w:cs="仿宋"/>
          <w:b/>
          <w:bCs w:val="0"/>
          <w:sz w:val="32"/>
          <w:szCs w:val="32"/>
          <w:highlight w:val="none"/>
        </w:rPr>
        <w:t>附件</w:t>
      </w:r>
      <w:bookmarkEnd w:id="69"/>
    </w:p>
    <w:p>
      <w:pPr>
        <w:autoSpaceDE w:val="0"/>
        <w:autoSpaceDN w:val="0"/>
        <w:spacing w:before="120" w:after="120" w:line="300" w:lineRule="auto"/>
        <w:jc w:val="center"/>
        <w:rPr>
          <w:rFonts w:hint="eastAsia" w:ascii="仿宋" w:hAnsi="仿宋" w:eastAsia="仿宋" w:cs="仿宋"/>
          <w:sz w:val="30"/>
          <w:szCs w:val="30"/>
          <w:highlight w:val="none"/>
          <w:lang w:val="zh-CN"/>
        </w:rPr>
      </w:pPr>
      <w:r>
        <w:rPr>
          <w:rFonts w:hint="eastAsia" w:ascii="仿宋" w:hAnsi="仿宋" w:eastAsia="仿宋" w:cs="仿宋"/>
          <w:sz w:val="30"/>
          <w:szCs w:val="30"/>
          <w:highlight w:val="none"/>
          <w:lang w:val="zh-CN"/>
        </w:rPr>
        <w:t>残疾人福利性单位声明函（残疾人福利性单位提供）</w:t>
      </w:r>
    </w:p>
    <w:p>
      <w:pPr>
        <w:spacing w:line="588" w:lineRule="exact"/>
        <w:rPr>
          <w:rFonts w:hint="eastAsia" w:ascii="仿宋" w:hAnsi="仿宋" w:eastAsia="仿宋" w:cs="仿宋"/>
          <w:b/>
          <w:spacing w:val="6"/>
          <w:sz w:val="30"/>
          <w:szCs w:val="30"/>
          <w:highlight w:val="none"/>
        </w:rPr>
      </w:pPr>
    </w:p>
    <w:p>
      <w:pPr>
        <w:autoSpaceDE w:val="0"/>
        <w:autoSpaceDN w:val="0"/>
        <w:adjustRightInd w:val="0"/>
        <w:spacing w:line="360" w:lineRule="auto"/>
        <w:ind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lang w:val="zh-CN"/>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utoSpaceDE w:val="0"/>
        <w:autoSpaceDN w:val="0"/>
        <w:adjustRightInd w:val="0"/>
        <w:spacing w:line="360" w:lineRule="auto"/>
        <w:ind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lang w:val="zh-CN"/>
        </w:rPr>
        <w:t>本单位对上述声明的真实性负责。如有虚假，将依法承担相应责任。</w:t>
      </w:r>
    </w:p>
    <w:p>
      <w:pPr>
        <w:autoSpaceDE w:val="0"/>
        <w:autoSpaceDN w:val="0"/>
        <w:adjustRightInd w:val="0"/>
        <w:spacing w:line="360" w:lineRule="auto"/>
        <w:ind w:firstLine="480" w:firstLineChars="200"/>
        <w:rPr>
          <w:rFonts w:hint="eastAsia" w:ascii="仿宋" w:hAnsi="仿宋" w:eastAsia="仿宋" w:cs="仿宋"/>
          <w:sz w:val="24"/>
          <w:highlight w:val="none"/>
          <w:lang w:val="zh-CN"/>
        </w:rPr>
      </w:pPr>
    </w:p>
    <w:p>
      <w:pPr>
        <w:autoSpaceDE w:val="0"/>
        <w:autoSpaceDN w:val="0"/>
        <w:adjustRightInd w:val="0"/>
        <w:spacing w:line="360" w:lineRule="auto"/>
        <w:ind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lang w:val="zh-CN"/>
        </w:rPr>
        <w:t xml:space="preserve">                                     </w:t>
      </w:r>
    </w:p>
    <w:p>
      <w:pPr>
        <w:autoSpaceDE w:val="0"/>
        <w:autoSpaceDN w:val="0"/>
        <w:adjustRightInd w:val="0"/>
        <w:spacing w:line="360" w:lineRule="auto"/>
        <w:ind w:firstLine="480" w:firstLineChars="200"/>
        <w:rPr>
          <w:rFonts w:hint="eastAsia" w:ascii="仿宋" w:hAnsi="仿宋" w:eastAsia="仿宋" w:cs="仿宋"/>
          <w:sz w:val="24"/>
          <w:highlight w:val="none"/>
          <w:lang w:val="zh-CN"/>
        </w:rPr>
      </w:pPr>
    </w:p>
    <w:p>
      <w:pPr>
        <w:autoSpaceDE w:val="0"/>
        <w:autoSpaceDN w:val="0"/>
        <w:adjustRightInd w:val="0"/>
        <w:spacing w:line="360" w:lineRule="auto"/>
        <w:ind w:firstLine="4320" w:firstLineChars="1800"/>
        <w:rPr>
          <w:rFonts w:hint="eastAsia" w:ascii="仿宋" w:hAnsi="仿宋" w:eastAsia="仿宋" w:cs="仿宋"/>
          <w:sz w:val="24"/>
          <w:highlight w:val="none"/>
          <w:lang w:val="zh-CN"/>
        </w:rPr>
      </w:pPr>
      <w:r>
        <w:rPr>
          <w:rFonts w:hint="eastAsia" w:ascii="仿宋" w:hAnsi="仿宋" w:eastAsia="仿宋" w:cs="仿宋"/>
          <w:sz w:val="24"/>
          <w:highlight w:val="none"/>
          <w:lang w:val="zh-CN"/>
        </w:rPr>
        <w:t>单位名称（盖章）：</w:t>
      </w:r>
    </w:p>
    <w:p>
      <w:pPr>
        <w:spacing w:line="360" w:lineRule="auto"/>
        <w:ind w:firstLine="480" w:firstLineChars="200"/>
        <w:rPr>
          <w:rFonts w:hint="eastAsia" w:ascii="仿宋" w:hAnsi="仿宋" w:eastAsia="仿宋" w:cs="仿宋"/>
          <w:sz w:val="28"/>
          <w:szCs w:val="28"/>
          <w:highlight w:val="none"/>
        </w:rPr>
      </w:pPr>
      <w:r>
        <w:rPr>
          <w:rFonts w:hint="eastAsia" w:ascii="仿宋" w:hAnsi="仿宋" w:eastAsia="仿宋" w:cs="仿宋"/>
          <w:sz w:val="24"/>
          <w:highlight w:val="none"/>
          <w:lang w:val="zh-CN"/>
        </w:rPr>
        <w:t xml:space="preserve">                                 年   月  日</w:t>
      </w:r>
      <w:r>
        <w:rPr>
          <w:rFonts w:hint="eastAsia" w:ascii="仿宋" w:hAnsi="仿宋" w:eastAsia="仿宋" w:cs="仿宋"/>
          <w:sz w:val="24"/>
          <w:highlight w:val="none"/>
        </w:rPr>
        <w:br w:type="page"/>
      </w:r>
      <w:bookmarkStart w:id="70" w:name="_Toc471805997"/>
      <w:r>
        <w:rPr>
          <w:rStyle w:val="210"/>
          <w:rFonts w:hint="eastAsia" w:ascii="仿宋" w:hAnsi="仿宋" w:eastAsia="仿宋" w:cs="仿宋"/>
          <w:highlight w:val="none"/>
        </w:rPr>
        <w:t>附件3  参加政府采购项目承诺书</w:t>
      </w:r>
      <w:bookmarkEnd w:id="70"/>
    </w:p>
    <w:p>
      <w:pPr>
        <w:spacing w:before="100" w:beforeAutospacing="1" w:after="100" w:afterAutospacing="1"/>
        <w:jc w:val="center"/>
        <w:rPr>
          <w:rFonts w:hint="eastAsia" w:ascii="仿宋" w:hAnsi="仿宋" w:eastAsia="仿宋" w:cs="仿宋"/>
          <w:bCs/>
          <w:sz w:val="24"/>
          <w:highlight w:val="none"/>
        </w:rPr>
      </w:pPr>
      <w:r>
        <w:rPr>
          <w:rFonts w:hint="eastAsia" w:ascii="仿宋" w:hAnsi="仿宋" w:eastAsia="仿宋" w:cs="仿宋"/>
          <w:bCs/>
          <w:sz w:val="24"/>
          <w:highlight w:val="none"/>
        </w:rPr>
        <w:t>参加政府采购项目承诺书</w:t>
      </w:r>
    </w:p>
    <w:p>
      <w:pPr>
        <w:spacing w:line="4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为充分体现公开、公平、公正和诚实信用原则，共同维护政府采购市场秩序，本单位在参与</w:t>
      </w:r>
      <w:r>
        <w:rPr>
          <w:rFonts w:hint="eastAsia" w:ascii="仿宋" w:hAnsi="仿宋" w:eastAsia="仿宋" w:cs="仿宋"/>
          <w:sz w:val="24"/>
          <w:highlight w:val="none"/>
          <w:u w:val="single"/>
        </w:rPr>
        <w:t xml:space="preserve">       采购项目（包号）    </w:t>
      </w:r>
      <w:r>
        <w:rPr>
          <w:rFonts w:hint="eastAsia" w:ascii="仿宋" w:hAnsi="仿宋" w:eastAsia="仿宋" w:cs="仿宋"/>
          <w:sz w:val="24"/>
          <w:highlight w:val="none"/>
        </w:rPr>
        <w:t>（项目编号：</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）政府采购过程中特作以下承诺，以保证在政府采购活动中无任何违规、违纪行为，接受社会各界监督。若有违反，甘愿接受相应处罚，直至追究相关法律责任。</w:t>
      </w:r>
    </w:p>
    <w:p>
      <w:pPr>
        <w:spacing w:line="4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1.不以不正当手段向招标人谋取资格预审及投标的不正当照顾。</w:t>
      </w:r>
    </w:p>
    <w:p>
      <w:pPr>
        <w:spacing w:line="4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2.不以提供不正当利益等方式，向政府采购预算编制、审查人员打听预算编制情况，向招标采购单位谋求不正当利益。</w:t>
      </w:r>
    </w:p>
    <w:p>
      <w:pPr>
        <w:spacing w:line="4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3.在确定中标人前，不向评标专家打招呼谋求照顾，不与招标人就投标价格、投标方案等实质性内容进行谈判。</w:t>
      </w:r>
    </w:p>
    <w:p>
      <w:pPr>
        <w:spacing w:line="4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4.不提供虚假材料谋取中标（成交）。</w:t>
      </w:r>
    </w:p>
    <w:p>
      <w:pPr>
        <w:spacing w:line="4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5.不与供应商之间相互串标，如有其他人出现上述情况，主动向</w:t>
      </w:r>
      <w:r>
        <w:rPr>
          <w:rFonts w:hint="eastAsia" w:ascii="仿宋" w:hAnsi="仿宋" w:eastAsia="仿宋" w:cs="仿宋"/>
          <w:sz w:val="24"/>
          <w:highlight w:val="none"/>
          <w:lang w:eastAsia="zh-CN"/>
        </w:rPr>
        <w:t>天水市</w:t>
      </w:r>
      <w:r>
        <w:rPr>
          <w:rFonts w:hint="eastAsia" w:ascii="仿宋" w:hAnsi="仿宋" w:eastAsia="仿宋" w:cs="仿宋"/>
          <w:sz w:val="24"/>
          <w:highlight w:val="none"/>
        </w:rPr>
        <w:t>政府采购管理办公室反映。</w:t>
      </w:r>
    </w:p>
    <w:p>
      <w:pPr>
        <w:spacing w:line="4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6.不采用不正当手段诋毁、排挤其他供应商。</w:t>
      </w:r>
    </w:p>
    <w:p>
      <w:pPr>
        <w:spacing w:line="4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7.不以他人名义投标或者以其它方式骗取中标（成交）。</w:t>
      </w:r>
    </w:p>
    <w:p>
      <w:pPr>
        <w:spacing w:line="4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8.中标后，不将中标项目转让他人，或将中标项目肢解后分别转让他人。</w:t>
      </w:r>
    </w:p>
    <w:p>
      <w:pPr>
        <w:spacing w:line="4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9.中标后，与招标人按照招标文件和中标人的投标文件订立合同，不订立背离合同实质性内容的协议。</w:t>
      </w:r>
    </w:p>
    <w:p>
      <w:pPr>
        <w:spacing w:line="4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10.主动接受并配合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政府采购管理办公室及有关监督部门的监督检查。</w:t>
      </w:r>
    </w:p>
    <w:p>
      <w:pPr>
        <w:spacing w:line="460" w:lineRule="exact"/>
        <w:ind w:firstLine="480" w:firstLineChars="200"/>
        <w:rPr>
          <w:rFonts w:hint="eastAsia" w:ascii="仿宋" w:hAnsi="仿宋" w:eastAsia="仿宋" w:cs="仿宋"/>
          <w:sz w:val="24"/>
          <w:highlight w:val="none"/>
        </w:rPr>
      </w:pPr>
    </w:p>
    <w:p>
      <w:pPr>
        <w:spacing w:line="4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供应商（盖章）：              法人代表（盖章/签字）：</w:t>
      </w:r>
    </w:p>
    <w:p>
      <w:pPr>
        <w:spacing w:line="460" w:lineRule="exact"/>
        <w:ind w:firstLine="480" w:firstLineChars="200"/>
        <w:rPr>
          <w:rFonts w:hint="eastAsia" w:ascii="仿宋" w:hAnsi="仿宋" w:eastAsia="仿宋" w:cs="仿宋"/>
          <w:sz w:val="24"/>
          <w:highlight w:val="none"/>
        </w:rPr>
      </w:pPr>
    </w:p>
    <w:p>
      <w:pPr>
        <w:spacing w:line="4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联系电话：</w:t>
      </w:r>
    </w:p>
    <w:p>
      <w:pPr>
        <w:spacing w:line="460" w:lineRule="exact"/>
        <w:ind w:firstLine="6360" w:firstLineChars="2650"/>
        <w:rPr>
          <w:rFonts w:hint="eastAsia" w:ascii="仿宋" w:hAnsi="仿宋" w:eastAsia="仿宋" w:cs="仿宋"/>
          <w:sz w:val="24"/>
          <w:highlight w:val="none"/>
        </w:rPr>
      </w:pPr>
    </w:p>
    <w:p>
      <w:pPr>
        <w:spacing w:line="360" w:lineRule="auto"/>
        <w:ind w:right="480" w:firstLine="480" w:firstLineChars="200"/>
        <w:rPr>
          <w:rFonts w:hint="eastAsia" w:ascii="仿宋" w:hAnsi="仿宋" w:eastAsia="仿宋" w:cs="仿宋"/>
          <w:sz w:val="24"/>
          <w:highlight w:val="none"/>
        </w:rPr>
      </w:pPr>
      <w:r>
        <w:rPr>
          <w:rFonts w:hint="eastAsia" w:ascii="仿宋" w:hAnsi="仿宋" w:eastAsia="仿宋" w:cs="仿宋"/>
          <w:sz w:val="24"/>
          <w:highlight w:val="none"/>
        </w:rPr>
        <w:t>年   月   日</w:t>
      </w:r>
    </w:p>
    <w:p>
      <w:pPr>
        <w:pStyle w:val="5"/>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bookmarkStart w:id="71" w:name="_Toc22734"/>
      <w:bookmarkStart w:id="72" w:name="_Toc471805998"/>
      <w:r>
        <w:rPr>
          <w:rStyle w:val="210"/>
          <w:rFonts w:hint="eastAsia" w:ascii="仿宋" w:hAnsi="仿宋" w:eastAsia="仿宋" w:cs="仿宋"/>
          <w:b/>
          <w:highlight w:val="none"/>
        </w:rPr>
        <w:t>附件4  商务条款偏离表</w:t>
      </w:r>
      <w:bookmarkEnd w:id="71"/>
      <w:bookmarkEnd w:id="72"/>
    </w:p>
    <w:p>
      <w:pPr>
        <w:spacing w:before="100" w:beforeAutospacing="1" w:after="100" w:afterAutospacing="1"/>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商务条款偏离表</w:t>
      </w:r>
    </w:p>
    <w:tbl>
      <w:tblPr>
        <w:tblStyle w:val="6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533"/>
        <w:gridCol w:w="354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4" w:hRule="atLeast"/>
        </w:trPr>
        <w:tc>
          <w:tcPr>
            <w:tcW w:w="828"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3533"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招标文件内容</w:t>
            </w:r>
          </w:p>
        </w:tc>
        <w:tc>
          <w:tcPr>
            <w:tcW w:w="3544"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投标文件内容</w:t>
            </w:r>
          </w:p>
        </w:tc>
        <w:tc>
          <w:tcPr>
            <w:tcW w:w="1701" w:type="dxa"/>
          </w:tcPr>
          <w:p>
            <w:pPr>
              <w:jc w:val="center"/>
              <w:rPr>
                <w:rFonts w:hint="eastAsia" w:ascii="仿宋" w:hAnsi="仿宋" w:eastAsia="仿宋" w:cs="仿宋"/>
                <w:sz w:val="24"/>
                <w:szCs w:val="24"/>
                <w:highlight w:val="none"/>
              </w:rPr>
            </w:pPr>
          </w:p>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8" w:type="dxa"/>
            <w:vAlign w:val="center"/>
          </w:tcPr>
          <w:p>
            <w:pPr>
              <w:jc w:val="center"/>
              <w:rPr>
                <w:rFonts w:hint="eastAsia" w:ascii="仿宋" w:hAnsi="仿宋" w:eastAsia="仿宋" w:cs="仿宋"/>
                <w:sz w:val="24"/>
                <w:szCs w:val="24"/>
                <w:highlight w:val="none"/>
              </w:rPr>
            </w:pPr>
          </w:p>
        </w:tc>
        <w:tc>
          <w:tcPr>
            <w:tcW w:w="3533" w:type="dxa"/>
            <w:vAlign w:val="center"/>
          </w:tcPr>
          <w:p>
            <w:pPr>
              <w:jc w:val="center"/>
              <w:rPr>
                <w:rFonts w:hint="eastAsia" w:ascii="仿宋" w:hAnsi="仿宋" w:eastAsia="仿宋" w:cs="仿宋"/>
                <w:sz w:val="24"/>
                <w:szCs w:val="24"/>
                <w:highlight w:val="none"/>
              </w:rPr>
            </w:pPr>
          </w:p>
        </w:tc>
        <w:tc>
          <w:tcPr>
            <w:tcW w:w="3544" w:type="dxa"/>
            <w:vAlign w:val="center"/>
          </w:tcPr>
          <w:p>
            <w:pPr>
              <w:jc w:val="center"/>
              <w:rPr>
                <w:rFonts w:hint="eastAsia" w:ascii="仿宋" w:hAnsi="仿宋" w:eastAsia="仿宋" w:cs="仿宋"/>
                <w:sz w:val="24"/>
                <w:szCs w:val="24"/>
                <w:highlight w:val="none"/>
              </w:rPr>
            </w:pPr>
          </w:p>
        </w:tc>
        <w:tc>
          <w:tcPr>
            <w:tcW w:w="1701" w:type="dxa"/>
          </w:tcPr>
          <w:p>
            <w:pPr>
              <w:jc w:val="center"/>
              <w:rPr>
                <w:rFonts w:hint="eastAsia" w:ascii="仿宋" w:hAnsi="仿宋" w:eastAsia="仿宋" w:cs="仿宋"/>
                <w:sz w:val="24"/>
                <w:szCs w:val="24"/>
                <w:highlight w:val="none"/>
              </w:rPr>
            </w:pPr>
          </w:p>
        </w:tc>
      </w:tr>
    </w:tbl>
    <w:p>
      <w:pPr>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注：供应商所填写的内容必须真实、可靠，如有虚假或隐瞒，一经查实将导致投标被拒绝。 </w:t>
      </w:r>
    </w:p>
    <w:p>
      <w:pPr>
        <w:rPr>
          <w:rFonts w:hint="eastAsia" w:ascii="仿宋" w:hAnsi="仿宋" w:eastAsia="仿宋" w:cs="仿宋"/>
          <w:sz w:val="24"/>
          <w:szCs w:val="24"/>
          <w:highlight w:val="none"/>
        </w:rPr>
      </w:pPr>
    </w:p>
    <w:p>
      <w:pPr>
        <w:pStyle w:val="4"/>
        <w:bidi w:val="0"/>
        <w:rPr>
          <w:rFonts w:hint="eastAsia" w:ascii="仿宋" w:hAnsi="仿宋" w:eastAsia="仿宋" w:cs="仿宋"/>
          <w:highlight w:val="none"/>
        </w:rPr>
      </w:pPr>
      <w:bookmarkStart w:id="73" w:name="_Toc471805999"/>
      <w:bookmarkStart w:id="74" w:name="_Toc6788"/>
      <w:r>
        <w:rPr>
          <w:rFonts w:hint="eastAsia" w:ascii="仿宋" w:hAnsi="仿宋" w:eastAsia="仿宋" w:cs="仿宋"/>
          <w:highlight w:val="none"/>
        </w:rPr>
        <w:t>附件5  供应商基本情况表</w:t>
      </w:r>
      <w:bookmarkEnd w:id="73"/>
      <w:bookmarkEnd w:id="74"/>
    </w:p>
    <w:p>
      <w:pPr>
        <w:spacing w:before="100" w:beforeAutospacing="1" w:after="100" w:afterAutospacing="1"/>
        <w:jc w:val="center"/>
        <w:rPr>
          <w:rFonts w:hint="eastAsia" w:ascii="仿宋" w:hAnsi="仿宋" w:eastAsia="仿宋" w:cs="仿宋"/>
          <w:sz w:val="24"/>
          <w:highlight w:val="none"/>
        </w:rPr>
      </w:pPr>
      <w:r>
        <w:rPr>
          <w:rFonts w:hint="eastAsia" w:ascii="仿宋" w:hAnsi="仿宋" w:eastAsia="仿宋" w:cs="仿宋"/>
          <w:sz w:val="24"/>
          <w:highlight w:val="none"/>
        </w:rPr>
        <w:t>供应商基本情况表</w:t>
      </w:r>
    </w:p>
    <w:tbl>
      <w:tblPr>
        <w:tblStyle w:val="6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364"/>
        <w:gridCol w:w="1274"/>
        <w:gridCol w:w="728"/>
        <w:gridCol w:w="730"/>
        <w:gridCol w:w="1272"/>
        <w:gridCol w:w="366"/>
        <w:gridCol w:w="1090"/>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Align w:val="center"/>
          </w:tcPr>
          <w:p>
            <w:pPr>
              <w:adjustRightInd w:val="0"/>
              <w:snapToGrid w:val="0"/>
              <w:spacing w:line="400" w:lineRule="exact"/>
              <w:jc w:val="center"/>
              <w:rPr>
                <w:rFonts w:hint="eastAsia" w:ascii="仿宋" w:hAnsi="仿宋" w:eastAsia="仿宋" w:cs="仿宋"/>
                <w:szCs w:val="21"/>
                <w:highlight w:val="none"/>
              </w:rPr>
            </w:pPr>
            <w:r>
              <w:rPr>
                <w:rFonts w:hint="eastAsia" w:ascii="仿宋" w:hAnsi="仿宋" w:eastAsia="仿宋" w:cs="仿宋"/>
                <w:szCs w:val="21"/>
                <w:highlight w:val="none"/>
              </w:rPr>
              <w:t>供应商名称</w:t>
            </w:r>
          </w:p>
        </w:tc>
        <w:tc>
          <w:tcPr>
            <w:tcW w:w="3096" w:type="dxa"/>
            <w:gridSpan w:val="4"/>
            <w:vAlign w:val="center"/>
          </w:tcPr>
          <w:p>
            <w:pPr>
              <w:adjustRightInd w:val="0"/>
              <w:snapToGrid w:val="0"/>
              <w:spacing w:line="400" w:lineRule="exact"/>
              <w:jc w:val="center"/>
              <w:rPr>
                <w:rFonts w:hint="eastAsia" w:ascii="仿宋" w:hAnsi="仿宋" w:eastAsia="仿宋" w:cs="仿宋"/>
                <w:szCs w:val="21"/>
                <w:highlight w:val="none"/>
              </w:rPr>
            </w:pPr>
          </w:p>
        </w:tc>
        <w:tc>
          <w:tcPr>
            <w:tcW w:w="1638" w:type="dxa"/>
            <w:gridSpan w:val="2"/>
            <w:vAlign w:val="center"/>
          </w:tcPr>
          <w:p>
            <w:pPr>
              <w:adjustRightInd w:val="0"/>
              <w:snapToGrid w:val="0"/>
              <w:spacing w:line="400" w:lineRule="exact"/>
              <w:jc w:val="center"/>
              <w:rPr>
                <w:rFonts w:hint="eastAsia" w:ascii="仿宋" w:hAnsi="仿宋" w:eastAsia="仿宋" w:cs="仿宋"/>
                <w:szCs w:val="21"/>
                <w:highlight w:val="none"/>
              </w:rPr>
            </w:pPr>
            <w:r>
              <w:rPr>
                <w:rFonts w:hint="eastAsia" w:ascii="仿宋" w:hAnsi="仿宋" w:eastAsia="仿宋" w:cs="仿宋"/>
                <w:szCs w:val="21"/>
                <w:highlight w:val="none"/>
              </w:rPr>
              <w:t>主要业务</w:t>
            </w:r>
          </w:p>
        </w:tc>
        <w:tc>
          <w:tcPr>
            <w:tcW w:w="2914" w:type="dxa"/>
            <w:gridSpan w:val="2"/>
            <w:vAlign w:val="center"/>
          </w:tcPr>
          <w:p>
            <w:pPr>
              <w:adjustRightInd w:val="0"/>
              <w:snapToGrid w:val="0"/>
              <w:spacing w:line="400" w:lineRule="exact"/>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注册资金</w:t>
            </w:r>
          </w:p>
        </w:tc>
        <w:tc>
          <w:tcPr>
            <w:tcW w:w="3096" w:type="dxa"/>
            <w:gridSpan w:val="4"/>
            <w:vAlign w:val="center"/>
          </w:tcPr>
          <w:p>
            <w:pPr>
              <w:adjustRightInd w:val="0"/>
              <w:snapToGrid w:val="0"/>
              <w:spacing w:line="400" w:lineRule="exact"/>
              <w:jc w:val="center"/>
              <w:rPr>
                <w:rFonts w:hint="eastAsia" w:ascii="仿宋" w:hAnsi="仿宋" w:eastAsia="仿宋" w:cs="仿宋"/>
                <w:bCs/>
                <w:szCs w:val="21"/>
                <w:highlight w:val="none"/>
              </w:rPr>
            </w:pPr>
          </w:p>
        </w:tc>
        <w:tc>
          <w:tcPr>
            <w:tcW w:w="1638" w:type="dxa"/>
            <w:gridSpan w:val="2"/>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现有职工人数</w:t>
            </w:r>
          </w:p>
        </w:tc>
        <w:tc>
          <w:tcPr>
            <w:tcW w:w="2914" w:type="dxa"/>
            <w:gridSpan w:val="2"/>
            <w:vAlign w:val="center"/>
          </w:tcPr>
          <w:p>
            <w:pPr>
              <w:adjustRightInd w:val="0"/>
              <w:snapToGrid w:val="0"/>
              <w:spacing w:line="400" w:lineRule="exact"/>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szCs w:val="21"/>
                <w:highlight w:val="none"/>
              </w:rPr>
              <w:t>行政管理人数</w:t>
            </w:r>
          </w:p>
        </w:tc>
        <w:tc>
          <w:tcPr>
            <w:tcW w:w="3096" w:type="dxa"/>
            <w:gridSpan w:val="4"/>
            <w:vAlign w:val="center"/>
          </w:tcPr>
          <w:p>
            <w:pPr>
              <w:adjustRightInd w:val="0"/>
              <w:snapToGrid w:val="0"/>
              <w:spacing w:line="400" w:lineRule="exact"/>
              <w:jc w:val="center"/>
              <w:rPr>
                <w:rFonts w:hint="eastAsia" w:ascii="仿宋" w:hAnsi="仿宋" w:eastAsia="仿宋" w:cs="仿宋"/>
                <w:bCs/>
                <w:szCs w:val="21"/>
                <w:highlight w:val="none"/>
              </w:rPr>
            </w:pPr>
          </w:p>
        </w:tc>
        <w:tc>
          <w:tcPr>
            <w:tcW w:w="1638" w:type="dxa"/>
            <w:gridSpan w:val="2"/>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技术人员人数</w:t>
            </w:r>
          </w:p>
        </w:tc>
        <w:tc>
          <w:tcPr>
            <w:tcW w:w="2914" w:type="dxa"/>
            <w:gridSpan w:val="2"/>
            <w:vAlign w:val="center"/>
          </w:tcPr>
          <w:p>
            <w:pPr>
              <w:adjustRightInd w:val="0"/>
              <w:snapToGrid w:val="0"/>
              <w:spacing w:line="400" w:lineRule="exact"/>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营业执照</w:t>
            </w:r>
          </w:p>
        </w:tc>
        <w:tc>
          <w:tcPr>
            <w:tcW w:w="7648" w:type="dxa"/>
            <w:gridSpan w:val="8"/>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1.执照编号   2.营业范围   3.发照部门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单位资质</w:t>
            </w:r>
          </w:p>
        </w:tc>
        <w:tc>
          <w:tcPr>
            <w:tcW w:w="7648" w:type="dxa"/>
            <w:gridSpan w:val="8"/>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1.执照编号   2.资质等级   3.发证部门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单位注册地址</w:t>
            </w:r>
          </w:p>
        </w:tc>
        <w:tc>
          <w:tcPr>
            <w:tcW w:w="3096" w:type="dxa"/>
            <w:gridSpan w:val="4"/>
            <w:vAlign w:val="center"/>
          </w:tcPr>
          <w:p>
            <w:pPr>
              <w:adjustRightInd w:val="0"/>
              <w:snapToGrid w:val="0"/>
              <w:spacing w:line="400" w:lineRule="exact"/>
              <w:jc w:val="center"/>
              <w:rPr>
                <w:rFonts w:hint="eastAsia" w:ascii="仿宋" w:hAnsi="仿宋" w:eastAsia="仿宋" w:cs="仿宋"/>
                <w:bCs/>
                <w:szCs w:val="21"/>
                <w:highlight w:val="none"/>
              </w:rPr>
            </w:pPr>
          </w:p>
        </w:tc>
        <w:tc>
          <w:tcPr>
            <w:tcW w:w="1638" w:type="dxa"/>
            <w:gridSpan w:val="2"/>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单位联络方式</w:t>
            </w:r>
          </w:p>
        </w:tc>
        <w:tc>
          <w:tcPr>
            <w:tcW w:w="2914" w:type="dxa"/>
            <w:gridSpan w:val="2"/>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（电话、传真、邮址）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单位成立时间</w:t>
            </w:r>
          </w:p>
        </w:tc>
        <w:tc>
          <w:tcPr>
            <w:tcW w:w="7648" w:type="dxa"/>
            <w:gridSpan w:val="8"/>
            <w:vAlign w:val="center"/>
          </w:tcPr>
          <w:p>
            <w:pPr>
              <w:adjustRightInd w:val="0"/>
              <w:snapToGrid w:val="0"/>
              <w:spacing w:line="400" w:lineRule="exact"/>
              <w:jc w:val="center"/>
              <w:rPr>
                <w:rFonts w:hint="eastAsia"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1638" w:type="dxa"/>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固定资产净值</w:t>
            </w:r>
          </w:p>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（万元）</w:t>
            </w:r>
          </w:p>
        </w:tc>
        <w:tc>
          <w:tcPr>
            <w:tcW w:w="3096" w:type="dxa"/>
            <w:gridSpan w:val="4"/>
            <w:vAlign w:val="center"/>
          </w:tcPr>
          <w:p>
            <w:pPr>
              <w:adjustRightInd w:val="0"/>
              <w:snapToGrid w:val="0"/>
              <w:spacing w:line="400" w:lineRule="exact"/>
              <w:jc w:val="center"/>
              <w:rPr>
                <w:rFonts w:hint="eastAsia" w:ascii="仿宋" w:hAnsi="仿宋" w:eastAsia="仿宋" w:cs="仿宋"/>
                <w:szCs w:val="21"/>
                <w:highlight w:val="none"/>
              </w:rPr>
            </w:pPr>
          </w:p>
        </w:tc>
        <w:tc>
          <w:tcPr>
            <w:tcW w:w="1638" w:type="dxa"/>
            <w:gridSpan w:val="2"/>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年平均产值</w:t>
            </w:r>
          </w:p>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（万元）</w:t>
            </w:r>
          </w:p>
        </w:tc>
        <w:tc>
          <w:tcPr>
            <w:tcW w:w="2914" w:type="dxa"/>
            <w:gridSpan w:val="2"/>
            <w:vAlign w:val="center"/>
          </w:tcPr>
          <w:p>
            <w:pPr>
              <w:adjustRightInd w:val="0"/>
              <w:snapToGrid w:val="0"/>
              <w:spacing w:line="400" w:lineRule="exact"/>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Merge w:val="restart"/>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行政负责人</w:t>
            </w:r>
          </w:p>
        </w:tc>
        <w:tc>
          <w:tcPr>
            <w:tcW w:w="1638" w:type="dxa"/>
            <w:gridSpan w:val="2"/>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董事长姓名</w:t>
            </w:r>
          </w:p>
        </w:tc>
        <w:tc>
          <w:tcPr>
            <w:tcW w:w="6010" w:type="dxa"/>
            <w:gridSpan w:val="6"/>
            <w:vAlign w:val="center"/>
          </w:tcPr>
          <w:p>
            <w:pPr>
              <w:adjustRightInd w:val="0"/>
              <w:snapToGrid w:val="0"/>
              <w:spacing w:line="400" w:lineRule="exact"/>
              <w:jc w:val="center"/>
              <w:rPr>
                <w:rFonts w:hint="eastAsia" w:ascii="仿宋" w:hAnsi="仿宋" w:eastAsia="仿宋" w:cs="仿宋"/>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Merge w:val="continue"/>
            <w:vAlign w:val="center"/>
          </w:tcPr>
          <w:p>
            <w:pPr>
              <w:adjustRightInd w:val="0"/>
              <w:snapToGrid w:val="0"/>
              <w:spacing w:line="400" w:lineRule="exact"/>
              <w:jc w:val="center"/>
              <w:rPr>
                <w:rFonts w:hint="eastAsia" w:ascii="仿宋" w:hAnsi="仿宋" w:eastAsia="仿宋" w:cs="仿宋"/>
                <w:szCs w:val="21"/>
                <w:highlight w:val="none"/>
              </w:rPr>
            </w:pPr>
          </w:p>
        </w:tc>
        <w:tc>
          <w:tcPr>
            <w:tcW w:w="1638" w:type="dxa"/>
            <w:gridSpan w:val="2"/>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总经理姓名</w:t>
            </w:r>
          </w:p>
        </w:tc>
        <w:tc>
          <w:tcPr>
            <w:tcW w:w="6010" w:type="dxa"/>
            <w:gridSpan w:val="6"/>
            <w:vAlign w:val="center"/>
          </w:tcPr>
          <w:p>
            <w:pPr>
              <w:adjustRightInd w:val="0"/>
              <w:snapToGrid w:val="0"/>
              <w:spacing w:line="400" w:lineRule="exact"/>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Merge w:val="continue"/>
            <w:vAlign w:val="center"/>
          </w:tcPr>
          <w:p>
            <w:pPr>
              <w:adjustRightInd w:val="0"/>
              <w:snapToGrid w:val="0"/>
              <w:spacing w:line="400" w:lineRule="exact"/>
              <w:jc w:val="center"/>
              <w:rPr>
                <w:rFonts w:hint="eastAsia" w:ascii="仿宋" w:hAnsi="仿宋" w:eastAsia="仿宋" w:cs="仿宋"/>
                <w:szCs w:val="21"/>
                <w:highlight w:val="none"/>
              </w:rPr>
            </w:pPr>
          </w:p>
        </w:tc>
        <w:tc>
          <w:tcPr>
            <w:tcW w:w="1638" w:type="dxa"/>
            <w:gridSpan w:val="2"/>
            <w:vAlign w:val="center"/>
          </w:tcPr>
          <w:p>
            <w:pPr>
              <w:pStyle w:val="37"/>
              <w:tabs>
                <w:tab w:val="clear" w:pos="4153"/>
                <w:tab w:val="clear" w:pos="8306"/>
              </w:tabs>
              <w:adjustRightInd w:val="0"/>
              <w:spacing w:line="400" w:lineRule="exact"/>
              <w:jc w:val="center"/>
              <w:rPr>
                <w:rFonts w:hint="eastAsia" w:ascii="仿宋" w:hAnsi="仿宋" w:eastAsia="仿宋" w:cs="仿宋"/>
                <w:bCs/>
                <w:sz w:val="21"/>
                <w:szCs w:val="21"/>
                <w:highlight w:val="none"/>
              </w:rPr>
            </w:pPr>
            <w:r>
              <w:rPr>
                <w:rFonts w:hint="eastAsia" w:ascii="仿宋" w:hAnsi="仿宋" w:eastAsia="仿宋" w:cs="仿宋"/>
                <w:bCs/>
                <w:sz w:val="21"/>
                <w:szCs w:val="21"/>
                <w:highlight w:val="none"/>
              </w:rPr>
              <w:t>技术总监姓名</w:t>
            </w:r>
          </w:p>
        </w:tc>
        <w:tc>
          <w:tcPr>
            <w:tcW w:w="6010" w:type="dxa"/>
            <w:gridSpan w:val="6"/>
            <w:vAlign w:val="center"/>
          </w:tcPr>
          <w:p>
            <w:pPr>
              <w:adjustRightInd w:val="0"/>
              <w:snapToGrid w:val="0"/>
              <w:spacing w:line="400" w:lineRule="exact"/>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Merge w:val="continue"/>
            <w:vAlign w:val="center"/>
          </w:tcPr>
          <w:p>
            <w:pPr>
              <w:adjustRightInd w:val="0"/>
              <w:snapToGrid w:val="0"/>
              <w:spacing w:line="400" w:lineRule="exact"/>
              <w:jc w:val="center"/>
              <w:rPr>
                <w:rFonts w:hint="eastAsia" w:ascii="仿宋" w:hAnsi="仿宋" w:eastAsia="仿宋" w:cs="仿宋"/>
                <w:szCs w:val="21"/>
                <w:highlight w:val="none"/>
              </w:rPr>
            </w:pPr>
          </w:p>
        </w:tc>
        <w:tc>
          <w:tcPr>
            <w:tcW w:w="1638" w:type="dxa"/>
            <w:gridSpan w:val="2"/>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财务总监姓名</w:t>
            </w:r>
          </w:p>
        </w:tc>
        <w:tc>
          <w:tcPr>
            <w:tcW w:w="6010" w:type="dxa"/>
            <w:gridSpan w:val="6"/>
            <w:vAlign w:val="center"/>
          </w:tcPr>
          <w:p>
            <w:pPr>
              <w:adjustRightInd w:val="0"/>
              <w:snapToGrid w:val="0"/>
              <w:spacing w:line="400" w:lineRule="exact"/>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38" w:type="dxa"/>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开户银行</w:t>
            </w:r>
          </w:p>
        </w:tc>
        <w:tc>
          <w:tcPr>
            <w:tcW w:w="7648" w:type="dxa"/>
            <w:gridSpan w:val="8"/>
            <w:vAlign w:val="center"/>
          </w:tcPr>
          <w:p>
            <w:pPr>
              <w:adjustRightInd w:val="0"/>
              <w:snapToGrid w:val="0"/>
              <w:spacing w:line="400" w:lineRule="exact"/>
              <w:jc w:val="center"/>
              <w:rPr>
                <w:rFonts w:hint="eastAsia" w:ascii="仿宋" w:hAnsi="仿宋" w:eastAsia="仿宋" w:cs="仿宋"/>
                <w:szCs w:val="21"/>
                <w:highlight w:val="none"/>
              </w:rPr>
            </w:pPr>
            <w:r>
              <w:rPr>
                <w:rFonts w:hint="eastAsia" w:ascii="仿宋" w:hAnsi="仿宋" w:eastAsia="仿宋" w:cs="仿宋"/>
                <w:bCs/>
                <w:szCs w:val="21"/>
                <w:highlight w:val="none"/>
              </w:rPr>
              <w:t>银行账号、开户行名称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286" w:type="dxa"/>
            <w:gridSpan w:val="9"/>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下属分公司或子公司简况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002" w:type="dxa"/>
            <w:gridSpan w:val="2"/>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子公司名称</w:t>
            </w:r>
          </w:p>
        </w:tc>
        <w:tc>
          <w:tcPr>
            <w:tcW w:w="2002" w:type="dxa"/>
            <w:gridSpan w:val="2"/>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注册地址</w:t>
            </w:r>
          </w:p>
        </w:tc>
        <w:tc>
          <w:tcPr>
            <w:tcW w:w="2002" w:type="dxa"/>
            <w:gridSpan w:val="2"/>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联络方式</w:t>
            </w:r>
          </w:p>
        </w:tc>
        <w:tc>
          <w:tcPr>
            <w:tcW w:w="1456" w:type="dxa"/>
            <w:gridSpan w:val="2"/>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公司法人</w:t>
            </w:r>
          </w:p>
        </w:tc>
        <w:tc>
          <w:tcPr>
            <w:tcW w:w="1824" w:type="dxa"/>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002" w:type="dxa"/>
            <w:gridSpan w:val="2"/>
            <w:vAlign w:val="center"/>
          </w:tcPr>
          <w:p>
            <w:pPr>
              <w:adjustRightInd w:val="0"/>
              <w:snapToGrid w:val="0"/>
              <w:spacing w:line="400" w:lineRule="exact"/>
              <w:jc w:val="center"/>
              <w:rPr>
                <w:rFonts w:hint="eastAsia" w:ascii="仿宋" w:hAnsi="仿宋" w:eastAsia="仿宋" w:cs="仿宋"/>
                <w:szCs w:val="21"/>
                <w:highlight w:val="none"/>
              </w:rPr>
            </w:pPr>
          </w:p>
        </w:tc>
        <w:tc>
          <w:tcPr>
            <w:tcW w:w="2002" w:type="dxa"/>
            <w:gridSpan w:val="2"/>
            <w:vAlign w:val="center"/>
          </w:tcPr>
          <w:p>
            <w:pPr>
              <w:adjustRightInd w:val="0"/>
              <w:snapToGrid w:val="0"/>
              <w:spacing w:line="400" w:lineRule="exact"/>
              <w:jc w:val="center"/>
              <w:rPr>
                <w:rFonts w:hint="eastAsia" w:ascii="仿宋" w:hAnsi="仿宋" w:eastAsia="仿宋" w:cs="仿宋"/>
                <w:szCs w:val="21"/>
                <w:highlight w:val="none"/>
              </w:rPr>
            </w:pPr>
          </w:p>
        </w:tc>
        <w:tc>
          <w:tcPr>
            <w:tcW w:w="2002" w:type="dxa"/>
            <w:gridSpan w:val="2"/>
            <w:vAlign w:val="center"/>
          </w:tcPr>
          <w:p>
            <w:pPr>
              <w:adjustRightInd w:val="0"/>
              <w:snapToGrid w:val="0"/>
              <w:spacing w:line="400" w:lineRule="exact"/>
              <w:jc w:val="center"/>
              <w:rPr>
                <w:rFonts w:hint="eastAsia" w:ascii="仿宋" w:hAnsi="仿宋" w:eastAsia="仿宋" w:cs="仿宋"/>
                <w:szCs w:val="21"/>
                <w:highlight w:val="none"/>
              </w:rPr>
            </w:pPr>
          </w:p>
        </w:tc>
        <w:tc>
          <w:tcPr>
            <w:tcW w:w="1456" w:type="dxa"/>
            <w:gridSpan w:val="2"/>
            <w:vAlign w:val="center"/>
          </w:tcPr>
          <w:p>
            <w:pPr>
              <w:adjustRightInd w:val="0"/>
              <w:snapToGrid w:val="0"/>
              <w:spacing w:line="400" w:lineRule="exact"/>
              <w:jc w:val="center"/>
              <w:rPr>
                <w:rFonts w:hint="eastAsia" w:ascii="仿宋" w:hAnsi="仿宋" w:eastAsia="仿宋" w:cs="仿宋"/>
                <w:szCs w:val="21"/>
                <w:highlight w:val="none"/>
              </w:rPr>
            </w:pPr>
          </w:p>
        </w:tc>
        <w:tc>
          <w:tcPr>
            <w:tcW w:w="1824" w:type="dxa"/>
            <w:vAlign w:val="center"/>
          </w:tcPr>
          <w:p>
            <w:pPr>
              <w:adjustRightInd w:val="0"/>
              <w:snapToGrid w:val="0"/>
              <w:spacing w:line="400" w:lineRule="exact"/>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002" w:type="dxa"/>
            <w:gridSpan w:val="2"/>
            <w:vAlign w:val="center"/>
          </w:tcPr>
          <w:p>
            <w:pPr>
              <w:adjustRightInd w:val="0"/>
              <w:snapToGrid w:val="0"/>
              <w:spacing w:line="400" w:lineRule="exact"/>
              <w:jc w:val="center"/>
              <w:rPr>
                <w:rFonts w:hint="eastAsia" w:ascii="仿宋" w:hAnsi="仿宋" w:eastAsia="仿宋" w:cs="仿宋"/>
                <w:szCs w:val="21"/>
                <w:highlight w:val="none"/>
              </w:rPr>
            </w:pPr>
          </w:p>
        </w:tc>
        <w:tc>
          <w:tcPr>
            <w:tcW w:w="2002" w:type="dxa"/>
            <w:gridSpan w:val="2"/>
            <w:vAlign w:val="center"/>
          </w:tcPr>
          <w:p>
            <w:pPr>
              <w:adjustRightInd w:val="0"/>
              <w:snapToGrid w:val="0"/>
              <w:spacing w:line="400" w:lineRule="exact"/>
              <w:jc w:val="center"/>
              <w:rPr>
                <w:rFonts w:hint="eastAsia" w:ascii="仿宋" w:hAnsi="仿宋" w:eastAsia="仿宋" w:cs="仿宋"/>
                <w:szCs w:val="21"/>
                <w:highlight w:val="none"/>
              </w:rPr>
            </w:pPr>
          </w:p>
        </w:tc>
        <w:tc>
          <w:tcPr>
            <w:tcW w:w="2002" w:type="dxa"/>
            <w:gridSpan w:val="2"/>
            <w:vAlign w:val="center"/>
          </w:tcPr>
          <w:p>
            <w:pPr>
              <w:adjustRightInd w:val="0"/>
              <w:snapToGrid w:val="0"/>
              <w:spacing w:line="400" w:lineRule="exact"/>
              <w:jc w:val="center"/>
              <w:rPr>
                <w:rFonts w:hint="eastAsia" w:ascii="仿宋" w:hAnsi="仿宋" w:eastAsia="仿宋" w:cs="仿宋"/>
                <w:szCs w:val="21"/>
                <w:highlight w:val="none"/>
              </w:rPr>
            </w:pPr>
          </w:p>
        </w:tc>
        <w:tc>
          <w:tcPr>
            <w:tcW w:w="1456" w:type="dxa"/>
            <w:gridSpan w:val="2"/>
            <w:vAlign w:val="center"/>
          </w:tcPr>
          <w:p>
            <w:pPr>
              <w:adjustRightInd w:val="0"/>
              <w:snapToGrid w:val="0"/>
              <w:spacing w:line="400" w:lineRule="exact"/>
              <w:jc w:val="center"/>
              <w:rPr>
                <w:rFonts w:hint="eastAsia" w:ascii="仿宋" w:hAnsi="仿宋" w:eastAsia="仿宋" w:cs="仿宋"/>
                <w:szCs w:val="21"/>
                <w:highlight w:val="none"/>
              </w:rPr>
            </w:pPr>
          </w:p>
        </w:tc>
        <w:tc>
          <w:tcPr>
            <w:tcW w:w="1824" w:type="dxa"/>
            <w:vAlign w:val="center"/>
          </w:tcPr>
          <w:p>
            <w:pPr>
              <w:adjustRightInd w:val="0"/>
              <w:snapToGrid w:val="0"/>
              <w:spacing w:line="400" w:lineRule="exact"/>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286" w:type="dxa"/>
            <w:gridSpan w:val="9"/>
            <w:vAlign w:val="center"/>
          </w:tcPr>
          <w:p>
            <w:pPr>
              <w:adjustRightInd w:val="0"/>
              <w:snapToGrid w:val="0"/>
              <w:spacing w:line="400" w:lineRule="exact"/>
              <w:jc w:val="center"/>
              <w:rPr>
                <w:rFonts w:hint="eastAsia" w:ascii="仿宋" w:hAnsi="仿宋" w:eastAsia="仿宋" w:cs="仿宋"/>
                <w:szCs w:val="21"/>
                <w:highlight w:val="none"/>
              </w:rPr>
            </w:pPr>
            <w:r>
              <w:rPr>
                <w:rFonts w:hint="eastAsia" w:ascii="仿宋" w:hAnsi="仿宋" w:eastAsia="仿宋" w:cs="仿宋"/>
                <w:szCs w:val="21"/>
                <w:highlight w:val="none"/>
              </w:rPr>
              <w:t>离招标人最近的售后服务机构（后附服务机构证明材料）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002" w:type="dxa"/>
            <w:gridSpan w:val="2"/>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机构名称</w:t>
            </w:r>
          </w:p>
        </w:tc>
        <w:tc>
          <w:tcPr>
            <w:tcW w:w="2002" w:type="dxa"/>
            <w:gridSpan w:val="2"/>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注册地址</w:t>
            </w:r>
          </w:p>
        </w:tc>
        <w:tc>
          <w:tcPr>
            <w:tcW w:w="2002" w:type="dxa"/>
            <w:gridSpan w:val="2"/>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联系人</w:t>
            </w:r>
          </w:p>
        </w:tc>
        <w:tc>
          <w:tcPr>
            <w:tcW w:w="1456" w:type="dxa"/>
            <w:gridSpan w:val="2"/>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联络方式</w:t>
            </w:r>
          </w:p>
        </w:tc>
        <w:tc>
          <w:tcPr>
            <w:tcW w:w="1824" w:type="dxa"/>
            <w:vAlign w:val="center"/>
          </w:tcPr>
          <w:p>
            <w:pPr>
              <w:adjustRightInd w:val="0"/>
              <w:snapToGrid w:val="0"/>
              <w:spacing w:line="400" w:lineRule="exact"/>
              <w:jc w:val="center"/>
              <w:rPr>
                <w:rFonts w:hint="eastAsia" w:ascii="仿宋" w:hAnsi="仿宋" w:eastAsia="仿宋" w:cs="仿宋"/>
                <w:bCs/>
                <w:szCs w:val="21"/>
                <w:highlight w:val="none"/>
              </w:rPr>
            </w:pPr>
            <w:r>
              <w:rPr>
                <w:rFonts w:hint="eastAsia" w:ascii="仿宋" w:hAnsi="仿宋" w:eastAsia="仿宋" w:cs="仿宋"/>
                <w:bCs/>
                <w:szCs w:val="21"/>
                <w:highlight w:val="none"/>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002" w:type="dxa"/>
            <w:gridSpan w:val="2"/>
            <w:vAlign w:val="center"/>
          </w:tcPr>
          <w:p>
            <w:pPr>
              <w:adjustRightInd w:val="0"/>
              <w:snapToGrid w:val="0"/>
              <w:spacing w:line="400" w:lineRule="exact"/>
              <w:jc w:val="center"/>
              <w:rPr>
                <w:rFonts w:hint="eastAsia" w:ascii="仿宋" w:hAnsi="仿宋" w:eastAsia="仿宋" w:cs="仿宋"/>
                <w:szCs w:val="21"/>
                <w:highlight w:val="none"/>
              </w:rPr>
            </w:pPr>
          </w:p>
        </w:tc>
        <w:tc>
          <w:tcPr>
            <w:tcW w:w="2002" w:type="dxa"/>
            <w:gridSpan w:val="2"/>
            <w:vAlign w:val="center"/>
          </w:tcPr>
          <w:p>
            <w:pPr>
              <w:adjustRightInd w:val="0"/>
              <w:snapToGrid w:val="0"/>
              <w:spacing w:line="400" w:lineRule="exact"/>
              <w:jc w:val="center"/>
              <w:rPr>
                <w:rFonts w:hint="eastAsia" w:ascii="仿宋" w:hAnsi="仿宋" w:eastAsia="仿宋" w:cs="仿宋"/>
                <w:szCs w:val="21"/>
                <w:highlight w:val="none"/>
              </w:rPr>
            </w:pPr>
          </w:p>
        </w:tc>
        <w:tc>
          <w:tcPr>
            <w:tcW w:w="2002" w:type="dxa"/>
            <w:gridSpan w:val="2"/>
            <w:vAlign w:val="center"/>
          </w:tcPr>
          <w:p>
            <w:pPr>
              <w:adjustRightInd w:val="0"/>
              <w:snapToGrid w:val="0"/>
              <w:spacing w:line="400" w:lineRule="exact"/>
              <w:jc w:val="center"/>
              <w:rPr>
                <w:rFonts w:hint="eastAsia" w:ascii="仿宋" w:hAnsi="仿宋" w:eastAsia="仿宋" w:cs="仿宋"/>
                <w:szCs w:val="21"/>
                <w:highlight w:val="none"/>
              </w:rPr>
            </w:pPr>
          </w:p>
        </w:tc>
        <w:tc>
          <w:tcPr>
            <w:tcW w:w="1456" w:type="dxa"/>
            <w:gridSpan w:val="2"/>
            <w:vAlign w:val="center"/>
          </w:tcPr>
          <w:p>
            <w:pPr>
              <w:adjustRightInd w:val="0"/>
              <w:snapToGrid w:val="0"/>
              <w:spacing w:line="400" w:lineRule="exact"/>
              <w:jc w:val="center"/>
              <w:rPr>
                <w:rFonts w:hint="eastAsia" w:ascii="仿宋" w:hAnsi="仿宋" w:eastAsia="仿宋" w:cs="仿宋"/>
                <w:szCs w:val="21"/>
                <w:highlight w:val="none"/>
              </w:rPr>
            </w:pPr>
          </w:p>
        </w:tc>
        <w:tc>
          <w:tcPr>
            <w:tcW w:w="1824" w:type="dxa"/>
            <w:vAlign w:val="center"/>
          </w:tcPr>
          <w:p>
            <w:pPr>
              <w:adjustRightInd w:val="0"/>
              <w:snapToGrid w:val="0"/>
              <w:spacing w:line="400" w:lineRule="exact"/>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002" w:type="dxa"/>
            <w:gridSpan w:val="2"/>
            <w:vAlign w:val="center"/>
          </w:tcPr>
          <w:p>
            <w:pPr>
              <w:adjustRightInd w:val="0"/>
              <w:snapToGrid w:val="0"/>
              <w:spacing w:line="400" w:lineRule="exact"/>
              <w:jc w:val="center"/>
              <w:rPr>
                <w:rFonts w:hint="eastAsia" w:ascii="仿宋" w:hAnsi="仿宋" w:eastAsia="仿宋" w:cs="仿宋"/>
                <w:szCs w:val="21"/>
                <w:highlight w:val="none"/>
              </w:rPr>
            </w:pPr>
          </w:p>
        </w:tc>
        <w:tc>
          <w:tcPr>
            <w:tcW w:w="2002" w:type="dxa"/>
            <w:gridSpan w:val="2"/>
            <w:vAlign w:val="center"/>
          </w:tcPr>
          <w:p>
            <w:pPr>
              <w:adjustRightInd w:val="0"/>
              <w:snapToGrid w:val="0"/>
              <w:spacing w:line="400" w:lineRule="exact"/>
              <w:jc w:val="center"/>
              <w:rPr>
                <w:rFonts w:hint="eastAsia" w:ascii="仿宋" w:hAnsi="仿宋" w:eastAsia="仿宋" w:cs="仿宋"/>
                <w:szCs w:val="21"/>
                <w:highlight w:val="none"/>
              </w:rPr>
            </w:pPr>
          </w:p>
        </w:tc>
        <w:tc>
          <w:tcPr>
            <w:tcW w:w="2002" w:type="dxa"/>
            <w:gridSpan w:val="2"/>
            <w:vAlign w:val="center"/>
          </w:tcPr>
          <w:p>
            <w:pPr>
              <w:adjustRightInd w:val="0"/>
              <w:snapToGrid w:val="0"/>
              <w:spacing w:line="400" w:lineRule="exact"/>
              <w:jc w:val="center"/>
              <w:rPr>
                <w:rFonts w:hint="eastAsia" w:ascii="仿宋" w:hAnsi="仿宋" w:eastAsia="仿宋" w:cs="仿宋"/>
                <w:szCs w:val="21"/>
                <w:highlight w:val="none"/>
              </w:rPr>
            </w:pPr>
          </w:p>
        </w:tc>
        <w:tc>
          <w:tcPr>
            <w:tcW w:w="1456" w:type="dxa"/>
            <w:gridSpan w:val="2"/>
            <w:vAlign w:val="center"/>
          </w:tcPr>
          <w:p>
            <w:pPr>
              <w:adjustRightInd w:val="0"/>
              <w:snapToGrid w:val="0"/>
              <w:spacing w:line="400" w:lineRule="exact"/>
              <w:jc w:val="center"/>
              <w:rPr>
                <w:rFonts w:hint="eastAsia" w:ascii="仿宋" w:hAnsi="仿宋" w:eastAsia="仿宋" w:cs="仿宋"/>
                <w:szCs w:val="21"/>
                <w:highlight w:val="none"/>
              </w:rPr>
            </w:pPr>
          </w:p>
        </w:tc>
        <w:tc>
          <w:tcPr>
            <w:tcW w:w="1824" w:type="dxa"/>
            <w:vAlign w:val="center"/>
          </w:tcPr>
          <w:p>
            <w:pPr>
              <w:adjustRightInd w:val="0"/>
              <w:snapToGrid w:val="0"/>
              <w:spacing w:line="400" w:lineRule="exact"/>
              <w:jc w:val="center"/>
              <w:rPr>
                <w:rFonts w:hint="eastAsia" w:ascii="仿宋" w:hAnsi="仿宋" w:eastAsia="仿宋" w:cs="仿宋"/>
                <w:szCs w:val="21"/>
                <w:highlight w:val="none"/>
              </w:rPr>
            </w:pPr>
          </w:p>
        </w:tc>
      </w:tr>
    </w:tbl>
    <w:p>
      <w:pPr>
        <w:rPr>
          <w:rFonts w:hint="eastAsia" w:ascii="仿宋" w:hAnsi="仿宋" w:eastAsia="仿宋" w:cs="仿宋"/>
          <w:highlight w:val="none"/>
        </w:rPr>
      </w:pPr>
      <w:r>
        <w:rPr>
          <w:rFonts w:hint="eastAsia" w:ascii="仿宋" w:hAnsi="仿宋" w:eastAsia="仿宋" w:cs="仿宋"/>
          <w:szCs w:val="21"/>
          <w:highlight w:val="none"/>
        </w:rPr>
        <w:t>注：供应商</w:t>
      </w:r>
      <w:r>
        <w:rPr>
          <w:rFonts w:hint="eastAsia" w:ascii="仿宋" w:hAnsi="仿宋" w:eastAsia="仿宋" w:cs="仿宋"/>
          <w:highlight w:val="none"/>
        </w:rPr>
        <w:t>所填写的内容必须真实、可靠，如有虚假或隐瞒，一经查实将导致投标被拒绝（本表格不能完全说明供应商情况的，可附相关文字说明）。</w:t>
      </w:r>
    </w:p>
    <w:p>
      <w:pPr>
        <w:pStyle w:val="5"/>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bookmarkStart w:id="75" w:name="_Toc471806001"/>
      <w:bookmarkStart w:id="76" w:name="_Toc15572"/>
      <w:r>
        <w:rPr>
          <w:rStyle w:val="210"/>
          <w:rFonts w:hint="eastAsia" w:ascii="仿宋" w:hAnsi="仿宋" w:eastAsia="仿宋" w:cs="仿宋"/>
          <w:b/>
          <w:highlight w:val="none"/>
        </w:rPr>
        <w:t>附件6 法定代表人身份证明书</w:t>
      </w:r>
      <w:bookmarkEnd w:id="75"/>
      <w:bookmarkEnd w:id="76"/>
    </w:p>
    <w:p>
      <w:pPr>
        <w:spacing w:before="100" w:beforeAutospacing="1" w:after="100" w:afterAutospacing="1"/>
        <w:jc w:val="center"/>
        <w:rPr>
          <w:rFonts w:hint="eastAsia" w:ascii="仿宋" w:hAnsi="仿宋" w:eastAsia="仿宋" w:cs="仿宋"/>
          <w:bCs/>
          <w:sz w:val="24"/>
          <w:highlight w:val="none"/>
        </w:rPr>
      </w:pPr>
      <w:r>
        <w:rPr>
          <w:rFonts w:hint="eastAsia" w:ascii="仿宋" w:hAnsi="仿宋" w:eastAsia="仿宋" w:cs="仿宋"/>
          <w:bCs/>
          <w:sz w:val="24"/>
          <w:highlight w:val="none"/>
        </w:rPr>
        <w:t>法定代表人身份证明书</w:t>
      </w:r>
    </w:p>
    <w:p>
      <w:pPr>
        <w:pStyle w:val="25"/>
        <w:spacing w:line="560" w:lineRule="exact"/>
        <w:ind w:firstLine="540" w:firstLineChars="225"/>
        <w:rPr>
          <w:rFonts w:hint="eastAsia" w:ascii="仿宋" w:hAnsi="仿宋" w:eastAsia="仿宋" w:cs="仿宋"/>
          <w:highlight w:val="none"/>
        </w:rPr>
      </w:pPr>
      <w:r>
        <w:rPr>
          <w:rFonts w:hint="eastAsia" w:ascii="仿宋" w:hAnsi="仿宋" w:eastAsia="仿宋" w:cs="仿宋"/>
          <w:highlight w:val="none"/>
        </w:rPr>
        <w:t>单位名称：</w:t>
      </w:r>
    </w:p>
    <w:p>
      <w:pPr>
        <w:pStyle w:val="25"/>
        <w:spacing w:line="560" w:lineRule="exact"/>
        <w:ind w:firstLine="540" w:firstLineChars="225"/>
        <w:rPr>
          <w:rFonts w:hint="eastAsia" w:ascii="仿宋" w:hAnsi="仿宋" w:eastAsia="仿宋" w:cs="仿宋"/>
          <w:highlight w:val="none"/>
        </w:rPr>
      </w:pPr>
      <w:r>
        <w:rPr>
          <w:rFonts w:hint="eastAsia" w:ascii="仿宋" w:hAnsi="仿宋" w:eastAsia="仿宋" w:cs="仿宋"/>
          <w:highlight w:val="none"/>
        </w:rPr>
        <w:t>联系地址：</w:t>
      </w:r>
    </w:p>
    <w:p>
      <w:pPr>
        <w:pStyle w:val="25"/>
        <w:spacing w:line="560" w:lineRule="exact"/>
        <w:ind w:firstLine="540" w:firstLineChars="225"/>
        <w:rPr>
          <w:rFonts w:hint="eastAsia" w:ascii="仿宋" w:hAnsi="仿宋" w:eastAsia="仿宋" w:cs="仿宋"/>
          <w:highlight w:val="none"/>
        </w:rPr>
      </w:pPr>
      <w:r>
        <w:rPr>
          <w:rFonts w:hint="eastAsia" w:ascii="仿宋" w:hAnsi="仿宋" w:eastAsia="仿宋" w:cs="仿宋"/>
          <w:highlight w:val="none"/>
        </w:rPr>
        <w:t>姓    名：         性别：         年龄：         职务：</w:t>
      </w:r>
    </w:p>
    <w:p>
      <w:pPr>
        <w:spacing w:line="560" w:lineRule="exact"/>
        <w:ind w:firstLine="540" w:firstLineChars="225"/>
        <w:rPr>
          <w:rFonts w:hint="eastAsia" w:ascii="仿宋" w:hAnsi="仿宋" w:eastAsia="仿宋" w:cs="仿宋"/>
          <w:sz w:val="24"/>
          <w:highlight w:val="none"/>
        </w:rPr>
      </w:pPr>
      <w:r>
        <w:rPr>
          <w:rFonts w:hint="eastAsia" w:ascii="仿宋" w:hAnsi="仿宋" w:eastAsia="仿宋" w:cs="仿宋"/>
          <w:sz w:val="24"/>
          <w:highlight w:val="none"/>
        </w:rPr>
        <w:t>上述人员系</w:t>
      </w:r>
      <w:r>
        <w:rPr>
          <w:rFonts w:hint="eastAsia" w:ascii="仿宋" w:hAnsi="仿宋" w:eastAsia="仿宋" w:cs="仿宋"/>
          <w:sz w:val="24"/>
          <w:highlight w:val="none"/>
          <w:u w:val="single"/>
        </w:rPr>
        <w:t xml:space="preserve">      &lt;供应商名称&gt;      </w:t>
      </w:r>
      <w:r>
        <w:rPr>
          <w:rFonts w:hint="eastAsia" w:ascii="仿宋" w:hAnsi="仿宋" w:eastAsia="仿宋" w:cs="仿宋"/>
          <w:sz w:val="24"/>
          <w:highlight w:val="none"/>
        </w:rPr>
        <w:t>的法定代表人，参加</w:t>
      </w:r>
      <w:r>
        <w:rPr>
          <w:rFonts w:hint="eastAsia" w:ascii="仿宋" w:hAnsi="仿宋" w:eastAsia="仿宋" w:cs="仿宋"/>
          <w:sz w:val="24"/>
          <w:highlight w:val="none"/>
          <w:lang w:eastAsia="zh-CN"/>
        </w:rPr>
        <w:t>甘肃新易信招标代理有限责任公司</w:t>
      </w:r>
      <w:r>
        <w:rPr>
          <w:rFonts w:hint="eastAsia" w:ascii="仿宋" w:hAnsi="仿宋" w:eastAsia="仿宋" w:cs="仿宋"/>
          <w:sz w:val="24"/>
          <w:highlight w:val="none"/>
        </w:rPr>
        <w:t>组织的</w:t>
      </w:r>
      <w:r>
        <w:rPr>
          <w:rFonts w:hint="eastAsia" w:ascii="仿宋" w:hAnsi="仿宋" w:eastAsia="仿宋" w:cs="仿宋"/>
          <w:sz w:val="24"/>
          <w:highlight w:val="none"/>
          <w:u w:val="single"/>
        </w:rPr>
        <w:t xml:space="preserve">       采购项目</w:t>
      </w:r>
      <w:r>
        <w:rPr>
          <w:rFonts w:hint="eastAsia" w:ascii="仿宋" w:hAnsi="仿宋" w:eastAsia="仿宋" w:cs="仿宋"/>
          <w:sz w:val="24"/>
          <w:highlight w:val="none"/>
        </w:rPr>
        <w:t>（项目编号：</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）的招标活动；签署上述招标活动过程中的一切文件和处理与之有关的一切事务。</w:t>
      </w:r>
    </w:p>
    <w:p>
      <w:pPr>
        <w:pStyle w:val="25"/>
        <w:spacing w:line="560" w:lineRule="exact"/>
        <w:ind w:firstLine="540" w:firstLineChars="225"/>
        <w:rPr>
          <w:rFonts w:hint="eastAsia" w:ascii="仿宋" w:hAnsi="仿宋" w:eastAsia="仿宋" w:cs="仿宋"/>
          <w:highlight w:val="none"/>
        </w:rPr>
      </w:pPr>
      <w:r>
        <w:rPr>
          <w:rFonts w:hint="eastAsia" w:ascii="仿宋" w:hAnsi="仿宋" w:eastAsia="仿宋" w:cs="仿宋"/>
          <w:highlight w:val="none"/>
        </w:rPr>
        <w:t>特此证明。</w:t>
      </w:r>
    </w:p>
    <w:p>
      <w:pPr>
        <w:pStyle w:val="25"/>
        <w:spacing w:line="560" w:lineRule="exact"/>
        <w:ind w:firstLine="540" w:firstLineChars="225"/>
        <w:rPr>
          <w:rFonts w:hint="eastAsia" w:ascii="仿宋" w:hAnsi="仿宋" w:eastAsia="仿宋" w:cs="仿宋"/>
          <w:highlight w:val="none"/>
        </w:rPr>
      </w:pPr>
    </w:p>
    <w:p>
      <w:pPr>
        <w:pStyle w:val="25"/>
        <w:spacing w:line="560" w:lineRule="exact"/>
        <w:ind w:firstLine="540" w:firstLineChars="225"/>
        <w:rPr>
          <w:rFonts w:hint="eastAsia" w:ascii="仿宋" w:hAnsi="仿宋" w:eastAsia="仿宋" w:cs="仿宋"/>
          <w:highlight w:val="none"/>
        </w:rPr>
      </w:pPr>
    </w:p>
    <w:p>
      <w:pPr>
        <w:spacing w:line="560" w:lineRule="exact"/>
        <w:jc w:val="center"/>
        <w:rPr>
          <w:rFonts w:hint="eastAsia" w:ascii="仿宋" w:hAnsi="仿宋" w:eastAsia="仿宋" w:cs="仿宋"/>
          <w:sz w:val="24"/>
          <w:highlight w:val="none"/>
        </w:rPr>
      </w:pPr>
      <w:r>
        <w:rPr>
          <w:rFonts w:hint="eastAsia" w:ascii="仿宋" w:hAnsi="仿宋" w:eastAsia="仿宋" w:cs="仿宋"/>
          <w:sz w:val="24"/>
          <w:highlight w:val="none"/>
        </w:rPr>
        <w:t>（此处附贴法定代表人身份证复印件）</w:t>
      </w:r>
    </w:p>
    <w:p>
      <w:pPr>
        <w:pStyle w:val="25"/>
        <w:spacing w:line="560" w:lineRule="exact"/>
        <w:ind w:firstLine="540" w:firstLineChars="225"/>
        <w:rPr>
          <w:rFonts w:hint="eastAsia" w:ascii="仿宋" w:hAnsi="仿宋" w:eastAsia="仿宋" w:cs="仿宋"/>
          <w:highlight w:val="none"/>
        </w:rPr>
      </w:pPr>
    </w:p>
    <w:p>
      <w:pPr>
        <w:pStyle w:val="25"/>
        <w:spacing w:line="560" w:lineRule="exact"/>
        <w:ind w:firstLine="540" w:firstLineChars="225"/>
        <w:rPr>
          <w:rFonts w:hint="eastAsia" w:ascii="仿宋" w:hAnsi="仿宋" w:eastAsia="仿宋" w:cs="仿宋"/>
          <w:highlight w:val="none"/>
        </w:rPr>
      </w:pPr>
    </w:p>
    <w:p>
      <w:pPr>
        <w:spacing w:line="560" w:lineRule="exact"/>
        <w:rPr>
          <w:rFonts w:hint="eastAsia" w:ascii="仿宋" w:hAnsi="仿宋" w:eastAsia="仿宋" w:cs="仿宋"/>
          <w:sz w:val="24"/>
          <w:highlight w:val="none"/>
          <w:u w:val="single"/>
        </w:rPr>
      </w:pPr>
      <w:r>
        <w:rPr>
          <w:rFonts w:hint="eastAsia" w:ascii="仿宋" w:hAnsi="仿宋" w:eastAsia="仿宋" w:cs="仿宋"/>
          <w:sz w:val="24"/>
          <w:highlight w:val="none"/>
        </w:rPr>
        <w:t>供应商名称（并加盖公章）：</w:t>
      </w:r>
      <w:r>
        <w:rPr>
          <w:rFonts w:hint="eastAsia" w:ascii="仿宋" w:hAnsi="仿宋" w:eastAsia="仿宋" w:cs="仿宋"/>
          <w:sz w:val="24"/>
          <w:highlight w:val="none"/>
          <w:u w:val="single"/>
        </w:rPr>
        <w:t xml:space="preserve">                             </w:t>
      </w:r>
    </w:p>
    <w:p>
      <w:pPr>
        <w:spacing w:line="560" w:lineRule="exact"/>
        <w:rPr>
          <w:rFonts w:hint="eastAsia" w:ascii="仿宋" w:hAnsi="仿宋" w:eastAsia="仿宋" w:cs="仿宋"/>
          <w:sz w:val="24"/>
          <w:highlight w:val="none"/>
        </w:rPr>
      </w:pPr>
      <w:bookmarkStart w:id="77" w:name="_4.6__"/>
      <w:bookmarkEnd w:id="77"/>
      <w:r>
        <w:rPr>
          <w:rFonts w:hint="eastAsia" w:ascii="仿宋" w:hAnsi="仿宋" w:eastAsia="仿宋" w:cs="仿宋"/>
          <w:sz w:val="24"/>
          <w:highlight w:val="none"/>
        </w:rPr>
        <w:t>日 期：      年  月  日</w:t>
      </w:r>
    </w:p>
    <w:p>
      <w:pPr>
        <w:spacing w:line="560" w:lineRule="exact"/>
        <w:rPr>
          <w:rFonts w:hint="eastAsia" w:ascii="仿宋" w:hAnsi="仿宋" w:eastAsia="仿宋" w:cs="仿宋"/>
          <w:sz w:val="24"/>
          <w:highlight w:val="none"/>
        </w:rPr>
      </w:pPr>
    </w:p>
    <w:p>
      <w:pPr>
        <w:spacing w:line="560" w:lineRule="exact"/>
        <w:rPr>
          <w:rFonts w:hint="eastAsia" w:ascii="仿宋" w:hAnsi="仿宋" w:eastAsia="仿宋" w:cs="仿宋"/>
          <w:sz w:val="24"/>
          <w:highlight w:val="none"/>
        </w:rPr>
      </w:pPr>
    </w:p>
    <w:p>
      <w:pPr>
        <w:spacing w:line="560" w:lineRule="exact"/>
        <w:rPr>
          <w:rFonts w:hint="eastAsia" w:ascii="仿宋" w:hAnsi="仿宋" w:eastAsia="仿宋" w:cs="仿宋"/>
          <w:sz w:val="24"/>
          <w:highlight w:val="none"/>
        </w:rPr>
      </w:pPr>
    </w:p>
    <w:p>
      <w:pPr>
        <w:spacing w:line="560" w:lineRule="exact"/>
        <w:rPr>
          <w:rFonts w:hint="eastAsia" w:ascii="仿宋" w:hAnsi="仿宋" w:eastAsia="仿宋" w:cs="仿宋"/>
          <w:sz w:val="24"/>
          <w:highlight w:val="none"/>
        </w:rPr>
      </w:pPr>
    </w:p>
    <w:p>
      <w:pPr>
        <w:spacing w:line="360" w:lineRule="auto"/>
        <w:rPr>
          <w:rFonts w:hint="eastAsia" w:ascii="仿宋" w:hAnsi="仿宋" w:eastAsia="仿宋" w:cs="仿宋"/>
          <w:kern w:val="12"/>
          <w:sz w:val="24"/>
          <w:highlight w:val="none"/>
        </w:rPr>
      </w:pPr>
      <w:r>
        <w:rPr>
          <w:rFonts w:hint="eastAsia" w:ascii="仿宋" w:hAnsi="仿宋" w:eastAsia="仿宋" w:cs="仿宋"/>
          <w:kern w:val="12"/>
          <w:sz w:val="24"/>
          <w:highlight w:val="none"/>
        </w:rPr>
        <w:t>特别说明：</w:t>
      </w:r>
    </w:p>
    <w:p>
      <w:pPr>
        <w:spacing w:line="360" w:lineRule="auto"/>
        <w:rPr>
          <w:rFonts w:hint="eastAsia" w:ascii="仿宋" w:hAnsi="仿宋" w:eastAsia="仿宋" w:cs="仿宋"/>
          <w:kern w:val="12"/>
          <w:sz w:val="24"/>
          <w:highlight w:val="none"/>
        </w:rPr>
      </w:pPr>
      <w:r>
        <w:rPr>
          <w:rFonts w:hint="eastAsia" w:ascii="仿宋" w:hAnsi="仿宋" w:eastAsia="仿宋" w:cs="仿宋"/>
          <w:kern w:val="12"/>
          <w:sz w:val="24"/>
          <w:highlight w:val="none"/>
        </w:rPr>
        <w:t>1.法定代表人参加本项目投标的，须出具此证明书。</w:t>
      </w:r>
    </w:p>
    <w:p>
      <w:pPr>
        <w:spacing w:line="360" w:lineRule="auto"/>
        <w:rPr>
          <w:rFonts w:hint="eastAsia" w:ascii="仿宋" w:hAnsi="仿宋" w:eastAsia="仿宋" w:cs="仿宋"/>
          <w:sz w:val="24"/>
          <w:highlight w:val="none"/>
        </w:rPr>
      </w:pPr>
      <w:r>
        <w:rPr>
          <w:rFonts w:hint="eastAsia" w:ascii="仿宋" w:hAnsi="仿宋" w:eastAsia="仿宋" w:cs="仿宋"/>
          <w:kern w:val="12"/>
          <w:sz w:val="24"/>
          <w:highlight w:val="none"/>
        </w:rPr>
        <w:t>2.法定代表人证明书须加盖供应商公章，否则评标委员会拒绝其投标。</w:t>
      </w:r>
    </w:p>
    <w:p>
      <w:pPr>
        <w:pStyle w:val="5"/>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bookmarkStart w:id="78" w:name="_Toc6459"/>
      <w:bookmarkStart w:id="79" w:name="_Toc471806002"/>
      <w:r>
        <w:rPr>
          <w:rStyle w:val="210"/>
          <w:rFonts w:hint="eastAsia" w:ascii="仿宋" w:hAnsi="仿宋" w:eastAsia="仿宋" w:cs="仿宋"/>
          <w:b/>
          <w:highlight w:val="none"/>
        </w:rPr>
        <w:t>附件7 法定代表人授权委托书</w:t>
      </w:r>
      <w:bookmarkEnd w:id="78"/>
      <w:bookmarkEnd w:id="79"/>
    </w:p>
    <w:p>
      <w:pPr>
        <w:spacing w:before="100" w:beforeAutospacing="1" w:after="100" w:afterAutospacing="1"/>
        <w:jc w:val="center"/>
        <w:rPr>
          <w:rFonts w:hint="eastAsia" w:ascii="仿宋" w:hAnsi="仿宋" w:eastAsia="仿宋" w:cs="仿宋"/>
          <w:bCs/>
          <w:sz w:val="24"/>
          <w:highlight w:val="none"/>
        </w:rPr>
      </w:pPr>
      <w:r>
        <w:rPr>
          <w:rFonts w:hint="eastAsia" w:ascii="仿宋" w:hAnsi="仿宋" w:eastAsia="仿宋" w:cs="仿宋"/>
          <w:bCs/>
          <w:sz w:val="24"/>
          <w:highlight w:val="none"/>
        </w:rPr>
        <w:t>法定代表人授权委托书</w:t>
      </w:r>
    </w:p>
    <w:p>
      <w:pPr>
        <w:spacing w:line="360" w:lineRule="auto"/>
        <w:ind w:firstLine="600" w:firstLineChars="250"/>
        <w:rPr>
          <w:rFonts w:hint="eastAsia" w:ascii="仿宋" w:hAnsi="仿宋" w:eastAsia="仿宋" w:cs="仿宋"/>
          <w:sz w:val="24"/>
          <w:highlight w:val="none"/>
        </w:rPr>
      </w:pPr>
      <w:r>
        <w:rPr>
          <w:rFonts w:hint="eastAsia" w:ascii="仿宋" w:hAnsi="仿宋" w:eastAsia="仿宋" w:cs="仿宋"/>
          <w:sz w:val="24"/>
          <w:highlight w:val="none"/>
        </w:rPr>
        <w:t>本授权委托书声明：我</w:t>
      </w:r>
      <w:r>
        <w:rPr>
          <w:rFonts w:hint="eastAsia" w:ascii="仿宋" w:hAnsi="仿宋" w:eastAsia="仿宋" w:cs="仿宋"/>
          <w:sz w:val="24"/>
          <w:highlight w:val="none"/>
          <w:u w:val="single"/>
        </w:rPr>
        <w:t xml:space="preserve">   （姓名）  </w:t>
      </w:r>
      <w:r>
        <w:rPr>
          <w:rFonts w:hint="eastAsia" w:ascii="仿宋" w:hAnsi="仿宋" w:eastAsia="仿宋" w:cs="仿宋"/>
          <w:sz w:val="24"/>
          <w:highlight w:val="none"/>
        </w:rPr>
        <w:t>系</w:t>
      </w:r>
      <w:r>
        <w:rPr>
          <w:rFonts w:hint="eastAsia" w:ascii="仿宋" w:hAnsi="仿宋" w:eastAsia="仿宋" w:cs="仿宋"/>
          <w:sz w:val="24"/>
          <w:highlight w:val="none"/>
          <w:u w:val="single"/>
        </w:rPr>
        <w:t xml:space="preserve">  （供应商名称）  </w:t>
      </w:r>
      <w:r>
        <w:rPr>
          <w:rFonts w:hint="eastAsia" w:ascii="仿宋" w:hAnsi="仿宋" w:eastAsia="仿宋" w:cs="仿宋"/>
          <w:sz w:val="24"/>
          <w:highlight w:val="none"/>
        </w:rPr>
        <w:t>法定代表人，现授权委托</w:t>
      </w:r>
      <w:r>
        <w:rPr>
          <w:rFonts w:hint="eastAsia" w:ascii="仿宋" w:hAnsi="仿宋" w:eastAsia="仿宋" w:cs="仿宋"/>
          <w:sz w:val="24"/>
          <w:highlight w:val="none"/>
          <w:u w:val="single"/>
        </w:rPr>
        <w:t>（姓名、职务或职称）</w:t>
      </w:r>
      <w:r>
        <w:rPr>
          <w:rFonts w:hint="eastAsia" w:ascii="仿宋" w:hAnsi="仿宋" w:eastAsia="仿宋" w:cs="仿宋"/>
          <w:sz w:val="24"/>
          <w:highlight w:val="none"/>
        </w:rPr>
        <w:t>为我单位本次项目的授权代表，以本单位的名义参加×××（采购代理机构名称）组织的招标活动。授权代表在参加</w:t>
      </w:r>
      <w:r>
        <w:rPr>
          <w:rFonts w:hint="eastAsia" w:ascii="仿宋" w:hAnsi="仿宋" w:eastAsia="仿宋" w:cs="仿宋"/>
          <w:sz w:val="24"/>
          <w:highlight w:val="none"/>
          <w:lang w:eastAsia="zh-CN"/>
        </w:rPr>
        <w:t>甘肃新易信招标代理有限责任公司</w:t>
      </w:r>
      <w:r>
        <w:rPr>
          <w:rFonts w:hint="eastAsia" w:ascii="仿宋" w:hAnsi="仿宋" w:eastAsia="仿宋" w:cs="仿宋"/>
          <w:sz w:val="24"/>
          <w:highlight w:val="none"/>
        </w:rPr>
        <w:t>组织的</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（项目编号：</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）招标活动过程中所签署的一切文件和处理与之有关的一切事务，我均予以承认，本授权委托书一经发出，人员不得变更。</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授权代表无权转让委托权。特此委托。</w:t>
      </w:r>
    </w:p>
    <w:p>
      <w:pPr>
        <w:spacing w:line="360" w:lineRule="auto"/>
        <w:jc w:val="center"/>
        <w:rPr>
          <w:rFonts w:hint="eastAsia" w:ascii="仿宋" w:hAnsi="仿宋" w:eastAsia="仿宋" w:cs="仿宋"/>
          <w:sz w:val="24"/>
          <w:highlight w:val="none"/>
        </w:rPr>
      </w:pPr>
    </w:p>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（此处附贴法人代表及被授权人身份证正反面复印件）</w:t>
      </w:r>
    </w:p>
    <w:p>
      <w:pPr>
        <w:spacing w:line="360" w:lineRule="auto"/>
        <w:jc w:val="center"/>
        <w:rPr>
          <w:rFonts w:hint="eastAsia" w:ascii="仿宋" w:hAnsi="仿宋" w:eastAsia="仿宋" w:cs="仿宋"/>
          <w:sz w:val="24"/>
          <w:highlight w:val="none"/>
        </w:rPr>
      </w:pPr>
    </w:p>
    <w:p>
      <w:pPr>
        <w:spacing w:line="360" w:lineRule="auto"/>
        <w:jc w:val="center"/>
        <w:rPr>
          <w:rFonts w:hint="eastAsia" w:ascii="仿宋" w:hAnsi="仿宋" w:eastAsia="仿宋" w:cs="仿宋"/>
          <w:sz w:val="24"/>
          <w:highlight w:val="none"/>
        </w:rPr>
      </w:pP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法人代表姓名：            身份证号码：</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全权代表姓名：            身份证号码：</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性  别：                  年 龄：</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单  位：                  部 门：           职 务：</w:t>
      </w:r>
    </w:p>
    <w:p>
      <w:pPr>
        <w:spacing w:line="360" w:lineRule="auto"/>
        <w:rPr>
          <w:rFonts w:hint="eastAsia" w:ascii="仿宋" w:hAnsi="仿宋" w:eastAsia="仿宋" w:cs="仿宋"/>
          <w:sz w:val="24"/>
          <w:highlight w:val="none"/>
        </w:rPr>
      </w:pPr>
    </w:p>
    <w:p>
      <w:pPr>
        <w:spacing w:line="360" w:lineRule="auto"/>
        <w:rPr>
          <w:rFonts w:hint="eastAsia" w:ascii="仿宋" w:hAnsi="仿宋" w:eastAsia="仿宋" w:cs="仿宋"/>
          <w:sz w:val="24"/>
          <w:highlight w:val="none"/>
        </w:rPr>
      </w:pP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供应商全称：（加盖公章）</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供应商法定代表人：（签字或印章）</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日 期：      年  月  日</w:t>
      </w:r>
    </w:p>
    <w:p>
      <w:pPr>
        <w:spacing w:line="360" w:lineRule="auto"/>
        <w:rPr>
          <w:rFonts w:hint="eastAsia" w:ascii="仿宋" w:hAnsi="仿宋" w:eastAsia="仿宋" w:cs="仿宋"/>
          <w:kern w:val="12"/>
          <w:sz w:val="24"/>
          <w:highlight w:val="none"/>
        </w:rPr>
      </w:pPr>
      <w:r>
        <w:rPr>
          <w:rFonts w:hint="eastAsia" w:ascii="仿宋" w:hAnsi="仿宋" w:eastAsia="仿宋" w:cs="仿宋"/>
          <w:kern w:val="12"/>
          <w:sz w:val="24"/>
          <w:highlight w:val="none"/>
        </w:rPr>
        <w:t>特别说明：</w:t>
      </w:r>
    </w:p>
    <w:p>
      <w:pPr>
        <w:spacing w:line="460" w:lineRule="exact"/>
        <w:rPr>
          <w:rFonts w:hint="eastAsia" w:ascii="仿宋" w:hAnsi="仿宋" w:eastAsia="仿宋" w:cs="仿宋"/>
          <w:kern w:val="12"/>
          <w:sz w:val="24"/>
          <w:highlight w:val="none"/>
        </w:rPr>
      </w:pPr>
      <w:r>
        <w:rPr>
          <w:rFonts w:hint="eastAsia" w:ascii="仿宋" w:hAnsi="仿宋" w:eastAsia="仿宋" w:cs="仿宋"/>
          <w:kern w:val="12"/>
          <w:sz w:val="24"/>
          <w:highlight w:val="none"/>
        </w:rPr>
        <w:t>1.授权委托人参加本项目投标的，须出具此授权委托书。</w:t>
      </w:r>
    </w:p>
    <w:p>
      <w:pPr>
        <w:spacing w:line="460" w:lineRule="exact"/>
        <w:rPr>
          <w:rFonts w:hint="eastAsia" w:ascii="仿宋" w:hAnsi="仿宋" w:eastAsia="仿宋" w:cs="仿宋"/>
          <w:kern w:val="12"/>
          <w:sz w:val="24"/>
          <w:highlight w:val="none"/>
        </w:rPr>
      </w:pPr>
      <w:r>
        <w:rPr>
          <w:rFonts w:hint="eastAsia" w:ascii="仿宋" w:hAnsi="仿宋" w:eastAsia="仿宋" w:cs="仿宋"/>
          <w:kern w:val="12"/>
          <w:sz w:val="24"/>
          <w:highlight w:val="none"/>
        </w:rPr>
        <w:t>2.法定代表人必须签字或印章，并加盖供应商公章，否则评标委员会拒绝其投标。</w:t>
      </w:r>
    </w:p>
    <w:p>
      <w:pPr>
        <w:spacing w:line="460" w:lineRule="exact"/>
        <w:rPr>
          <w:rFonts w:hint="eastAsia" w:ascii="仿宋" w:hAnsi="仿宋" w:eastAsia="仿宋" w:cs="仿宋"/>
          <w:sz w:val="24"/>
          <w:highlight w:val="none"/>
        </w:rPr>
      </w:pPr>
      <w:r>
        <w:rPr>
          <w:rFonts w:hint="eastAsia" w:ascii="仿宋" w:hAnsi="仿宋" w:eastAsia="仿宋" w:cs="仿宋"/>
          <w:kern w:val="12"/>
          <w:sz w:val="24"/>
          <w:highlight w:val="none"/>
        </w:rPr>
        <w:t>3.供应商的法定代表人授权委托书格式须严格遵守此格式，否则评标委员会拒绝其投标。</w:t>
      </w:r>
    </w:p>
    <w:p>
      <w:pPr>
        <w:pStyle w:val="3"/>
        <w:bidi w:val="0"/>
        <w:rPr>
          <w:rFonts w:hint="eastAsia" w:ascii="仿宋" w:hAnsi="仿宋" w:eastAsia="仿宋" w:cs="仿宋"/>
          <w:highlight w:val="none"/>
        </w:rPr>
      </w:pPr>
      <w:r>
        <w:rPr>
          <w:rFonts w:hint="eastAsia" w:ascii="仿宋" w:hAnsi="仿宋" w:eastAsia="仿宋" w:cs="仿宋"/>
          <w:szCs w:val="28"/>
          <w:highlight w:val="none"/>
        </w:rPr>
        <w:br w:type="page"/>
      </w:r>
      <w:bookmarkStart w:id="80" w:name="_Toc3312"/>
      <w:bookmarkStart w:id="81" w:name="_Toc471806003"/>
      <w:r>
        <w:rPr>
          <w:rStyle w:val="210"/>
          <w:rFonts w:hint="eastAsia" w:ascii="仿宋" w:hAnsi="仿宋" w:eastAsia="仿宋" w:cs="仿宋"/>
          <w:b/>
          <w:highlight w:val="none"/>
        </w:rPr>
        <w:t>附件8  书面声明</w:t>
      </w:r>
      <w:bookmarkEnd w:id="80"/>
      <w:bookmarkEnd w:id="81"/>
    </w:p>
    <w:p>
      <w:pPr>
        <w:spacing w:before="100" w:beforeAutospacing="1" w:after="100" w:afterAutospacing="1"/>
        <w:jc w:val="center"/>
        <w:rPr>
          <w:rFonts w:hint="eastAsia" w:ascii="仿宋" w:hAnsi="仿宋" w:eastAsia="仿宋" w:cs="仿宋"/>
          <w:bCs/>
          <w:sz w:val="24"/>
          <w:highlight w:val="none"/>
        </w:rPr>
      </w:pPr>
      <w:r>
        <w:rPr>
          <w:rFonts w:hint="eastAsia" w:ascii="仿宋" w:hAnsi="仿宋" w:eastAsia="仿宋" w:cs="仿宋"/>
          <w:bCs/>
          <w:sz w:val="24"/>
          <w:highlight w:val="none"/>
        </w:rPr>
        <w:t>参加政府采购活动前3年内在经营活动中没有重大违法记录的书面声明</w:t>
      </w:r>
    </w:p>
    <w:p>
      <w:pPr>
        <w:wordWrap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我方在参加</w:t>
      </w:r>
      <w:r>
        <w:rPr>
          <w:rFonts w:hint="eastAsia" w:ascii="仿宋" w:hAnsi="仿宋" w:eastAsia="仿宋" w:cs="仿宋"/>
          <w:sz w:val="24"/>
          <w:highlight w:val="none"/>
          <w:u w:val="single"/>
        </w:rPr>
        <w:t xml:space="preserve">       采购项目</w:t>
      </w:r>
      <w:r>
        <w:rPr>
          <w:rFonts w:hint="eastAsia" w:ascii="仿宋" w:hAnsi="仿宋" w:eastAsia="仿宋" w:cs="仿宋"/>
          <w:sz w:val="24"/>
          <w:highlight w:val="none"/>
        </w:rPr>
        <w:t>的政府采购活动前3年内，我方被公开披露或查处的违法违规行为有：</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，但在经营活动中没有重大违法记录（重大违法记录指供应商因违法经营受到刑事处罚或者责令停产停业、吊销许可证或者执照、较大数额罚款等行政处罚）。</w:t>
      </w:r>
    </w:p>
    <w:p>
      <w:pPr>
        <w:spacing w:line="360" w:lineRule="auto"/>
        <w:ind w:firstLine="480" w:firstLineChars="200"/>
        <w:rPr>
          <w:rFonts w:hint="eastAsia" w:ascii="仿宋" w:hAnsi="仿宋" w:eastAsia="仿宋" w:cs="仿宋"/>
          <w:sz w:val="24"/>
          <w:highlight w:val="none"/>
        </w:rPr>
      </w:pPr>
    </w:p>
    <w:p>
      <w:pPr>
        <w:spacing w:line="360" w:lineRule="auto"/>
        <w:ind w:firstLine="480" w:firstLineChars="200"/>
        <w:rPr>
          <w:rFonts w:hint="eastAsia" w:ascii="仿宋" w:hAnsi="仿宋" w:eastAsia="仿宋" w:cs="仿宋"/>
          <w:sz w:val="24"/>
          <w:highlight w:val="none"/>
        </w:rPr>
      </w:pPr>
    </w:p>
    <w:p>
      <w:pPr>
        <w:spacing w:line="360" w:lineRule="auto"/>
        <w:ind w:firstLine="480" w:firstLineChars="200"/>
        <w:rPr>
          <w:rFonts w:hint="eastAsia" w:ascii="仿宋" w:hAnsi="仿宋" w:eastAsia="仿宋" w:cs="仿宋"/>
          <w:sz w:val="24"/>
          <w:highlight w:val="none"/>
        </w:rPr>
      </w:pPr>
    </w:p>
    <w:p>
      <w:pPr>
        <w:spacing w:line="360" w:lineRule="auto"/>
        <w:ind w:firstLine="480" w:firstLineChars="200"/>
        <w:rPr>
          <w:rFonts w:hint="eastAsia" w:ascii="仿宋" w:hAnsi="仿宋" w:eastAsia="仿宋" w:cs="仿宋"/>
          <w:sz w:val="24"/>
          <w:highlight w:val="none"/>
        </w:rPr>
      </w:pPr>
    </w:p>
    <w:p>
      <w:pPr>
        <w:spacing w:line="420" w:lineRule="auto"/>
        <w:ind w:firstLine="1440" w:firstLineChars="600"/>
        <w:rPr>
          <w:rFonts w:hint="eastAsia" w:ascii="仿宋" w:hAnsi="仿宋" w:eastAsia="仿宋" w:cs="仿宋"/>
          <w:sz w:val="24"/>
          <w:highlight w:val="none"/>
        </w:rPr>
      </w:pPr>
      <w:r>
        <w:rPr>
          <w:rFonts w:hint="eastAsia" w:ascii="仿宋" w:hAnsi="仿宋" w:eastAsia="仿宋" w:cs="仿宋"/>
          <w:sz w:val="24"/>
          <w:highlight w:val="none"/>
        </w:rPr>
        <w:t>投  标  人：</w:t>
      </w:r>
      <w:r>
        <w:rPr>
          <w:rFonts w:hint="eastAsia" w:ascii="仿宋" w:hAnsi="仿宋" w:eastAsia="仿宋" w:cs="仿宋"/>
          <w:sz w:val="24"/>
          <w:highlight w:val="none"/>
          <w:u w:val="single"/>
        </w:rPr>
        <w:t xml:space="preserve">                       （盖单位公章）</w:t>
      </w:r>
    </w:p>
    <w:p>
      <w:pPr>
        <w:spacing w:line="420" w:lineRule="auto"/>
        <w:ind w:firstLine="1440" w:firstLineChars="600"/>
        <w:rPr>
          <w:rFonts w:hint="eastAsia" w:ascii="仿宋" w:hAnsi="仿宋" w:eastAsia="仿宋" w:cs="仿宋"/>
          <w:sz w:val="24"/>
          <w:highlight w:val="none"/>
        </w:rPr>
      </w:pPr>
      <w:r>
        <w:rPr>
          <w:rFonts w:hint="eastAsia" w:ascii="仿宋" w:hAnsi="仿宋" w:eastAsia="仿宋" w:cs="仿宋"/>
          <w:sz w:val="24"/>
          <w:highlight w:val="none"/>
        </w:rPr>
        <w:t>法定代表人（负责人）：</w:t>
      </w:r>
      <w:r>
        <w:rPr>
          <w:rFonts w:hint="eastAsia" w:ascii="仿宋" w:hAnsi="仿宋" w:eastAsia="仿宋" w:cs="仿宋"/>
          <w:sz w:val="24"/>
          <w:highlight w:val="none"/>
          <w:u w:val="single"/>
        </w:rPr>
        <w:t xml:space="preserve">                （签字或盖章）</w:t>
      </w:r>
    </w:p>
    <w:p>
      <w:pPr>
        <w:spacing w:line="420" w:lineRule="auto"/>
        <w:ind w:firstLine="1440" w:firstLineChars="600"/>
        <w:rPr>
          <w:rFonts w:hint="eastAsia" w:ascii="仿宋" w:hAnsi="仿宋" w:eastAsia="仿宋" w:cs="仿宋"/>
          <w:sz w:val="24"/>
          <w:highlight w:val="none"/>
        </w:rPr>
      </w:pPr>
      <w:r>
        <w:rPr>
          <w:rFonts w:hint="eastAsia" w:ascii="仿宋" w:hAnsi="仿宋" w:eastAsia="仿宋" w:cs="仿宋"/>
          <w:sz w:val="24"/>
          <w:highlight w:val="none"/>
        </w:rPr>
        <w:t>日      期：</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spacing w:line="360" w:lineRule="auto"/>
        <w:ind w:firstLine="480" w:firstLineChars="200"/>
        <w:rPr>
          <w:rFonts w:hint="eastAsia" w:ascii="仿宋" w:hAnsi="仿宋" w:eastAsia="仿宋" w:cs="仿宋"/>
          <w:sz w:val="24"/>
          <w:highlight w:val="none"/>
        </w:rPr>
      </w:pPr>
    </w:p>
    <w:p>
      <w:pPr>
        <w:spacing w:line="360" w:lineRule="auto"/>
        <w:ind w:firstLine="480" w:firstLineChars="200"/>
        <w:rPr>
          <w:rFonts w:hint="eastAsia" w:ascii="仿宋" w:hAnsi="仿宋" w:eastAsia="仿宋" w:cs="仿宋"/>
          <w:sz w:val="24"/>
          <w:highlight w:val="none"/>
        </w:rPr>
      </w:pPr>
    </w:p>
    <w:p>
      <w:pPr>
        <w:spacing w:line="360" w:lineRule="auto"/>
        <w:ind w:firstLine="480" w:firstLineChars="200"/>
        <w:rPr>
          <w:rFonts w:hint="eastAsia" w:ascii="仿宋" w:hAnsi="仿宋" w:eastAsia="仿宋" w:cs="仿宋"/>
          <w:sz w:val="24"/>
          <w:highlight w:val="none"/>
        </w:rPr>
      </w:pP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备注：供应商没有被公开披露或查处违法违规行为的，注明“无”即可。</w:t>
      </w:r>
    </w:p>
    <w:p>
      <w:pPr>
        <w:spacing w:line="360" w:lineRule="auto"/>
        <w:ind w:firstLine="480" w:firstLineChars="200"/>
        <w:rPr>
          <w:rFonts w:hint="eastAsia" w:ascii="仿宋" w:hAnsi="仿宋" w:eastAsia="仿宋" w:cs="仿宋"/>
          <w:sz w:val="24"/>
          <w:highlight w:val="none"/>
        </w:rPr>
      </w:pPr>
    </w:p>
    <w:p>
      <w:pPr>
        <w:pStyle w:val="5"/>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bookmarkStart w:id="82" w:name="_Toc471806004"/>
      <w:bookmarkStart w:id="83" w:name="_Toc24135"/>
      <w:r>
        <w:rPr>
          <w:rStyle w:val="210"/>
          <w:rFonts w:hint="eastAsia" w:ascii="仿宋" w:hAnsi="仿宋" w:eastAsia="仿宋" w:cs="仿宋"/>
          <w:b/>
          <w:highlight w:val="none"/>
        </w:rPr>
        <w:t>附件9 技术条款偏离表</w:t>
      </w:r>
      <w:bookmarkEnd w:id="82"/>
      <w:bookmarkEnd w:id="83"/>
    </w:p>
    <w:p>
      <w:pPr>
        <w:spacing w:before="100" w:beforeAutospacing="1" w:after="100" w:afterAutospacing="1"/>
        <w:jc w:val="center"/>
        <w:rPr>
          <w:rFonts w:hint="eastAsia" w:ascii="仿宋" w:hAnsi="仿宋" w:eastAsia="仿宋" w:cs="仿宋"/>
          <w:sz w:val="24"/>
          <w:highlight w:val="none"/>
        </w:rPr>
      </w:pPr>
      <w:r>
        <w:rPr>
          <w:rFonts w:hint="eastAsia" w:ascii="仿宋" w:hAnsi="仿宋" w:eastAsia="仿宋" w:cs="仿宋"/>
          <w:sz w:val="24"/>
          <w:highlight w:val="none"/>
        </w:rPr>
        <w:t>技术条款偏离表</w:t>
      </w:r>
    </w:p>
    <w:tbl>
      <w:tblPr>
        <w:tblStyle w:val="68"/>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2305"/>
        <w:gridCol w:w="2715"/>
        <w:gridCol w:w="2479"/>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4" w:hRule="atLeast"/>
        </w:trPr>
        <w:tc>
          <w:tcPr>
            <w:tcW w:w="636" w:type="dxa"/>
            <w:vAlign w:val="center"/>
          </w:tcPr>
          <w:p>
            <w:pPr>
              <w:jc w:val="center"/>
              <w:rPr>
                <w:rFonts w:hint="eastAsia" w:ascii="仿宋" w:hAnsi="仿宋" w:eastAsia="仿宋" w:cs="仿宋"/>
                <w:szCs w:val="21"/>
                <w:highlight w:val="none"/>
              </w:rPr>
            </w:pPr>
            <w:r>
              <w:rPr>
                <w:rFonts w:hint="eastAsia" w:ascii="仿宋" w:hAnsi="仿宋" w:eastAsia="仿宋" w:cs="仿宋"/>
                <w:szCs w:val="21"/>
                <w:highlight w:val="none"/>
              </w:rPr>
              <w:t>序号</w:t>
            </w:r>
          </w:p>
        </w:tc>
        <w:tc>
          <w:tcPr>
            <w:tcW w:w="2305" w:type="dxa"/>
            <w:vAlign w:val="center"/>
          </w:tcPr>
          <w:p>
            <w:pPr>
              <w:jc w:val="center"/>
              <w:rPr>
                <w:rFonts w:hint="eastAsia" w:ascii="仿宋" w:hAnsi="仿宋" w:eastAsia="仿宋" w:cs="仿宋"/>
                <w:szCs w:val="21"/>
                <w:highlight w:val="none"/>
                <w:lang w:eastAsia="zh-CN"/>
              </w:rPr>
            </w:pPr>
            <w:r>
              <w:rPr>
                <w:rFonts w:hint="eastAsia" w:ascii="仿宋" w:hAnsi="仿宋" w:eastAsia="仿宋" w:cs="仿宋"/>
                <w:szCs w:val="21"/>
                <w:highlight w:val="none"/>
                <w:lang w:eastAsia="zh-CN"/>
              </w:rPr>
              <w:t>投标产品名称</w:t>
            </w:r>
          </w:p>
        </w:tc>
        <w:tc>
          <w:tcPr>
            <w:tcW w:w="2715" w:type="dxa"/>
            <w:vAlign w:val="center"/>
          </w:tcPr>
          <w:p>
            <w:pPr>
              <w:jc w:val="center"/>
              <w:rPr>
                <w:rFonts w:hint="eastAsia" w:ascii="仿宋" w:hAnsi="仿宋" w:eastAsia="仿宋" w:cs="仿宋"/>
                <w:szCs w:val="21"/>
                <w:highlight w:val="none"/>
              </w:rPr>
            </w:pPr>
            <w:r>
              <w:rPr>
                <w:rFonts w:hint="eastAsia" w:ascii="仿宋" w:hAnsi="仿宋" w:eastAsia="仿宋" w:cs="仿宋"/>
                <w:szCs w:val="21"/>
                <w:highlight w:val="none"/>
              </w:rPr>
              <w:t>招标文件</w:t>
            </w:r>
            <w:r>
              <w:rPr>
                <w:rFonts w:hint="eastAsia" w:ascii="仿宋" w:hAnsi="仿宋" w:eastAsia="仿宋" w:cs="仿宋"/>
                <w:szCs w:val="21"/>
                <w:highlight w:val="none"/>
                <w:lang w:eastAsia="zh-CN"/>
              </w:rPr>
              <w:t>技术参数</w:t>
            </w:r>
            <w:r>
              <w:rPr>
                <w:rFonts w:hint="eastAsia" w:ascii="仿宋" w:hAnsi="仿宋" w:eastAsia="仿宋" w:cs="仿宋"/>
                <w:szCs w:val="21"/>
                <w:highlight w:val="none"/>
              </w:rPr>
              <w:t>内容</w:t>
            </w:r>
          </w:p>
        </w:tc>
        <w:tc>
          <w:tcPr>
            <w:tcW w:w="2479" w:type="dxa"/>
            <w:vAlign w:val="center"/>
          </w:tcPr>
          <w:p>
            <w:pPr>
              <w:jc w:val="center"/>
              <w:rPr>
                <w:rFonts w:hint="eastAsia" w:ascii="仿宋" w:hAnsi="仿宋" w:eastAsia="仿宋" w:cs="仿宋"/>
                <w:szCs w:val="21"/>
                <w:highlight w:val="none"/>
              </w:rPr>
            </w:pPr>
            <w:r>
              <w:rPr>
                <w:rFonts w:hint="eastAsia" w:ascii="仿宋" w:hAnsi="仿宋" w:eastAsia="仿宋" w:cs="仿宋"/>
                <w:szCs w:val="21"/>
                <w:highlight w:val="none"/>
              </w:rPr>
              <w:t>投标文件</w:t>
            </w:r>
            <w:r>
              <w:rPr>
                <w:rFonts w:hint="eastAsia" w:ascii="仿宋" w:hAnsi="仿宋" w:eastAsia="仿宋" w:cs="仿宋"/>
                <w:szCs w:val="21"/>
                <w:highlight w:val="none"/>
                <w:lang w:eastAsia="zh-CN"/>
              </w:rPr>
              <w:t>技术参数</w:t>
            </w:r>
            <w:r>
              <w:rPr>
                <w:rFonts w:hint="eastAsia" w:ascii="仿宋" w:hAnsi="仿宋" w:eastAsia="仿宋" w:cs="仿宋"/>
                <w:szCs w:val="21"/>
                <w:highlight w:val="none"/>
              </w:rPr>
              <w:t>内容</w:t>
            </w:r>
          </w:p>
        </w:tc>
        <w:tc>
          <w:tcPr>
            <w:tcW w:w="1103" w:type="dxa"/>
            <w:vAlign w:val="center"/>
          </w:tcPr>
          <w:p>
            <w:pPr>
              <w:jc w:val="center"/>
              <w:rPr>
                <w:rFonts w:hint="eastAsia" w:ascii="仿宋" w:hAnsi="仿宋" w:eastAsia="仿宋" w:cs="仿宋"/>
                <w:szCs w:val="21"/>
                <w:highlight w:val="none"/>
              </w:rPr>
            </w:pPr>
            <w:r>
              <w:rPr>
                <w:rFonts w:hint="eastAsia" w:ascii="仿宋" w:hAnsi="仿宋" w:eastAsia="仿宋" w:cs="仿宋"/>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36" w:type="dxa"/>
            <w:vAlign w:val="center"/>
          </w:tcPr>
          <w:p>
            <w:pPr>
              <w:jc w:val="center"/>
              <w:rPr>
                <w:rFonts w:hint="eastAsia" w:ascii="仿宋" w:hAnsi="仿宋" w:eastAsia="仿宋" w:cs="仿宋"/>
                <w:szCs w:val="21"/>
                <w:highlight w:val="none"/>
              </w:rPr>
            </w:pPr>
          </w:p>
        </w:tc>
        <w:tc>
          <w:tcPr>
            <w:tcW w:w="2305" w:type="dxa"/>
            <w:vAlign w:val="center"/>
          </w:tcPr>
          <w:p>
            <w:pPr>
              <w:jc w:val="center"/>
              <w:rPr>
                <w:rFonts w:hint="eastAsia" w:ascii="仿宋" w:hAnsi="仿宋" w:eastAsia="仿宋" w:cs="仿宋"/>
                <w:szCs w:val="21"/>
                <w:highlight w:val="none"/>
              </w:rPr>
            </w:pPr>
          </w:p>
        </w:tc>
        <w:tc>
          <w:tcPr>
            <w:tcW w:w="2715" w:type="dxa"/>
            <w:vAlign w:val="center"/>
          </w:tcPr>
          <w:p>
            <w:pPr>
              <w:jc w:val="center"/>
              <w:rPr>
                <w:rFonts w:hint="eastAsia" w:ascii="仿宋" w:hAnsi="仿宋" w:eastAsia="仿宋" w:cs="仿宋"/>
                <w:szCs w:val="21"/>
                <w:highlight w:val="none"/>
              </w:rPr>
            </w:pPr>
          </w:p>
        </w:tc>
        <w:tc>
          <w:tcPr>
            <w:tcW w:w="2479" w:type="dxa"/>
            <w:vAlign w:val="center"/>
          </w:tcPr>
          <w:p>
            <w:pPr>
              <w:jc w:val="center"/>
              <w:rPr>
                <w:rFonts w:hint="eastAsia" w:ascii="仿宋" w:hAnsi="仿宋" w:eastAsia="仿宋" w:cs="仿宋"/>
                <w:szCs w:val="21"/>
                <w:highlight w:val="none"/>
              </w:rPr>
            </w:pPr>
          </w:p>
        </w:tc>
        <w:tc>
          <w:tcPr>
            <w:tcW w:w="1103" w:type="dxa"/>
          </w:tcPr>
          <w:p>
            <w:pPr>
              <w:jc w:val="center"/>
              <w:rPr>
                <w:rFonts w:hint="eastAsia" w:ascii="仿宋" w:hAnsi="仿宋" w:eastAsia="仿宋" w:cs="仿宋"/>
                <w:szCs w:val="21"/>
                <w:highlight w:val="none"/>
              </w:rPr>
            </w:pPr>
          </w:p>
        </w:tc>
      </w:tr>
    </w:tbl>
    <w:p>
      <w:pPr>
        <w:rPr>
          <w:rFonts w:hint="eastAsia" w:ascii="仿宋" w:hAnsi="仿宋" w:eastAsia="仿宋" w:cs="仿宋"/>
          <w:highlight w:val="none"/>
        </w:rPr>
      </w:pPr>
      <w:r>
        <w:rPr>
          <w:rFonts w:hint="eastAsia" w:ascii="仿宋" w:hAnsi="仿宋" w:eastAsia="仿宋" w:cs="仿宋"/>
          <w:highlight w:val="none"/>
        </w:rPr>
        <w:t>注：供应商应对招标文件第三章《项目说明、招标内容》的技术条款响应情况进行逐项说明，并填入上述表中。供应商所填写的内容必须真实、可靠，如有虚假或隐瞒，一经查实将导致投标被拒绝。</w:t>
      </w:r>
    </w:p>
    <w:p>
      <w:pPr>
        <w:ind w:right="420"/>
        <w:rPr>
          <w:rFonts w:hint="eastAsia" w:ascii="仿宋" w:hAnsi="仿宋" w:eastAsia="仿宋" w:cs="仿宋"/>
          <w:szCs w:val="21"/>
          <w:highlight w:val="none"/>
        </w:rPr>
      </w:pPr>
    </w:p>
    <w:p>
      <w:pPr>
        <w:pStyle w:val="4"/>
        <w:bidi w:val="0"/>
        <w:rPr>
          <w:rFonts w:hint="eastAsia" w:ascii="仿宋" w:hAnsi="仿宋" w:eastAsia="仿宋" w:cs="仿宋"/>
          <w:highlight w:val="none"/>
        </w:rPr>
      </w:pPr>
      <w:bookmarkStart w:id="84" w:name="_Toc471806005"/>
    </w:p>
    <w:p>
      <w:pPr>
        <w:pStyle w:val="4"/>
        <w:bidi w:val="0"/>
        <w:rPr>
          <w:rFonts w:hint="eastAsia" w:ascii="仿宋" w:hAnsi="仿宋" w:eastAsia="仿宋" w:cs="仿宋"/>
          <w:highlight w:val="none"/>
        </w:rPr>
      </w:pPr>
      <w:bookmarkStart w:id="85" w:name="_Toc20299"/>
      <w:r>
        <w:rPr>
          <w:rFonts w:hint="eastAsia" w:ascii="仿宋" w:hAnsi="仿宋" w:eastAsia="仿宋" w:cs="仿宋"/>
          <w:highlight w:val="none"/>
        </w:rPr>
        <w:t>附件10  服务与承诺</w:t>
      </w:r>
      <w:bookmarkEnd w:id="84"/>
      <w:bookmarkEnd w:id="85"/>
    </w:p>
    <w:p>
      <w:pPr>
        <w:spacing w:before="100" w:beforeAutospacing="1" w:after="100" w:afterAutospacing="1"/>
        <w:jc w:val="center"/>
        <w:rPr>
          <w:rFonts w:hint="eastAsia" w:ascii="仿宋" w:hAnsi="仿宋" w:eastAsia="仿宋" w:cs="仿宋"/>
          <w:sz w:val="24"/>
          <w:highlight w:val="none"/>
        </w:rPr>
      </w:pPr>
      <w:r>
        <w:rPr>
          <w:rFonts w:hint="eastAsia" w:ascii="仿宋" w:hAnsi="仿宋" w:eastAsia="仿宋" w:cs="仿宋"/>
          <w:sz w:val="24"/>
          <w:highlight w:val="none"/>
        </w:rPr>
        <w:t>售后服务承诺</w:t>
      </w:r>
    </w:p>
    <w:p>
      <w:pPr>
        <w:spacing w:line="360" w:lineRule="auto"/>
        <w:ind w:right="420" w:firstLine="480" w:firstLineChars="200"/>
        <w:rPr>
          <w:rFonts w:hint="eastAsia" w:ascii="仿宋" w:hAnsi="仿宋" w:eastAsia="仿宋" w:cs="仿宋"/>
          <w:sz w:val="24"/>
          <w:highlight w:val="none"/>
        </w:rPr>
      </w:pPr>
      <w:r>
        <w:rPr>
          <w:rFonts w:hint="eastAsia" w:ascii="仿宋" w:hAnsi="仿宋" w:eastAsia="仿宋" w:cs="仿宋"/>
          <w:sz w:val="24"/>
          <w:highlight w:val="none"/>
        </w:rPr>
        <w:t>供应商自行提报对招标人最有利、最优惠的售后服务承诺，，</w:t>
      </w:r>
      <w:r>
        <w:rPr>
          <w:rFonts w:hint="eastAsia" w:ascii="仿宋" w:hAnsi="仿宋" w:eastAsia="仿宋" w:cs="仿宋"/>
          <w:sz w:val="24"/>
          <w:highlight w:val="none"/>
          <w:lang w:eastAsia="zh-CN"/>
        </w:rPr>
        <w:t>格式自拟。</w:t>
      </w:r>
    </w:p>
    <w:p>
      <w:pPr>
        <w:spacing w:line="360" w:lineRule="auto"/>
        <w:ind w:right="420" w:firstLine="480" w:firstLineChars="200"/>
        <w:rPr>
          <w:rFonts w:hint="eastAsia" w:ascii="仿宋" w:hAnsi="仿宋" w:eastAsia="仿宋" w:cs="仿宋"/>
          <w:sz w:val="24"/>
          <w:highlight w:val="none"/>
        </w:rPr>
      </w:pPr>
    </w:p>
    <w:p>
      <w:pPr>
        <w:spacing w:line="360" w:lineRule="auto"/>
        <w:ind w:right="420" w:firstLine="480" w:firstLineChars="200"/>
        <w:rPr>
          <w:rFonts w:hint="eastAsia" w:ascii="仿宋" w:hAnsi="仿宋" w:eastAsia="仿宋" w:cs="仿宋"/>
          <w:sz w:val="24"/>
          <w:highlight w:val="none"/>
        </w:rPr>
      </w:pPr>
    </w:p>
    <w:p>
      <w:pPr>
        <w:spacing w:line="360" w:lineRule="auto"/>
        <w:ind w:right="420" w:firstLine="480" w:firstLineChars="200"/>
        <w:rPr>
          <w:rFonts w:hint="eastAsia" w:ascii="仿宋" w:hAnsi="仿宋" w:eastAsia="仿宋" w:cs="仿宋"/>
          <w:sz w:val="24"/>
          <w:highlight w:val="none"/>
        </w:rPr>
      </w:pPr>
    </w:p>
    <w:p>
      <w:pPr>
        <w:pStyle w:val="5"/>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bookmarkStart w:id="86" w:name="_Toc19927"/>
      <w:bookmarkStart w:id="87" w:name="_Toc471806006"/>
      <w:r>
        <w:rPr>
          <w:rStyle w:val="210"/>
          <w:rFonts w:hint="eastAsia" w:ascii="仿宋" w:hAnsi="仿宋" w:eastAsia="仿宋" w:cs="仿宋"/>
          <w:b/>
          <w:highlight w:val="none"/>
        </w:rPr>
        <w:t>附件11</w:t>
      </w:r>
      <w:bookmarkEnd w:id="86"/>
      <w:r>
        <w:rPr>
          <w:rStyle w:val="210"/>
          <w:rFonts w:hint="eastAsia" w:ascii="仿宋" w:hAnsi="仿宋" w:eastAsia="仿宋" w:cs="仿宋"/>
          <w:b/>
          <w:highlight w:val="none"/>
        </w:rPr>
        <w:t xml:space="preserve">  </w:t>
      </w:r>
      <w:bookmarkEnd w:id="87"/>
      <w:bookmarkStart w:id="88" w:name="_Toc513539844"/>
      <w:bookmarkStart w:id="89" w:name="_Toc471806008"/>
    </w:p>
    <w:bookmarkEnd w:id="88"/>
    <w:bookmarkEnd w:id="89"/>
    <w:p>
      <w:pPr>
        <w:ind w:right="420"/>
        <w:rPr>
          <w:rFonts w:hint="eastAsia" w:ascii="仿宋" w:hAnsi="仿宋" w:eastAsia="仿宋" w:cs="仿宋"/>
          <w:highlight w:val="none"/>
        </w:rPr>
      </w:pPr>
    </w:p>
    <w:p>
      <w:pPr>
        <w:ind w:right="420"/>
        <w:rPr>
          <w:rFonts w:hint="eastAsia" w:ascii="仿宋" w:hAnsi="仿宋" w:eastAsia="仿宋" w:cs="仿宋"/>
          <w:highlight w:val="none"/>
        </w:rPr>
      </w:pPr>
    </w:p>
    <w:p>
      <w:pPr>
        <w:spacing w:before="100" w:beforeAutospacing="1" w:after="100" w:afterAutospacing="1"/>
        <w:jc w:val="center"/>
        <w:rPr>
          <w:rFonts w:hint="eastAsia" w:ascii="仿宋" w:hAnsi="仿宋" w:eastAsia="仿宋" w:cs="仿宋"/>
          <w:sz w:val="24"/>
          <w:highlight w:val="none"/>
        </w:rPr>
      </w:pPr>
      <w:r>
        <w:rPr>
          <w:rFonts w:hint="eastAsia" w:ascii="仿宋" w:hAnsi="仿宋" w:eastAsia="仿宋" w:cs="仿宋"/>
          <w:sz w:val="24"/>
          <w:highlight w:val="none"/>
        </w:rPr>
        <w:t>其他（如承诺函等），格式自拟</w:t>
      </w:r>
    </w:p>
    <w:p>
      <w:pPr>
        <w:rPr>
          <w:rFonts w:hint="eastAsia" w:ascii="仿宋" w:hAnsi="仿宋" w:eastAsia="仿宋" w:cs="仿宋"/>
          <w:highlight w:val="none"/>
        </w:rPr>
      </w:pPr>
    </w:p>
    <w:p>
      <w:pPr>
        <w:rPr>
          <w:rFonts w:hint="eastAsia" w:ascii="仿宋" w:hAnsi="仿宋" w:eastAsia="仿宋" w:cs="仿宋"/>
          <w:sz w:val="24"/>
          <w:highlight w:val="none"/>
        </w:rPr>
      </w:pPr>
    </w:p>
    <w:p>
      <w:pPr>
        <w:spacing w:line="460" w:lineRule="exact"/>
        <w:ind w:firstLine="420" w:firstLineChars="200"/>
        <w:outlineLvl w:val="1"/>
        <w:rPr>
          <w:rFonts w:ascii="仿宋" w:hAnsi="仿宋" w:eastAsia="仿宋"/>
          <w:highlight w:val="none"/>
        </w:rPr>
      </w:pPr>
    </w:p>
    <w:sectPr>
      <w:headerReference r:id="rId4" w:type="default"/>
      <w:footerReference r:id="rId5" w:type="default"/>
      <w:footerReference r:id="rId6" w:type="even"/>
      <w:pgSz w:w="11907" w:h="16839"/>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GothicE">
    <w:altName w:val="Courier New"/>
    <w:panose1 w:val="00000000000000000000"/>
    <w:charset w:val="00"/>
    <w:family w:val="auto"/>
    <w:pitch w:val="default"/>
    <w:sig w:usb0="00000000" w:usb1="00000000" w:usb2="00000000" w:usb3="00000000" w:csb0="000001FF"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宋体常规">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firstLine="360"/>
    </w:pPr>
    <w:r>
      <w:pict>
        <v:shape id="Text Box 1027" o:spid="_x0000_s4097" o:spt="202" type="#_x0000_t202" style="position:absolute;left:0pt;margin-top:0pt;height:10.35pt;width:4.5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outside" w:y="1"/>
      <w:rPr>
        <w:rStyle w:val="61"/>
      </w:rPr>
    </w:pPr>
    <w:r>
      <w:fldChar w:fldCharType="begin"/>
    </w:r>
    <w:r>
      <w:rPr>
        <w:rStyle w:val="61"/>
      </w:rPr>
      <w:instrText xml:space="preserve">PAGE  </w:instrText>
    </w:r>
    <w:r>
      <w:fldChar w:fldCharType="separate"/>
    </w:r>
    <w:r>
      <w:rPr>
        <w:rStyle w:val="61"/>
      </w:rPr>
      <w:t xml:space="preserve"> </w:t>
    </w:r>
    <w:r>
      <w:fldChar w:fldCharType="end"/>
    </w:r>
  </w:p>
  <w:p>
    <w:pPr>
      <w:pStyle w:val="3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1"/>
      </w:pBdr>
      <w:rPr>
        <w:rFonts w:hint="default" w:eastAsia="宋体"/>
        <w:lang w:val="en-US" w:eastAsia="zh-CN"/>
      </w:rPr>
    </w:pPr>
    <w:r>
      <w:rPr>
        <w:rFonts w:hint="eastAsia"/>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kern w:val="0"/>
        <w:szCs w:val="21"/>
        <w:u w:val="single"/>
        <w:lang w:val="zh-CN"/>
      </w:rPr>
    </w:pPr>
    <w:r>
      <w:rPr>
        <w:rFonts w:hint="eastAsia" w:ascii="仿宋" w:hAnsi="仿宋" w:eastAsia="仿宋"/>
        <w:szCs w:val="21"/>
        <w:u w:val="single"/>
      </w:rPr>
      <w:t xml:space="preserve"> </w:t>
    </w:r>
    <w:r>
      <w:rPr>
        <w:rFonts w:hint="eastAsia" w:ascii="宋体" w:hAnsi="宋体"/>
        <w:kern w:val="0"/>
        <w:szCs w:val="21"/>
        <w:u w:val="single"/>
      </w:rPr>
      <w:t xml:space="preserve">                </w:t>
    </w:r>
  </w:p>
  <w:p>
    <w:pPr>
      <w:pStyle w:val="39"/>
      <w:pBdr>
        <w:bottom w:val="none" w:color="auto" w:sz="0" w:space="0"/>
      </w:pBdr>
      <w:tabs>
        <w:tab w:val="left" w:pos="594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09E"/>
    <w:multiLevelType w:val="multilevel"/>
    <w:tmpl w:val="0AFB709E"/>
    <w:lvl w:ilvl="0" w:tentative="0">
      <w:start w:val="1"/>
      <w:numFmt w:val="bullet"/>
      <w:pStyle w:val="106"/>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DED69D9"/>
    <w:multiLevelType w:val="multilevel"/>
    <w:tmpl w:val="0DED69D9"/>
    <w:lvl w:ilvl="0" w:tentative="0">
      <w:start w:val="1"/>
      <w:numFmt w:val="decimal"/>
      <w:lvlText w:val="%1."/>
      <w:lvlJc w:val="left"/>
      <w:pPr>
        <w:tabs>
          <w:tab w:val="left" w:pos="425"/>
        </w:tabs>
        <w:ind w:left="425" w:hanging="425"/>
      </w:pPr>
      <w:rPr>
        <w:rFonts w:hint="default" w:ascii="Times New Roman" w:hAnsi="Times New Roman" w:cs="Times New Roman"/>
        <w:b/>
        <w:color w:val="auto"/>
      </w:rPr>
    </w:lvl>
    <w:lvl w:ilvl="1" w:tentative="0">
      <w:start w:val="1"/>
      <w:numFmt w:val="decimal"/>
      <w:lvlText w:val="%1.%2."/>
      <w:lvlJc w:val="left"/>
      <w:pPr>
        <w:tabs>
          <w:tab w:val="left" w:pos="567"/>
        </w:tabs>
        <w:ind w:left="567" w:hanging="567"/>
      </w:pPr>
      <w:rPr>
        <w:rFonts w:hint="default" w:ascii="Times New Roman" w:hAnsi="Times New Roman" w:cs="Times New Roman"/>
        <w:b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1F8145B2"/>
    <w:multiLevelType w:val="multilevel"/>
    <w:tmpl w:val="1F8145B2"/>
    <w:lvl w:ilvl="0" w:tentative="0">
      <w:start w:val="1"/>
      <w:numFmt w:val="decimal"/>
      <w:lvlText w:val="%1."/>
      <w:lvlJc w:val="left"/>
      <w:pPr>
        <w:tabs>
          <w:tab w:val="left" w:pos="425"/>
        </w:tabs>
        <w:ind w:left="425" w:hanging="425"/>
      </w:pPr>
      <w:rPr>
        <w:rFonts w:hint="default" w:ascii="Times New Roman" w:hAnsi="Times New Roman" w:cs="Times New Roman"/>
        <w:b/>
        <w:color w:val="auto"/>
        <w:sz w:val="24"/>
        <w:szCs w:val="24"/>
      </w:rPr>
    </w:lvl>
    <w:lvl w:ilvl="1" w:tentative="0">
      <w:start w:val="1"/>
      <w:numFmt w:val="decimal"/>
      <w:lvlText w:val="%1.%2."/>
      <w:lvlJc w:val="left"/>
      <w:pPr>
        <w:tabs>
          <w:tab w:val="left" w:pos="567"/>
        </w:tabs>
        <w:ind w:left="567" w:hanging="567"/>
      </w:pPr>
      <w:rPr>
        <w:rFonts w:hint="default" w:ascii="Times New Roman" w:hAnsi="Times New Roman" w:cs="Times New Roman"/>
        <w:b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b w:val="0"/>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
    <w:nsid w:val="7FD326C4"/>
    <w:multiLevelType w:val="singleLevel"/>
    <w:tmpl w:val="7FD326C4"/>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0"/>
  <w:bordersDoNotSurroundFooter w:val="0"/>
  <w:documentProtection w:enforcement="0"/>
  <w:defaultTabStop w:val="420"/>
  <w:drawingGridHorizontalSpacing w:val="105"/>
  <w:drawingGridVerticalSpacing w:val="2"/>
  <w:displayHorizontalDrawingGridEvery w:val="1"/>
  <w:displayVerticalDrawingGridEvery w:val="1"/>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1B"/>
    <w:rsid w:val="00004DFB"/>
    <w:rsid w:val="00006307"/>
    <w:rsid w:val="00006995"/>
    <w:rsid w:val="00011AD2"/>
    <w:rsid w:val="00016CF0"/>
    <w:rsid w:val="000172B6"/>
    <w:rsid w:val="00017720"/>
    <w:rsid w:val="00022B8C"/>
    <w:rsid w:val="00023185"/>
    <w:rsid w:val="000312D8"/>
    <w:rsid w:val="00032E16"/>
    <w:rsid w:val="000332E2"/>
    <w:rsid w:val="00034476"/>
    <w:rsid w:val="00034C27"/>
    <w:rsid w:val="00035612"/>
    <w:rsid w:val="00035B6D"/>
    <w:rsid w:val="00036213"/>
    <w:rsid w:val="00041BAE"/>
    <w:rsid w:val="00046B17"/>
    <w:rsid w:val="00055EB9"/>
    <w:rsid w:val="00057EFE"/>
    <w:rsid w:val="00061BA8"/>
    <w:rsid w:val="000674EC"/>
    <w:rsid w:val="00070407"/>
    <w:rsid w:val="00071D05"/>
    <w:rsid w:val="00074DB2"/>
    <w:rsid w:val="000843C1"/>
    <w:rsid w:val="000859FF"/>
    <w:rsid w:val="00091041"/>
    <w:rsid w:val="000915F0"/>
    <w:rsid w:val="00091DD4"/>
    <w:rsid w:val="000A2463"/>
    <w:rsid w:val="000A4E49"/>
    <w:rsid w:val="000A50BB"/>
    <w:rsid w:val="000A542E"/>
    <w:rsid w:val="000A6450"/>
    <w:rsid w:val="000B05A7"/>
    <w:rsid w:val="000B07D9"/>
    <w:rsid w:val="000B1958"/>
    <w:rsid w:val="000B2424"/>
    <w:rsid w:val="000B37DD"/>
    <w:rsid w:val="000B7007"/>
    <w:rsid w:val="000C1B46"/>
    <w:rsid w:val="000C1D27"/>
    <w:rsid w:val="000C1E3B"/>
    <w:rsid w:val="000D439B"/>
    <w:rsid w:val="000E0D76"/>
    <w:rsid w:val="000E2CF7"/>
    <w:rsid w:val="000E3900"/>
    <w:rsid w:val="000F0602"/>
    <w:rsid w:val="000F2636"/>
    <w:rsid w:val="000F7363"/>
    <w:rsid w:val="001004A3"/>
    <w:rsid w:val="00107907"/>
    <w:rsid w:val="001102B8"/>
    <w:rsid w:val="00110359"/>
    <w:rsid w:val="001245C4"/>
    <w:rsid w:val="00131A6F"/>
    <w:rsid w:val="001361C4"/>
    <w:rsid w:val="001366B0"/>
    <w:rsid w:val="00137575"/>
    <w:rsid w:val="00141A07"/>
    <w:rsid w:val="00143A54"/>
    <w:rsid w:val="00150849"/>
    <w:rsid w:val="0015096D"/>
    <w:rsid w:val="00152663"/>
    <w:rsid w:val="00154311"/>
    <w:rsid w:val="00157DF6"/>
    <w:rsid w:val="00164B44"/>
    <w:rsid w:val="00165F86"/>
    <w:rsid w:val="00166355"/>
    <w:rsid w:val="00167CE1"/>
    <w:rsid w:val="00172A27"/>
    <w:rsid w:val="00180ACA"/>
    <w:rsid w:val="00182AF6"/>
    <w:rsid w:val="001849A1"/>
    <w:rsid w:val="00184EDC"/>
    <w:rsid w:val="00185260"/>
    <w:rsid w:val="00185604"/>
    <w:rsid w:val="0019185F"/>
    <w:rsid w:val="00192D3F"/>
    <w:rsid w:val="00194639"/>
    <w:rsid w:val="0019666A"/>
    <w:rsid w:val="001A0575"/>
    <w:rsid w:val="001A0902"/>
    <w:rsid w:val="001A0C47"/>
    <w:rsid w:val="001A2EC7"/>
    <w:rsid w:val="001A58CA"/>
    <w:rsid w:val="001A682E"/>
    <w:rsid w:val="001A7246"/>
    <w:rsid w:val="001A7C61"/>
    <w:rsid w:val="001B132C"/>
    <w:rsid w:val="001B1EEC"/>
    <w:rsid w:val="001B553D"/>
    <w:rsid w:val="001C00DE"/>
    <w:rsid w:val="001C303C"/>
    <w:rsid w:val="001C4D82"/>
    <w:rsid w:val="001C4F91"/>
    <w:rsid w:val="001C5C7F"/>
    <w:rsid w:val="001D203F"/>
    <w:rsid w:val="001D2D0E"/>
    <w:rsid w:val="001D3231"/>
    <w:rsid w:val="001D55D2"/>
    <w:rsid w:val="001D729B"/>
    <w:rsid w:val="001E222D"/>
    <w:rsid w:val="001E4615"/>
    <w:rsid w:val="001E48FD"/>
    <w:rsid w:val="001F1F0E"/>
    <w:rsid w:val="001F4B13"/>
    <w:rsid w:val="00200AD6"/>
    <w:rsid w:val="00203221"/>
    <w:rsid w:val="00203974"/>
    <w:rsid w:val="0020659F"/>
    <w:rsid w:val="00210EEC"/>
    <w:rsid w:val="00213AC7"/>
    <w:rsid w:val="00214091"/>
    <w:rsid w:val="0021687B"/>
    <w:rsid w:val="0022128E"/>
    <w:rsid w:val="002226EE"/>
    <w:rsid w:val="00224800"/>
    <w:rsid w:val="0023021D"/>
    <w:rsid w:val="002337AD"/>
    <w:rsid w:val="00234C6F"/>
    <w:rsid w:val="00242EF6"/>
    <w:rsid w:val="0024533F"/>
    <w:rsid w:val="00254911"/>
    <w:rsid w:val="002560B6"/>
    <w:rsid w:val="0025670B"/>
    <w:rsid w:val="002576E7"/>
    <w:rsid w:val="00257899"/>
    <w:rsid w:val="00261F07"/>
    <w:rsid w:val="00262DD4"/>
    <w:rsid w:val="00266FAB"/>
    <w:rsid w:val="0027030F"/>
    <w:rsid w:val="00271A8A"/>
    <w:rsid w:val="002757C2"/>
    <w:rsid w:val="00280FAF"/>
    <w:rsid w:val="00281693"/>
    <w:rsid w:val="00281A54"/>
    <w:rsid w:val="00281B22"/>
    <w:rsid w:val="00282C4F"/>
    <w:rsid w:val="0028552D"/>
    <w:rsid w:val="0028725B"/>
    <w:rsid w:val="0028785D"/>
    <w:rsid w:val="00287CEB"/>
    <w:rsid w:val="0029477F"/>
    <w:rsid w:val="00295006"/>
    <w:rsid w:val="0029707C"/>
    <w:rsid w:val="002A0E22"/>
    <w:rsid w:val="002A1375"/>
    <w:rsid w:val="002A32D8"/>
    <w:rsid w:val="002A678D"/>
    <w:rsid w:val="002B64FF"/>
    <w:rsid w:val="002C1DDC"/>
    <w:rsid w:val="002C4993"/>
    <w:rsid w:val="002D5BC7"/>
    <w:rsid w:val="002D7CE0"/>
    <w:rsid w:val="002E0206"/>
    <w:rsid w:val="002E0592"/>
    <w:rsid w:val="002E0EBB"/>
    <w:rsid w:val="002E7DE4"/>
    <w:rsid w:val="002F1AB7"/>
    <w:rsid w:val="002F26EB"/>
    <w:rsid w:val="002F46B1"/>
    <w:rsid w:val="002F5018"/>
    <w:rsid w:val="002F72BC"/>
    <w:rsid w:val="002F7884"/>
    <w:rsid w:val="0031205F"/>
    <w:rsid w:val="00333A21"/>
    <w:rsid w:val="0033415D"/>
    <w:rsid w:val="00336018"/>
    <w:rsid w:val="003361A6"/>
    <w:rsid w:val="0034292C"/>
    <w:rsid w:val="003433ED"/>
    <w:rsid w:val="00343C0F"/>
    <w:rsid w:val="00343FDD"/>
    <w:rsid w:val="00344897"/>
    <w:rsid w:val="003517E9"/>
    <w:rsid w:val="00356005"/>
    <w:rsid w:val="00366F2A"/>
    <w:rsid w:val="0036768E"/>
    <w:rsid w:val="00370F28"/>
    <w:rsid w:val="00373816"/>
    <w:rsid w:val="00374F49"/>
    <w:rsid w:val="0038198C"/>
    <w:rsid w:val="00382516"/>
    <w:rsid w:val="003938F5"/>
    <w:rsid w:val="00394C79"/>
    <w:rsid w:val="00397C61"/>
    <w:rsid w:val="00397F64"/>
    <w:rsid w:val="003A010C"/>
    <w:rsid w:val="003A2967"/>
    <w:rsid w:val="003A4F55"/>
    <w:rsid w:val="003A7412"/>
    <w:rsid w:val="003A7B1F"/>
    <w:rsid w:val="003B229D"/>
    <w:rsid w:val="003B4C2C"/>
    <w:rsid w:val="003B77C1"/>
    <w:rsid w:val="003B7B42"/>
    <w:rsid w:val="003D145F"/>
    <w:rsid w:val="003D4F9F"/>
    <w:rsid w:val="003D6257"/>
    <w:rsid w:val="003D7ADB"/>
    <w:rsid w:val="003D7AEE"/>
    <w:rsid w:val="003E10C8"/>
    <w:rsid w:val="003E22DB"/>
    <w:rsid w:val="003E5070"/>
    <w:rsid w:val="003F05BF"/>
    <w:rsid w:val="003F1DAF"/>
    <w:rsid w:val="003F2598"/>
    <w:rsid w:val="00403574"/>
    <w:rsid w:val="004068DD"/>
    <w:rsid w:val="004077A5"/>
    <w:rsid w:val="00407BB0"/>
    <w:rsid w:val="004144B4"/>
    <w:rsid w:val="00415603"/>
    <w:rsid w:val="00416828"/>
    <w:rsid w:val="0042351E"/>
    <w:rsid w:val="004237A8"/>
    <w:rsid w:val="00424991"/>
    <w:rsid w:val="00425476"/>
    <w:rsid w:val="004260A8"/>
    <w:rsid w:val="00426B42"/>
    <w:rsid w:val="0043010D"/>
    <w:rsid w:val="004306DD"/>
    <w:rsid w:val="004312FD"/>
    <w:rsid w:val="00432E4B"/>
    <w:rsid w:val="0043348C"/>
    <w:rsid w:val="00437537"/>
    <w:rsid w:val="004404C9"/>
    <w:rsid w:val="00440AC6"/>
    <w:rsid w:val="004430B9"/>
    <w:rsid w:val="004449DE"/>
    <w:rsid w:val="00451A42"/>
    <w:rsid w:val="0045328A"/>
    <w:rsid w:val="004542D1"/>
    <w:rsid w:val="0045505C"/>
    <w:rsid w:val="004610D4"/>
    <w:rsid w:val="00461BA7"/>
    <w:rsid w:val="00463A4E"/>
    <w:rsid w:val="00463E03"/>
    <w:rsid w:val="00467AF4"/>
    <w:rsid w:val="00474519"/>
    <w:rsid w:val="004746DC"/>
    <w:rsid w:val="004765F6"/>
    <w:rsid w:val="004776E6"/>
    <w:rsid w:val="00477BD5"/>
    <w:rsid w:val="00481C33"/>
    <w:rsid w:val="00483B74"/>
    <w:rsid w:val="00485083"/>
    <w:rsid w:val="00485717"/>
    <w:rsid w:val="00486FCE"/>
    <w:rsid w:val="00491A56"/>
    <w:rsid w:val="004953A8"/>
    <w:rsid w:val="004A4380"/>
    <w:rsid w:val="004A6B29"/>
    <w:rsid w:val="004B37D5"/>
    <w:rsid w:val="004B3997"/>
    <w:rsid w:val="004B493A"/>
    <w:rsid w:val="004B68FD"/>
    <w:rsid w:val="004C548E"/>
    <w:rsid w:val="004C5F42"/>
    <w:rsid w:val="004C76C8"/>
    <w:rsid w:val="004D4FAA"/>
    <w:rsid w:val="004E13A6"/>
    <w:rsid w:val="004E2E47"/>
    <w:rsid w:val="004E33B5"/>
    <w:rsid w:val="004E341B"/>
    <w:rsid w:val="004E5C45"/>
    <w:rsid w:val="004E65BD"/>
    <w:rsid w:val="004F0DB4"/>
    <w:rsid w:val="00501EED"/>
    <w:rsid w:val="00504FE6"/>
    <w:rsid w:val="00507198"/>
    <w:rsid w:val="00507D6A"/>
    <w:rsid w:val="00512FFE"/>
    <w:rsid w:val="00514CC6"/>
    <w:rsid w:val="005225EA"/>
    <w:rsid w:val="005265D2"/>
    <w:rsid w:val="00530B08"/>
    <w:rsid w:val="00532D74"/>
    <w:rsid w:val="00541C39"/>
    <w:rsid w:val="0054238C"/>
    <w:rsid w:val="00544490"/>
    <w:rsid w:val="00547C07"/>
    <w:rsid w:val="0055309F"/>
    <w:rsid w:val="00553C8B"/>
    <w:rsid w:val="00562547"/>
    <w:rsid w:val="005629E0"/>
    <w:rsid w:val="00563FFF"/>
    <w:rsid w:val="00565261"/>
    <w:rsid w:val="00567AC4"/>
    <w:rsid w:val="005772B8"/>
    <w:rsid w:val="00577329"/>
    <w:rsid w:val="00580D18"/>
    <w:rsid w:val="00582426"/>
    <w:rsid w:val="00582E3A"/>
    <w:rsid w:val="005842A4"/>
    <w:rsid w:val="0058604A"/>
    <w:rsid w:val="00586BCA"/>
    <w:rsid w:val="0058772A"/>
    <w:rsid w:val="0059094A"/>
    <w:rsid w:val="00595701"/>
    <w:rsid w:val="005967F9"/>
    <w:rsid w:val="005A2E2A"/>
    <w:rsid w:val="005B742D"/>
    <w:rsid w:val="005B7C8B"/>
    <w:rsid w:val="005C0261"/>
    <w:rsid w:val="005C0E68"/>
    <w:rsid w:val="005C1A5D"/>
    <w:rsid w:val="005C36F6"/>
    <w:rsid w:val="005C3D07"/>
    <w:rsid w:val="005C6161"/>
    <w:rsid w:val="005C7117"/>
    <w:rsid w:val="005D3946"/>
    <w:rsid w:val="005D3A37"/>
    <w:rsid w:val="005E54A3"/>
    <w:rsid w:val="005E5A2A"/>
    <w:rsid w:val="005E7B20"/>
    <w:rsid w:val="005F0FC4"/>
    <w:rsid w:val="005F169B"/>
    <w:rsid w:val="005F7B57"/>
    <w:rsid w:val="00605D8A"/>
    <w:rsid w:val="0061120D"/>
    <w:rsid w:val="006131DA"/>
    <w:rsid w:val="00613A93"/>
    <w:rsid w:val="00614418"/>
    <w:rsid w:val="006158DD"/>
    <w:rsid w:val="0061758A"/>
    <w:rsid w:val="006213E2"/>
    <w:rsid w:val="00626193"/>
    <w:rsid w:val="006263F8"/>
    <w:rsid w:val="00626CA6"/>
    <w:rsid w:val="00631C6E"/>
    <w:rsid w:val="0063271A"/>
    <w:rsid w:val="00632D91"/>
    <w:rsid w:val="00633E6E"/>
    <w:rsid w:val="006352A2"/>
    <w:rsid w:val="006363C3"/>
    <w:rsid w:val="00640C2D"/>
    <w:rsid w:val="00641D89"/>
    <w:rsid w:val="0064580C"/>
    <w:rsid w:val="006459B0"/>
    <w:rsid w:val="00647006"/>
    <w:rsid w:val="00647C92"/>
    <w:rsid w:val="0066141F"/>
    <w:rsid w:val="006624A0"/>
    <w:rsid w:val="0066383F"/>
    <w:rsid w:val="00663860"/>
    <w:rsid w:val="006645A9"/>
    <w:rsid w:val="006662D6"/>
    <w:rsid w:val="00666544"/>
    <w:rsid w:val="00667E4A"/>
    <w:rsid w:val="00674622"/>
    <w:rsid w:val="006766C4"/>
    <w:rsid w:val="00677138"/>
    <w:rsid w:val="00684B1E"/>
    <w:rsid w:val="00692034"/>
    <w:rsid w:val="006922A0"/>
    <w:rsid w:val="00696195"/>
    <w:rsid w:val="00696C19"/>
    <w:rsid w:val="00696DFD"/>
    <w:rsid w:val="0069770E"/>
    <w:rsid w:val="006A04F6"/>
    <w:rsid w:val="006A4551"/>
    <w:rsid w:val="006A456A"/>
    <w:rsid w:val="006A494C"/>
    <w:rsid w:val="006A585D"/>
    <w:rsid w:val="006B6A2F"/>
    <w:rsid w:val="006B6ACA"/>
    <w:rsid w:val="006C00C4"/>
    <w:rsid w:val="006C15D1"/>
    <w:rsid w:val="006C2ADD"/>
    <w:rsid w:val="006C35B3"/>
    <w:rsid w:val="006C3F86"/>
    <w:rsid w:val="006C44DB"/>
    <w:rsid w:val="006C657D"/>
    <w:rsid w:val="006C7D49"/>
    <w:rsid w:val="006C7F7B"/>
    <w:rsid w:val="006D15DE"/>
    <w:rsid w:val="006D3BD5"/>
    <w:rsid w:val="006D44AB"/>
    <w:rsid w:val="006D4DBB"/>
    <w:rsid w:val="006D5457"/>
    <w:rsid w:val="006D56F9"/>
    <w:rsid w:val="006D69FD"/>
    <w:rsid w:val="006D6E83"/>
    <w:rsid w:val="006E26BF"/>
    <w:rsid w:val="006E50DE"/>
    <w:rsid w:val="006F1499"/>
    <w:rsid w:val="006F4CF7"/>
    <w:rsid w:val="006F4DCC"/>
    <w:rsid w:val="006F5A13"/>
    <w:rsid w:val="006F64E0"/>
    <w:rsid w:val="00702D71"/>
    <w:rsid w:val="00703985"/>
    <w:rsid w:val="00705171"/>
    <w:rsid w:val="007062D3"/>
    <w:rsid w:val="00706582"/>
    <w:rsid w:val="00711AB7"/>
    <w:rsid w:val="00712C7D"/>
    <w:rsid w:val="0071335E"/>
    <w:rsid w:val="00714B15"/>
    <w:rsid w:val="00716BD9"/>
    <w:rsid w:val="0071791D"/>
    <w:rsid w:val="00717925"/>
    <w:rsid w:val="007228D5"/>
    <w:rsid w:val="00723846"/>
    <w:rsid w:val="00723D76"/>
    <w:rsid w:val="00730D0E"/>
    <w:rsid w:val="0073150B"/>
    <w:rsid w:val="00731A8B"/>
    <w:rsid w:val="007339EF"/>
    <w:rsid w:val="007345BF"/>
    <w:rsid w:val="00737161"/>
    <w:rsid w:val="00742D21"/>
    <w:rsid w:val="0074577C"/>
    <w:rsid w:val="00747BE9"/>
    <w:rsid w:val="007524F7"/>
    <w:rsid w:val="00763BDB"/>
    <w:rsid w:val="00763F4D"/>
    <w:rsid w:val="007640C4"/>
    <w:rsid w:val="007643EF"/>
    <w:rsid w:val="00767380"/>
    <w:rsid w:val="00767BBD"/>
    <w:rsid w:val="00767FC9"/>
    <w:rsid w:val="00771100"/>
    <w:rsid w:val="0077321E"/>
    <w:rsid w:val="007746BF"/>
    <w:rsid w:val="00775D8A"/>
    <w:rsid w:val="00775D8F"/>
    <w:rsid w:val="00776FC3"/>
    <w:rsid w:val="00782150"/>
    <w:rsid w:val="00787E7B"/>
    <w:rsid w:val="00791A22"/>
    <w:rsid w:val="007925C9"/>
    <w:rsid w:val="00793505"/>
    <w:rsid w:val="007946A7"/>
    <w:rsid w:val="007A6376"/>
    <w:rsid w:val="007B06F1"/>
    <w:rsid w:val="007B1D72"/>
    <w:rsid w:val="007B65BB"/>
    <w:rsid w:val="007B6A4D"/>
    <w:rsid w:val="007C22CB"/>
    <w:rsid w:val="007C401E"/>
    <w:rsid w:val="007C4845"/>
    <w:rsid w:val="007D2601"/>
    <w:rsid w:val="007D44CF"/>
    <w:rsid w:val="007D55CF"/>
    <w:rsid w:val="007D6350"/>
    <w:rsid w:val="007D75C2"/>
    <w:rsid w:val="007E1569"/>
    <w:rsid w:val="007E4487"/>
    <w:rsid w:val="007E46E3"/>
    <w:rsid w:val="007E61A9"/>
    <w:rsid w:val="007E6AC0"/>
    <w:rsid w:val="007F036B"/>
    <w:rsid w:val="007F668C"/>
    <w:rsid w:val="0080270B"/>
    <w:rsid w:val="00802B2D"/>
    <w:rsid w:val="00804E9D"/>
    <w:rsid w:val="00806CD4"/>
    <w:rsid w:val="0081044B"/>
    <w:rsid w:val="008200A0"/>
    <w:rsid w:val="00822FC0"/>
    <w:rsid w:val="00832704"/>
    <w:rsid w:val="00833EBA"/>
    <w:rsid w:val="00834043"/>
    <w:rsid w:val="00841ACC"/>
    <w:rsid w:val="00843717"/>
    <w:rsid w:val="00851746"/>
    <w:rsid w:val="00853D92"/>
    <w:rsid w:val="008551A9"/>
    <w:rsid w:val="0086585E"/>
    <w:rsid w:val="008666A9"/>
    <w:rsid w:val="008739B2"/>
    <w:rsid w:val="00876BD2"/>
    <w:rsid w:val="00880879"/>
    <w:rsid w:val="00880AE3"/>
    <w:rsid w:val="00886E57"/>
    <w:rsid w:val="00891A4E"/>
    <w:rsid w:val="00891F7D"/>
    <w:rsid w:val="008923BC"/>
    <w:rsid w:val="008961FD"/>
    <w:rsid w:val="00897C23"/>
    <w:rsid w:val="008A149C"/>
    <w:rsid w:val="008A228F"/>
    <w:rsid w:val="008A5D75"/>
    <w:rsid w:val="008A65B4"/>
    <w:rsid w:val="008A781C"/>
    <w:rsid w:val="008B0C08"/>
    <w:rsid w:val="008B4E83"/>
    <w:rsid w:val="008B5946"/>
    <w:rsid w:val="008B7A1F"/>
    <w:rsid w:val="008C0ED8"/>
    <w:rsid w:val="008C16D1"/>
    <w:rsid w:val="008C20E7"/>
    <w:rsid w:val="008C21C2"/>
    <w:rsid w:val="008C32F5"/>
    <w:rsid w:val="008C350A"/>
    <w:rsid w:val="008C3595"/>
    <w:rsid w:val="008D0E65"/>
    <w:rsid w:val="008D3B0E"/>
    <w:rsid w:val="008D4E7C"/>
    <w:rsid w:val="008D56FE"/>
    <w:rsid w:val="008E02E8"/>
    <w:rsid w:val="008E3374"/>
    <w:rsid w:val="008E5B0C"/>
    <w:rsid w:val="008E5E14"/>
    <w:rsid w:val="008E7BB4"/>
    <w:rsid w:val="008F0D9D"/>
    <w:rsid w:val="00907D50"/>
    <w:rsid w:val="0091038F"/>
    <w:rsid w:val="00911614"/>
    <w:rsid w:val="0091234E"/>
    <w:rsid w:val="009155E8"/>
    <w:rsid w:val="009265A0"/>
    <w:rsid w:val="00926B65"/>
    <w:rsid w:val="009274A7"/>
    <w:rsid w:val="00931071"/>
    <w:rsid w:val="00932509"/>
    <w:rsid w:val="00935CC8"/>
    <w:rsid w:val="00950357"/>
    <w:rsid w:val="00953BFA"/>
    <w:rsid w:val="00953F96"/>
    <w:rsid w:val="00960269"/>
    <w:rsid w:val="009612D5"/>
    <w:rsid w:val="00961950"/>
    <w:rsid w:val="00967E7A"/>
    <w:rsid w:val="00970978"/>
    <w:rsid w:val="00971423"/>
    <w:rsid w:val="00972C1F"/>
    <w:rsid w:val="009732DB"/>
    <w:rsid w:val="0097468F"/>
    <w:rsid w:val="0098204A"/>
    <w:rsid w:val="009833C2"/>
    <w:rsid w:val="009833E4"/>
    <w:rsid w:val="009834DC"/>
    <w:rsid w:val="009867D9"/>
    <w:rsid w:val="00987C28"/>
    <w:rsid w:val="00990A98"/>
    <w:rsid w:val="00994B03"/>
    <w:rsid w:val="009A0611"/>
    <w:rsid w:val="009B1D24"/>
    <w:rsid w:val="009B1D35"/>
    <w:rsid w:val="009B28E1"/>
    <w:rsid w:val="009B4CCE"/>
    <w:rsid w:val="009B525D"/>
    <w:rsid w:val="009B5D07"/>
    <w:rsid w:val="009B7D35"/>
    <w:rsid w:val="009C1FD8"/>
    <w:rsid w:val="009C2D01"/>
    <w:rsid w:val="009D2815"/>
    <w:rsid w:val="009D413C"/>
    <w:rsid w:val="009E17B2"/>
    <w:rsid w:val="009E2834"/>
    <w:rsid w:val="009E4A5D"/>
    <w:rsid w:val="009E6865"/>
    <w:rsid w:val="009F02B7"/>
    <w:rsid w:val="009F0CC8"/>
    <w:rsid w:val="009F1C0C"/>
    <w:rsid w:val="009F2DB3"/>
    <w:rsid w:val="009F4974"/>
    <w:rsid w:val="009F758C"/>
    <w:rsid w:val="00A075FB"/>
    <w:rsid w:val="00A111AE"/>
    <w:rsid w:val="00A14801"/>
    <w:rsid w:val="00A15140"/>
    <w:rsid w:val="00A20AA6"/>
    <w:rsid w:val="00A249C3"/>
    <w:rsid w:val="00A24AD0"/>
    <w:rsid w:val="00A2586B"/>
    <w:rsid w:val="00A35B9E"/>
    <w:rsid w:val="00A3642E"/>
    <w:rsid w:val="00A41BDB"/>
    <w:rsid w:val="00A44DDB"/>
    <w:rsid w:val="00A471E1"/>
    <w:rsid w:val="00A51E51"/>
    <w:rsid w:val="00A53418"/>
    <w:rsid w:val="00A5442A"/>
    <w:rsid w:val="00A558CA"/>
    <w:rsid w:val="00A57B45"/>
    <w:rsid w:val="00A57C93"/>
    <w:rsid w:val="00A72F2B"/>
    <w:rsid w:val="00A772C8"/>
    <w:rsid w:val="00A776F3"/>
    <w:rsid w:val="00A77D27"/>
    <w:rsid w:val="00A81703"/>
    <w:rsid w:val="00A84AD2"/>
    <w:rsid w:val="00A95636"/>
    <w:rsid w:val="00A9580A"/>
    <w:rsid w:val="00AA035B"/>
    <w:rsid w:val="00AA2CF4"/>
    <w:rsid w:val="00AA59F4"/>
    <w:rsid w:val="00AA6358"/>
    <w:rsid w:val="00AA637A"/>
    <w:rsid w:val="00AA6700"/>
    <w:rsid w:val="00AA7A37"/>
    <w:rsid w:val="00AB17A5"/>
    <w:rsid w:val="00AB4F89"/>
    <w:rsid w:val="00AB5391"/>
    <w:rsid w:val="00AB768E"/>
    <w:rsid w:val="00AB7833"/>
    <w:rsid w:val="00AC2132"/>
    <w:rsid w:val="00AC2359"/>
    <w:rsid w:val="00AC425B"/>
    <w:rsid w:val="00AC43B6"/>
    <w:rsid w:val="00AC4674"/>
    <w:rsid w:val="00AD04A6"/>
    <w:rsid w:val="00AD4887"/>
    <w:rsid w:val="00AE2945"/>
    <w:rsid w:val="00AE37F7"/>
    <w:rsid w:val="00AE4A02"/>
    <w:rsid w:val="00AF0A0E"/>
    <w:rsid w:val="00AF15B8"/>
    <w:rsid w:val="00AF52E4"/>
    <w:rsid w:val="00AF5EFC"/>
    <w:rsid w:val="00B01DD9"/>
    <w:rsid w:val="00B04EFB"/>
    <w:rsid w:val="00B0630F"/>
    <w:rsid w:val="00B079B0"/>
    <w:rsid w:val="00B11180"/>
    <w:rsid w:val="00B11B2B"/>
    <w:rsid w:val="00B13051"/>
    <w:rsid w:val="00B13F86"/>
    <w:rsid w:val="00B1407B"/>
    <w:rsid w:val="00B15836"/>
    <w:rsid w:val="00B21F32"/>
    <w:rsid w:val="00B2236A"/>
    <w:rsid w:val="00B234A5"/>
    <w:rsid w:val="00B23B56"/>
    <w:rsid w:val="00B25AEA"/>
    <w:rsid w:val="00B2605E"/>
    <w:rsid w:val="00B30EF4"/>
    <w:rsid w:val="00B42A42"/>
    <w:rsid w:val="00B46462"/>
    <w:rsid w:val="00B473D7"/>
    <w:rsid w:val="00B5154E"/>
    <w:rsid w:val="00B52919"/>
    <w:rsid w:val="00B60A1B"/>
    <w:rsid w:val="00B622EE"/>
    <w:rsid w:val="00B74555"/>
    <w:rsid w:val="00B80091"/>
    <w:rsid w:val="00B8078A"/>
    <w:rsid w:val="00B8225B"/>
    <w:rsid w:val="00B82290"/>
    <w:rsid w:val="00B87061"/>
    <w:rsid w:val="00B87FCF"/>
    <w:rsid w:val="00B90687"/>
    <w:rsid w:val="00B90E09"/>
    <w:rsid w:val="00B9103B"/>
    <w:rsid w:val="00B94FE5"/>
    <w:rsid w:val="00B96B4C"/>
    <w:rsid w:val="00BA35AB"/>
    <w:rsid w:val="00BA42A8"/>
    <w:rsid w:val="00BA4594"/>
    <w:rsid w:val="00BA4C40"/>
    <w:rsid w:val="00BA6113"/>
    <w:rsid w:val="00BA6D33"/>
    <w:rsid w:val="00BA6E74"/>
    <w:rsid w:val="00BA70FC"/>
    <w:rsid w:val="00BB264A"/>
    <w:rsid w:val="00BB459D"/>
    <w:rsid w:val="00BB48E4"/>
    <w:rsid w:val="00BC0E09"/>
    <w:rsid w:val="00BC5336"/>
    <w:rsid w:val="00BD143D"/>
    <w:rsid w:val="00BD2230"/>
    <w:rsid w:val="00BD3DF9"/>
    <w:rsid w:val="00BD4ADE"/>
    <w:rsid w:val="00BD5A0F"/>
    <w:rsid w:val="00BF5C38"/>
    <w:rsid w:val="00C06CCA"/>
    <w:rsid w:val="00C10C27"/>
    <w:rsid w:val="00C10D66"/>
    <w:rsid w:val="00C14367"/>
    <w:rsid w:val="00C15675"/>
    <w:rsid w:val="00C1628B"/>
    <w:rsid w:val="00C16EED"/>
    <w:rsid w:val="00C23A67"/>
    <w:rsid w:val="00C23E87"/>
    <w:rsid w:val="00C317AC"/>
    <w:rsid w:val="00C32C24"/>
    <w:rsid w:val="00C34772"/>
    <w:rsid w:val="00C35D2E"/>
    <w:rsid w:val="00C37901"/>
    <w:rsid w:val="00C422D6"/>
    <w:rsid w:val="00C438A0"/>
    <w:rsid w:val="00C460FE"/>
    <w:rsid w:val="00C51602"/>
    <w:rsid w:val="00C53077"/>
    <w:rsid w:val="00C61877"/>
    <w:rsid w:val="00C70AD7"/>
    <w:rsid w:val="00C72222"/>
    <w:rsid w:val="00C75367"/>
    <w:rsid w:val="00C75B34"/>
    <w:rsid w:val="00C800D0"/>
    <w:rsid w:val="00C8073F"/>
    <w:rsid w:val="00C811DA"/>
    <w:rsid w:val="00C8169B"/>
    <w:rsid w:val="00C82FBA"/>
    <w:rsid w:val="00C84C6B"/>
    <w:rsid w:val="00C91B86"/>
    <w:rsid w:val="00C92709"/>
    <w:rsid w:val="00CA3D52"/>
    <w:rsid w:val="00CB2617"/>
    <w:rsid w:val="00CB2CD3"/>
    <w:rsid w:val="00CB6864"/>
    <w:rsid w:val="00CC7F8C"/>
    <w:rsid w:val="00CD0238"/>
    <w:rsid w:val="00CD08F3"/>
    <w:rsid w:val="00CD108E"/>
    <w:rsid w:val="00CD1729"/>
    <w:rsid w:val="00CD5DC1"/>
    <w:rsid w:val="00CF404C"/>
    <w:rsid w:val="00CF45B9"/>
    <w:rsid w:val="00CF6AA4"/>
    <w:rsid w:val="00CF72C6"/>
    <w:rsid w:val="00CF76D8"/>
    <w:rsid w:val="00CF794D"/>
    <w:rsid w:val="00D00A4A"/>
    <w:rsid w:val="00D018CA"/>
    <w:rsid w:val="00D033F8"/>
    <w:rsid w:val="00D05309"/>
    <w:rsid w:val="00D0536D"/>
    <w:rsid w:val="00D06A10"/>
    <w:rsid w:val="00D079B9"/>
    <w:rsid w:val="00D11A11"/>
    <w:rsid w:val="00D12078"/>
    <w:rsid w:val="00D13537"/>
    <w:rsid w:val="00D14376"/>
    <w:rsid w:val="00D16CA9"/>
    <w:rsid w:val="00D17C51"/>
    <w:rsid w:val="00D211FA"/>
    <w:rsid w:val="00D21211"/>
    <w:rsid w:val="00D22877"/>
    <w:rsid w:val="00D3040B"/>
    <w:rsid w:val="00D31EA5"/>
    <w:rsid w:val="00D3325E"/>
    <w:rsid w:val="00D3534C"/>
    <w:rsid w:val="00D353B7"/>
    <w:rsid w:val="00D35EDF"/>
    <w:rsid w:val="00D36A71"/>
    <w:rsid w:val="00D43500"/>
    <w:rsid w:val="00D43CC6"/>
    <w:rsid w:val="00D50628"/>
    <w:rsid w:val="00D50DC2"/>
    <w:rsid w:val="00D54CCD"/>
    <w:rsid w:val="00D5717F"/>
    <w:rsid w:val="00D6136F"/>
    <w:rsid w:val="00D66B2D"/>
    <w:rsid w:val="00D71A60"/>
    <w:rsid w:val="00D7429D"/>
    <w:rsid w:val="00D76054"/>
    <w:rsid w:val="00D76446"/>
    <w:rsid w:val="00D769E1"/>
    <w:rsid w:val="00D77679"/>
    <w:rsid w:val="00D83C65"/>
    <w:rsid w:val="00D84721"/>
    <w:rsid w:val="00D85D7F"/>
    <w:rsid w:val="00D87920"/>
    <w:rsid w:val="00D907F8"/>
    <w:rsid w:val="00D917E4"/>
    <w:rsid w:val="00D939FD"/>
    <w:rsid w:val="00D94CEE"/>
    <w:rsid w:val="00D94D3C"/>
    <w:rsid w:val="00D97D2A"/>
    <w:rsid w:val="00DA04EE"/>
    <w:rsid w:val="00DA256E"/>
    <w:rsid w:val="00DA59AF"/>
    <w:rsid w:val="00DA6E98"/>
    <w:rsid w:val="00DB2B7D"/>
    <w:rsid w:val="00DB2CE5"/>
    <w:rsid w:val="00DB2D58"/>
    <w:rsid w:val="00DB66AC"/>
    <w:rsid w:val="00DB71E2"/>
    <w:rsid w:val="00DC00F3"/>
    <w:rsid w:val="00DC07AD"/>
    <w:rsid w:val="00DC58F5"/>
    <w:rsid w:val="00DC5A94"/>
    <w:rsid w:val="00DC5B03"/>
    <w:rsid w:val="00DC69FD"/>
    <w:rsid w:val="00DD2896"/>
    <w:rsid w:val="00DD5A0C"/>
    <w:rsid w:val="00DE442C"/>
    <w:rsid w:val="00DE4895"/>
    <w:rsid w:val="00DE55D2"/>
    <w:rsid w:val="00DE62E0"/>
    <w:rsid w:val="00DE6CB0"/>
    <w:rsid w:val="00DE7D67"/>
    <w:rsid w:val="00DF51BC"/>
    <w:rsid w:val="00DF5300"/>
    <w:rsid w:val="00E01340"/>
    <w:rsid w:val="00E11CFC"/>
    <w:rsid w:val="00E12FEB"/>
    <w:rsid w:val="00E13F4B"/>
    <w:rsid w:val="00E14970"/>
    <w:rsid w:val="00E14C6E"/>
    <w:rsid w:val="00E15054"/>
    <w:rsid w:val="00E15506"/>
    <w:rsid w:val="00E176B7"/>
    <w:rsid w:val="00E22D8B"/>
    <w:rsid w:val="00E256F1"/>
    <w:rsid w:val="00E25C1B"/>
    <w:rsid w:val="00E27B8A"/>
    <w:rsid w:val="00E30348"/>
    <w:rsid w:val="00E34730"/>
    <w:rsid w:val="00E34EF2"/>
    <w:rsid w:val="00E41DB9"/>
    <w:rsid w:val="00E41DDD"/>
    <w:rsid w:val="00E41FFA"/>
    <w:rsid w:val="00E466D0"/>
    <w:rsid w:val="00E50957"/>
    <w:rsid w:val="00E56D89"/>
    <w:rsid w:val="00E60580"/>
    <w:rsid w:val="00E63899"/>
    <w:rsid w:val="00E65D1F"/>
    <w:rsid w:val="00E66CC8"/>
    <w:rsid w:val="00E705EA"/>
    <w:rsid w:val="00E74D4C"/>
    <w:rsid w:val="00E7550B"/>
    <w:rsid w:val="00E7744A"/>
    <w:rsid w:val="00E80B68"/>
    <w:rsid w:val="00E87F02"/>
    <w:rsid w:val="00E91429"/>
    <w:rsid w:val="00E91CD1"/>
    <w:rsid w:val="00E92F40"/>
    <w:rsid w:val="00E96065"/>
    <w:rsid w:val="00EA0BE7"/>
    <w:rsid w:val="00EA78D6"/>
    <w:rsid w:val="00EB0F4E"/>
    <w:rsid w:val="00EB360B"/>
    <w:rsid w:val="00EB4182"/>
    <w:rsid w:val="00EB6555"/>
    <w:rsid w:val="00EC0890"/>
    <w:rsid w:val="00EC28E5"/>
    <w:rsid w:val="00EC2944"/>
    <w:rsid w:val="00ED2057"/>
    <w:rsid w:val="00ED2DD3"/>
    <w:rsid w:val="00ED5AF1"/>
    <w:rsid w:val="00EE0557"/>
    <w:rsid w:val="00EE0B3C"/>
    <w:rsid w:val="00EE4559"/>
    <w:rsid w:val="00EE466A"/>
    <w:rsid w:val="00EE48A1"/>
    <w:rsid w:val="00EF38FD"/>
    <w:rsid w:val="00F058AB"/>
    <w:rsid w:val="00F07B62"/>
    <w:rsid w:val="00F12DA2"/>
    <w:rsid w:val="00F133F0"/>
    <w:rsid w:val="00F13522"/>
    <w:rsid w:val="00F14103"/>
    <w:rsid w:val="00F14E6E"/>
    <w:rsid w:val="00F16017"/>
    <w:rsid w:val="00F1677D"/>
    <w:rsid w:val="00F208A6"/>
    <w:rsid w:val="00F21159"/>
    <w:rsid w:val="00F23D42"/>
    <w:rsid w:val="00F266AD"/>
    <w:rsid w:val="00F271B6"/>
    <w:rsid w:val="00F30BBA"/>
    <w:rsid w:val="00F34ABC"/>
    <w:rsid w:val="00F40160"/>
    <w:rsid w:val="00F41277"/>
    <w:rsid w:val="00F44BA7"/>
    <w:rsid w:val="00F539FF"/>
    <w:rsid w:val="00F53B62"/>
    <w:rsid w:val="00F53BA7"/>
    <w:rsid w:val="00F55DCB"/>
    <w:rsid w:val="00F5726D"/>
    <w:rsid w:val="00F573BF"/>
    <w:rsid w:val="00F60597"/>
    <w:rsid w:val="00F62D92"/>
    <w:rsid w:val="00F64EA2"/>
    <w:rsid w:val="00F67A4B"/>
    <w:rsid w:val="00F72CDD"/>
    <w:rsid w:val="00F74B77"/>
    <w:rsid w:val="00F7552B"/>
    <w:rsid w:val="00F77173"/>
    <w:rsid w:val="00F812FD"/>
    <w:rsid w:val="00F813C3"/>
    <w:rsid w:val="00F82005"/>
    <w:rsid w:val="00F82232"/>
    <w:rsid w:val="00F82F40"/>
    <w:rsid w:val="00F90762"/>
    <w:rsid w:val="00F91E03"/>
    <w:rsid w:val="00F93C5E"/>
    <w:rsid w:val="00F9505C"/>
    <w:rsid w:val="00FA1817"/>
    <w:rsid w:val="00FA1E63"/>
    <w:rsid w:val="00FA5C11"/>
    <w:rsid w:val="00FA60B1"/>
    <w:rsid w:val="00FA6DD1"/>
    <w:rsid w:val="00FB1E99"/>
    <w:rsid w:val="00FB2B2C"/>
    <w:rsid w:val="00FB4F16"/>
    <w:rsid w:val="00FB59F6"/>
    <w:rsid w:val="00FB6816"/>
    <w:rsid w:val="00FB70F8"/>
    <w:rsid w:val="00FC0DE3"/>
    <w:rsid w:val="00FC1E52"/>
    <w:rsid w:val="00FC209C"/>
    <w:rsid w:val="00FC5210"/>
    <w:rsid w:val="00FC63D9"/>
    <w:rsid w:val="00FC7231"/>
    <w:rsid w:val="00FD1072"/>
    <w:rsid w:val="00FD4FCA"/>
    <w:rsid w:val="00FD5D00"/>
    <w:rsid w:val="00FD69DA"/>
    <w:rsid w:val="00FE16D9"/>
    <w:rsid w:val="00FE2782"/>
    <w:rsid w:val="00FE46AD"/>
    <w:rsid w:val="00FE4A07"/>
    <w:rsid w:val="00FE6470"/>
    <w:rsid w:val="00FE65A9"/>
    <w:rsid w:val="00FF14A9"/>
    <w:rsid w:val="00FF4A4D"/>
    <w:rsid w:val="01424080"/>
    <w:rsid w:val="01DA571A"/>
    <w:rsid w:val="02D231A9"/>
    <w:rsid w:val="043F5581"/>
    <w:rsid w:val="04E945ED"/>
    <w:rsid w:val="05CE5094"/>
    <w:rsid w:val="05D3398B"/>
    <w:rsid w:val="068C10DD"/>
    <w:rsid w:val="06A21E1D"/>
    <w:rsid w:val="06BC04BC"/>
    <w:rsid w:val="07DC2269"/>
    <w:rsid w:val="08074CC5"/>
    <w:rsid w:val="081E5F26"/>
    <w:rsid w:val="08286052"/>
    <w:rsid w:val="083B7541"/>
    <w:rsid w:val="08EB041C"/>
    <w:rsid w:val="09795853"/>
    <w:rsid w:val="09AB21C4"/>
    <w:rsid w:val="0A456028"/>
    <w:rsid w:val="0A502116"/>
    <w:rsid w:val="0A5B2D79"/>
    <w:rsid w:val="0A846DCC"/>
    <w:rsid w:val="0AD6624D"/>
    <w:rsid w:val="0B27565B"/>
    <w:rsid w:val="0B7072F6"/>
    <w:rsid w:val="0CD44B0C"/>
    <w:rsid w:val="0D231530"/>
    <w:rsid w:val="0D6B1054"/>
    <w:rsid w:val="0DE66BD9"/>
    <w:rsid w:val="0DFE535B"/>
    <w:rsid w:val="0F456B28"/>
    <w:rsid w:val="0F5D0F7D"/>
    <w:rsid w:val="0F9E4940"/>
    <w:rsid w:val="0FF90BC3"/>
    <w:rsid w:val="10097AAC"/>
    <w:rsid w:val="100A17FA"/>
    <w:rsid w:val="106532BC"/>
    <w:rsid w:val="10FA136F"/>
    <w:rsid w:val="1101155F"/>
    <w:rsid w:val="11937A90"/>
    <w:rsid w:val="12826376"/>
    <w:rsid w:val="12CA0CED"/>
    <w:rsid w:val="12EB3769"/>
    <w:rsid w:val="14932C3E"/>
    <w:rsid w:val="14A76E88"/>
    <w:rsid w:val="14B73BDD"/>
    <w:rsid w:val="15007FA1"/>
    <w:rsid w:val="1544156C"/>
    <w:rsid w:val="15475698"/>
    <w:rsid w:val="157953B5"/>
    <w:rsid w:val="158D7180"/>
    <w:rsid w:val="162741DC"/>
    <w:rsid w:val="16BA27D2"/>
    <w:rsid w:val="16F83683"/>
    <w:rsid w:val="17063422"/>
    <w:rsid w:val="175E5E44"/>
    <w:rsid w:val="17C77B0F"/>
    <w:rsid w:val="18715250"/>
    <w:rsid w:val="1AB77182"/>
    <w:rsid w:val="1B566A66"/>
    <w:rsid w:val="1BB3226C"/>
    <w:rsid w:val="1BFF5BC7"/>
    <w:rsid w:val="1C296E03"/>
    <w:rsid w:val="1CDE7B4B"/>
    <w:rsid w:val="1D2C2918"/>
    <w:rsid w:val="1D40378A"/>
    <w:rsid w:val="1D632345"/>
    <w:rsid w:val="1D88650D"/>
    <w:rsid w:val="1D935EBB"/>
    <w:rsid w:val="1DB2110C"/>
    <w:rsid w:val="1E4062CF"/>
    <w:rsid w:val="1E6E4A7A"/>
    <w:rsid w:val="1ECA5C2A"/>
    <w:rsid w:val="1F243AE6"/>
    <w:rsid w:val="206E5362"/>
    <w:rsid w:val="20915834"/>
    <w:rsid w:val="20AF30A8"/>
    <w:rsid w:val="20B4108E"/>
    <w:rsid w:val="20B83858"/>
    <w:rsid w:val="210001DA"/>
    <w:rsid w:val="212C4FA2"/>
    <w:rsid w:val="214C3A39"/>
    <w:rsid w:val="224A32CE"/>
    <w:rsid w:val="2251240D"/>
    <w:rsid w:val="22562C01"/>
    <w:rsid w:val="22BD296B"/>
    <w:rsid w:val="22DA2E45"/>
    <w:rsid w:val="233D7DEC"/>
    <w:rsid w:val="23404D13"/>
    <w:rsid w:val="24265DF6"/>
    <w:rsid w:val="245210E6"/>
    <w:rsid w:val="24901A56"/>
    <w:rsid w:val="24E7036F"/>
    <w:rsid w:val="256249AE"/>
    <w:rsid w:val="25B06279"/>
    <w:rsid w:val="26F44C0C"/>
    <w:rsid w:val="27AB5972"/>
    <w:rsid w:val="283776B1"/>
    <w:rsid w:val="28513853"/>
    <w:rsid w:val="285E2F7E"/>
    <w:rsid w:val="29AC1F77"/>
    <w:rsid w:val="2A1C429A"/>
    <w:rsid w:val="2A6F1982"/>
    <w:rsid w:val="2ABB076B"/>
    <w:rsid w:val="2BA15745"/>
    <w:rsid w:val="2C1D0406"/>
    <w:rsid w:val="2C27172E"/>
    <w:rsid w:val="2C3A3E56"/>
    <w:rsid w:val="2C692D5F"/>
    <w:rsid w:val="2D1D66B3"/>
    <w:rsid w:val="2D4E2CA3"/>
    <w:rsid w:val="2D5B658B"/>
    <w:rsid w:val="2DC72D7B"/>
    <w:rsid w:val="2E134ED0"/>
    <w:rsid w:val="2E3F3946"/>
    <w:rsid w:val="2E401289"/>
    <w:rsid w:val="2EA71114"/>
    <w:rsid w:val="2F71123B"/>
    <w:rsid w:val="2F7B6B25"/>
    <w:rsid w:val="310048C4"/>
    <w:rsid w:val="31706EFC"/>
    <w:rsid w:val="32B71F76"/>
    <w:rsid w:val="32D97F10"/>
    <w:rsid w:val="32F0509B"/>
    <w:rsid w:val="33011D04"/>
    <w:rsid w:val="3362362C"/>
    <w:rsid w:val="339B44B7"/>
    <w:rsid w:val="33BE6521"/>
    <w:rsid w:val="33D27BB4"/>
    <w:rsid w:val="33E277BD"/>
    <w:rsid w:val="341A72B8"/>
    <w:rsid w:val="34A614EC"/>
    <w:rsid w:val="34D15CC6"/>
    <w:rsid w:val="351B34D5"/>
    <w:rsid w:val="35215D0B"/>
    <w:rsid w:val="357E2FB5"/>
    <w:rsid w:val="36A136E0"/>
    <w:rsid w:val="36B830FC"/>
    <w:rsid w:val="371B4A35"/>
    <w:rsid w:val="374D6C16"/>
    <w:rsid w:val="393A0C90"/>
    <w:rsid w:val="399E3F30"/>
    <w:rsid w:val="39C50CF5"/>
    <w:rsid w:val="3A01779F"/>
    <w:rsid w:val="3A6F6620"/>
    <w:rsid w:val="3BBC6C7B"/>
    <w:rsid w:val="3C3433F6"/>
    <w:rsid w:val="3C3915E5"/>
    <w:rsid w:val="3CB36D45"/>
    <w:rsid w:val="3D2E7CF3"/>
    <w:rsid w:val="3F3F5726"/>
    <w:rsid w:val="3F5B30C4"/>
    <w:rsid w:val="3FF64641"/>
    <w:rsid w:val="40681A0B"/>
    <w:rsid w:val="40912414"/>
    <w:rsid w:val="40C96C1C"/>
    <w:rsid w:val="40FC74C9"/>
    <w:rsid w:val="41100AEA"/>
    <w:rsid w:val="413357F5"/>
    <w:rsid w:val="4184578D"/>
    <w:rsid w:val="41A12B37"/>
    <w:rsid w:val="41F14D25"/>
    <w:rsid w:val="42102CDC"/>
    <w:rsid w:val="433B425C"/>
    <w:rsid w:val="43904669"/>
    <w:rsid w:val="43BF215B"/>
    <w:rsid w:val="44027ADC"/>
    <w:rsid w:val="44F86EB3"/>
    <w:rsid w:val="45153680"/>
    <w:rsid w:val="45773485"/>
    <w:rsid w:val="46087332"/>
    <w:rsid w:val="47282934"/>
    <w:rsid w:val="478F282E"/>
    <w:rsid w:val="47CC35C3"/>
    <w:rsid w:val="48434426"/>
    <w:rsid w:val="488026E7"/>
    <w:rsid w:val="491003DB"/>
    <w:rsid w:val="49161E60"/>
    <w:rsid w:val="49165409"/>
    <w:rsid w:val="496C71FB"/>
    <w:rsid w:val="49BF2F02"/>
    <w:rsid w:val="49CF01F0"/>
    <w:rsid w:val="4A2F2CC3"/>
    <w:rsid w:val="4B2550B5"/>
    <w:rsid w:val="4B5538DB"/>
    <w:rsid w:val="4B6938FE"/>
    <w:rsid w:val="4B8F3C58"/>
    <w:rsid w:val="4C06714C"/>
    <w:rsid w:val="4CA52EF9"/>
    <w:rsid w:val="4CF1155E"/>
    <w:rsid w:val="4D104C2F"/>
    <w:rsid w:val="4D472EDF"/>
    <w:rsid w:val="4D4809EE"/>
    <w:rsid w:val="4DBA5711"/>
    <w:rsid w:val="4E5400B6"/>
    <w:rsid w:val="4E9B31B4"/>
    <w:rsid w:val="4EA70672"/>
    <w:rsid w:val="4F375F19"/>
    <w:rsid w:val="4FAC58A4"/>
    <w:rsid w:val="4FAE3E5E"/>
    <w:rsid w:val="503E64D6"/>
    <w:rsid w:val="506A460D"/>
    <w:rsid w:val="511B12CA"/>
    <w:rsid w:val="517B61F9"/>
    <w:rsid w:val="51957BEE"/>
    <w:rsid w:val="51E87251"/>
    <w:rsid w:val="51FC176F"/>
    <w:rsid w:val="5253261E"/>
    <w:rsid w:val="52B92206"/>
    <w:rsid w:val="52D36AC4"/>
    <w:rsid w:val="53BB0DA0"/>
    <w:rsid w:val="53EE1007"/>
    <w:rsid w:val="5400150C"/>
    <w:rsid w:val="55011A98"/>
    <w:rsid w:val="55F96F9C"/>
    <w:rsid w:val="56A52A86"/>
    <w:rsid w:val="57090468"/>
    <w:rsid w:val="57A91AA6"/>
    <w:rsid w:val="580A7DB9"/>
    <w:rsid w:val="58661898"/>
    <w:rsid w:val="58D400D9"/>
    <w:rsid w:val="592C7C33"/>
    <w:rsid w:val="595F206E"/>
    <w:rsid w:val="59E75244"/>
    <w:rsid w:val="5A1334B2"/>
    <w:rsid w:val="5A436868"/>
    <w:rsid w:val="5A706AD8"/>
    <w:rsid w:val="5A8F2139"/>
    <w:rsid w:val="5BB34ACE"/>
    <w:rsid w:val="5BE21CF4"/>
    <w:rsid w:val="5C2E081C"/>
    <w:rsid w:val="5C433261"/>
    <w:rsid w:val="5D16552D"/>
    <w:rsid w:val="5D2C61A4"/>
    <w:rsid w:val="5D97273D"/>
    <w:rsid w:val="5DFC14E9"/>
    <w:rsid w:val="5E477D96"/>
    <w:rsid w:val="5EF57631"/>
    <w:rsid w:val="5F3003E3"/>
    <w:rsid w:val="5F7C51F3"/>
    <w:rsid w:val="5F9151E5"/>
    <w:rsid w:val="5F9E307A"/>
    <w:rsid w:val="5FE55373"/>
    <w:rsid w:val="604035C4"/>
    <w:rsid w:val="605B0E19"/>
    <w:rsid w:val="60AB418B"/>
    <w:rsid w:val="6112122A"/>
    <w:rsid w:val="61885EF0"/>
    <w:rsid w:val="61A422F0"/>
    <w:rsid w:val="61E14CB4"/>
    <w:rsid w:val="620E61F5"/>
    <w:rsid w:val="623805D9"/>
    <w:rsid w:val="623C567E"/>
    <w:rsid w:val="62730D7E"/>
    <w:rsid w:val="63130619"/>
    <w:rsid w:val="63750A12"/>
    <w:rsid w:val="641136A3"/>
    <w:rsid w:val="64417755"/>
    <w:rsid w:val="64446871"/>
    <w:rsid w:val="649E59CF"/>
    <w:rsid w:val="65034B77"/>
    <w:rsid w:val="65401036"/>
    <w:rsid w:val="65680AED"/>
    <w:rsid w:val="65A84902"/>
    <w:rsid w:val="66550E59"/>
    <w:rsid w:val="66F23455"/>
    <w:rsid w:val="66F31486"/>
    <w:rsid w:val="66FE624F"/>
    <w:rsid w:val="67274BC6"/>
    <w:rsid w:val="68152ADC"/>
    <w:rsid w:val="681C1ED4"/>
    <w:rsid w:val="68681755"/>
    <w:rsid w:val="68AD4486"/>
    <w:rsid w:val="691C3F67"/>
    <w:rsid w:val="693904AE"/>
    <w:rsid w:val="693978CE"/>
    <w:rsid w:val="6A5C00EE"/>
    <w:rsid w:val="6AE2388C"/>
    <w:rsid w:val="6B426304"/>
    <w:rsid w:val="6BD11BEF"/>
    <w:rsid w:val="6C053E44"/>
    <w:rsid w:val="6C7869D7"/>
    <w:rsid w:val="6C816AD7"/>
    <w:rsid w:val="6CA65E89"/>
    <w:rsid w:val="6D2C5A5F"/>
    <w:rsid w:val="6D7A275C"/>
    <w:rsid w:val="6DA52A00"/>
    <w:rsid w:val="6E0376B3"/>
    <w:rsid w:val="6E632776"/>
    <w:rsid w:val="6EB10E0B"/>
    <w:rsid w:val="6EB405FC"/>
    <w:rsid w:val="6EE315EB"/>
    <w:rsid w:val="6F8432EB"/>
    <w:rsid w:val="6F89280C"/>
    <w:rsid w:val="6FA3186E"/>
    <w:rsid w:val="6FEB0FC6"/>
    <w:rsid w:val="70166051"/>
    <w:rsid w:val="7154440B"/>
    <w:rsid w:val="719873F8"/>
    <w:rsid w:val="724C5706"/>
    <w:rsid w:val="724E0F13"/>
    <w:rsid w:val="7301709D"/>
    <w:rsid w:val="74357D46"/>
    <w:rsid w:val="74404662"/>
    <w:rsid w:val="7549654D"/>
    <w:rsid w:val="75607848"/>
    <w:rsid w:val="756F5CB1"/>
    <w:rsid w:val="75E620C9"/>
    <w:rsid w:val="75FA7A58"/>
    <w:rsid w:val="76057299"/>
    <w:rsid w:val="766E5901"/>
    <w:rsid w:val="76EF710A"/>
    <w:rsid w:val="77414299"/>
    <w:rsid w:val="78165207"/>
    <w:rsid w:val="78320343"/>
    <w:rsid w:val="7836024B"/>
    <w:rsid w:val="783F1470"/>
    <w:rsid w:val="788B099A"/>
    <w:rsid w:val="79096BA0"/>
    <w:rsid w:val="792F6FBF"/>
    <w:rsid w:val="7B4759E6"/>
    <w:rsid w:val="7B743797"/>
    <w:rsid w:val="7BA53A30"/>
    <w:rsid w:val="7C0364EE"/>
    <w:rsid w:val="7C2C753D"/>
    <w:rsid w:val="7C4F3528"/>
    <w:rsid w:val="7CA3289C"/>
    <w:rsid w:val="7CEB789B"/>
    <w:rsid w:val="7DA422A8"/>
    <w:rsid w:val="7E205149"/>
    <w:rsid w:val="7E961356"/>
    <w:rsid w:val="7F2D0E5F"/>
    <w:rsid w:val="7F34292C"/>
    <w:rsid w:val="7FA01548"/>
    <w:rsid w:val="7FFA5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8"/>
    <w:qFormat/>
    <w:uiPriority w:val="0"/>
    <w:pPr>
      <w:keepNext/>
      <w:keepLines/>
      <w:spacing w:line="576" w:lineRule="auto"/>
      <w:jc w:val="center"/>
      <w:outlineLvl w:val="0"/>
    </w:pPr>
    <w:rPr>
      <w:rFonts w:ascii="宋体" w:hAnsi="宋体" w:eastAsia="仿宋"/>
      <w:b/>
      <w:bCs/>
      <w:kern w:val="44"/>
      <w:sz w:val="30"/>
      <w:szCs w:val="44"/>
    </w:rPr>
  </w:style>
  <w:style w:type="paragraph" w:styleId="4">
    <w:name w:val="heading 2"/>
    <w:basedOn w:val="1"/>
    <w:next w:val="1"/>
    <w:link w:val="210"/>
    <w:qFormat/>
    <w:uiPriority w:val="0"/>
    <w:pPr>
      <w:keepNext/>
      <w:jc w:val="left"/>
      <w:outlineLvl w:val="1"/>
    </w:pPr>
    <w:rPr>
      <w:rFonts w:ascii="黑体" w:hAnsi="黑体" w:eastAsia="仿宋"/>
      <w:b/>
      <w:color w:val="000000"/>
      <w:sz w:val="32"/>
      <w:szCs w:val="20"/>
    </w:rPr>
  </w:style>
  <w:style w:type="paragraph" w:styleId="5">
    <w:name w:val="heading 3"/>
    <w:basedOn w:val="1"/>
    <w:next w:val="2"/>
    <w:link w:val="197"/>
    <w:qFormat/>
    <w:uiPriority w:val="0"/>
    <w:pPr>
      <w:keepNext/>
      <w:keepLines/>
      <w:spacing w:line="413" w:lineRule="auto"/>
      <w:jc w:val="center"/>
      <w:outlineLvl w:val="2"/>
    </w:pPr>
    <w:rPr>
      <w:rFonts w:ascii="Times New Roman" w:hAnsi="Times New Roman" w:eastAsia="仿宋"/>
      <w:b/>
      <w:bCs/>
      <w:sz w:val="32"/>
      <w:szCs w:val="32"/>
    </w:rPr>
  </w:style>
  <w:style w:type="paragraph" w:styleId="6">
    <w:name w:val="heading 4"/>
    <w:basedOn w:val="1"/>
    <w:next w:val="1"/>
    <w:link w:val="219"/>
    <w:qFormat/>
    <w:uiPriority w:val="0"/>
    <w:pPr>
      <w:keepNext/>
      <w:keepLines/>
      <w:tabs>
        <w:tab w:val="left" w:pos="864"/>
      </w:tabs>
      <w:adjustRightInd w:val="0"/>
      <w:spacing w:line="376" w:lineRule="atLeast"/>
      <w:ind w:left="864" w:hanging="864"/>
      <w:textAlignment w:val="baseline"/>
      <w:outlineLvl w:val="3"/>
    </w:pPr>
    <w:rPr>
      <w:rFonts w:ascii="Arial" w:hAnsi="Arial" w:eastAsia="黑体"/>
      <w:kern w:val="0"/>
      <w:sz w:val="28"/>
      <w:szCs w:val="20"/>
    </w:rPr>
  </w:style>
  <w:style w:type="paragraph" w:styleId="7">
    <w:name w:val="heading 5"/>
    <w:basedOn w:val="1"/>
    <w:next w:val="1"/>
    <w:link w:val="180"/>
    <w:qFormat/>
    <w:uiPriority w:val="0"/>
    <w:pPr>
      <w:keepNext/>
      <w:keepLines/>
      <w:tabs>
        <w:tab w:val="left" w:pos="1008"/>
      </w:tabs>
      <w:adjustRightInd w:val="0"/>
      <w:spacing w:line="376" w:lineRule="atLeast"/>
      <w:ind w:left="1008" w:hanging="1008"/>
      <w:textAlignment w:val="baseline"/>
      <w:outlineLvl w:val="4"/>
    </w:pPr>
    <w:rPr>
      <w:b/>
      <w:kern w:val="0"/>
      <w:sz w:val="28"/>
      <w:szCs w:val="20"/>
    </w:rPr>
  </w:style>
  <w:style w:type="paragraph" w:styleId="8">
    <w:name w:val="heading 6"/>
    <w:basedOn w:val="1"/>
    <w:next w:val="1"/>
    <w:link w:val="220"/>
    <w:qFormat/>
    <w:uiPriority w:val="0"/>
    <w:pPr>
      <w:keepNext/>
      <w:keepLines/>
      <w:tabs>
        <w:tab w:val="left" w:pos="1152"/>
      </w:tabs>
      <w:adjustRightInd w:val="0"/>
      <w:spacing w:line="320" w:lineRule="atLeast"/>
      <w:ind w:left="1152" w:hanging="1152"/>
      <w:textAlignment w:val="baseline"/>
      <w:outlineLvl w:val="5"/>
    </w:pPr>
    <w:rPr>
      <w:rFonts w:ascii="Arial" w:hAnsi="Arial" w:eastAsia="黑体"/>
      <w:b/>
      <w:kern w:val="0"/>
      <w:sz w:val="24"/>
      <w:szCs w:val="20"/>
    </w:rPr>
  </w:style>
  <w:style w:type="paragraph" w:styleId="9">
    <w:name w:val="heading 7"/>
    <w:basedOn w:val="1"/>
    <w:next w:val="1"/>
    <w:link w:val="199"/>
    <w:qFormat/>
    <w:uiPriority w:val="0"/>
    <w:pPr>
      <w:keepNext/>
      <w:keepLines/>
      <w:tabs>
        <w:tab w:val="left" w:pos="1296"/>
      </w:tabs>
      <w:adjustRightInd w:val="0"/>
      <w:spacing w:line="320" w:lineRule="atLeast"/>
      <w:ind w:left="1296" w:hanging="1296"/>
      <w:textAlignment w:val="baseline"/>
      <w:outlineLvl w:val="6"/>
    </w:pPr>
    <w:rPr>
      <w:b/>
      <w:kern w:val="0"/>
      <w:sz w:val="24"/>
      <w:szCs w:val="20"/>
    </w:rPr>
  </w:style>
  <w:style w:type="paragraph" w:styleId="10">
    <w:name w:val="heading 8"/>
    <w:basedOn w:val="1"/>
    <w:next w:val="1"/>
    <w:link w:val="186"/>
    <w:qFormat/>
    <w:uiPriority w:val="0"/>
    <w:pPr>
      <w:keepNext/>
      <w:keepLines/>
      <w:tabs>
        <w:tab w:val="left" w:pos="1440"/>
      </w:tabs>
      <w:adjustRightInd w:val="0"/>
      <w:spacing w:line="320" w:lineRule="atLeast"/>
      <w:ind w:left="1440" w:hanging="1440"/>
      <w:textAlignment w:val="baseline"/>
      <w:outlineLvl w:val="7"/>
    </w:pPr>
    <w:rPr>
      <w:rFonts w:ascii="Arial" w:hAnsi="Arial" w:eastAsia="黑体"/>
      <w:kern w:val="0"/>
      <w:sz w:val="24"/>
      <w:szCs w:val="20"/>
    </w:rPr>
  </w:style>
  <w:style w:type="paragraph" w:styleId="11">
    <w:name w:val="heading 9"/>
    <w:basedOn w:val="1"/>
    <w:next w:val="1"/>
    <w:link w:val="218"/>
    <w:qFormat/>
    <w:uiPriority w:val="0"/>
    <w:pPr>
      <w:keepNext/>
      <w:keepLines/>
      <w:tabs>
        <w:tab w:val="left" w:pos="1584"/>
      </w:tabs>
      <w:adjustRightInd w:val="0"/>
      <w:spacing w:line="320" w:lineRule="atLeast"/>
      <w:ind w:left="1584" w:hanging="1584"/>
      <w:textAlignment w:val="baseline"/>
      <w:outlineLvl w:val="8"/>
    </w:pPr>
    <w:rPr>
      <w:rFonts w:ascii="Arial" w:hAnsi="Arial" w:eastAsia="黑体"/>
      <w:kern w:val="0"/>
      <w:sz w:val="24"/>
      <w:szCs w:val="20"/>
    </w:rPr>
  </w:style>
  <w:style w:type="character" w:default="1" w:styleId="59">
    <w:name w:val="Default Paragraph Font"/>
    <w:semiHidden/>
    <w:unhideWhenUsed/>
    <w:qFormat/>
    <w:uiPriority w:val="1"/>
  </w:style>
  <w:style w:type="table" w:default="1" w:styleId="6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link w:val="195"/>
    <w:qFormat/>
    <w:uiPriority w:val="0"/>
    <w:pPr>
      <w:ind w:firstLine="420" w:firstLineChars="200"/>
    </w:pPr>
  </w:style>
  <w:style w:type="paragraph" w:styleId="12">
    <w:name w:val="List 3"/>
    <w:basedOn w:val="1"/>
    <w:qFormat/>
    <w:uiPriority w:val="0"/>
    <w:pPr>
      <w:ind w:left="100" w:leftChars="400" w:hanging="200" w:hangingChars="200"/>
    </w:pPr>
  </w:style>
  <w:style w:type="paragraph" w:styleId="13">
    <w:name w:val="annotation subject"/>
    <w:basedOn w:val="14"/>
    <w:next w:val="14"/>
    <w:link w:val="200"/>
    <w:qFormat/>
    <w:uiPriority w:val="0"/>
    <w:pPr>
      <w:adjustRightInd/>
      <w:spacing w:line="360" w:lineRule="auto"/>
      <w:ind w:firstLine="200" w:firstLineChars="200"/>
      <w:textAlignment w:val="auto"/>
    </w:pPr>
    <w:rPr>
      <w:rFonts w:ascii="Times New Roman"/>
      <w:b/>
      <w:bCs/>
      <w:snapToGrid/>
      <w:sz w:val="21"/>
      <w:szCs w:val="21"/>
    </w:rPr>
  </w:style>
  <w:style w:type="paragraph" w:styleId="14">
    <w:name w:val="annotation text"/>
    <w:basedOn w:val="1"/>
    <w:link w:val="203"/>
    <w:qFormat/>
    <w:uiPriority w:val="0"/>
    <w:pPr>
      <w:adjustRightInd w:val="0"/>
      <w:spacing w:line="360" w:lineRule="atLeast"/>
      <w:jc w:val="left"/>
      <w:textAlignment w:val="baseline"/>
    </w:pPr>
    <w:rPr>
      <w:rFonts w:ascii="GothicE"/>
      <w:snapToGrid w:val="0"/>
      <w:kern w:val="0"/>
      <w:sz w:val="24"/>
      <w:szCs w:val="20"/>
    </w:rPr>
  </w:style>
  <w:style w:type="paragraph" w:styleId="15">
    <w:name w:val="toc 7"/>
    <w:basedOn w:val="1"/>
    <w:next w:val="1"/>
    <w:qFormat/>
    <w:uiPriority w:val="0"/>
    <w:pPr>
      <w:adjustRightInd w:val="0"/>
      <w:spacing w:line="360" w:lineRule="auto"/>
      <w:ind w:left="1440" w:firstLine="425"/>
      <w:jc w:val="left"/>
      <w:textAlignment w:val="baseline"/>
    </w:pPr>
    <w:rPr>
      <w:sz w:val="18"/>
      <w:szCs w:val="20"/>
    </w:rPr>
  </w:style>
  <w:style w:type="paragraph" w:styleId="16">
    <w:name w:val="Body Text First Indent"/>
    <w:basedOn w:val="17"/>
    <w:link w:val="240"/>
    <w:qFormat/>
    <w:uiPriority w:val="0"/>
    <w:pPr>
      <w:ind w:firstLine="420" w:firstLineChars="100"/>
    </w:pPr>
  </w:style>
  <w:style w:type="paragraph" w:styleId="17">
    <w:name w:val="Body Text"/>
    <w:basedOn w:val="1"/>
    <w:link w:val="234"/>
    <w:qFormat/>
    <w:uiPriority w:val="0"/>
  </w:style>
  <w:style w:type="paragraph" w:styleId="18">
    <w:name w:val="index 8"/>
    <w:basedOn w:val="1"/>
    <w:next w:val="1"/>
    <w:qFormat/>
    <w:uiPriority w:val="0"/>
    <w:pPr>
      <w:adjustRightInd w:val="0"/>
      <w:spacing w:line="360" w:lineRule="auto"/>
      <w:ind w:left="1920" w:hanging="240"/>
      <w:jc w:val="left"/>
      <w:textAlignment w:val="baseline"/>
    </w:pPr>
    <w:rPr>
      <w:sz w:val="20"/>
      <w:szCs w:val="20"/>
    </w:rPr>
  </w:style>
  <w:style w:type="paragraph" w:styleId="19">
    <w:name w:val="caption"/>
    <w:basedOn w:val="1"/>
    <w:next w:val="1"/>
    <w:qFormat/>
    <w:uiPriority w:val="0"/>
    <w:rPr>
      <w:rFonts w:ascii="Arial" w:hAnsi="Arial" w:eastAsia="黑体" w:cs="Arial"/>
      <w:sz w:val="20"/>
      <w:szCs w:val="20"/>
    </w:rPr>
  </w:style>
  <w:style w:type="paragraph" w:styleId="20">
    <w:name w:val="index 5"/>
    <w:basedOn w:val="1"/>
    <w:next w:val="1"/>
    <w:qFormat/>
    <w:uiPriority w:val="0"/>
    <w:pPr>
      <w:adjustRightInd w:val="0"/>
      <w:spacing w:line="360" w:lineRule="auto"/>
      <w:ind w:left="1200" w:hanging="240"/>
      <w:jc w:val="left"/>
      <w:textAlignment w:val="baseline"/>
    </w:pPr>
    <w:rPr>
      <w:sz w:val="20"/>
      <w:szCs w:val="20"/>
    </w:rPr>
  </w:style>
  <w:style w:type="paragraph" w:styleId="21">
    <w:name w:val="List Bullet"/>
    <w:basedOn w:val="1"/>
    <w:qFormat/>
    <w:uiPriority w:val="0"/>
    <w:pPr>
      <w:spacing w:line="360" w:lineRule="auto"/>
    </w:pPr>
  </w:style>
  <w:style w:type="paragraph" w:styleId="22">
    <w:name w:val="Document Map"/>
    <w:basedOn w:val="1"/>
    <w:link w:val="189"/>
    <w:qFormat/>
    <w:uiPriority w:val="99"/>
    <w:pPr>
      <w:shd w:val="clear" w:color="auto" w:fill="000080"/>
      <w:spacing w:line="360" w:lineRule="auto"/>
      <w:ind w:firstLine="200" w:firstLineChars="200"/>
    </w:pPr>
    <w:rPr>
      <w:kern w:val="0"/>
      <w:sz w:val="2"/>
      <w:szCs w:val="20"/>
    </w:rPr>
  </w:style>
  <w:style w:type="paragraph" w:styleId="23">
    <w:name w:val="index 6"/>
    <w:basedOn w:val="1"/>
    <w:next w:val="1"/>
    <w:qFormat/>
    <w:uiPriority w:val="0"/>
    <w:pPr>
      <w:adjustRightInd w:val="0"/>
      <w:spacing w:line="360" w:lineRule="auto"/>
      <w:ind w:left="1440" w:hanging="240"/>
      <w:jc w:val="left"/>
      <w:textAlignment w:val="baseline"/>
    </w:pPr>
    <w:rPr>
      <w:sz w:val="20"/>
      <w:szCs w:val="20"/>
    </w:rPr>
  </w:style>
  <w:style w:type="paragraph" w:styleId="24">
    <w:name w:val="Body Text 3"/>
    <w:basedOn w:val="1"/>
    <w:link w:val="201"/>
    <w:qFormat/>
    <w:uiPriority w:val="0"/>
    <w:rPr>
      <w:sz w:val="16"/>
      <w:szCs w:val="16"/>
    </w:rPr>
  </w:style>
  <w:style w:type="paragraph" w:styleId="25">
    <w:name w:val="Body Text Indent"/>
    <w:basedOn w:val="1"/>
    <w:link w:val="229"/>
    <w:qFormat/>
    <w:uiPriority w:val="99"/>
    <w:pPr>
      <w:spacing w:line="540" w:lineRule="exact"/>
      <w:ind w:firstLine="480" w:firstLineChars="200"/>
    </w:pPr>
    <w:rPr>
      <w:sz w:val="24"/>
    </w:rPr>
  </w:style>
  <w:style w:type="paragraph" w:styleId="26">
    <w:name w:val="List 2"/>
    <w:basedOn w:val="1"/>
    <w:qFormat/>
    <w:uiPriority w:val="0"/>
    <w:pPr>
      <w:ind w:left="200" w:leftChars="200" w:hanging="200" w:hangingChars="200"/>
    </w:pPr>
  </w:style>
  <w:style w:type="paragraph" w:styleId="27">
    <w:name w:val="Block Text"/>
    <w:basedOn w:val="1"/>
    <w:unhideWhenUsed/>
    <w:qFormat/>
    <w:uiPriority w:val="99"/>
    <w:pPr>
      <w:autoSpaceDE w:val="0"/>
      <w:autoSpaceDN w:val="0"/>
      <w:adjustRightInd w:val="0"/>
      <w:spacing w:line="360" w:lineRule="auto"/>
      <w:ind w:left="567" w:right="281" w:hanging="533"/>
    </w:pPr>
    <w:rPr>
      <w:rFonts w:ascii="宋体"/>
      <w:szCs w:val="20"/>
    </w:rPr>
  </w:style>
  <w:style w:type="paragraph" w:styleId="28">
    <w:name w:val="index 4"/>
    <w:basedOn w:val="1"/>
    <w:next w:val="1"/>
    <w:qFormat/>
    <w:uiPriority w:val="0"/>
    <w:pPr>
      <w:adjustRightInd w:val="0"/>
      <w:spacing w:line="360" w:lineRule="auto"/>
      <w:ind w:left="960" w:hanging="240"/>
      <w:jc w:val="left"/>
      <w:textAlignment w:val="baseline"/>
    </w:pPr>
    <w:rPr>
      <w:sz w:val="20"/>
      <w:szCs w:val="20"/>
    </w:rPr>
  </w:style>
  <w:style w:type="paragraph" w:styleId="29">
    <w:name w:val="toc 5"/>
    <w:basedOn w:val="1"/>
    <w:next w:val="1"/>
    <w:qFormat/>
    <w:uiPriority w:val="0"/>
    <w:pPr>
      <w:adjustRightInd w:val="0"/>
      <w:spacing w:line="360" w:lineRule="auto"/>
      <w:ind w:left="960" w:firstLine="425"/>
      <w:jc w:val="left"/>
      <w:textAlignment w:val="baseline"/>
    </w:pPr>
    <w:rPr>
      <w:sz w:val="18"/>
      <w:szCs w:val="20"/>
    </w:rPr>
  </w:style>
  <w:style w:type="paragraph" w:styleId="30">
    <w:name w:val="toc 3"/>
    <w:basedOn w:val="1"/>
    <w:next w:val="1"/>
    <w:qFormat/>
    <w:uiPriority w:val="39"/>
    <w:pPr>
      <w:adjustRightInd w:val="0"/>
      <w:spacing w:line="360" w:lineRule="auto"/>
      <w:ind w:left="480" w:firstLine="425"/>
      <w:jc w:val="left"/>
      <w:textAlignment w:val="baseline"/>
    </w:pPr>
    <w:rPr>
      <w:i/>
      <w:sz w:val="20"/>
      <w:szCs w:val="20"/>
    </w:rPr>
  </w:style>
  <w:style w:type="paragraph" w:styleId="31">
    <w:name w:val="Plain Text"/>
    <w:basedOn w:val="1"/>
    <w:link w:val="191"/>
    <w:qFormat/>
    <w:uiPriority w:val="0"/>
    <w:pPr>
      <w:widowControl/>
      <w:spacing w:line="240" w:lineRule="atLeast"/>
    </w:pPr>
    <w:rPr>
      <w:rFonts w:ascii="宋体" w:hAnsi="Courier New"/>
      <w:sz w:val="28"/>
      <w:szCs w:val="20"/>
    </w:rPr>
  </w:style>
  <w:style w:type="paragraph" w:styleId="32">
    <w:name w:val="toc 8"/>
    <w:basedOn w:val="1"/>
    <w:next w:val="1"/>
    <w:qFormat/>
    <w:uiPriority w:val="0"/>
    <w:pPr>
      <w:adjustRightInd w:val="0"/>
      <w:spacing w:line="360" w:lineRule="auto"/>
      <w:ind w:left="1680" w:firstLine="425"/>
      <w:jc w:val="left"/>
      <w:textAlignment w:val="baseline"/>
    </w:pPr>
    <w:rPr>
      <w:sz w:val="18"/>
      <w:szCs w:val="20"/>
    </w:rPr>
  </w:style>
  <w:style w:type="paragraph" w:styleId="33">
    <w:name w:val="index 3"/>
    <w:basedOn w:val="1"/>
    <w:next w:val="1"/>
    <w:qFormat/>
    <w:uiPriority w:val="0"/>
    <w:pPr>
      <w:adjustRightInd w:val="0"/>
      <w:spacing w:line="360" w:lineRule="auto"/>
      <w:ind w:left="720" w:hanging="240"/>
      <w:jc w:val="left"/>
      <w:textAlignment w:val="baseline"/>
    </w:pPr>
    <w:rPr>
      <w:sz w:val="20"/>
      <w:szCs w:val="20"/>
    </w:rPr>
  </w:style>
  <w:style w:type="paragraph" w:styleId="34">
    <w:name w:val="Date"/>
    <w:basedOn w:val="1"/>
    <w:next w:val="1"/>
    <w:link w:val="231"/>
    <w:qFormat/>
    <w:uiPriority w:val="0"/>
    <w:pPr>
      <w:ind w:left="100" w:leftChars="2500"/>
    </w:pPr>
  </w:style>
  <w:style w:type="paragraph" w:styleId="35">
    <w:name w:val="Body Text Indent 2"/>
    <w:basedOn w:val="1"/>
    <w:link w:val="223"/>
    <w:qFormat/>
    <w:uiPriority w:val="0"/>
    <w:pPr>
      <w:spacing w:line="480" w:lineRule="auto"/>
      <w:ind w:left="420" w:leftChars="200"/>
    </w:pPr>
  </w:style>
  <w:style w:type="paragraph" w:styleId="36">
    <w:name w:val="Balloon Text"/>
    <w:basedOn w:val="1"/>
    <w:link w:val="217"/>
    <w:qFormat/>
    <w:uiPriority w:val="99"/>
    <w:rPr>
      <w:sz w:val="18"/>
      <w:szCs w:val="18"/>
    </w:rPr>
  </w:style>
  <w:style w:type="paragraph" w:styleId="37">
    <w:name w:val="footer"/>
    <w:basedOn w:val="1"/>
    <w:link w:val="222"/>
    <w:qFormat/>
    <w:uiPriority w:val="99"/>
    <w:pPr>
      <w:tabs>
        <w:tab w:val="center" w:pos="4153"/>
        <w:tab w:val="right" w:pos="8306"/>
      </w:tabs>
      <w:snapToGrid w:val="0"/>
      <w:jc w:val="left"/>
    </w:pPr>
    <w:rPr>
      <w:sz w:val="18"/>
      <w:szCs w:val="18"/>
    </w:rPr>
  </w:style>
  <w:style w:type="paragraph" w:styleId="38">
    <w:name w:val="Body Text First Indent 2"/>
    <w:basedOn w:val="25"/>
    <w:link w:val="213"/>
    <w:qFormat/>
    <w:uiPriority w:val="0"/>
    <w:pPr>
      <w:spacing w:line="240" w:lineRule="auto"/>
      <w:ind w:left="420" w:leftChars="200" w:firstLine="420"/>
    </w:pPr>
    <w:rPr>
      <w:sz w:val="21"/>
    </w:rPr>
  </w:style>
  <w:style w:type="paragraph" w:styleId="39">
    <w:name w:val="header"/>
    <w:basedOn w:val="1"/>
    <w:link w:val="181"/>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39"/>
    <w:pPr>
      <w:adjustRightInd w:val="0"/>
      <w:spacing w:line="360" w:lineRule="auto"/>
      <w:ind w:firstLine="425"/>
      <w:jc w:val="left"/>
      <w:textAlignment w:val="baseline"/>
    </w:pPr>
    <w:rPr>
      <w:b/>
      <w:caps/>
      <w:sz w:val="20"/>
      <w:szCs w:val="20"/>
    </w:rPr>
  </w:style>
  <w:style w:type="paragraph" w:styleId="41">
    <w:name w:val="toc 4"/>
    <w:basedOn w:val="1"/>
    <w:next w:val="1"/>
    <w:qFormat/>
    <w:uiPriority w:val="0"/>
    <w:pPr>
      <w:adjustRightInd w:val="0"/>
      <w:spacing w:line="360" w:lineRule="auto"/>
      <w:ind w:left="720" w:firstLine="425"/>
      <w:jc w:val="left"/>
      <w:textAlignment w:val="baseline"/>
    </w:pPr>
    <w:rPr>
      <w:sz w:val="18"/>
      <w:szCs w:val="20"/>
    </w:rPr>
  </w:style>
  <w:style w:type="paragraph" w:styleId="42">
    <w:name w:val="index heading"/>
    <w:basedOn w:val="1"/>
    <w:next w:val="43"/>
    <w:qFormat/>
    <w:uiPriority w:val="0"/>
    <w:pPr>
      <w:adjustRightInd w:val="0"/>
      <w:spacing w:line="360" w:lineRule="auto"/>
      <w:ind w:firstLine="425"/>
      <w:jc w:val="left"/>
      <w:textAlignment w:val="baseline"/>
    </w:pPr>
    <w:rPr>
      <w:b/>
      <w:i/>
      <w:sz w:val="20"/>
      <w:szCs w:val="20"/>
    </w:rPr>
  </w:style>
  <w:style w:type="paragraph" w:styleId="43">
    <w:name w:val="index 1"/>
    <w:basedOn w:val="1"/>
    <w:next w:val="1"/>
    <w:qFormat/>
    <w:uiPriority w:val="0"/>
    <w:pPr>
      <w:adjustRightInd w:val="0"/>
      <w:spacing w:line="360" w:lineRule="auto"/>
      <w:ind w:left="240" w:hanging="240"/>
      <w:jc w:val="left"/>
      <w:textAlignment w:val="baseline"/>
    </w:pPr>
    <w:rPr>
      <w:sz w:val="20"/>
      <w:szCs w:val="20"/>
    </w:rPr>
  </w:style>
  <w:style w:type="paragraph" w:styleId="44">
    <w:name w:val="Subtitle"/>
    <w:basedOn w:val="1"/>
    <w:next w:val="1"/>
    <w:link w:val="242"/>
    <w:qFormat/>
    <w:uiPriority w:val="11"/>
    <w:pPr>
      <w:spacing w:before="240" w:after="60" w:line="312" w:lineRule="auto"/>
      <w:jc w:val="center"/>
      <w:outlineLvl w:val="1"/>
    </w:pPr>
    <w:rPr>
      <w:rFonts w:ascii="Cambria" w:hAnsi="Cambria"/>
      <w:b/>
      <w:bCs/>
      <w:kern w:val="28"/>
      <w:sz w:val="32"/>
      <w:szCs w:val="32"/>
    </w:rPr>
  </w:style>
  <w:style w:type="paragraph" w:styleId="45">
    <w:name w:val="List"/>
    <w:basedOn w:val="1"/>
    <w:qFormat/>
    <w:uiPriority w:val="0"/>
    <w:pPr>
      <w:spacing w:line="360" w:lineRule="auto"/>
      <w:ind w:left="200" w:hanging="200" w:hangingChars="200"/>
    </w:pPr>
    <w:rPr>
      <w:sz w:val="24"/>
      <w:szCs w:val="21"/>
    </w:rPr>
  </w:style>
  <w:style w:type="paragraph" w:styleId="46">
    <w:name w:val="footnote text"/>
    <w:basedOn w:val="1"/>
    <w:qFormat/>
    <w:uiPriority w:val="0"/>
    <w:pPr>
      <w:adjustRightInd w:val="0"/>
      <w:spacing w:line="315" w:lineRule="atLeast"/>
      <w:textAlignment w:val="baseline"/>
    </w:pPr>
    <w:rPr>
      <w:rFonts w:ascii="宋体"/>
      <w:kern w:val="0"/>
      <w:sz w:val="24"/>
      <w:szCs w:val="20"/>
    </w:rPr>
  </w:style>
  <w:style w:type="paragraph" w:styleId="47">
    <w:name w:val="toc 6"/>
    <w:basedOn w:val="1"/>
    <w:next w:val="1"/>
    <w:qFormat/>
    <w:uiPriority w:val="0"/>
    <w:pPr>
      <w:adjustRightInd w:val="0"/>
      <w:spacing w:line="360" w:lineRule="auto"/>
      <w:ind w:left="1200" w:firstLine="425"/>
      <w:jc w:val="left"/>
      <w:textAlignment w:val="baseline"/>
    </w:pPr>
    <w:rPr>
      <w:sz w:val="18"/>
      <w:szCs w:val="20"/>
    </w:rPr>
  </w:style>
  <w:style w:type="paragraph" w:styleId="48">
    <w:name w:val="Body Text Indent 3"/>
    <w:basedOn w:val="1"/>
    <w:link w:val="233"/>
    <w:qFormat/>
    <w:uiPriority w:val="0"/>
    <w:pPr>
      <w:ind w:left="420" w:leftChars="200"/>
    </w:pPr>
    <w:rPr>
      <w:sz w:val="16"/>
      <w:szCs w:val="16"/>
    </w:rPr>
  </w:style>
  <w:style w:type="paragraph" w:styleId="49">
    <w:name w:val="index 7"/>
    <w:basedOn w:val="1"/>
    <w:next w:val="1"/>
    <w:qFormat/>
    <w:uiPriority w:val="0"/>
    <w:pPr>
      <w:adjustRightInd w:val="0"/>
      <w:spacing w:line="360" w:lineRule="auto"/>
      <w:ind w:left="1680" w:hanging="240"/>
      <w:jc w:val="left"/>
      <w:textAlignment w:val="baseline"/>
    </w:pPr>
    <w:rPr>
      <w:sz w:val="20"/>
      <w:szCs w:val="20"/>
    </w:rPr>
  </w:style>
  <w:style w:type="paragraph" w:styleId="50">
    <w:name w:val="index 9"/>
    <w:basedOn w:val="1"/>
    <w:next w:val="1"/>
    <w:qFormat/>
    <w:uiPriority w:val="0"/>
    <w:pPr>
      <w:adjustRightInd w:val="0"/>
      <w:spacing w:line="360" w:lineRule="auto"/>
      <w:ind w:left="2160" w:hanging="240"/>
      <w:jc w:val="left"/>
      <w:textAlignment w:val="baseline"/>
    </w:pPr>
    <w:rPr>
      <w:sz w:val="20"/>
      <w:szCs w:val="20"/>
    </w:rPr>
  </w:style>
  <w:style w:type="paragraph" w:styleId="51">
    <w:name w:val="table of figures"/>
    <w:basedOn w:val="1"/>
    <w:next w:val="1"/>
    <w:qFormat/>
    <w:uiPriority w:val="0"/>
    <w:pPr>
      <w:adjustRightInd w:val="0"/>
      <w:spacing w:line="360" w:lineRule="auto"/>
      <w:ind w:left="480" w:hanging="480"/>
      <w:jc w:val="left"/>
      <w:textAlignment w:val="baseline"/>
    </w:pPr>
    <w:rPr>
      <w:smallCaps/>
      <w:sz w:val="20"/>
      <w:szCs w:val="20"/>
    </w:rPr>
  </w:style>
  <w:style w:type="paragraph" w:styleId="52">
    <w:name w:val="toc 2"/>
    <w:basedOn w:val="1"/>
    <w:next w:val="1"/>
    <w:qFormat/>
    <w:uiPriority w:val="39"/>
    <w:pPr>
      <w:adjustRightInd w:val="0"/>
      <w:spacing w:line="360" w:lineRule="auto"/>
      <w:ind w:left="240" w:firstLine="425"/>
      <w:jc w:val="left"/>
      <w:textAlignment w:val="baseline"/>
    </w:pPr>
    <w:rPr>
      <w:smallCaps/>
      <w:sz w:val="20"/>
      <w:szCs w:val="20"/>
    </w:rPr>
  </w:style>
  <w:style w:type="paragraph" w:styleId="53">
    <w:name w:val="toc 9"/>
    <w:basedOn w:val="1"/>
    <w:next w:val="1"/>
    <w:qFormat/>
    <w:uiPriority w:val="0"/>
    <w:pPr>
      <w:adjustRightInd w:val="0"/>
      <w:spacing w:line="360" w:lineRule="auto"/>
      <w:ind w:left="1920" w:firstLine="425"/>
      <w:jc w:val="left"/>
      <w:textAlignment w:val="baseline"/>
    </w:pPr>
    <w:rPr>
      <w:sz w:val="18"/>
      <w:szCs w:val="20"/>
    </w:rPr>
  </w:style>
  <w:style w:type="paragraph" w:styleId="54">
    <w:name w:val="Body Text 2"/>
    <w:basedOn w:val="1"/>
    <w:link w:val="183"/>
    <w:qFormat/>
    <w:uiPriority w:val="0"/>
    <w:pPr>
      <w:spacing w:line="480" w:lineRule="auto"/>
    </w:pPr>
  </w:style>
  <w:style w:type="paragraph" w:styleId="55">
    <w:name w:val="HTML Preformatted"/>
    <w:basedOn w:val="1"/>
    <w:link w:val="20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56">
    <w:name w:val="Normal (Web)"/>
    <w:basedOn w:val="1"/>
    <w:qFormat/>
    <w:uiPriority w:val="99"/>
    <w:pPr>
      <w:widowControl/>
      <w:spacing w:beforeAutospacing="1" w:afterAutospacing="1"/>
      <w:jc w:val="left"/>
    </w:pPr>
    <w:rPr>
      <w:rFonts w:ascii="Arial Unicode MS" w:hAnsi="Arial Unicode MS" w:eastAsia="Arial Unicode MS" w:cs="Arial Unicode MS"/>
      <w:kern w:val="0"/>
      <w:sz w:val="24"/>
    </w:rPr>
  </w:style>
  <w:style w:type="paragraph" w:styleId="57">
    <w:name w:val="index 2"/>
    <w:basedOn w:val="1"/>
    <w:next w:val="1"/>
    <w:qFormat/>
    <w:uiPriority w:val="0"/>
    <w:pPr>
      <w:adjustRightInd w:val="0"/>
      <w:spacing w:line="360" w:lineRule="auto"/>
      <w:ind w:left="480" w:hanging="240"/>
      <w:jc w:val="left"/>
      <w:textAlignment w:val="baseline"/>
    </w:pPr>
    <w:rPr>
      <w:sz w:val="20"/>
      <w:szCs w:val="20"/>
    </w:rPr>
  </w:style>
  <w:style w:type="paragraph" w:styleId="58">
    <w:name w:val="Title"/>
    <w:basedOn w:val="1"/>
    <w:next w:val="1"/>
    <w:link w:val="209"/>
    <w:qFormat/>
    <w:uiPriority w:val="10"/>
    <w:pPr>
      <w:spacing w:line="360" w:lineRule="auto"/>
      <w:ind w:firstLine="200" w:firstLineChars="200"/>
      <w:jc w:val="center"/>
      <w:outlineLvl w:val="0"/>
    </w:pPr>
    <w:rPr>
      <w:rFonts w:ascii="Cambria" w:hAnsi="Cambria"/>
      <w:b/>
      <w:bCs/>
      <w:kern w:val="0"/>
      <w:sz w:val="32"/>
      <w:szCs w:val="32"/>
    </w:rPr>
  </w:style>
  <w:style w:type="character" w:styleId="60">
    <w:name w:val="Strong"/>
    <w:qFormat/>
    <w:uiPriority w:val="0"/>
    <w:rPr>
      <w:b/>
      <w:bCs/>
    </w:rPr>
  </w:style>
  <w:style w:type="character" w:styleId="61">
    <w:name w:val="page number"/>
    <w:basedOn w:val="59"/>
    <w:qFormat/>
    <w:uiPriority w:val="0"/>
  </w:style>
  <w:style w:type="character" w:styleId="62">
    <w:name w:val="FollowedHyperlink"/>
    <w:qFormat/>
    <w:uiPriority w:val="0"/>
    <w:rPr>
      <w:rFonts w:cs="Times New Roman"/>
      <w:color w:val="800080"/>
      <w:u w:val="single"/>
    </w:rPr>
  </w:style>
  <w:style w:type="character" w:styleId="63">
    <w:name w:val="Emphasis"/>
    <w:qFormat/>
    <w:uiPriority w:val="0"/>
    <w:rPr>
      <w:i/>
      <w:iCs/>
    </w:rPr>
  </w:style>
  <w:style w:type="character" w:styleId="64">
    <w:name w:val="Hyperlink"/>
    <w:qFormat/>
    <w:uiPriority w:val="99"/>
    <w:rPr>
      <w:color w:val="333333"/>
      <w:u w:val="none"/>
    </w:rPr>
  </w:style>
  <w:style w:type="character" w:styleId="65">
    <w:name w:val="annotation reference"/>
    <w:qFormat/>
    <w:uiPriority w:val="0"/>
    <w:rPr>
      <w:rFonts w:cs="Times New Roman"/>
      <w:sz w:val="21"/>
    </w:rPr>
  </w:style>
  <w:style w:type="character" w:styleId="66">
    <w:name w:val="HTML Cite"/>
    <w:basedOn w:val="59"/>
    <w:semiHidden/>
    <w:unhideWhenUsed/>
    <w:qFormat/>
    <w:uiPriority w:val="99"/>
    <w:rPr>
      <w:color w:val="008000"/>
    </w:rPr>
  </w:style>
  <w:style w:type="character" w:styleId="67">
    <w:name w:val="HTML Sample"/>
    <w:qFormat/>
    <w:uiPriority w:val="0"/>
    <w:rPr>
      <w:rFonts w:ascii="Courier New" w:hAnsi="Courier New"/>
    </w:rPr>
  </w:style>
  <w:style w:type="table" w:styleId="69">
    <w:name w:val="Table Grid"/>
    <w:basedOn w:val="6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0">
    <w:name w:val="_Style 163"/>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表格"/>
    <w:basedOn w:val="1"/>
    <w:link w:val="228"/>
    <w:qFormat/>
    <w:uiPriority w:val="0"/>
    <w:pPr>
      <w:widowControl/>
      <w:spacing w:line="360" w:lineRule="auto"/>
      <w:ind w:firstLine="200" w:firstLineChars="200"/>
      <w:jc w:val="left"/>
    </w:pPr>
    <w:rPr>
      <w:rFonts w:ascii="Calibri" w:hAnsi="Calibri"/>
      <w:kern w:val="0"/>
      <w:sz w:val="24"/>
      <w:szCs w:val="20"/>
    </w:rPr>
  </w:style>
  <w:style w:type="paragraph" w:customStyle="1" w:styleId="72">
    <w:name w:val="图示"/>
    <w:basedOn w:val="1"/>
    <w:qFormat/>
    <w:uiPriority w:val="0"/>
    <w:pPr>
      <w:spacing w:line="360" w:lineRule="auto"/>
      <w:jc w:val="center"/>
    </w:pPr>
    <w:rPr>
      <w:rFonts w:eastAsia="黑体"/>
      <w:szCs w:val="21"/>
    </w:rPr>
  </w:style>
  <w:style w:type="paragraph" w:customStyle="1" w:styleId="73">
    <w:name w:val="表格文字 居中"/>
    <w:basedOn w:val="1"/>
    <w:link w:val="192"/>
    <w:qFormat/>
    <w:uiPriority w:val="0"/>
    <w:pPr>
      <w:jc w:val="center"/>
    </w:pPr>
    <w:rPr>
      <w:rFonts w:ascii="Arial" w:hAnsi="Arial"/>
      <w:szCs w:val="20"/>
    </w:rPr>
  </w:style>
  <w:style w:type="paragraph" w:customStyle="1" w:styleId="74">
    <w:name w:val="Char1"/>
    <w:basedOn w:val="1"/>
    <w:qFormat/>
    <w:uiPriority w:val="0"/>
  </w:style>
  <w:style w:type="paragraph" w:customStyle="1" w:styleId="75">
    <w:name w:val="普通 (Web)"/>
    <w:basedOn w:val="1"/>
    <w:qFormat/>
    <w:uiPriority w:val="0"/>
    <w:pPr>
      <w:widowControl/>
      <w:spacing w:beforeAutospacing="1" w:afterAutospacing="1"/>
      <w:jc w:val="left"/>
    </w:pPr>
    <w:rPr>
      <w:rFonts w:ascii="宋体" w:hAnsi="宋体"/>
      <w:kern w:val="0"/>
      <w:sz w:val="24"/>
    </w:rPr>
  </w:style>
  <w:style w:type="paragraph" w:customStyle="1" w:styleId="76">
    <w:name w:val="文档正文"/>
    <w:basedOn w:val="1"/>
    <w:link w:val="214"/>
    <w:qFormat/>
    <w:uiPriority w:val="0"/>
    <w:pPr>
      <w:spacing w:line="440" w:lineRule="exact"/>
      <w:ind w:left="840"/>
      <w:textAlignment w:val="baseline"/>
    </w:pPr>
    <w:rPr>
      <w:rFonts w:ascii="Arial" w:hAnsi="Arial"/>
      <w:kern w:val="0"/>
      <w:szCs w:val="20"/>
    </w:rPr>
  </w:style>
  <w:style w:type="paragraph" w:customStyle="1" w:styleId="77">
    <w:name w:val="table_1stline"/>
    <w:basedOn w:val="1"/>
    <w:qFormat/>
    <w:uiPriority w:val="0"/>
    <w:pPr>
      <w:widowControl/>
      <w:spacing w:line="360" w:lineRule="auto"/>
      <w:ind w:firstLine="200" w:firstLineChars="200"/>
      <w:jc w:val="left"/>
    </w:pPr>
    <w:rPr>
      <w:bCs/>
      <w:kern w:val="0"/>
      <w:sz w:val="20"/>
      <w:szCs w:val="20"/>
      <w:lang w:val="de-DE" w:eastAsia="de-DE"/>
    </w:rPr>
  </w:style>
  <w:style w:type="paragraph" w:customStyle="1" w:styleId="78">
    <w:name w:val="三级目录"/>
    <w:next w:val="1"/>
    <w:qFormat/>
    <w:uiPriority w:val="0"/>
    <w:pPr>
      <w:ind w:firstLine="420" w:firstLineChars="150"/>
    </w:pPr>
    <w:rPr>
      <w:rFonts w:ascii="Times New Roman" w:hAnsi="Times New Roman" w:eastAsia="宋体" w:cs="Times New Roman"/>
      <w:b/>
      <w:bCs/>
      <w:kern w:val="2"/>
      <w:sz w:val="24"/>
      <w:szCs w:val="24"/>
      <w:lang w:val="en-US" w:eastAsia="zh-CN" w:bidi="ar-SA"/>
    </w:rPr>
  </w:style>
  <w:style w:type="paragraph" w:customStyle="1" w:styleId="79">
    <w:name w:val="正文 居中加粗"/>
    <w:basedOn w:val="1"/>
    <w:qFormat/>
    <w:uiPriority w:val="0"/>
    <w:pPr>
      <w:jc w:val="center"/>
    </w:pPr>
    <w:rPr>
      <w:rFonts w:ascii="Arial" w:hAnsi="Arial"/>
      <w:b/>
      <w:bCs/>
    </w:rPr>
  </w:style>
  <w:style w:type="paragraph" w:customStyle="1" w:styleId="80">
    <w:name w:val="p15"/>
    <w:basedOn w:val="1"/>
    <w:qFormat/>
    <w:uiPriority w:val="0"/>
    <w:pPr>
      <w:widowControl/>
      <w:ind w:firstLine="420"/>
    </w:pPr>
    <w:rPr>
      <w:rFonts w:ascii="Calibri" w:hAnsi="Calibri" w:cs="宋体"/>
      <w:kern w:val="0"/>
      <w:szCs w:val="21"/>
    </w:rPr>
  </w:style>
  <w:style w:type="paragraph" w:customStyle="1" w:styleId="81">
    <w:name w:val="Char"/>
    <w:basedOn w:val="1"/>
    <w:qFormat/>
    <w:uiPriority w:val="0"/>
  </w:style>
  <w:style w:type="paragraph" w:customStyle="1" w:styleId="82">
    <w:name w:val="Char Char 字元 字元 字元 Char Char Char Char"/>
    <w:basedOn w:val="1"/>
    <w:qFormat/>
    <w:uiPriority w:val="0"/>
    <w:pPr>
      <w:adjustRightInd w:val="0"/>
      <w:spacing w:line="360" w:lineRule="auto"/>
    </w:pPr>
    <w:rPr>
      <w:kern w:val="0"/>
      <w:sz w:val="24"/>
      <w:szCs w:val="20"/>
    </w:rPr>
  </w:style>
  <w:style w:type="paragraph" w:customStyle="1" w:styleId="83">
    <w:name w:val="图标"/>
    <w:basedOn w:val="1"/>
    <w:next w:val="1"/>
    <w:qFormat/>
    <w:uiPriority w:val="0"/>
    <w:pPr>
      <w:tabs>
        <w:tab w:val="left" w:pos="567"/>
        <w:tab w:val="left" w:pos="840"/>
      </w:tabs>
      <w:autoSpaceDE w:val="0"/>
      <w:autoSpaceDN w:val="0"/>
      <w:adjustRightInd w:val="0"/>
      <w:snapToGrid w:val="0"/>
      <w:spacing w:line="320" w:lineRule="atLeast"/>
      <w:ind w:left="840" w:hanging="420" w:firstLineChars="200"/>
      <w:jc w:val="center"/>
      <w:textAlignment w:val="baseline"/>
    </w:pPr>
    <w:rPr>
      <w:rFonts w:eastAsia="仿宋_GB2312"/>
      <w:kern w:val="0"/>
      <w:sz w:val="24"/>
      <w:szCs w:val="20"/>
    </w:rPr>
  </w:style>
  <w:style w:type="paragraph" w:customStyle="1" w:styleId="84">
    <w:name w:val="Char1 Char Char Char Char Char Char"/>
    <w:basedOn w:val="1"/>
    <w:qFormat/>
    <w:uiPriority w:val="0"/>
  </w:style>
  <w:style w:type="paragraph" w:customStyle="1" w:styleId="85">
    <w:name w:val="图表题注"/>
    <w:basedOn w:val="19"/>
    <w:next w:val="2"/>
    <w:qFormat/>
    <w:uiPriority w:val="99"/>
    <w:pPr>
      <w:jc w:val="center"/>
    </w:pPr>
    <w:rPr>
      <w:rFonts w:ascii="Times New Roman" w:hAnsi="Times New Roman" w:eastAsia="宋体" w:cs="Times New Roman"/>
      <w:sz w:val="21"/>
    </w:rPr>
  </w:style>
  <w:style w:type="paragraph" w:customStyle="1" w:styleId="86">
    <w:name w:val="默认段落字体 Para Char Char Char Char Char Char Char"/>
    <w:basedOn w:val="1"/>
    <w:qFormat/>
    <w:uiPriority w:val="0"/>
  </w:style>
  <w:style w:type="paragraph" w:customStyle="1" w:styleId="87">
    <w:name w:val="Char Char1 Char Char Char Char Char Char"/>
    <w:basedOn w:val="1"/>
    <w:qFormat/>
    <w:uiPriority w:val="0"/>
    <w:pPr>
      <w:widowControl/>
      <w:spacing w:line="240" w:lineRule="exact"/>
      <w:jc w:val="left"/>
    </w:pPr>
    <w:rPr>
      <w:rFonts w:ascii="Verdana" w:hAnsi="Verdana" w:eastAsia="仿宋_GB2312"/>
      <w:kern w:val="0"/>
      <w:sz w:val="24"/>
      <w:szCs w:val="20"/>
      <w:lang w:eastAsia="en-US"/>
    </w:rPr>
  </w:style>
  <w:style w:type="paragraph" w:customStyle="1" w:styleId="88">
    <w:name w:val="样式12"/>
    <w:basedOn w:val="4"/>
    <w:qFormat/>
    <w:uiPriority w:val="0"/>
    <w:pPr>
      <w:keepLines/>
      <w:suppressAutoHyphens/>
      <w:spacing w:after="100"/>
      <w:ind w:left="960" w:leftChars="400"/>
      <w:jc w:val="left"/>
    </w:pPr>
    <w:rPr>
      <w:rFonts w:ascii="宋体" w:hAnsi="宋体" w:eastAsia="宋体"/>
      <w:bCs/>
      <w:kern w:val="44"/>
      <w:szCs w:val="32"/>
    </w:rPr>
  </w:style>
  <w:style w:type="paragraph" w:customStyle="1" w:styleId="89">
    <w:name w:val="正文文本 21"/>
    <w:basedOn w:val="1"/>
    <w:qFormat/>
    <w:uiPriority w:val="0"/>
    <w:pPr>
      <w:adjustRightInd w:val="0"/>
      <w:ind w:left="1332"/>
      <w:jc w:val="left"/>
      <w:textAlignment w:val="baseline"/>
    </w:pPr>
    <w:rPr>
      <w:spacing w:val="-20"/>
      <w:sz w:val="28"/>
      <w:szCs w:val="20"/>
    </w:rPr>
  </w:style>
  <w:style w:type="paragraph" w:customStyle="1" w:styleId="90">
    <w:name w:val="标题1"/>
    <w:basedOn w:val="1"/>
    <w:next w:val="1"/>
    <w:qFormat/>
    <w:uiPriority w:val="0"/>
    <w:pPr>
      <w:tabs>
        <w:tab w:val="left" w:pos="9193"/>
        <w:tab w:val="left" w:pos="9827"/>
      </w:tabs>
      <w:autoSpaceDE w:val="0"/>
      <w:autoSpaceDN w:val="0"/>
      <w:snapToGrid w:val="0"/>
      <w:spacing w:line="700" w:lineRule="atLeast"/>
      <w:ind w:firstLine="200" w:firstLineChars="200"/>
      <w:jc w:val="center"/>
    </w:pPr>
    <w:rPr>
      <w:rFonts w:ascii="方正小标宋_GBK" w:eastAsia="方正小标宋_GBK"/>
      <w:kern w:val="0"/>
      <w:sz w:val="44"/>
      <w:szCs w:val="20"/>
    </w:rPr>
  </w:style>
  <w:style w:type="paragraph" w:customStyle="1" w:styleId="91">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方案正文"/>
    <w:basedOn w:val="2"/>
    <w:qFormat/>
    <w:uiPriority w:val="0"/>
    <w:pPr>
      <w:spacing w:line="360" w:lineRule="auto"/>
      <w:ind w:firstLine="200"/>
    </w:pPr>
  </w:style>
  <w:style w:type="paragraph" w:customStyle="1" w:styleId="93">
    <w:name w:val="正文 Char Char"/>
    <w:basedOn w:val="94"/>
    <w:qFormat/>
    <w:uiPriority w:val="0"/>
    <w:pPr>
      <w:ind w:firstLine="480" w:firstLineChars="200"/>
    </w:pPr>
    <w:rPr>
      <w:rFonts w:ascii="宋体" w:hAnsi="宋体" w:cs="宋体"/>
      <w:kern w:val="2"/>
      <w:sz w:val="24"/>
    </w:rPr>
  </w:style>
  <w:style w:type="paragraph" w:customStyle="1" w:styleId="94">
    <w:name w:val="p0"/>
    <w:basedOn w:val="1"/>
    <w:qFormat/>
    <w:uiPriority w:val="0"/>
    <w:pPr>
      <w:widowControl/>
      <w:spacing w:line="360" w:lineRule="auto"/>
      <w:ind w:hanging="1"/>
    </w:pPr>
    <w:rPr>
      <w:rFonts w:ascii="Calibri" w:hAnsi="Calibri"/>
      <w:kern w:val="0"/>
      <w:szCs w:val="20"/>
    </w:rPr>
  </w:style>
  <w:style w:type="paragraph" w:customStyle="1" w:styleId="95">
    <w:name w:val="CM8"/>
    <w:basedOn w:val="96"/>
    <w:next w:val="96"/>
    <w:qFormat/>
    <w:uiPriority w:val="0"/>
    <w:rPr>
      <w:rFonts w:cs="Times New Roman"/>
      <w:color w:val="auto"/>
    </w:rPr>
  </w:style>
  <w:style w:type="paragraph" w:customStyle="1" w:styleId="9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Char Char1 Char Char Char Char Char Char Char Char Char Char Char Char Char Char Char"/>
    <w:basedOn w:val="1"/>
    <w:qFormat/>
    <w:uiPriority w:val="0"/>
    <w:pPr>
      <w:widowControl/>
      <w:spacing w:line="240" w:lineRule="exact"/>
      <w:jc w:val="left"/>
    </w:pPr>
    <w:rPr>
      <w:szCs w:val="20"/>
    </w:rPr>
  </w:style>
  <w:style w:type="paragraph" w:customStyle="1" w:styleId="98">
    <w:name w:val="xl2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line="360" w:lineRule="auto"/>
      <w:ind w:firstLine="200" w:firstLineChars="200"/>
      <w:jc w:val="left"/>
    </w:pPr>
    <w:rPr>
      <w:rFonts w:ascii="宋体" w:hAnsi="宋体"/>
      <w:kern w:val="0"/>
      <w:sz w:val="24"/>
    </w:rPr>
  </w:style>
  <w:style w:type="paragraph" w:customStyle="1" w:styleId="99">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100">
    <w:name w:val="样式1"/>
    <w:basedOn w:val="1"/>
    <w:qFormat/>
    <w:uiPriority w:val="0"/>
    <w:pPr>
      <w:adjustRightInd w:val="0"/>
      <w:spacing w:line="420" w:lineRule="auto"/>
      <w:jc w:val="center"/>
      <w:textAlignment w:val="baseline"/>
    </w:pPr>
    <w:rPr>
      <w:rFonts w:ascii="宋体"/>
      <w:kern w:val="0"/>
      <w:sz w:val="24"/>
      <w:szCs w:val="20"/>
    </w:rPr>
  </w:style>
  <w:style w:type="paragraph" w:customStyle="1" w:styleId="101">
    <w:name w:val="二级目录"/>
    <w:next w:val="1"/>
    <w:link w:val="212"/>
    <w:qFormat/>
    <w:uiPriority w:val="0"/>
    <w:pPr>
      <w:tabs>
        <w:tab w:val="left" w:pos="720"/>
      </w:tabs>
      <w:ind w:left="720" w:hanging="720"/>
      <w:outlineLvl w:val="1"/>
    </w:pPr>
    <w:rPr>
      <w:rFonts w:ascii="Times New Roman" w:hAnsi="Times New Roman" w:eastAsia="宋体" w:cs="Times New Roman"/>
      <w:b/>
      <w:kern w:val="2"/>
      <w:sz w:val="30"/>
      <w:szCs w:val="28"/>
      <w:lang w:val="en-US" w:eastAsia="zh-CN" w:bidi="ar-SA"/>
    </w:rPr>
  </w:style>
  <w:style w:type="paragraph" w:customStyle="1" w:styleId="102">
    <w:name w:val="默认段落字体 Para Char Char Char Char Char Char Char Char Char1 Char Char Char Char Char Char Char"/>
    <w:basedOn w:val="22"/>
    <w:qFormat/>
    <w:uiPriority w:val="0"/>
    <w:rPr>
      <w:rFonts w:ascii="Tahoma" w:hAnsi="Tahoma"/>
      <w:szCs w:val="24"/>
    </w:rPr>
  </w:style>
  <w:style w:type="paragraph" w:customStyle="1" w:styleId="103">
    <w:name w:val="Bullet 1"/>
    <w:basedOn w:val="17"/>
    <w:qFormat/>
    <w:uiPriority w:val="0"/>
    <w:pPr>
      <w:widowControl/>
      <w:tabs>
        <w:tab w:val="left" w:pos="495"/>
      </w:tabs>
      <w:autoSpaceDE w:val="0"/>
      <w:autoSpaceDN w:val="0"/>
      <w:adjustRightInd w:val="0"/>
      <w:ind w:left="495"/>
      <w:jc w:val="left"/>
    </w:pPr>
    <w:rPr>
      <w:rFonts w:ascii="宋体常规" w:hAnsi="宋体常规"/>
      <w:kern w:val="0"/>
      <w:sz w:val="24"/>
      <w:lang w:eastAsia="en-US"/>
    </w:rPr>
  </w:style>
  <w:style w:type="paragraph" w:customStyle="1" w:styleId="104">
    <w:name w:val="Char1 Char Char Char"/>
    <w:basedOn w:val="1"/>
    <w:qFormat/>
    <w:uiPriority w:val="0"/>
  </w:style>
  <w:style w:type="paragraph" w:customStyle="1" w:styleId="105">
    <w:name w:val="NRSection"/>
    <w:basedOn w:val="1"/>
    <w:qFormat/>
    <w:uiPriority w:val="0"/>
    <w:pPr>
      <w:widowControl/>
      <w:jc w:val="left"/>
      <w:outlineLvl w:val="4"/>
    </w:pPr>
    <w:rPr>
      <w:b/>
      <w:kern w:val="0"/>
      <w:sz w:val="24"/>
      <w:szCs w:val="20"/>
    </w:rPr>
  </w:style>
  <w:style w:type="paragraph" w:customStyle="1" w:styleId="106">
    <w:name w:val="HDD 4"/>
    <w:basedOn w:val="39"/>
    <w:qFormat/>
    <w:uiPriority w:val="0"/>
    <w:pPr>
      <w:widowControl/>
      <w:numPr>
        <w:ilvl w:val="0"/>
        <w:numId w:val="1"/>
      </w:numPr>
      <w:pBdr>
        <w:bottom w:val="none" w:color="auto" w:sz="0" w:space="0"/>
      </w:pBdr>
      <w:tabs>
        <w:tab w:val="clear" w:pos="720"/>
        <w:tab w:val="clear" w:pos="4153"/>
        <w:tab w:val="clear" w:pos="8306"/>
      </w:tabs>
      <w:snapToGrid/>
      <w:ind w:right="2267"/>
      <w:jc w:val="left"/>
    </w:pPr>
    <w:rPr>
      <w:kern w:val="0"/>
      <w:szCs w:val="20"/>
    </w:rPr>
  </w:style>
  <w:style w:type="paragraph" w:customStyle="1" w:styleId="107">
    <w:name w:val="表格文字"/>
    <w:next w:val="17"/>
    <w:qFormat/>
    <w:uiPriority w:val="0"/>
    <w:pPr>
      <w:jc w:val="center"/>
    </w:pPr>
    <w:rPr>
      <w:rFonts w:ascii="Times New Roman" w:hAnsi="Times New Roman" w:eastAsia="楷体_GB2312" w:cs="Times New Roman"/>
      <w:bCs/>
      <w:sz w:val="24"/>
      <w:lang w:val="en-US" w:eastAsia="zh-CN" w:bidi="ar-SA"/>
    </w:rPr>
  </w:style>
  <w:style w:type="paragraph" w:customStyle="1" w:styleId="108">
    <w:name w:val="Char Char Char Char1"/>
    <w:basedOn w:val="22"/>
    <w:qFormat/>
    <w:uiPriority w:val="0"/>
    <w:pPr>
      <w:adjustRightInd w:val="0"/>
      <w:snapToGrid w:val="0"/>
    </w:pPr>
    <w:rPr>
      <w:rFonts w:ascii="Tahoma" w:hAnsi="Tahoma"/>
      <w:szCs w:val="24"/>
    </w:rPr>
  </w:style>
  <w:style w:type="paragraph" w:customStyle="1" w:styleId="109">
    <w:name w:val="正文文本 211"/>
    <w:basedOn w:val="1"/>
    <w:qFormat/>
    <w:uiPriority w:val="0"/>
    <w:pPr>
      <w:adjustRightInd w:val="0"/>
      <w:ind w:left="1332"/>
      <w:jc w:val="left"/>
      <w:textAlignment w:val="baseline"/>
    </w:pPr>
    <w:rPr>
      <w:spacing w:val="-20"/>
      <w:sz w:val="28"/>
      <w:szCs w:val="20"/>
    </w:rPr>
  </w:style>
  <w:style w:type="paragraph" w:customStyle="1" w:styleId="110">
    <w:name w:val="Body Text(ch)"/>
    <w:basedOn w:val="1"/>
    <w:next w:val="17"/>
    <w:qFormat/>
    <w:uiPriority w:val="0"/>
    <w:pPr>
      <w:spacing w:line="360" w:lineRule="auto"/>
      <w:ind w:firstLine="200" w:firstLineChars="200"/>
    </w:pPr>
    <w:rPr>
      <w:rFonts w:ascii="宋体" w:hAnsi="Arial"/>
      <w:bCs/>
      <w:iCs/>
      <w:sz w:val="24"/>
    </w:rPr>
  </w:style>
  <w:style w:type="paragraph" w:customStyle="1" w:styleId="111">
    <w:name w:val="标题10"/>
    <w:basedOn w:val="9"/>
    <w:qFormat/>
    <w:uiPriority w:val="0"/>
    <w:pPr>
      <w:tabs>
        <w:tab w:val="left" w:pos="360"/>
        <w:tab w:val="left" w:pos="720"/>
        <w:tab w:val="clear" w:pos="1296"/>
      </w:tabs>
      <w:ind w:left="901" w:leftChars="300" w:hanging="181"/>
    </w:pPr>
    <w:rPr>
      <w:rFonts w:eastAsia="楷体_GB2312"/>
      <w:szCs w:val="24"/>
    </w:rPr>
  </w:style>
  <w:style w:type="paragraph" w:customStyle="1" w:styleId="112">
    <w:name w:val="CM73"/>
    <w:basedOn w:val="96"/>
    <w:next w:val="96"/>
    <w:qFormat/>
    <w:uiPriority w:val="0"/>
    <w:rPr>
      <w:rFonts w:cs="Times New Roman"/>
      <w:color w:val="auto"/>
    </w:rPr>
  </w:style>
  <w:style w:type="paragraph" w:customStyle="1" w:styleId="113">
    <w:name w:val="font6"/>
    <w:basedOn w:val="1"/>
    <w:qFormat/>
    <w:uiPriority w:val="0"/>
    <w:pPr>
      <w:widowControl/>
      <w:spacing w:beforeAutospacing="1" w:afterAutospacing="1" w:line="360" w:lineRule="auto"/>
      <w:ind w:firstLine="200" w:firstLineChars="200"/>
      <w:jc w:val="left"/>
    </w:pPr>
    <w:rPr>
      <w:rFonts w:ascii="宋体" w:hAnsi="宋体"/>
      <w:kern w:val="0"/>
      <w:sz w:val="28"/>
      <w:szCs w:val="28"/>
      <w:u w:val="single"/>
    </w:rPr>
  </w:style>
  <w:style w:type="paragraph" w:customStyle="1" w:styleId="114">
    <w:name w:val="Char Char Char Char Char Char Char Char Char"/>
    <w:basedOn w:val="1"/>
    <w:qFormat/>
    <w:uiPriority w:val="0"/>
    <w:pPr>
      <w:snapToGrid w:val="0"/>
      <w:spacing w:line="360" w:lineRule="auto"/>
      <w:ind w:firstLine="200" w:firstLineChars="200"/>
    </w:pPr>
    <w:rPr>
      <w:rFonts w:ascii="Tahoma" w:hAnsi="Tahoma"/>
      <w:sz w:val="24"/>
      <w:szCs w:val="20"/>
    </w:rPr>
  </w:style>
  <w:style w:type="paragraph" w:customStyle="1" w:styleId="115">
    <w:name w:val="默认段落字体 Para"/>
    <w:basedOn w:val="1"/>
    <w:qFormat/>
    <w:uiPriority w:val="0"/>
    <w:pPr>
      <w:spacing w:line="360" w:lineRule="auto"/>
    </w:pPr>
    <w:rPr>
      <w:rFonts w:ascii="Tahoma" w:hAnsi="Tahoma"/>
      <w:sz w:val="24"/>
      <w:szCs w:val="20"/>
    </w:rPr>
  </w:style>
  <w:style w:type="paragraph" w:customStyle="1" w:styleId="116">
    <w:name w:val="标题3"/>
    <w:basedOn w:val="1"/>
    <w:next w:val="1"/>
    <w:qFormat/>
    <w:uiPriority w:val="0"/>
    <w:pPr>
      <w:autoSpaceDE w:val="0"/>
      <w:autoSpaceDN w:val="0"/>
      <w:snapToGrid w:val="0"/>
      <w:spacing w:line="590" w:lineRule="atLeast"/>
      <w:ind w:firstLine="624" w:firstLineChars="200"/>
    </w:pPr>
    <w:rPr>
      <w:rFonts w:ascii="方正黑体_GBK" w:eastAsia="方正黑体_GBK"/>
      <w:kern w:val="0"/>
      <w:sz w:val="32"/>
      <w:szCs w:val="32"/>
    </w:rPr>
  </w:style>
  <w:style w:type="paragraph" w:customStyle="1" w:styleId="117">
    <w:name w:val="List Paragraph1"/>
    <w:basedOn w:val="1"/>
    <w:qFormat/>
    <w:uiPriority w:val="0"/>
    <w:pPr>
      <w:ind w:firstLine="420" w:firstLineChars="200"/>
    </w:pPr>
    <w:rPr>
      <w:rFonts w:eastAsia="仿宋_GB2312"/>
      <w:sz w:val="32"/>
    </w:rPr>
  </w:style>
  <w:style w:type="paragraph" w:customStyle="1" w:styleId="118">
    <w:name w:val="xl24"/>
    <w:basedOn w:val="1"/>
    <w:qFormat/>
    <w:uiPriority w:val="0"/>
    <w:pPr>
      <w:widowControl/>
      <w:pBdr>
        <w:left w:val="single" w:color="auto" w:sz="4" w:space="0"/>
        <w:bottom w:val="single" w:color="auto" w:sz="4" w:space="0"/>
        <w:right w:val="single" w:color="auto" w:sz="4" w:space="0"/>
      </w:pBdr>
      <w:spacing w:beforeAutospacing="1" w:afterAutospacing="1" w:line="360" w:lineRule="auto"/>
      <w:ind w:firstLine="200" w:firstLineChars="200"/>
      <w:jc w:val="center"/>
      <w:textAlignment w:val="bottom"/>
    </w:pPr>
    <w:rPr>
      <w:rFonts w:ascii="宋体" w:hAnsi="宋体"/>
      <w:kern w:val="0"/>
      <w:sz w:val="24"/>
    </w:rPr>
  </w:style>
  <w:style w:type="paragraph" w:customStyle="1" w:styleId="119">
    <w:name w:val="Char Char Char Char Char Char Char"/>
    <w:basedOn w:val="22"/>
    <w:qFormat/>
    <w:uiPriority w:val="0"/>
    <w:pPr>
      <w:adjustRightInd w:val="0"/>
      <w:snapToGrid w:val="0"/>
    </w:pPr>
    <w:rPr>
      <w:rFonts w:ascii="Tahoma" w:hAnsi="Tahoma"/>
      <w:szCs w:val="24"/>
    </w:rPr>
  </w:style>
  <w:style w:type="paragraph" w:customStyle="1" w:styleId="120">
    <w:name w:val="Style Heading 3一、Heading 3 - oldH3h33Level 3 Headheading 3B..."/>
    <w:basedOn w:val="5"/>
    <w:qFormat/>
    <w:uiPriority w:val="0"/>
    <w:pPr>
      <w:tabs>
        <w:tab w:val="left" w:pos="720"/>
      </w:tabs>
      <w:spacing w:line="360" w:lineRule="auto"/>
      <w:ind w:left="720" w:hanging="720"/>
    </w:pPr>
    <w:rPr>
      <w:rFonts w:cs="宋体"/>
      <w:sz w:val="28"/>
      <w:szCs w:val="28"/>
    </w:rPr>
  </w:style>
  <w:style w:type="paragraph" w:customStyle="1" w:styleId="121">
    <w:name w:val="Char Char Char1 Char"/>
    <w:basedOn w:val="1"/>
    <w:qFormat/>
    <w:uiPriority w:val="0"/>
    <w:pPr>
      <w:spacing w:line="360" w:lineRule="auto"/>
      <w:ind w:firstLine="200" w:firstLineChars="200"/>
    </w:pPr>
    <w:rPr>
      <w:rFonts w:ascii="宋体" w:hAnsi="宋体" w:cs="宋体"/>
      <w:sz w:val="24"/>
    </w:rPr>
  </w:style>
  <w:style w:type="paragraph" w:customStyle="1" w:styleId="122">
    <w:name w:val="CM63"/>
    <w:basedOn w:val="96"/>
    <w:next w:val="96"/>
    <w:qFormat/>
    <w:uiPriority w:val="0"/>
    <w:rPr>
      <w:rFonts w:cs="Times New Roman"/>
      <w:color w:val="auto"/>
    </w:rPr>
  </w:style>
  <w:style w:type="paragraph" w:customStyle="1" w:styleId="123">
    <w:name w:val="表格文字 居中加粗"/>
    <w:basedOn w:val="1"/>
    <w:qFormat/>
    <w:uiPriority w:val="0"/>
    <w:pPr>
      <w:jc w:val="center"/>
    </w:pPr>
    <w:rPr>
      <w:rFonts w:ascii="Arial" w:hAnsi="Arial" w:cs="宋体"/>
      <w:b/>
      <w:bCs/>
      <w:szCs w:val="20"/>
    </w:rPr>
  </w:style>
  <w:style w:type="paragraph" w:customStyle="1" w:styleId="124">
    <w:name w:val="样式 标题 4 + 段前: 5 磅 段后: 5 磅 行距: 单倍行距"/>
    <w:basedOn w:val="6"/>
    <w:qFormat/>
    <w:uiPriority w:val="0"/>
    <w:pPr>
      <w:tabs>
        <w:tab w:val="clear" w:pos="864"/>
      </w:tabs>
      <w:spacing w:before="100" w:after="100" w:line="240" w:lineRule="auto"/>
      <w:jc w:val="left"/>
    </w:pPr>
    <w:rPr>
      <w:rFonts w:cs="宋体"/>
      <w:bCs/>
    </w:rPr>
  </w:style>
  <w:style w:type="paragraph" w:customStyle="1" w:styleId="125">
    <w:name w:val="Char Char Char1 Char1"/>
    <w:basedOn w:val="1"/>
    <w:qFormat/>
    <w:uiPriority w:val="0"/>
    <w:pPr>
      <w:spacing w:line="360" w:lineRule="auto"/>
      <w:ind w:firstLine="200" w:firstLineChars="200"/>
    </w:pPr>
    <w:rPr>
      <w:szCs w:val="20"/>
    </w:rPr>
  </w:style>
  <w:style w:type="paragraph" w:customStyle="1" w:styleId="126">
    <w:name w:val="列出段落1"/>
    <w:basedOn w:val="1"/>
    <w:qFormat/>
    <w:uiPriority w:val="0"/>
    <w:pPr>
      <w:ind w:firstLine="420" w:firstLineChars="200"/>
    </w:pPr>
    <w:rPr>
      <w:rFonts w:ascii="Calibri" w:hAnsi="Calibri"/>
      <w:szCs w:val="22"/>
    </w:rPr>
  </w:style>
  <w:style w:type="paragraph" w:customStyle="1" w:styleId="127">
    <w:name w:val="Char11"/>
    <w:basedOn w:val="1"/>
    <w:qFormat/>
    <w:uiPriority w:val="0"/>
  </w:style>
  <w:style w:type="paragraph" w:customStyle="1" w:styleId="128">
    <w:name w:val="附录1"/>
    <w:qFormat/>
    <w:uiPriority w:val="0"/>
    <w:pPr>
      <w:tabs>
        <w:tab w:val="left" w:pos="907"/>
      </w:tabs>
      <w:snapToGrid w:val="0"/>
      <w:spacing w:before="240" w:line="600" w:lineRule="atLeast"/>
      <w:ind w:left="907" w:hanging="907"/>
    </w:pPr>
    <w:rPr>
      <w:rFonts w:ascii="Times New Roman" w:hAnsi="Times New Roman" w:eastAsia="宋体" w:cs="Times New Roman"/>
      <w:b/>
      <w:i/>
      <w:sz w:val="28"/>
      <w:lang w:val="en-US" w:eastAsia="zh-CN" w:bidi="ar-SA"/>
    </w:rPr>
  </w:style>
  <w:style w:type="paragraph" w:customStyle="1" w:styleId="129">
    <w:name w:val="样式 标题 2 + 宋体 小四 黑色 段前: 0 磅 段后: 5 磅 行距: 单倍行距"/>
    <w:basedOn w:val="4"/>
    <w:qFormat/>
    <w:uiPriority w:val="0"/>
    <w:pPr>
      <w:keepLines/>
      <w:suppressAutoHyphens/>
      <w:spacing w:after="100" w:afterAutospacing="1"/>
      <w:ind w:left="960" w:leftChars="400"/>
      <w:jc w:val="left"/>
      <w:outlineLvl w:val="2"/>
    </w:pPr>
    <w:rPr>
      <w:rFonts w:ascii="宋体" w:hAnsi="宋体" w:eastAsia="宋体" w:cs="宋体"/>
      <w:bCs/>
      <w:kern w:val="44"/>
    </w:rPr>
  </w:style>
  <w:style w:type="paragraph" w:customStyle="1" w:styleId="130">
    <w:name w:val="正文（首行缩进两字）"/>
    <w:basedOn w:val="1"/>
    <w:qFormat/>
    <w:uiPriority w:val="0"/>
    <w:pPr>
      <w:suppressAutoHyphens/>
      <w:ind w:firstLine="420"/>
      <w:jc w:val="left"/>
    </w:pPr>
    <w:rPr>
      <w:kern w:val="0"/>
      <w:sz w:val="24"/>
      <w:szCs w:val="20"/>
    </w:rPr>
  </w:style>
  <w:style w:type="paragraph" w:customStyle="1" w:styleId="131">
    <w:name w:val="样式10"/>
    <w:basedOn w:val="1"/>
    <w:qFormat/>
    <w:uiPriority w:val="0"/>
    <w:pPr>
      <w:spacing w:line="400" w:lineRule="exact"/>
      <w:jc w:val="center"/>
    </w:pPr>
    <w:rPr>
      <w:sz w:val="18"/>
      <w:szCs w:val="21"/>
    </w:rPr>
  </w:style>
  <w:style w:type="paragraph" w:customStyle="1" w:styleId="132">
    <w:name w:val="Char1 Char Char Char Char Char"/>
    <w:basedOn w:val="1"/>
    <w:qFormat/>
    <w:uiPriority w:val="0"/>
  </w:style>
  <w:style w:type="paragraph" w:customStyle="1" w:styleId="133">
    <w:name w:val="font7"/>
    <w:basedOn w:val="1"/>
    <w:qFormat/>
    <w:uiPriority w:val="0"/>
    <w:pPr>
      <w:widowControl/>
      <w:spacing w:beforeAutospacing="1" w:afterAutospacing="1" w:line="360" w:lineRule="auto"/>
      <w:ind w:firstLine="200" w:firstLineChars="200"/>
      <w:jc w:val="left"/>
    </w:pPr>
    <w:rPr>
      <w:rFonts w:ascii="宋体" w:hAnsi="宋体"/>
      <w:kern w:val="0"/>
      <w:sz w:val="18"/>
      <w:szCs w:val="18"/>
    </w:rPr>
  </w:style>
  <w:style w:type="paragraph" w:customStyle="1" w:styleId="134">
    <w:name w:val="Achievement"/>
    <w:basedOn w:val="1"/>
    <w:qFormat/>
    <w:uiPriority w:val="0"/>
    <w:pPr>
      <w:widowControl/>
      <w:ind w:left="180" w:hanging="180"/>
      <w:jc w:val="left"/>
    </w:pPr>
    <w:rPr>
      <w:kern w:val="0"/>
      <w:sz w:val="20"/>
      <w:szCs w:val="20"/>
    </w:rPr>
  </w:style>
  <w:style w:type="paragraph" w:customStyle="1" w:styleId="135">
    <w:name w:val="_Style 133"/>
    <w:basedOn w:val="3"/>
    <w:next w:val="1"/>
    <w:qFormat/>
    <w:uiPriority w:val="39"/>
    <w:pPr>
      <w:widowControl/>
      <w:spacing w:line="276" w:lineRule="auto"/>
      <w:jc w:val="left"/>
      <w:outlineLvl w:val="9"/>
    </w:pPr>
    <w:rPr>
      <w:rFonts w:ascii="Cambria" w:hAnsi="Cambria"/>
      <w:color w:val="365F91"/>
      <w:kern w:val="0"/>
      <w:sz w:val="28"/>
      <w:szCs w:val="28"/>
    </w:rPr>
  </w:style>
  <w:style w:type="paragraph" w:customStyle="1" w:styleId="136">
    <w:name w:val="CM29"/>
    <w:basedOn w:val="96"/>
    <w:next w:val="96"/>
    <w:qFormat/>
    <w:uiPriority w:val="0"/>
    <w:pPr>
      <w:spacing w:line="523" w:lineRule="atLeast"/>
    </w:pPr>
    <w:rPr>
      <w:rFonts w:cs="Times New Roman"/>
      <w:color w:val="auto"/>
    </w:rPr>
  </w:style>
  <w:style w:type="paragraph" w:customStyle="1" w:styleId="137">
    <w:name w:val="font5"/>
    <w:basedOn w:val="1"/>
    <w:qFormat/>
    <w:uiPriority w:val="0"/>
    <w:pPr>
      <w:widowControl/>
      <w:spacing w:beforeAutospacing="1" w:afterAutospacing="1" w:line="360" w:lineRule="auto"/>
      <w:ind w:firstLine="200" w:firstLineChars="200"/>
      <w:jc w:val="left"/>
    </w:pPr>
    <w:rPr>
      <w:rFonts w:ascii="宋体" w:hAnsi="宋体"/>
      <w:kern w:val="0"/>
      <w:sz w:val="28"/>
      <w:szCs w:val="28"/>
    </w:rPr>
  </w:style>
  <w:style w:type="paragraph" w:customStyle="1" w:styleId="138">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139">
    <w:name w:val="Char Char Char Char Char Char Char Char Char Char Char Char Char Char Char Char Char Char Char"/>
    <w:basedOn w:val="1"/>
    <w:qFormat/>
    <w:uiPriority w:val="0"/>
    <w:rPr>
      <w:rFonts w:ascii="Tahoma" w:hAnsi="Tahoma"/>
      <w:sz w:val="24"/>
      <w:szCs w:val="20"/>
    </w:rPr>
  </w:style>
  <w:style w:type="paragraph" w:customStyle="1" w:styleId="140">
    <w:name w:val="芲"/>
    <w:basedOn w:val="1"/>
    <w:next w:val="1"/>
    <w:qFormat/>
    <w:uiPriority w:val="0"/>
    <w:pPr>
      <w:adjustRightInd w:val="0"/>
      <w:spacing w:line="360" w:lineRule="auto"/>
      <w:ind w:firstLine="425"/>
      <w:jc w:val="right"/>
      <w:textAlignment w:val="baseline"/>
    </w:pPr>
    <w:rPr>
      <w:color w:val="000000"/>
      <w:sz w:val="24"/>
      <w:szCs w:val="20"/>
    </w:rPr>
  </w:style>
  <w:style w:type="paragraph" w:customStyle="1" w:styleId="141">
    <w:name w:val="Char Char Char Char Char Char Char Char1"/>
    <w:basedOn w:val="1"/>
    <w:qFormat/>
    <w:uiPriority w:val="0"/>
    <w:pPr>
      <w:widowControl/>
      <w:spacing w:line="240" w:lineRule="exact"/>
      <w:ind w:firstLine="200" w:firstLineChars="200"/>
      <w:jc w:val="left"/>
    </w:pPr>
    <w:rPr>
      <w:rFonts w:ascii="Verdana" w:hAnsi="Verdana"/>
      <w:kern w:val="0"/>
      <w:sz w:val="20"/>
      <w:szCs w:val="20"/>
      <w:lang w:eastAsia="en-US"/>
    </w:rPr>
  </w:style>
  <w:style w:type="paragraph" w:customStyle="1" w:styleId="142">
    <w:name w:val="正文 首行缩进"/>
    <w:basedOn w:val="1"/>
    <w:link w:val="239"/>
    <w:qFormat/>
    <w:uiPriority w:val="0"/>
    <w:pPr>
      <w:spacing w:line="360" w:lineRule="auto"/>
      <w:ind w:firstLine="420" w:firstLineChars="200"/>
    </w:pPr>
    <w:rPr>
      <w:rFonts w:ascii="Arial" w:hAnsi="Arial"/>
      <w:szCs w:val="20"/>
    </w:rPr>
  </w:style>
  <w:style w:type="paragraph" w:customStyle="1" w:styleId="143">
    <w:name w:val="xl28"/>
    <w:basedOn w:val="1"/>
    <w:qFormat/>
    <w:uiPriority w:val="0"/>
    <w:pPr>
      <w:widowControl/>
      <w:pBdr>
        <w:top w:val="single" w:color="auto" w:sz="4" w:space="0"/>
        <w:left w:val="single" w:color="auto" w:sz="4" w:space="0"/>
        <w:bottom w:val="single" w:color="auto" w:sz="4" w:space="0"/>
      </w:pBdr>
      <w:spacing w:beforeAutospacing="1" w:afterAutospacing="1" w:line="360" w:lineRule="auto"/>
      <w:ind w:firstLine="200" w:firstLineChars="200"/>
      <w:jc w:val="left"/>
    </w:pPr>
    <w:rPr>
      <w:rFonts w:ascii="宋体" w:hAnsi="宋体"/>
      <w:kern w:val="0"/>
      <w:sz w:val="24"/>
    </w:rPr>
  </w:style>
  <w:style w:type="paragraph" w:customStyle="1" w:styleId="144">
    <w:name w:val="xl27"/>
    <w:basedOn w:val="1"/>
    <w:qFormat/>
    <w:uiPriority w:val="0"/>
    <w:pPr>
      <w:widowControl/>
      <w:pBdr>
        <w:left w:val="single" w:color="auto" w:sz="4" w:space="0"/>
        <w:bottom w:val="single" w:color="auto" w:sz="4" w:space="0"/>
        <w:right w:val="single" w:color="auto" w:sz="4" w:space="0"/>
      </w:pBdr>
      <w:spacing w:beforeAutospacing="1" w:afterAutospacing="1" w:line="360" w:lineRule="auto"/>
      <w:ind w:firstLine="200" w:firstLineChars="200"/>
      <w:jc w:val="center"/>
    </w:pPr>
    <w:rPr>
      <w:rFonts w:ascii="宋体" w:hAnsi="宋体"/>
      <w:kern w:val="0"/>
      <w:sz w:val="24"/>
    </w:rPr>
  </w:style>
  <w:style w:type="paragraph" w:customStyle="1" w:styleId="145">
    <w:name w:val="Char2"/>
    <w:basedOn w:val="1"/>
    <w:qFormat/>
    <w:uiPriority w:val="0"/>
  </w:style>
  <w:style w:type="paragraph" w:customStyle="1" w:styleId="146">
    <w:name w:val="xl29"/>
    <w:basedOn w:val="1"/>
    <w:qFormat/>
    <w:uiPriority w:val="0"/>
    <w:pPr>
      <w:widowControl/>
      <w:pBdr>
        <w:left w:val="single" w:color="auto" w:sz="4" w:space="0"/>
        <w:bottom w:val="single" w:color="auto" w:sz="4" w:space="0"/>
      </w:pBdr>
      <w:spacing w:beforeAutospacing="1" w:afterAutospacing="1" w:line="360" w:lineRule="auto"/>
      <w:ind w:firstLine="200" w:firstLineChars="200"/>
      <w:jc w:val="left"/>
    </w:pPr>
    <w:rPr>
      <w:rFonts w:ascii="宋体" w:hAnsi="宋体"/>
      <w:kern w:val="0"/>
      <w:sz w:val="24"/>
    </w:rPr>
  </w:style>
  <w:style w:type="paragraph" w:customStyle="1" w:styleId="147">
    <w:name w:val="table_lines"/>
    <w:basedOn w:val="1"/>
    <w:qFormat/>
    <w:uiPriority w:val="0"/>
    <w:pPr>
      <w:widowControl/>
      <w:spacing w:line="360" w:lineRule="auto"/>
      <w:ind w:firstLine="200" w:firstLineChars="200"/>
      <w:jc w:val="left"/>
    </w:pPr>
    <w:rPr>
      <w:kern w:val="0"/>
      <w:sz w:val="20"/>
      <w:szCs w:val="20"/>
      <w:lang w:val="de-DE" w:eastAsia="de-DE"/>
    </w:rPr>
  </w:style>
  <w:style w:type="paragraph" w:customStyle="1" w:styleId="148">
    <w:name w:val="Char Char 字元 字元 字元 Char Char Char Char1"/>
    <w:basedOn w:val="1"/>
    <w:qFormat/>
    <w:uiPriority w:val="0"/>
    <w:pPr>
      <w:adjustRightInd w:val="0"/>
      <w:spacing w:line="360" w:lineRule="auto"/>
    </w:pPr>
    <w:rPr>
      <w:kern w:val="0"/>
      <w:sz w:val="24"/>
      <w:szCs w:val="20"/>
    </w:rPr>
  </w:style>
  <w:style w:type="paragraph" w:customStyle="1" w:styleId="149">
    <w:name w:val="正文2"/>
    <w:basedOn w:val="1"/>
    <w:qFormat/>
    <w:uiPriority w:val="0"/>
    <w:pPr>
      <w:adjustRightInd w:val="0"/>
      <w:spacing w:line="312" w:lineRule="atLeast"/>
      <w:textAlignment w:val="baseline"/>
    </w:pPr>
    <w:rPr>
      <w:kern w:val="0"/>
      <w:szCs w:val="20"/>
    </w:rPr>
  </w:style>
  <w:style w:type="paragraph" w:customStyle="1" w:styleId="150">
    <w:name w:val="样式 正文首行缩进 + 宋体 段后: 0 磅"/>
    <w:basedOn w:val="16"/>
    <w:qFormat/>
    <w:uiPriority w:val="0"/>
    <w:pPr>
      <w:spacing w:line="300" w:lineRule="auto"/>
      <w:ind w:firstLine="225" w:firstLineChars="225"/>
    </w:pPr>
    <w:rPr>
      <w:rFonts w:ascii="宋体" w:hAnsi="宋体" w:cs="宋体"/>
      <w:sz w:val="24"/>
      <w:szCs w:val="20"/>
    </w:rPr>
  </w:style>
  <w:style w:type="paragraph" w:customStyle="1" w:styleId="151">
    <w:name w:val="Char1 Char Char Char1"/>
    <w:basedOn w:val="1"/>
    <w:qFormat/>
    <w:uiPriority w:val="0"/>
  </w:style>
  <w:style w:type="paragraph" w:customStyle="1" w:styleId="152">
    <w:name w:val="Char3"/>
    <w:basedOn w:val="22"/>
    <w:qFormat/>
    <w:uiPriority w:val="0"/>
    <w:pPr>
      <w:adjustRightInd w:val="0"/>
      <w:snapToGrid w:val="0"/>
    </w:pPr>
    <w:rPr>
      <w:rFonts w:ascii="Tahoma" w:hAnsi="Tahoma"/>
      <w:szCs w:val="24"/>
    </w:rPr>
  </w:style>
  <w:style w:type="paragraph" w:customStyle="1" w:styleId="15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54">
    <w:name w:val="附件标题-1"/>
    <w:basedOn w:val="1"/>
    <w:qFormat/>
    <w:uiPriority w:val="0"/>
    <w:pPr>
      <w:spacing w:beforeLines="50" w:afterLines="50"/>
      <w:jc w:val="center"/>
    </w:pPr>
    <w:rPr>
      <w:rFonts w:eastAsia="黑体"/>
      <w:sz w:val="32"/>
    </w:rPr>
  </w:style>
  <w:style w:type="paragraph" w:customStyle="1" w:styleId="155">
    <w:name w:val="样式2"/>
    <w:basedOn w:val="1"/>
    <w:qFormat/>
    <w:uiPriority w:val="0"/>
    <w:rPr>
      <w:szCs w:val="20"/>
    </w:rPr>
  </w:style>
  <w:style w:type="paragraph" w:customStyle="1" w:styleId="156">
    <w:name w:val="标题2"/>
    <w:link w:val="241"/>
    <w:qFormat/>
    <w:uiPriority w:val="0"/>
    <w:rPr>
      <w:rFonts w:ascii="宋体" w:hAnsi="宋体" w:eastAsia="宋体" w:cs="Times New Roman"/>
      <w:b/>
      <w:sz w:val="32"/>
      <w:szCs w:val="24"/>
      <w:lang w:val="en-US" w:eastAsia="zh-CN" w:bidi="ar-SA"/>
    </w:rPr>
  </w:style>
  <w:style w:type="paragraph" w:customStyle="1" w:styleId="157">
    <w:name w:val="Char1 Char Char Char Char Char Char1"/>
    <w:basedOn w:val="1"/>
    <w:qFormat/>
    <w:uiPriority w:val="0"/>
  </w:style>
  <w:style w:type="paragraph" w:customStyle="1" w:styleId="158">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9">
    <w:name w:val="Char Char Char Char"/>
    <w:basedOn w:val="22"/>
    <w:qFormat/>
    <w:uiPriority w:val="0"/>
    <w:pPr>
      <w:adjustRightInd w:val="0"/>
      <w:snapToGrid w:val="0"/>
    </w:pPr>
    <w:rPr>
      <w:rFonts w:ascii="Tahoma" w:hAnsi="Tahoma"/>
      <w:szCs w:val="24"/>
    </w:rPr>
  </w:style>
  <w:style w:type="paragraph" w:customStyle="1" w:styleId="160">
    <w:name w:val="正文 首行缩进加粗"/>
    <w:basedOn w:val="1"/>
    <w:link w:val="185"/>
    <w:qFormat/>
    <w:uiPriority w:val="0"/>
    <w:pPr>
      <w:spacing w:line="360" w:lineRule="auto"/>
      <w:ind w:firstLine="422" w:firstLineChars="200"/>
      <w:outlineLvl w:val="2"/>
    </w:pPr>
    <w:rPr>
      <w:rFonts w:ascii="Arial" w:hAnsi="Arial"/>
      <w:b/>
      <w:szCs w:val="20"/>
    </w:rPr>
  </w:style>
  <w:style w:type="paragraph" w:customStyle="1" w:styleId="161">
    <w:name w:val="一级目录"/>
    <w:next w:val="1"/>
    <w:qFormat/>
    <w:uiPriority w:val="0"/>
    <w:pPr>
      <w:spacing w:afterLines="100"/>
      <w:jc w:val="center"/>
      <w:outlineLvl w:val="0"/>
    </w:pPr>
    <w:rPr>
      <w:rFonts w:ascii="黑体" w:hAnsi="Times New Roman" w:eastAsia="黑体" w:cs="Times New Roman"/>
      <w:b/>
      <w:kern w:val="2"/>
      <w:sz w:val="44"/>
      <w:szCs w:val="44"/>
      <w:lang w:val="en-US" w:eastAsia="zh-CN" w:bidi="ar-SA"/>
    </w:rPr>
  </w:style>
  <w:style w:type="paragraph" w:customStyle="1" w:styleId="162">
    <w:name w:val="Style Heading 1H1SAHeading 1卷标题h1标书1L1boc1st levelSection ..."/>
    <w:basedOn w:val="3"/>
    <w:link w:val="205"/>
    <w:qFormat/>
    <w:uiPriority w:val="0"/>
    <w:pPr>
      <w:tabs>
        <w:tab w:val="left" w:pos="1080"/>
      </w:tabs>
      <w:spacing w:line="360" w:lineRule="auto"/>
      <w:ind w:left="432" w:hanging="432"/>
      <w:jc w:val="center"/>
    </w:pPr>
    <w:rPr>
      <w:rFonts w:ascii="Arial" w:hAnsi="Arial" w:eastAsia="黑体" w:cs="Arial"/>
      <w:sz w:val="28"/>
      <w:szCs w:val="28"/>
    </w:rPr>
  </w:style>
  <w:style w:type="paragraph" w:customStyle="1" w:styleId="163">
    <w:name w:val="表格文字 左对齐"/>
    <w:basedOn w:val="73"/>
    <w:qFormat/>
    <w:uiPriority w:val="0"/>
    <w:pPr>
      <w:jc w:val="both"/>
    </w:pPr>
  </w:style>
  <w:style w:type="paragraph" w:customStyle="1" w:styleId="164">
    <w:name w:val="Char Char Char Char Char Char1 Char1"/>
    <w:basedOn w:val="1"/>
    <w:qFormat/>
    <w:uiPriority w:val="0"/>
    <w:pPr>
      <w:widowControl/>
      <w:spacing w:line="240" w:lineRule="exact"/>
      <w:jc w:val="left"/>
    </w:pPr>
    <w:rPr>
      <w:rFonts w:ascii="Verdana" w:hAnsi="Verdana"/>
      <w:kern w:val="0"/>
      <w:szCs w:val="20"/>
      <w:lang w:eastAsia="en-US"/>
    </w:rPr>
  </w:style>
  <w:style w:type="paragraph" w:customStyle="1" w:styleId="165">
    <w:name w:val="Char Char Char Char1 Char Char Char"/>
    <w:basedOn w:val="22"/>
    <w:qFormat/>
    <w:uiPriority w:val="0"/>
    <w:pPr>
      <w:adjustRightInd w:val="0"/>
      <w:snapToGrid w:val="0"/>
      <w:ind w:firstLine="0" w:firstLineChars="0"/>
    </w:pPr>
    <w:rPr>
      <w:rFonts w:ascii="Tahoma" w:hAnsi="Tahoma"/>
      <w:szCs w:val="24"/>
    </w:rPr>
  </w:style>
  <w:style w:type="paragraph" w:customStyle="1" w:styleId="166">
    <w:name w:val="正文B"/>
    <w:qFormat/>
    <w:uiPriority w:val="0"/>
    <w:pPr>
      <w:spacing w:line="390" w:lineRule="exact"/>
    </w:pPr>
    <w:rPr>
      <w:rFonts w:ascii="Times New Roman" w:hAnsi="Times New Roman" w:eastAsia="楷体_GB2312" w:cs="Times New Roman"/>
      <w:spacing w:val="8"/>
      <w:sz w:val="28"/>
      <w:lang w:val="en-US" w:eastAsia="zh-CN" w:bidi="ar-SA"/>
    </w:rPr>
  </w:style>
  <w:style w:type="paragraph" w:customStyle="1" w:styleId="167">
    <w:name w:val="Style Heading 2第一层条h22Heading 2 HiddenHeading 2 CCBSl2Course..."/>
    <w:basedOn w:val="4"/>
    <w:link w:val="188"/>
    <w:qFormat/>
    <w:uiPriority w:val="0"/>
    <w:pPr>
      <w:keepNext w:val="0"/>
      <w:keepLines/>
      <w:tabs>
        <w:tab w:val="left" w:pos="816"/>
        <w:tab w:val="left" w:pos="2016"/>
      </w:tabs>
      <w:spacing w:line="360" w:lineRule="auto"/>
      <w:ind w:left="2016" w:hanging="576"/>
      <w:jc w:val="both"/>
    </w:pPr>
    <w:rPr>
      <w:rFonts w:ascii="Arial" w:hAnsi="Arial"/>
      <w:bCs/>
      <w:color w:val="auto"/>
      <w:szCs w:val="32"/>
    </w:rPr>
  </w:style>
  <w:style w:type="paragraph" w:customStyle="1" w:styleId="168">
    <w:name w:val="A2"/>
    <w:basedOn w:val="1"/>
    <w:qFormat/>
    <w:uiPriority w:val="0"/>
    <w:pPr>
      <w:autoSpaceDE w:val="0"/>
      <w:autoSpaceDN w:val="0"/>
      <w:adjustRightInd w:val="0"/>
      <w:ind w:firstLine="425"/>
    </w:pPr>
    <w:rPr>
      <w:rFonts w:ascii="宋体"/>
      <w:sz w:val="28"/>
      <w:szCs w:val="20"/>
    </w:rPr>
  </w:style>
  <w:style w:type="paragraph" w:customStyle="1" w:styleId="169">
    <w:name w:val="_Style 167"/>
    <w:basedOn w:val="1"/>
    <w:qFormat/>
    <w:uiPriority w:val="0"/>
    <w:pPr>
      <w:widowControl/>
      <w:spacing w:line="360" w:lineRule="auto"/>
      <w:ind w:left="720" w:firstLine="200" w:firstLineChars="200"/>
      <w:jc w:val="left"/>
    </w:pPr>
    <w:rPr>
      <w:rFonts w:ascii="Calibri" w:hAnsi="Calibri"/>
      <w:kern w:val="0"/>
      <w:sz w:val="24"/>
      <w:lang w:eastAsia="en-US"/>
    </w:rPr>
  </w:style>
  <w:style w:type="paragraph" w:customStyle="1" w:styleId="170">
    <w:name w:val="xl30"/>
    <w:basedOn w:val="1"/>
    <w:qFormat/>
    <w:uiPriority w:val="0"/>
    <w:pPr>
      <w:widowControl/>
      <w:spacing w:beforeAutospacing="1" w:afterAutospacing="1" w:line="360" w:lineRule="auto"/>
      <w:ind w:firstLine="200" w:firstLineChars="200"/>
      <w:jc w:val="center"/>
    </w:pPr>
    <w:rPr>
      <w:rFonts w:ascii="宋体" w:hAnsi="宋体"/>
      <w:b/>
      <w:bCs/>
      <w:kern w:val="0"/>
      <w:sz w:val="36"/>
      <w:szCs w:val="36"/>
    </w:rPr>
  </w:style>
  <w:style w:type="paragraph" w:customStyle="1" w:styleId="171">
    <w:name w:val="xl25"/>
    <w:basedOn w:val="1"/>
    <w:qFormat/>
    <w:uiPriority w:val="0"/>
    <w:pPr>
      <w:widowControl/>
      <w:spacing w:beforeAutospacing="1" w:afterAutospacing="1" w:line="360" w:lineRule="auto"/>
      <w:ind w:firstLine="200" w:firstLineChars="200"/>
      <w:jc w:val="center"/>
      <w:textAlignment w:val="center"/>
    </w:pPr>
    <w:rPr>
      <w:rFonts w:ascii="Arial Unicode MS" w:hAnsi="Arial Unicode MS" w:cs="Arial Unicode MS"/>
      <w:kern w:val="0"/>
      <w:sz w:val="24"/>
    </w:rPr>
  </w:style>
  <w:style w:type="paragraph" w:customStyle="1" w:styleId="172">
    <w:name w:val="样式 左侧:  1.06 厘米 首行缩进:  0 厘米 行距: 单倍行距"/>
    <w:basedOn w:val="1"/>
    <w:qFormat/>
    <w:uiPriority w:val="0"/>
    <w:pPr>
      <w:adjustRightInd w:val="0"/>
      <w:textAlignment w:val="baseline"/>
    </w:pPr>
    <w:rPr>
      <w:rFonts w:eastAsia="楷体_GB2312" w:cs="宋体"/>
      <w:spacing w:val="8"/>
      <w:kern w:val="0"/>
      <w:sz w:val="28"/>
      <w:szCs w:val="20"/>
    </w:rPr>
  </w:style>
  <w:style w:type="paragraph" w:customStyle="1" w:styleId="17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4">
    <w:name w:val="CM28"/>
    <w:basedOn w:val="96"/>
    <w:next w:val="96"/>
    <w:qFormat/>
    <w:uiPriority w:val="0"/>
    <w:pPr>
      <w:spacing w:line="400" w:lineRule="atLeast"/>
    </w:pPr>
    <w:rPr>
      <w:rFonts w:cs="Times New Roman"/>
      <w:color w:val="auto"/>
    </w:rPr>
  </w:style>
  <w:style w:type="paragraph" w:customStyle="1" w:styleId="175">
    <w:name w:val="普通正文"/>
    <w:basedOn w:val="1"/>
    <w:qFormat/>
    <w:uiPriority w:val="0"/>
    <w:pPr>
      <w:adjustRightInd w:val="0"/>
      <w:spacing w:line="360" w:lineRule="auto"/>
      <w:ind w:firstLine="480" w:firstLineChars="200"/>
      <w:jc w:val="left"/>
      <w:textAlignment w:val="baseline"/>
    </w:pPr>
    <w:rPr>
      <w:rFonts w:ascii="Arial" w:hAnsi="Arial"/>
      <w:kern w:val="0"/>
      <w:sz w:val="24"/>
    </w:rPr>
  </w:style>
  <w:style w:type="paragraph" w:customStyle="1" w:styleId="176">
    <w:name w:val="列出段落2"/>
    <w:basedOn w:val="1"/>
    <w:qFormat/>
    <w:uiPriority w:val="34"/>
    <w:pPr>
      <w:ind w:firstLine="420" w:firstLineChars="200"/>
    </w:pPr>
  </w:style>
  <w:style w:type="paragraph" w:customStyle="1" w:styleId="177">
    <w:name w:val="indent"/>
    <w:basedOn w:val="1"/>
    <w:qFormat/>
    <w:uiPriority w:val="0"/>
    <w:pPr>
      <w:widowControl/>
      <w:spacing w:before="100" w:beforeAutospacing="1" w:after="100" w:afterAutospacing="1" w:line="480" w:lineRule="auto"/>
      <w:ind w:firstLine="480"/>
      <w:jc w:val="left"/>
    </w:pPr>
    <w:rPr>
      <w:rFonts w:ascii="宋体" w:hAnsi="宋体" w:cs="宋体"/>
      <w:kern w:val="0"/>
      <w:sz w:val="24"/>
    </w:rPr>
  </w:style>
  <w:style w:type="character" w:customStyle="1" w:styleId="178">
    <w:name w:val="hl"/>
    <w:qFormat/>
    <w:uiPriority w:val="0"/>
    <w:rPr>
      <w:b/>
      <w:bCs/>
    </w:rPr>
  </w:style>
  <w:style w:type="character" w:customStyle="1" w:styleId="179">
    <w:name w:val="_Style 175"/>
    <w:qFormat/>
    <w:uiPriority w:val="33"/>
    <w:rPr>
      <w:rFonts w:eastAsia="宋体"/>
      <w:b/>
      <w:bCs/>
      <w:smallCaps/>
      <w:spacing w:val="5"/>
    </w:rPr>
  </w:style>
  <w:style w:type="character" w:customStyle="1" w:styleId="180">
    <w:name w:val="标题 5 Char"/>
    <w:link w:val="7"/>
    <w:qFormat/>
    <w:uiPriority w:val="0"/>
    <w:rPr>
      <w:rFonts w:eastAsia="宋体"/>
      <w:b/>
      <w:sz w:val="28"/>
      <w:lang w:val="en-US" w:eastAsia="zh-CN" w:bidi="ar-SA"/>
    </w:rPr>
  </w:style>
  <w:style w:type="character" w:customStyle="1" w:styleId="181">
    <w:name w:val="页眉 Char"/>
    <w:link w:val="39"/>
    <w:qFormat/>
    <w:uiPriority w:val="99"/>
    <w:rPr>
      <w:kern w:val="2"/>
      <w:sz w:val="18"/>
      <w:szCs w:val="18"/>
    </w:rPr>
  </w:style>
  <w:style w:type="character" w:customStyle="1" w:styleId="182">
    <w:name w:val="Header Char"/>
    <w:qFormat/>
    <w:uiPriority w:val="0"/>
    <w:rPr>
      <w:rFonts w:eastAsia="宋体"/>
      <w:kern w:val="2"/>
      <w:sz w:val="18"/>
      <w:lang w:val="en-US" w:eastAsia="zh-CN"/>
    </w:rPr>
  </w:style>
  <w:style w:type="character" w:customStyle="1" w:styleId="183">
    <w:name w:val="正文文本 2 Char"/>
    <w:link w:val="54"/>
    <w:qFormat/>
    <w:uiPriority w:val="0"/>
    <w:rPr>
      <w:rFonts w:eastAsia="宋体"/>
      <w:kern w:val="2"/>
      <w:sz w:val="21"/>
      <w:szCs w:val="24"/>
      <w:lang w:val="en-US" w:eastAsia="zh-CN" w:bidi="ar-SA"/>
    </w:rPr>
  </w:style>
  <w:style w:type="character" w:customStyle="1" w:styleId="184">
    <w:name w:val="font21"/>
    <w:basedOn w:val="59"/>
    <w:qFormat/>
    <w:uiPriority w:val="0"/>
    <w:rPr>
      <w:rFonts w:ascii="宋体" w:hAnsi="宋体" w:eastAsia="宋体" w:cs="宋体"/>
      <w:b/>
      <w:color w:val="000000"/>
      <w:sz w:val="24"/>
      <w:szCs w:val="24"/>
      <w:u w:val="single"/>
    </w:rPr>
  </w:style>
  <w:style w:type="character" w:customStyle="1" w:styleId="185">
    <w:name w:val="正文 首行缩进加粗 Char Char"/>
    <w:link w:val="160"/>
    <w:qFormat/>
    <w:uiPriority w:val="0"/>
    <w:rPr>
      <w:rFonts w:ascii="Arial" w:hAnsi="Arial" w:eastAsia="宋体"/>
      <w:b/>
      <w:kern w:val="2"/>
      <w:sz w:val="21"/>
      <w:lang w:val="en-US" w:eastAsia="zh-CN" w:bidi="ar-SA"/>
    </w:rPr>
  </w:style>
  <w:style w:type="character" w:customStyle="1" w:styleId="186">
    <w:name w:val="标题 8 Char"/>
    <w:link w:val="10"/>
    <w:qFormat/>
    <w:uiPriority w:val="0"/>
    <w:rPr>
      <w:rFonts w:ascii="Arial" w:hAnsi="Arial" w:eastAsia="黑体"/>
      <w:sz w:val="24"/>
      <w:lang w:val="en-US" w:eastAsia="zh-CN" w:bidi="ar-SA"/>
    </w:rPr>
  </w:style>
  <w:style w:type="character" w:customStyle="1" w:styleId="187">
    <w:name w:val="title_emph1"/>
    <w:qFormat/>
    <w:uiPriority w:val="0"/>
    <w:rPr>
      <w:rFonts w:hint="default" w:ascii="Arial" w:hAnsi="Arial" w:cs="Arial"/>
      <w:b/>
      <w:bCs/>
      <w:sz w:val="18"/>
      <w:szCs w:val="18"/>
    </w:rPr>
  </w:style>
  <w:style w:type="character" w:customStyle="1" w:styleId="188">
    <w:name w:val="Style Heading 2第一层条h22Heading 2 HiddenHeading 2 CCBSl2Course... Char Char"/>
    <w:link w:val="167"/>
    <w:qFormat/>
    <w:uiPriority w:val="0"/>
    <w:rPr>
      <w:rFonts w:ascii="Arial" w:hAnsi="Arial" w:eastAsia="黑体"/>
      <w:b/>
      <w:bCs/>
      <w:kern w:val="2"/>
      <w:sz w:val="24"/>
      <w:szCs w:val="32"/>
      <w:lang w:val="en-US" w:eastAsia="zh-CN" w:bidi="ar-SA"/>
    </w:rPr>
  </w:style>
  <w:style w:type="character" w:customStyle="1" w:styleId="189">
    <w:name w:val="文档结构图 Char"/>
    <w:link w:val="22"/>
    <w:qFormat/>
    <w:uiPriority w:val="99"/>
    <w:rPr>
      <w:rFonts w:eastAsia="宋体"/>
      <w:sz w:val="2"/>
      <w:lang w:bidi="ar-SA"/>
    </w:rPr>
  </w:style>
  <w:style w:type="character" w:customStyle="1" w:styleId="190">
    <w:name w:val="wj1"/>
    <w:qFormat/>
    <w:uiPriority w:val="0"/>
    <w:rPr>
      <w:color w:val="000000"/>
      <w:sz w:val="18"/>
      <w:szCs w:val="18"/>
      <w:u w:val="none"/>
    </w:rPr>
  </w:style>
  <w:style w:type="character" w:customStyle="1" w:styleId="191">
    <w:name w:val="纯文本 Char"/>
    <w:link w:val="31"/>
    <w:qFormat/>
    <w:uiPriority w:val="0"/>
    <w:rPr>
      <w:rFonts w:ascii="宋体" w:hAnsi="Courier New" w:eastAsia="宋体"/>
      <w:kern w:val="2"/>
      <w:sz w:val="28"/>
      <w:lang w:val="en-US" w:eastAsia="zh-CN" w:bidi="ar-SA"/>
    </w:rPr>
  </w:style>
  <w:style w:type="character" w:customStyle="1" w:styleId="192">
    <w:name w:val="表格文字 居中 Char Char"/>
    <w:link w:val="73"/>
    <w:qFormat/>
    <w:uiPriority w:val="0"/>
    <w:rPr>
      <w:rFonts w:ascii="Arial" w:hAnsi="Arial" w:eastAsia="宋体"/>
      <w:kern w:val="2"/>
      <w:sz w:val="21"/>
      <w:lang w:val="en-US" w:eastAsia="zh-CN" w:bidi="ar-SA"/>
    </w:rPr>
  </w:style>
  <w:style w:type="character" w:customStyle="1" w:styleId="193">
    <w:name w:val="sublist-span3"/>
    <w:qFormat/>
    <w:uiPriority w:val="0"/>
    <w:rPr>
      <w:rFonts w:cs="Times New Roman"/>
    </w:rPr>
  </w:style>
  <w:style w:type="character" w:customStyle="1" w:styleId="194">
    <w:name w:val="case31"/>
    <w:qFormat/>
    <w:uiPriority w:val="0"/>
    <w:rPr>
      <w:rFonts w:hint="default" w:ascii="ˎ̥" w:hAnsi="ˎ̥"/>
      <w:sz w:val="21"/>
      <w:szCs w:val="21"/>
    </w:rPr>
  </w:style>
  <w:style w:type="character" w:customStyle="1" w:styleId="195">
    <w:name w:val="正文缩进 Char"/>
    <w:link w:val="2"/>
    <w:qFormat/>
    <w:uiPriority w:val="0"/>
    <w:rPr>
      <w:kern w:val="2"/>
      <w:sz w:val="21"/>
      <w:szCs w:val="24"/>
    </w:rPr>
  </w:style>
  <w:style w:type="character" w:customStyle="1" w:styleId="196">
    <w:name w:val="Footer Char"/>
    <w:qFormat/>
    <w:uiPriority w:val="0"/>
    <w:rPr>
      <w:rFonts w:eastAsia="宋体"/>
      <w:kern w:val="2"/>
      <w:sz w:val="18"/>
      <w:lang w:val="en-US" w:eastAsia="zh-CN"/>
    </w:rPr>
  </w:style>
  <w:style w:type="character" w:customStyle="1" w:styleId="197">
    <w:name w:val="标题 3 Char"/>
    <w:link w:val="5"/>
    <w:qFormat/>
    <w:uiPriority w:val="0"/>
    <w:rPr>
      <w:rFonts w:ascii="Times New Roman" w:hAnsi="Times New Roman" w:eastAsia="仿宋"/>
      <w:b/>
      <w:bCs/>
      <w:kern w:val="2"/>
      <w:sz w:val="32"/>
      <w:szCs w:val="32"/>
      <w:lang w:val="en-US" w:eastAsia="zh-CN" w:bidi="ar-SA"/>
    </w:rPr>
  </w:style>
  <w:style w:type="character" w:customStyle="1" w:styleId="198">
    <w:name w:val="apple-converted-space"/>
    <w:qFormat/>
    <w:uiPriority w:val="0"/>
  </w:style>
  <w:style w:type="character" w:customStyle="1" w:styleId="199">
    <w:name w:val="标题 7 Char"/>
    <w:link w:val="9"/>
    <w:qFormat/>
    <w:uiPriority w:val="0"/>
    <w:rPr>
      <w:rFonts w:eastAsia="宋体"/>
      <w:b/>
      <w:sz w:val="24"/>
      <w:lang w:val="en-US" w:eastAsia="zh-CN" w:bidi="ar-SA"/>
    </w:rPr>
  </w:style>
  <w:style w:type="character" w:customStyle="1" w:styleId="200">
    <w:name w:val="批注主题 Char"/>
    <w:link w:val="13"/>
    <w:qFormat/>
    <w:uiPriority w:val="0"/>
    <w:rPr>
      <w:rFonts w:eastAsia="宋体"/>
      <w:b/>
      <w:bCs/>
      <w:sz w:val="21"/>
      <w:szCs w:val="21"/>
      <w:lang w:bidi="ar-SA"/>
    </w:rPr>
  </w:style>
  <w:style w:type="character" w:customStyle="1" w:styleId="201">
    <w:name w:val="正文文本 3 Char"/>
    <w:link w:val="24"/>
    <w:qFormat/>
    <w:uiPriority w:val="0"/>
    <w:rPr>
      <w:rFonts w:eastAsia="宋体"/>
      <w:kern w:val="2"/>
      <w:sz w:val="16"/>
      <w:szCs w:val="16"/>
      <w:lang w:val="en-US" w:eastAsia="zh-CN" w:bidi="ar-SA"/>
    </w:rPr>
  </w:style>
  <w:style w:type="character" w:customStyle="1" w:styleId="202">
    <w:name w:val="t1"/>
    <w:qFormat/>
    <w:uiPriority w:val="99"/>
    <w:rPr>
      <w:rFonts w:cs="Times New Roman"/>
    </w:rPr>
  </w:style>
  <w:style w:type="character" w:customStyle="1" w:styleId="203">
    <w:name w:val="批注文字 Char"/>
    <w:link w:val="14"/>
    <w:qFormat/>
    <w:uiPriority w:val="0"/>
    <w:rPr>
      <w:rFonts w:ascii="GothicE" w:eastAsia="宋体"/>
      <w:snapToGrid w:val="0"/>
      <w:sz w:val="24"/>
      <w:lang w:val="en-US" w:eastAsia="zh-CN" w:bidi="ar-SA"/>
    </w:rPr>
  </w:style>
  <w:style w:type="character" w:customStyle="1" w:styleId="204">
    <w:name w:val="font51"/>
    <w:qFormat/>
    <w:uiPriority w:val="0"/>
    <w:rPr>
      <w:rFonts w:ascii="宋体" w:hAnsi="宋体" w:eastAsia="宋体" w:cs="宋体"/>
      <w:b/>
      <w:color w:val="000000"/>
      <w:sz w:val="24"/>
      <w:szCs w:val="24"/>
      <w:u w:val="none"/>
    </w:rPr>
  </w:style>
  <w:style w:type="character" w:customStyle="1" w:styleId="205">
    <w:name w:val="Style Heading 1H1SAHeading 1卷标题h1标书1L1boc1st levelSection ... Char Char"/>
    <w:link w:val="162"/>
    <w:qFormat/>
    <w:uiPriority w:val="0"/>
    <w:rPr>
      <w:rFonts w:ascii="Arial" w:hAnsi="Arial" w:eastAsia="黑体" w:cs="Arial"/>
      <w:b/>
      <w:bCs/>
      <w:kern w:val="44"/>
      <w:sz w:val="28"/>
      <w:szCs w:val="28"/>
      <w:lang w:val="en-US" w:eastAsia="zh-CN" w:bidi="ar-SA"/>
    </w:rPr>
  </w:style>
  <w:style w:type="character" w:customStyle="1" w:styleId="206">
    <w:name w:val="HTML 预设格式 Char"/>
    <w:link w:val="55"/>
    <w:qFormat/>
    <w:uiPriority w:val="0"/>
    <w:rPr>
      <w:rFonts w:ascii="黑体" w:hAnsi="Courier New" w:eastAsia="黑体"/>
      <w:lang w:val="en-US" w:eastAsia="zh-CN" w:bidi="ar-SA"/>
    </w:rPr>
  </w:style>
  <w:style w:type="character" w:customStyle="1" w:styleId="207">
    <w:name w:val="Body Text First Indent Char"/>
    <w:qFormat/>
    <w:uiPriority w:val="0"/>
    <w:rPr>
      <w:rFonts w:ascii="仿宋_GB2312" w:hAnsi="Arial" w:eastAsia="仿宋_GB2312"/>
      <w:kern w:val="2"/>
      <w:sz w:val="30"/>
      <w:lang w:val="en-US" w:eastAsia="zh-CN"/>
    </w:rPr>
  </w:style>
  <w:style w:type="character" w:customStyle="1" w:styleId="208">
    <w:name w:val="标题 1 Char"/>
    <w:link w:val="3"/>
    <w:qFormat/>
    <w:uiPriority w:val="0"/>
    <w:rPr>
      <w:rFonts w:ascii="宋体" w:hAnsi="宋体" w:eastAsia="仿宋"/>
      <w:b/>
      <w:bCs/>
      <w:kern w:val="44"/>
      <w:sz w:val="30"/>
      <w:szCs w:val="44"/>
      <w:lang w:val="en-US" w:eastAsia="zh-CN" w:bidi="ar-SA"/>
    </w:rPr>
  </w:style>
  <w:style w:type="character" w:customStyle="1" w:styleId="209">
    <w:name w:val="标题 Char"/>
    <w:link w:val="58"/>
    <w:qFormat/>
    <w:uiPriority w:val="10"/>
    <w:rPr>
      <w:rFonts w:ascii="Cambria" w:hAnsi="Cambria" w:eastAsia="宋体"/>
      <w:b/>
      <w:bCs/>
      <w:sz w:val="32"/>
      <w:szCs w:val="32"/>
      <w:lang w:bidi="ar-SA"/>
    </w:rPr>
  </w:style>
  <w:style w:type="character" w:customStyle="1" w:styleId="210">
    <w:name w:val="标题 2 Char"/>
    <w:link w:val="4"/>
    <w:qFormat/>
    <w:uiPriority w:val="0"/>
    <w:rPr>
      <w:rFonts w:ascii="黑体" w:hAnsi="黑体" w:eastAsia="仿宋"/>
      <w:b/>
      <w:color w:val="000000"/>
      <w:kern w:val="2"/>
      <w:sz w:val="32"/>
      <w:lang w:val="en-US" w:eastAsia="zh-CN" w:bidi="ar-SA"/>
    </w:rPr>
  </w:style>
  <w:style w:type="character" w:customStyle="1" w:styleId="211">
    <w:name w:val="font5 Char Char"/>
    <w:qFormat/>
    <w:uiPriority w:val="0"/>
    <w:rPr>
      <w:rFonts w:ascii="宋体" w:hAnsi="宋体" w:eastAsia="宋体"/>
      <w:sz w:val="28"/>
      <w:lang w:val="en-US" w:eastAsia="zh-CN"/>
    </w:rPr>
  </w:style>
  <w:style w:type="character" w:customStyle="1" w:styleId="212">
    <w:name w:val="二级目录 Char Char"/>
    <w:link w:val="101"/>
    <w:qFormat/>
    <w:uiPriority w:val="0"/>
    <w:rPr>
      <w:b/>
      <w:kern w:val="2"/>
      <w:sz w:val="30"/>
      <w:szCs w:val="28"/>
      <w:lang w:val="en-US" w:eastAsia="zh-CN" w:bidi="ar-SA"/>
    </w:rPr>
  </w:style>
  <w:style w:type="character" w:customStyle="1" w:styleId="213">
    <w:name w:val="正文首行缩进 2 Char"/>
    <w:link w:val="38"/>
    <w:qFormat/>
    <w:uiPriority w:val="0"/>
    <w:rPr>
      <w:rFonts w:eastAsia="宋体"/>
      <w:kern w:val="2"/>
      <w:sz w:val="21"/>
      <w:szCs w:val="24"/>
      <w:lang w:val="en-US" w:eastAsia="zh-CN" w:bidi="ar-SA"/>
    </w:rPr>
  </w:style>
  <w:style w:type="character" w:customStyle="1" w:styleId="214">
    <w:name w:val="文档正文 Char1"/>
    <w:link w:val="76"/>
    <w:qFormat/>
    <w:uiPriority w:val="0"/>
    <w:rPr>
      <w:rFonts w:ascii="Arial" w:hAnsi="Arial"/>
      <w:sz w:val="21"/>
      <w:lang w:bidi="ar-SA"/>
    </w:rPr>
  </w:style>
  <w:style w:type="character" w:customStyle="1" w:styleId="215">
    <w:name w:val="dash6b63_6587__char1"/>
    <w:qFormat/>
    <w:uiPriority w:val="0"/>
    <w:rPr>
      <w:rFonts w:hint="default" w:ascii="Calibri" w:hAnsi="Calibri" w:cs="Calibri"/>
      <w:sz w:val="20"/>
      <w:szCs w:val="20"/>
    </w:rPr>
  </w:style>
  <w:style w:type="character" w:customStyle="1" w:styleId="216">
    <w:name w:val="font11"/>
    <w:basedOn w:val="59"/>
    <w:qFormat/>
    <w:uiPriority w:val="0"/>
    <w:rPr>
      <w:rFonts w:ascii="宋体" w:hAnsi="宋体" w:eastAsia="宋体" w:cs="宋体"/>
      <w:color w:val="000000"/>
      <w:sz w:val="24"/>
      <w:szCs w:val="24"/>
      <w:u w:val="none"/>
    </w:rPr>
  </w:style>
  <w:style w:type="character" w:customStyle="1" w:styleId="217">
    <w:name w:val="批注框文本 Char"/>
    <w:link w:val="36"/>
    <w:qFormat/>
    <w:uiPriority w:val="99"/>
    <w:rPr>
      <w:rFonts w:eastAsia="宋体"/>
      <w:kern w:val="2"/>
      <w:sz w:val="18"/>
      <w:szCs w:val="18"/>
      <w:lang w:val="en-US" w:eastAsia="zh-CN" w:bidi="ar-SA"/>
    </w:rPr>
  </w:style>
  <w:style w:type="character" w:customStyle="1" w:styleId="218">
    <w:name w:val="标题 9 Char"/>
    <w:link w:val="11"/>
    <w:qFormat/>
    <w:uiPriority w:val="0"/>
    <w:rPr>
      <w:rFonts w:ascii="Arial" w:hAnsi="Arial" w:eastAsia="黑体"/>
      <w:sz w:val="24"/>
      <w:lang w:val="en-US" w:eastAsia="zh-CN" w:bidi="ar-SA"/>
    </w:rPr>
  </w:style>
  <w:style w:type="character" w:customStyle="1" w:styleId="219">
    <w:name w:val="标题 4 Char"/>
    <w:link w:val="6"/>
    <w:qFormat/>
    <w:uiPriority w:val="0"/>
    <w:rPr>
      <w:rFonts w:ascii="Arial" w:hAnsi="Arial" w:eastAsia="黑体"/>
      <w:sz w:val="28"/>
      <w:lang w:val="en-US" w:eastAsia="zh-CN" w:bidi="ar-SA"/>
    </w:rPr>
  </w:style>
  <w:style w:type="character" w:customStyle="1" w:styleId="220">
    <w:name w:val="标题 6 Char"/>
    <w:link w:val="8"/>
    <w:qFormat/>
    <w:uiPriority w:val="0"/>
    <w:rPr>
      <w:rFonts w:ascii="Arial" w:hAnsi="Arial" w:eastAsia="黑体"/>
      <w:b/>
      <w:sz w:val="24"/>
      <w:lang w:val="en-US" w:eastAsia="zh-CN" w:bidi="ar-SA"/>
    </w:rPr>
  </w:style>
  <w:style w:type="character" w:customStyle="1" w:styleId="221">
    <w:name w:val="style141"/>
    <w:qFormat/>
    <w:uiPriority w:val="0"/>
    <w:rPr>
      <w:b/>
      <w:bCs/>
      <w:color w:val="FF9900"/>
      <w:sz w:val="22"/>
      <w:szCs w:val="22"/>
    </w:rPr>
  </w:style>
  <w:style w:type="character" w:customStyle="1" w:styleId="222">
    <w:name w:val="页脚 Char"/>
    <w:link w:val="37"/>
    <w:qFormat/>
    <w:uiPriority w:val="99"/>
    <w:rPr>
      <w:kern w:val="2"/>
      <w:sz w:val="18"/>
      <w:szCs w:val="18"/>
    </w:rPr>
  </w:style>
  <w:style w:type="character" w:customStyle="1" w:styleId="223">
    <w:name w:val="正文文本缩进 2 Char"/>
    <w:link w:val="35"/>
    <w:qFormat/>
    <w:uiPriority w:val="0"/>
    <w:rPr>
      <w:rFonts w:eastAsia="宋体"/>
      <w:kern w:val="2"/>
      <w:sz w:val="21"/>
      <w:szCs w:val="24"/>
      <w:lang w:val="en-US" w:eastAsia="zh-CN" w:bidi="ar-SA"/>
    </w:rPr>
  </w:style>
  <w:style w:type="character" w:customStyle="1" w:styleId="224">
    <w:name w:val="Body Text Char"/>
    <w:qFormat/>
    <w:uiPriority w:val="0"/>
    <w:rPr>
      <w:rFonts w:ascii="楷体_GB2312" w:hAnsi="Arial" w:eastAsia="楷体_GB2312"/>
      <w:kern w:val="2"/>
      <w:sz w:val="28"/>
      <w:lang w:val="en-US" w:eastAsia="zh-CN"/>
    </w:rPr>
  </w:style>
  <w:style w:type="character" w:customStyle="1" w:styleId="225">
    <w:name w:val="HTML Preformatted Char"/>
    <w:qFormat/>
    <w:uiPriority w:val="0"/>
    <w:rPr>
      <w:rFonts w:ascii="宋体" w:hAnsi="宋体" w:eastAsia="宋体"/>
      <w:sz w:val="24"/>
      <w:lang w:val="en-US" w:eastAsia="zh-CN"/>
    </w:rPr>
  </w:style>
  <w:style w:type="character" w:customStyle="1" w:styleId="226">
    <w:name w:val="Document Map Char"/>
    <w:qFormat/>
    <w:uiPriority w:val="0"/>
    <w:rPr>
      <w:rFonts w:eastAsia="宋体"/>
      <w:kern w:val="2"/>
      <w:sz w:val="21"/>
      <w:lang w:val="en-US" w:eastAsia="zh-CN"/>
    </w:rPr>
  </w:style>
  <w:style w:type="character" w:customStyle="1" w:styleId="227">
    <w:name w:val="font31"/>
    <w:qFormat/>
    <w:uiPriority w:val="0"/>
    <w:rPr>
      <w:rFonts w:hint="eastAsia" w:ascii="宋体" w:hAnsi="宋体" w:eastAsia="宋体"/>
      <w:b/>
      <w:bCs/>
      <w:color w:val="000000"/>
      <w:sz w:val="16"/>
      <w:szCs w:val="16"/>
      <w:u w:val="none"/>
    </w:rPr>
  </w:style>
  <w:style w:type="character" w:customStyle="1" w:styleId="228">
    <w:name w:val="表格 Char Char"/>
    <w:link w:val="71"/>
    <w:qFormat/>
    <w:uiPriority w:val="0"/>
    <w:rPr>
      <w:rFonts w:ascii="Calibri" w:hAnsi="Calibri"/>
      <w:sz w:val="24"/>
      <w:lang w:bidi="ar-SA"/>
    </w:rPr>
  </w:style>
  <w:style w:type="character" w:customStyle="1" w:styleId="229">
    <w:name w:val="正文文本缩进 Char"/>
    <w:link w:val="25"/>
    <w:qFormat/>
    <w:uiPriority w:val="99"/>
    <w:rPr>
      <w:rFonts w:eastAsia="宋体"/>
      <w:kern w:val="2"/>
      <w:sz w:val="24"/>
      <w:szCs w:val="24"/>
      <w:lang w:val="en-US" w:eastAsia="zh-CN" w:bidi="ar-SA"/>
    </w:rPr>
  </w:style>
  <w:style w:type="character" w:customStyle="1" w:styleId="230">
    <w:name w:val="style91"/>
    <w:qFormat/>
    <w:uiPriority w:val="0"/>
    <w:rPr>
      <w:color w:val="B70404"/>
    </w:rPr>
  </w:style>
  <w:style w:type="character" w:customStyle="1" w:styleId="231">
    <w:name w:val="日期 Char"/>
    <w:link w:val="34"/>
    <w:qFormat/>
    <w:uiPriority w:val="0"/>
    <w:rPr>
      <w:rFonts w:eastAsia="宋体"/>
      <w:kern w:val="2"/>
      <w:sz w:val="21"/>
      <w:szCs w:val="24"/>
      <w:lang w:val="en-US" w:eastAsia="zh-CN" w:bidi="ar-SA"/>
    </w:rPr>
  </w:style>
  <w:style w:type="character" w:customStyle="1" w:styleId="232">
    <w:name w:val="font41"/>
    <w:qFormat/>
    <w:uiPriority w:val="0"/>
    <w:rPr>
      <w:rFonts w:ascii="宋体" w:hAnsi="宋体" w:eastAsia="宋体" w:cs="宋体"/>
      <w:b/>
      <w:color w:val="000000"/>
      <w:sz w:val="24"/>
      <w:szCs w:val="24"/>
      <w:u w:val="none"/>
    </w:rPr>
  </w:style>
  <w:style w:type="character" w:customStyle="1" w:styleId="233">
    <w:name w:val="正文文本缩进 3 Char"/>
    <w:link w:val="48"/>
    <w:qFormat/>
    <w:uiPriority w:val="0"/>
    <w:rPr>
      <w:rFonts w:eastAsia="宋体"/>
      <w:kern w:val="2"/>
      <w:sz w:val="16"/>
      <w:szCs w:val="16"/>
      <w:lang w:val="en-US" w:eastAsia="zh-CN" w:bidi="ar-SA"/>
    </w:rPr>
  </w:style>
  <w:style w:type="character" w:customStyle="1" w:styleId="234">
    <w:name w:val="正文文本 Char"/>
    <w:link w:val="17"/>
    <w:qFormat/>
    <w:uiPriority w:val="0"/>
    <w:rPr>
      <w:rFonts w:eastAsia="宋体"/>
      <w:kern w:val="2"/>
      <w:sz w:val="21"/>
      <w:szCs w:val="24"/>
      <w:lang w:val="en-US" w:eastAsia="zh-CN" w:bidi="ar-SA"/>
    </w:rPr>
  </w:style>
  <w:style w:type="character" w:customStyle="1" w:styleId="235">
    <w:name w:val="apple-style-span"/>
    <w:qFormat/>
    <w:uiPriority w:val="0"/>
    <w:rPr>
      <w:rFonts w:cs="Times New Roman"/>
    </w:rPr>
  </w:style>
  <w:style w:type="character" w:customStyle="1" w:styleId="236">
    <w:name w:val="正文1"/>
    <w:qFormat/>
    <w:uiPriority w:val="0"/>
  </w:style>
  <w:style w:type="character" w:customStyle="1" w:styleId="237">
    <w:name w:val="正文文本 Char1"/>
    <w:qFormat/>
    <w:uiPriority w:val="0"/>
    <w:rPr>
      <w:rFonts w:eastAsia="宋体"/>
      <w:kern w:val="2"/>
      <w:sz w:val="21"/>
      <w:szCs w:val="24"/>
      <w:lang w:val="en-US" w:eastAsia="zh-CN" w:bidi="ar-SA"/>
    </w:rPr>
  </w:style>
  <w:style w:type="character" w:customStyle="1" w:styleId="238">
    <w:name w:val="spancontent2"/>
    <w:qFormat/>
    <w:uiPriority w:val="0"/>
    <w:rPr>
      <w:sz w:val="18"/>
      <w:szCs w:val="18"/>
    </w:rPr>
  </w:style>
  <w:style w:type="character" w:customStyle="1" w:styleId="239">
    <w:name w:val="正文 首行缩进 Char Char"/>
    <w:link w:val="142"/>
    <w:qFormat/>
    <w:uiPriority w:val="0"/>
    <w:rPr>
      <w:rFonts w:ascii="Arial" w:hAnsi="Arial" w:eastAsia="宋体"/>
      <w:kern w:val="2"/>
      <w:sz w:val="21"/>
      <w:lang w:val="en-US" w:eastAsia="zh-CN" w:bidi="ar-SA"/>
    </w:rPr>
  </w:style>
  <w:style w:type="character" w:customStyle="1" w:styleId="240">
    <w:name w:val="正文首行缩进 Char"/>
    <w:link w:val="16"/>
    <w:qFormat/>
    <w:uiPriority w:val="0"/>
    <w:rPr>
      <w:rFonts w:eastAsia="宋体"/>
      <w:kern w:val="2"/>
      <w:sz w:val="21"/>
      <w:szCs w:val="24"/>
      <w:lang w:val="en-US" w:eastAsia="zh-CN" w:bidi="ar-SA"/>
    </w:rPr>
  </w:style>
  <w:style w:type="character" w:customStyle="1" w:styleId="241">
    <w:name w:val="标题2 Char Char"/>
    <w:link w:val="156"/>
    <w:qFormat/>
    <w:uiPriority w:val="0"/>
    <w:rPr>
      <w:rFonts w:ascii="宋体" w:hAnsi="宋体"/>
      <w:b/>
      <w:sz w:val="32"/>
      <w:szCs w:val="24"/>
      <w:lang w:val="en-US" w:eastAsia="zh-CN" w:bidi="ar-SA"/>
    </w:rPr>
  </w:style>
  <w:style w:type="character" w:customStyle="1" w:styleId="242">
    <w:name w:val="副标题 Char"/>
    <w:link w:val="44"/>
    <w:qFormat/>
    <w:uiPriority w:val="11"/>
    <w:rPr>
      <w:rFonts w:ascii="Cambria" w:hAnsi="Cambria"/>
      <w:b/>
      <w:bCs/>
      <w:kern w:val="28"/>
      <w:sz w:val="32"/>
      <w:szCs w:val="32"/>
    </w:rPr>
  </w:style>
  <w:style w:type="character" w:customStyle="1" w:styleId="243">
    <w:name w:val="16"/>
    <w:qFormat/>
    <w:uiPriority w:val="0"/>
    <w:rPr>
      <w:rFonts w:hint="default" w:ascii="Times New Roman" w:hAnsi="Times New Roman" w:cs="Times New Roman"/>
      <w:b/>
      <w:bCs/>
    </w:rPr>
  </w:style>
  <w:style w:type="paragraph" w:styleId="244">
    <w:name w:val="List Paragraph"/>
    <w:basedOn w:val="1"/>
    <w:unhideWhenUsed/>
    <w:qFormat/>
    <w:uiPriority w:val="99"/>
    <w:pPr>
      <w:ind w:firstLine="420" w:firstLineChars="200"/>
    </w:pPr>
  </w:style>
  <w:style w:type="character" w:customStyle="1" w:styleId="245">
    <w:name w:val="font01"/>
    <w:basedOn w:val="59"/>
    <w:qFormat/>
    <w:uiPriority w:val="0"/>
    <w:rPr>
      <w:rFonts w:hint="eastAsia" w:ascii="宋体" w:hAnsi="宋体" w:eastAsia="宋体" w:cs="宋体"/>
      <w:color w:val="000000"/>
      <w:sz w:val="22"/>
      <w:szCs w:val="22"/>
      <w:u w:val="none"/>
    </w:rPr>
  </w:style>
  <w:style w:type="character" w:customStyle="1" w:styleId="246">
    <w:name w:val="c-icon14"/>
    <w:basedOn w:val="59"/>
    <w:qFormat/>
    <w:uiPriority w:val="0"/>
  </w:style>
  <w:style w:type="character" w:customStyle="1" w:styleId="247">
    <w:name w:val="layui-layer-tabnow"/>
    <w:basedOn w:val="59"/>
    <w:qFormat/>
    <w:uiPriority w:val="0"/>
    <w:rPr>
      <w:bdr w:val="single" w:color="CCCCCC" w:sz="6" w:space="0"/>
      <w:shd w:val="clear" w:fill="FFFFFF"/>
    </w:rPr>
  </w:style>
  <w:style w:type="character" w:customStyle="1" w:styleId="248">
    <w:name w:val="first-child"/>
    <w:basedOn w:val="59"/>
    <w:qFormat/>
    <w:uiPriority w:val="0"/>
  </w:style>
  <w:style w:type="paragraph" w:customStyle="1" w:styleId="249">
    <w:name w:val="_Style 1"/>
    <w:basedOn w:val="1"/>
    <w:qFormat/>
    <w:uiPriority w:val="0"/>
    <w:pPr>
      <w:adjustRightInd w:val="0"/>
      <w:spacing w:line="312" w:lineRule="atLeast"/>
      <w:ind w:firstLine="420" w:firstLineChars="200"/>
      <w:textAlignment w:val="baseline"/>
    </w:pPr>
    <w:rPr>
      <w:color w:val="000000"/>
      <w:kern w:val="0"/>
      <w:szCs w:val="20"/>
    </w:rPr>
  </w:style>
  <w:style w:type="paragraph" w:customStyle="1" w:styleId="250">
    <w:name w:val="Table Paragraph"/>
    <w:basedOn w:val="1"/>
    <w:qFormat/>
    <w:uiPriority w:val="1"/>
    <w:pPr>
      <w:spacing w:line="240" w:lineRule="auto"/>
      <w:ind w:firstLine="0" w:firstLineChars="0"/>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DA59A1-F41F-4117-B332-89E753C6D514}">
  <ds:schemaRefs/>
</ds:datastoreItem>
</file>

<file path=docProps/app.xml><?xml version="1.0" encoding="utf-8"?>
<Properties xmlns="http://schemas.openxmlformats.org/officeDocument/2006/extended-properties" xmlns:vt="http://schemas.openxmlformats.org/officeDocument/2006/docPropsVTypes">
  <Template>Normal</Template>
  <Company>山东中钢招标有限公司</Company>
  <Pages>52</Pages>
  <Words>5150</Words>
  <Characters>29356</Characters>
  <Lines>244</Lines>
  <Paragraphs>68</Paragraphs>
  <TotalTime>12</TotalTime>
  <ScaleCrop>false</ScaleCrop>
  <LinksUpToDate>false</LinksUpToDate>
  <CharactersWithSpaces>34438</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2018-05-07T09:10:00Z</dcterms:created>
  <dc:creator>Administrator</dc:creator>
  <cp:lastModifiedBy>Administrator</cp:lastModifiedBy>
  <cp:lastPrinted>2019-10-15T03:31:00Z</cp:lastPrinted>
  <dcterms:modified xsi:type="dcterms:W3CDTF">2020-01-14T08:05:11Z</dcterms:modified>
  <dc:title>目   录</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