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3" w:rsidRPr="005001E8" w:rsidRDefault="00002B23" w:rsidP="00002B23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5001E8">
        <w:rPr>
          <w:rFonts w:asciiTheme="minorEastAsia" w:hAnsiTheme="minorEastAsia" w:hint="eastAsia"/>
          <w:b/>
          <w:bCs/>
          <w:sz w:val="36"/>
          <w:szCs w:val="36"/>
        </w:rPr>
        <w:t>秦州区东方红片区城市更新改造（棚户区改造）项目房屋拆除工程更正公告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甘肃国安工程管理有限公司受天水市城市更新服务中心的委托，对秦州区东方红片区城市更新改造（棚户区改造）项目房屋拆除工程以公开招标方式进行采购，现对评标办法作出如下更正，欢迎符合资格条件的供应商前来参加。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一、招标编号：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 xml:space="preserve">TGZC2021-070 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/>
          <w:szCs w:val="21"/>
        </w:rPr>
        <w:t>更正内容</w:t>
      </w:r>
    </w:p>
    <w:p w:rsidR="00002B23" w:rsidRPr="005001E8" w:rsidRDefault="00002B23" w:rsidP="005001E8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5001E8">
        <w:rPr>
          <w:rFonts w:asciiTheme="minorEastAsia" w:hAnsiTheme="minorEastAsia" w:hint="eastAsia"/>
          <w:b/>
          <w:szCs w:val="21"/>
        </w:rPr>
        <w:t>事项一：评标办法（一、二包）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909"/>
        <w:gridCol w:w="975"/>
      </w:tblGrid>
      <w:tr w:rsidR="00002B23" w:rsidRPr="005001E8" w:rsidTr="00742FC5">
        <w:trPr>
          <w:trHeight w:val="80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施工能力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ind w:left="1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施工的主要技术工种安排合理，是否具备上岗证，能满足施工要求得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10</w:t>
            </w:r>
            <w:r w:rsidRPr="005001E8">
              <w:rPr>
                <w:rFonts w:asciiTheme="minorEastAsia" w:hAnsiTheme="minorEastAsia" w:cs="宋体"/>
                <w:szCs w:val="21"/>
              </w:rPr>
              <w:t>分，否则酌情扣分。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</w:tr>
    </w:tbl>
    <w:p w:rsidR="00002B23" w:rsidRPr="005001E8" w:rsidRDefault="00002B23" w:rsidP="005001E8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001E8">
        <w:rPr>
          <w:rFonts w:asciiTheme="minorEastAsia" w:hAnsiTheme="minorEastAsia"/>
          <w:b/>
          <w:szCs w:val="21"/>
        </w:rPr>
        <w:t>事项二：评标办法（二包）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5475"/>
        <w:gridCol w:w="874"/>
      </w:tblGrid>
      <w:tr w:rsidR="00002B23" w:rsidRPr="005001E8" w:rsidTr="00742FC5">
        <w:trPr>
          <w:trHeight w:val="531"/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价格</w:t>
            </w:r>
          </w:p>
          <w:p w:rsidR="00002B23" w:rsidRPr="005001E8" w:rsidRDefault="00002B23" w:rsidP="00002B23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30分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投标报价小于或等于招标人采购预算为有效报价。砖混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6</w:t>
            </w:r>
            <w:r w:rsidRPr="005001E8">
              <w:rPr>
                <w:rFonts w:asciiTheme="minorEastAsia" w:hAnsiTheme="minorEastAsia" w:cs="宋体"/>
                <w:szCs w:val="21"/>
              </w:rPr>
              <w:t>分；砖木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5</w:t>
            </w:r>
            <w:r w:rsidRPr="005001E8">
              <w:rPr>
                <w:rFonts w:asciiTheme="minorEastAsia" w:hAnsiTheme="minorEastAsia" w:cs="宋体"/>
                <w:szCs w:val="21"/>
              </w:rPr>
              <w:t>分；钢混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5分；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 简易及其他结构（包括彩钢、砖简等结构） 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5</w:t>
            </w:r>
            <w:r w:rsidRPr="005001E8">
              <w:rPr>
                <w:rFonts w:asciiTheme="minorEastAsia" w:hAnsiTheme="minorEastAsia" w:cs="宋体"/>
                <w:szCs w:val="21"/>
              </w:rPr>
              <w:t>分；围墙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 分；大门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3分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；双眼灶 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</w:t>
            </w:r>
            <w:r w:rsidRPr="005001E8">
              <w:rPr>
                <w:rFonts w:asciiTheme="minorEastAsia" w:hAnsiTheme="minorEastAsia" w:cs="宋体"/>
                <w:szCs w:val="21"/>
              </w:rPr>
              <w:t>分；单眼灶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3分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。 </w:t>
            </w:r>
          </w:p>
          <w:p w:rsidR="00002B23" w:rsidRPr="005001E8" w:rsidRDefault="00002B23" w:rsidP="00002B23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1、每项评标基准价为所有投标人有效投标报价的算术平均值，计算时保留小数点 后两位；已废标的投标方报价视为无效投标报价，将不计入价格评分平均基准价计算。</w:t>
            </w:r>
          </w:p>
          <w:p w:rsidR="00002B23" w:rsidRPr="005001E8" w:rsidRDefault="00002B23" w:rsidP="00002B23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 xml:space="preserve">每项投标报价得分计算方法为：若投标报价等于评标基准价时，投标报价得满分；若投标报价大于评标基准价时，投标报价得分=(评标基准价/投标报价)×相对应分值，计算时保留小数点后两位；若投标报价小于评标基准价时，投标报价得分 =(投标报价/评标基准价)×相对应分值，计算时保留小数点后两位。 </w:t>
            </w:r>
          </w:p>
          <w:p w:rsidR="00002B23" w:rsidRPr="005001E8" w:rsidRDefault="00002B23" w:rsidP="00002B23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2、合计投标报价得分=砖混报价得分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+砖木报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+钢混报价得分+简易及其它结构（包括彩钢、砖简等结构）报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+围墙报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+大门报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+双眼灶</w:t>
            </w:r>
            <w:r w:rsidRPr="005001E8">
              <w:rPr>
                <w:rFonts w:asciiTheme="minorEastAsia" w:hAnsiTheme="minorEastAsia" w:cs="宋体"/>
                <w:szCs w:val="21"/>
              </w:rPr>
              <w:t>报价得分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+单眼灶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报价得分。 </w:t>
            </w:r>
          </w:p>
          <w:p w:rsidR="00002B23" w:rsidRPr="005001E8" w:rsidRDefault="00002B23" w:rsidP="00002B23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3、报价超出招标采购预算单价的为无效投标报价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snapToGrid w:val="0"/>
              <w:spacing w:beforeLines="50" w:before="156"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30</w:t>
            </w:r>
          </w:p>
        </w:tc>
      </w:tr>
    </w:tbl>
    <w:p w:rsidR="00002B23" w:rsidRPr="005001E8" w:rsidRDefault="00002B23" w:rsidP="00002B23">
      <w:pPr>
        <w:rPr>
          <w:rFonts w:asciiTheme="minorEastAsia" w:hAnsiTheme="minorEastAsia"/>
          <w:b/>
          <w:bCs/>
          <w:szCs w:val="21"/>
        </w:rPr>
      </w:pPr>
      <w:r w:rsidRPr="005001E8">
        <w:rPr>
          <w:rFonts w:asciiTheme="minorEastAsia" w:hAnsiTheme="minorEastAsia" w:hint="eastAsia"/>
          <w:b/>
          <w:bCs/>
          <w:szCs w:val="21"/>
        </w:rPr>
        <w:t>事项三：</w:t>
      </w:r>
    </w:p>
    <w:p w:rsidR="00002B23" w:rsidRPr="005001E8" w:rsidRDefault="00002B23" w:rsidP="00002B23">
      <w:pPr>
        <w:rPr>
          <w:rFonts w:asciiTheme="minorEastAsia" w:hAnsiTheme="minorEastAsia"/>
          <w:b/>
          <w:szCs w:val="21"/>
        </w:rPr>
      </w:pPr>
      <w:r w:rsidRPr="005001E8">
        <w:rPr>
          <w:rFonts w:asciiTheme="minorEastAsia" w:hAnsiTheme="minorEastAsia" w:hint="eastAsia"/>
          <w:b/>
          <w:szCs w:val="21"/>
        </w:rPr>
        <w:t>投标文件截止时间、开标时间及地点：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（一）投标截止时间：2021年4月15日9时30分前（北京时间，逾期不予受理）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（二）开标时间：2021年4月15日9时30分前（北京时间，逾期不予受理）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（三）开标时间及地点：2021年4月15日9时30分在天水市公共资源交易中心（天水市秦州区建设路185号原市政府政务大厅）二楼。</w:t>
      </w:r>
    </w:p>
    <w:p w:rsidR="00002B23" w:rsidRPr="005001E8" w:rsidRDefault="00002B23" w:rsidP="005001E8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5001E8">
        <w:rPr>
          <w:rFonts w:asciiTheme="minorEastAsia" w:hAnsiTheme="minorEastAsia" w:hint="eastAsia"/>
          <w:b/>
          <w:bCs/>
          <w:szCs w:val="21"/>
        </w:rPr>
        <w:lastRenderedPageBreak/>
        <w:t>现更正为：</w:t>
      </w:r>
    </w:p>
    <w:p w:rsidR="00002B23" w:rsidRPr="005001E8" w:rsidRDefault="00002B23" w:rsidP="005001E8">
      <w:pPr>
        <w:spacing w:line="360" w:lineRule="auto"/>
        <w:ind w:firstLineChars="200" w:firstLine="422"/>
        <w:rPr>
          <w:rFonts w:asciiTheme="minorEastAsia" w:hAnsiTheme="minorEastAsia"/>
          <w:b/>
          <w:bCs/>
          <w:szCs w:val="21"/>
        </w:rPr>
      </w:pPr>
      <w:r w:rsidRPr="005001E8">
        <w:rPr>
          <w:rFonts w:asciiTheme="minorEastAsia" w:hAnsiTheme="minorEastAsia" w:hint="eastAsia"/>
          <w:b/>
          <w:szCs w:val="21"/>
        </w:rPr>
        <w:t>事项一：评标办法（一、二包）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909"/>
        <w:gridCol w:w="975"/>
      </w:tblGrid>
      <w:tr w:rsidR="00002B23" w:rsidRPr="005001E8" w:rsidTr="00002B23">
        <w:trPr>
          <w:trHeight w:val="801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742FC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施工能力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ind w:left="1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施工的主要技术工种安排合理，是否具备上岗证，能满足施工要求得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8</w:t>
            </w:r>
            <w:r w:rsidRPr="005001E8">
              <w:rPr>
                <w:rFonts w:asciiTheme="minorEastAsia" w:hAnsiTheme="minorEastAsia" w:cs="宋体"/>
                <w:szCs w:val="21"/>
              </w:rPr>
              <w:t>分，否则酌情扣分。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742FC5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</w:tr>
    </w:tbl>
    <w:p w:rsidR="00002B23" w:rsidRPr="005001E8" w:rsidRDefault="00002B23" w:rsidP="005001E8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001E8">
        <w:rPr>
          <w:rFonts w:asciiTheme="minorEastAsia" w:hAnsiTheme="minorEastAsia"/>
          <w:b/>
          <w:szCs w:val="21"/>
        </w:rPr>
        <w:t>事项二：评标办法（二包）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5475"/>
        <w:gridCol w:w="874"/>
      </w:tblGrid>
      <w:tr w:rsidR="00002B23" w:rsidRPr="005001E8" w:rsidTr="00742FC5">
        <w:trPr>
          <w:trHeight w:val="531"/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742FC5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价格</w:t>
            </w:r>
          </w:p>
          <w:p w:rsidR="00002B23" w:rsidRPr="005001E8" w:rsidRDefault="00002B23" w:rsidP="00742FC5">
            <w:pPr>
              <w:spacing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30分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742FC5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投标报价小于或等于招标人采购预算为有效报价。砖混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6</w:t>
            </w:r>
            <w:r w:rsidRPr="005001E8">
              <w:rPr>
                <w:rFonts w:asciiTheme="minorEastAsia" w:hAnsiTheme="minorEastAsia" w:cs="宋体"/>
                <w:szCs w:val="21"/>
              </w:rPr>
              <w:t>分；砖木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4</w:t>
            </w:r>
            <w:r w:rsidRPr="005001E8">
              <w:rPr>
                <w:rFonts w:asciiTheme="minorEastAsia" w:hAnsiTheme="minorEastAsia" w:cs="宋体"/>
                <w:szCs w:val="21"/>
              </w:rPr>
              <w:t>分；钢混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4分；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 简易及其他结构（包括彩钢、砖简等结构） 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4</w:t>
            </w:r>
            <w:r w:rsidRPr="005001E8">
              <w:rPr>
                <w:rFonts w:asciiTheme="minorEastAsia" w:hAnsiTheme="minorEastAsia" w:cs="宋体"/>
                <w:szCs w:val="21"/>
              </w:rPr>
              <w:t>分；围墙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 分；大门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3分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；双眼灶 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</w:t>
            </w:r>
            <w:r w:rsidRPr="005001E8">
              <w:rPr>
                <w:rFonts w:asciiTheme="minorEastAsia" w:hAnsiTheme="minorEastAsia" w:cs="宋体"/>
                <w:szCs w:val="21"/>
              </w:rPr>
              <w:t>分；单眼灶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3分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。 </w:t>
            </w:r>
          </w:p>
          <w:p w:rsidR="00002B23" w:rsidRPr="005001E8" w:rsidRDefault="00002B23" w:rsidP="00742FC5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1、每项评标基准价为所有投标人有效投标报价的算术平均值，计算时保留小数点 后两位；已废标的投标方报价视为无效投标报价，将不计入价格评分平均基准价计算。</w:t>
            </w:r>
          </w:p>
          <w:p w:rsidR="00002B23" w:rsidRPr="005001E8" w:rsidRDefault="00002B23" w:rsidP="00742FC5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 xml:space="preserve">每项投标报价得分计算方法为：若投标报价等于评标基准价时，投标报价得满分；若投标报价大于评标基准价时，投标报价得分=(评标基准价/投标报价)×相对应分值，计算时保留小数点后两位；若投标报价小于评标基准价时，投标报价得分 =(投标报价/评标基准价)×相对应分值，计算时保留小数点后两位。 </w:t>
            </w:r>
          </w:p>
          <w:p w:rsidR="00002B23" w:rsidRPr="005001E8" w:rsidRDefault="00002B23" w:rsidP="00742FC5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2、合计投标报价得分=砖混报价得分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+砖木报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+钢混报价得分+简易及其它结构（包括彩钢、砖简等结构）报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+围墙报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+大门报</w:t>
            </w:r>
            <w:r w:rsidRPr="005001E8">
              <w:rPr>
                <w:rFonts w:asciiTheme="minorEastAsia" w:hAnsiTheme="minorEastAsia" w:cs="宋体"/>
                <w:szCs w:val="21"/>
              </w:rPr>
              <w:t>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+双眼灶</w:t>
            </w:r>
            <w:r w:rsidRPr="005001E8">
              <w:rPr>
                <w:rFonts w:asciiTheme="minorEastAsia" w:hAnsiTheme="minorEastAsia" w:cs="宋体"/>
                <w:szCs w:val="21"/>
              </w:rPr>
              <w:t>报价得分</w:t>
            </w:r>
            <w:r w:rsidRPr="005001E8">
              <w:rPr>
                <w:rFonts w:asciiTheme="minorEastAsia" w:hAnsiTheme="minorEastAsia" w:cs="宋体" w:hint="eastAsia"/>
                <w:szCs w:val="21"/>
              </w:rPr>
              <w:t>+单眼灶</w:t>
            </w:r>
            <w:r w:rsidRPr="005001E8">
              <w:rPr>
                <w:rFonts w:asciiTheme="minorEastAsia" w:hAnsiTheme="minorEastAsia" w:cs="宋体"/>
                <w:szCs w:val="21"/>
              </w:rPr>
              <w:t xml:space="preserve">报价得分。 </w:t>
            </w:r>
          </w:p>
          <w:p w:rsidR="00002B23" w:rsidRPr="005001E8" w:rsidRDefault="00002B23" w:rsidP="00742FC5">
            <w:pPr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/>
                <w:szCs w:val="21"/>
              </w:rPr>
              <w:t>3、报价超出招标采购预算单价的为无效投标报价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B23" w:rsidRPr="005001E8" w:rsidRDefault="00002B23" w:rsidP="00002B23">
            <w:pPr>
              <w:snapToGrid w:val="0"/>
              <w:spacing w:beforeLines="50" w:before="156" w:line="276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001E8">
              <w:rPr>
                <w:rFonts w:asciiTheme="minorEastAsia" w:hAnsiTheme="minorEastAsia" w:cs="宋体" w:hint="eastAsia"/>
                <w:szCs w:val="21"/>
              </w:rPr>
              <w:t>30</w:t>
            </w:r>
          </w:p>
        </w:tc>
      </w:tr>
    </w:tbl>
    <w:p w:rsidR="00002B23" w:rsidRPr="005001E8" w:rsidRDefault="00002B23" w:rsidP="00002B23">
      <w:pPr>
        <w:rPr>
          <w:rFonts w:asciiTheme="minorEastAsia" w:hAnsiTheme="minorEastAsia"/>
          <w:b/>
          <w:bCs/>
          <w:szCs w:val="21"/>
        </w:rPr>
      </w:pPr>
      <w:r w:rsidRPr="005001E8">
        <w:rPr>
          <w:rFonts w:asciiTheme="minorEastAsia" w:hAnsiTheme="minorEastAsia" w:hint="eastAsia"/>
          <w:b/>
          <w:bCs/>
          <w:szCs w:val="21"/>
        </w:rPr>
        <w:t>事项三：</w:t>
      </w:r>
    </w:p>
    <w:p w:rsidR="00002B23" w:rsidRPr="005001E8" w:rsidRDefault="00002B23" w:rsidP="00002B23">
      <w:pPr>
        <w:rPr>
          <w:rFonts w:asciiTheme="minorEastAsia" w:hAnsiTheme="minorEastAsia"/>
          <w:b/>
          <w:szCs w:val="21"/>
        </w:rPr>
      </w:pPr>
      <w:r w:rsidRPr="005001E8">
        <w:rPr>
          <w:rFonts w:asciiTheme="minorEastAsia" w:hAnsiTheme="minorEastAsia" w:hint="eastAsia"/>
          <w:b/>
          <w:szCs w:val="21"/>
        </w:rPr>
        <w:t>投标文件截止时间、开标时间及地点：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（一）投标截止时间：2021年4月26日9时30分前（北京时间，逾期不予受理）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（二）开标时间：2021年4月26日9时30分前（北京时间，逾期不予受理）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（三）开标时间及地点：2021年4月26日9时30分在天水市公共资源交易中心（天水市秦州区建设路185号原市政府政务大厅）二楼。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/>
          <w:szCs w:val="21"/>
        </w:rPr>
        <w:t>三、其它内容不变</w:t>
      </w:r>
    </w:p>
    <w:p w:rsidR="00002B23" w:rsidRPr="005001E8" w:rsidRDefault="00002B23" w:rsidP="00002B23">
      <w:pPr>
        <w:rPr>
          <w:rFonts w:asciiTheme="minorEastAsia" w:hAnsiTheme="minorEastAsia"/>
          <w:b/>
          <w:szCs w:val="21"/>
        </w:rPr>
      </w:pPr>
      <w:r w:rsidRPr="005001E8">
        <w:rPr>
          <w:rFonts w:asciiTheme="minorEastAsia" w:hAnsiTheme="minorEastAsia" w:hint="eastAsia"/>
          <w:szCs w:val="21"/>
        </w:rPr>
        <w:t>四、</w:t>
      </w:r>
      <w:r w:rsidRPr="005001E8">
        <w:rPr>
          <w:rFonts w:asciiTheme="minorEastAsia" w:hAnsiTheme="minorEastAsia" w:hint="eastAsia"/>
          <w:b/>
          <w:szCs w:val="21"/>
        </w:rPr>
        <w:t>采购项目联系人姓名及电话：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招标人：天水市城市更新服务中心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地址：天水市秦州区岷山路37号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联系人:刘选柏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联系电话：</w:t>
      </w:r>
      <w:r w:rsidRPr="005001E8">
        <w:rPr>
          <w:rFonts w:asciiTheme="minorEastAsia" w:hAnsiTheme="minorEastAsia"/>
          <w:szCs w:val="21"/>
        </w:rPr>
        <w:t>0938</w:t>
      </w:r>
      <w:r w:rsidRPr="005001E8">
        <w:rPr>
          <w:rFonts w:asciiTheme="minorEastAsia" w:hAnsiTheme="minorEastAsia" w:hint="eastAsia"/>
          <w:szCs w:val="21"/>
        </w:rPr>
        <w:t>-</w:t>
      </w:r>
      <w:r w:rsidRPr="005001E8">
        <w:rPr>
          <w:rFonts w:asciiTheme="minorEastAsia" w:hAnsiTheme="minorEastAsia"/>
          <w:szCs w:val="21"/>
        </w:rPr>
        <w:t>8227802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招标代理机构：甘肃国安工程管理有限公司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办公地址：天水市秦州区绿色市场东方名城1号楼2单元1404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lastRenderedPageBreak/>
        <w:t>联 系 人：马祥</w:t>
      </w:r>
    </w:p>
    <w:p w:rsidR="00002B23" w:rsidRPr="005001E8" w:rsidRDefault="00002B23" w:rsidP="005001E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联系电话：0938-8571158</w:t>
      </w:r>
    </w:p>
    <w:p w:rsidR="00002B23" w:rsidRPr="005001E8" w:rsidRDefault="00002B23" w:rsidP="005001E8">
      <w:pPr>
        <w:spacing w:line="360" w:lineRule="auto"/>
        <w:ind w:firstLineChars="200" w:firstLine="420"/>
        <w:jc w:val="center"/>
        <w:rPr>
          <w:rFonts w:asciiTheme="minorEastAsia" w:hAnsiTheme="minorEastAsia"/>
          <w:szCs w:val="21"/>
        </w:rPr>
      </w:pPr>
      <w:r w:rsidRPr="005001E8">
        <w:rPr>
          <w:rFonts w:asciiTheme="minorEastAsia" w:hAnsiTheme="minorEastAsia" w:hint="eastAsia"/>
          <w:szCs w:val="21"/>
        </w:rPr>
        <w:t>2021年4月7日</w:t>
      </w:r>
    </w:p>
    <w:p w:rsidR="00E10EE6" w:rsidRPr="005001E8" w:rsidRDefault="00E10EE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10EE6" w:rsidRPr="0050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3"/>
    <w:rsid w:val="00002B23"/>
    <w:rsid w:val="004B71CB"/>
    <w:rsid w:val="005001E8"/>
    <w:rsid w:val="00E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1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71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1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7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2021-04-06T09:10:00Z</cp:lastPrinted>
  <dcterms:created xsi:type="dcterms:W3CDTF">2021-04-06T08:55:00Z</dcterms:created>
  <dcterms:modified xsi:type="dcterms:W3CDTF">2021-04-06T11:09:00Z</dcterms:modified>
</cp:coreProperties>
</file>