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rPr>
      </w:pPr>
    </w:p>
    <w:p>
      <w:pPr>
        <w:spacing w:line="360" w:lineRule="auto"/>
        <w:jc w:val="center"/>
        <w:rPr>
          <w:rFonts w:hint="eastAsia" w:ascii="仿宋" w:hAnsi="仿宋" w:eastAsia="仿宋" w:cs="仿宋"/>
          <w:b/>
          <w:bCs/>
          <w:sz w:val="28"/>
          <w:szCs w:val="28"/>
        </w:rPr>
      </w:pPr>
      <w:r>
        <w:rPr>
          <w:rFonts w:hint="eastAsia" w:ascii="仿宋" w:hAnsi="仿宋" w:eastAsia="仿宋" w:cs="仿宋"/>
          <w:b/>
          <w:bCs/>
          <w:color w:val="000000"/>
          <w:sz w:val="44"/>
          <w:szCs w:val="44"/>
          <w:lang w:eastAsia="zh-CN"/>
        </w:rPr>
        <w:t>陇南市武都区教育局利用2019-2020年义务教育薄弱环节改善与能力提升结余资金采购多媒体教室设备项目</w:t>
      </w:r>
    </w:p>
    <w:p>
      <w:pPr>
        <w:pStyle w:val="2"/>
        <w:rPr>
          <w:rFonts w:hint="eastAsia" w:ascii="仿宋" w:hAnsi="仿宋" w:eastAsia="仿宋" w:cs="仿宋"/>
          <w:b/>
          <w:bCs/>
          <w:sz w:val="44"/>
          <w:szCs w:val="44"/>
        </w:rPr>
      </w:pPr>
    </w:p>
    <w:p>
      <w:pPr>
        <w:pStyle w:val="2"/>
        <w:rPr>
          <w:rFonts w:hint="eastAsia" w:ascii="仿宋" w:hAnsi="仿宋" w:eastAsia="仿宋" w:cs="仿宋"/>
          <w:b/>
          <w:bCs/>
          <w:sz w:val="44"/>
          <w:szCs w:val="44"/>
        </w:rPr>
      </w:pPr>
    </w:p>
    <w:p>
      <w:pPr>
        <w:pStyle w:val="2"/>
        <w:rPr>
          <w:rFonts w:hint="eastAsia" w:ascii="仿宋" w:hAnsi="仿宋" w:eastAsia="仿宋" w:cs="仿宋"/>
          <w:b/>
          <w:bCs/>
          <w:sz w:val="44"/>
          <w:szCs w:val="44"/>
        </w:rPr>
      </w:pPr>
    </w:p>
    <w:p>
      <w:pPr>
        <w:spacing w:line="276" w:lineRule="auto"/>
        <w:jc w:val="center"/>
        <w:rPr>
          <w:rFonts w:hint="eastAsia" w:ascii="仿宋" w:hAnsi="仿宋" w:eastAsia="仿宋" w:cs="仿宋"/>
          <w:b/>
          <w:bCs/>
          <w:color w:val="000000"/>
          <w:sz w:val="72"/>
          <w:szCs w:val="72"/>
        </w:rPr>
      </w:pPr>
      <w:r>
        <w:rPr>
          <w:rFonts w:hint="eastAsia" w:ascii="仿宋" w:hAnsi="仿宋" w:eastAsia="仿宋" w:cs="仿宋"/>
          <w:b/>
          <w:bCs/>
          <w:color w:val="000000"/>
          <w:sz w:val="72"/>
          <w:szCs w:val="72"/>
        </w:rPr>
        <w:t>竞争性磋商文件</w:t>
      </w:r>
    </w:p>
    <w:p>
      <w:pPr>
        <w:spacing w:line="276" w:lineRule="auto"/>
        <w:jc w:val="center"/>
        <w:rPr>
          <w:rFonts w:hint="eastAsia" w:ascii="仿宋" w:hAnsi="仿宋" w:eastAsia="仿宋" w:cs="仿宋"/>
          <w:b/>
          <w:bCs/>
          <w:color w:val="000000"/>
          <w:sz w:val="30"/>
          <w:szCs w:val="30"/>
        </w:rPr>
      </w:pPr>
      <w:r>
        <w:rPr>
          <w:rFonts w:hint="eastAsia" w:ascii="仿宋" w:hAnsi="仿宋" w:eastAsia="仿宋" w:cs="仿宋"/>
          <w:b/>
          <w:bCs/>
          <w:color w:val="000000"/>
          <w:sz w:val="30"/>
          <w:szCs w:val="30"/>
        </w:rPr>
        <w:t>（招标编号：</w:t>
      </w:r>
      <w:r>
        <w:rPr>
          <w:rFonts w:hint="eastAsia" w:ascii="仿宋" w:hAnsi="仿宋" w:eastAsia="仿宋" w:cs="仿宋"/>
          <w:b/>
          <w:bCs/>
          <w:color w:val="auto"/>
          <w:kern w:val="0"/>
          <w:sz w:val="32"/>
          <w:szCs w:val="32"/>
          <w:lang w:eastAsia="zh-CN"/>
        </w:rPr>
        <w:t>GZ2020015-LNSWDQ</w:t>
      </w:r>
      <w:r>
        <w:rPr>
          <w:rFonts w:hint="eastAsia" w:ascii="仿宋" w:hAnsi="仿宋" w:eastAsia="仿宋" w:cs="仿宋"/>
          <w:b/>
          <w:bCs/>
          <w:color w:val="auto"/>
          <w:kern w:val="0"/>
          <w:sz w:val="32"/>
          <w:szCs w:val="32"/>
        </w:rPr>
        <w:t xml:space="preserve"> </w:t>
      </w:r>
      <w:r>
        <w:rPr>
          <w:rFonts w:hint="eastAsia" w:ascii="仿宋" w:hAnsi="仿宋" w:eastAsia="仿宋" w:cs="仿宋"/>
          <w:b/>
          <w:bCs/>
          <w:color w:val="000000"/>
          <w:sz w:val="30"/>
          <w:szCs w:val="30"/>
        </w:rPr>
        <w:t>）</w:t>
      </w:r>
    </w:p>
    <w:p>
      <w:pPr>
        <w:spacing w:line="360" w:lineRule="auto"/>
        <w:jc w:val="center"/>
        <w:rPr>
          <w:rFonts w:hint="eastAsia" w:ascii="仿宋" w:hAnsi="仿宋" w:eastAsia="仿宋" w:cs="仿宋"/>
          <w:b/>
          <w:bCs/>
          <w:color w:val="000000"/>
          <w:sz w:val="36"/>
          <w:szCs w:val="36"/>
        </w:rPr>
      </w:pPr>
    </w:p>
    <w:p>
      <w:pPr>
        <w:jc w:val="center"/>
        <w:rPr>
          <w:rFonts w:hint="eastAsia" w:ascii="仿宋" w:hAnsi="仿宋" w:eastAsia="仿宋" w:cs="仿宋"/>
          <w:b/>
          <w:bCs/>
          <w:color w:val="000000"/>
          <w:sz w:val="36"/>
          <w:szCs w:val="36"/>
        </w:rPr>
      </w:pPr>
    </w:p>
    <w:p>
      <w:pPr>
        <w:jc w:val="center"/>
        <w:rPr>
          <w:rFonts w:hint="eastAsia" w:ascii="仿宋" w:hAnsi="仿宋" w:eastAsia="仿宋" w:cs="仿宋"/>
          <w:b/>
          <w:bCs/>
          <w:color w:val="000000"/>
          <w:sz w:val="36"/>
          <w:szCs w:val="36"/>
        </w:rPr>
      </w:pPr>
    </w:p>
    <w:p>
      <w:pPr>
        <w:spacing w:after="240" w:afterLines="100"/>
        <w:rPr>
          <w:rFonts w:hint="eastAsia" w:ascii="仿宋" w:hAnsi="仿宋" w:eastAsia="仿宋" w:cs="仿宋"/>
          <w:b/>
          <w:bCs/>
          <w:color w:val="000000"/>
          <w:sz w:val="28"/>
          <w:szCs w:val="28"/>
        </w:rPr>
      </w:pPr>
    </w:p>
    <w:p>
      <w:pPr>
        <w:spacing w:after="240" w:afterLines="100"/>
        <w:rPr>
          <w:rFonts w:hint="eastAsia" w:ascii="仿宋" w:hAnsi="仿宋" w:eastAsia="仿宋" w:cs="仿宋"/>
          <w:b/>
          <w:bCs/>
          <w:color w:val="000000"/>
          <w:sz w:val="28"/>
          <w:szCs w:val="28"/>
        </w:rPr>
      </w:pPr>
    </w:p>
    <w:p>
      <w:pPr>
        <w:spacing w:after="240" w:afterLines="100"/>
        <w:rPr>
          <w:rFonts w:hint="eastAsia" w:ascii="仿宋" w:hAnsi="仿宋" w:eastAsia="仿宋" w:cs="仿宋"/>
          <w:b/>
          <w:bCs/>
          <w:color w:val="000000"/>
          <w:sz w:val="28"/>
          <w:szCs w:val="28"/>
        </w:rPr>
      </w:pPr>
    </w:p>
    <w:p>
      <w:pPr>
        <w:spacing w:after="240" w:afterLines="100" w:line="360" w:lineRule="auto"/>
        <w:rPr>
          <w:rFonts w:hint="eastAsia" w:ascii="仿宋" w:hAnsi="仿宋" w:eastAsia="仿宋" w:cs="仿宋"/>
          <w:b/>
          <w:bCs/>
          <w:color w:val="000000"/>
          <w:sz w:val="32"/>
          <w:szCs w:val="32"/>
        </w:rPr>
      </w:pPr>
    </w:p>
    <w:p>
      <w:pPr>
        <w:spacing w:after="240" w:afterLines="100" w:line="360" w:lineRule="auto"/>
        <w:ind w:firstLine="1590" w:firstLineChars="495"/>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   购   人：</w:t>
      </w:r>
      <w:r>
        <w:rPr>
          <w:rFonts w:hint="eastAsia" w:ascii="仿宋" w:hAnsi="仿宋" w:eastAsia="仿宋" w:cs="仿宋"/>
          <w:b/>
          <w:bCs/>
          <w:color w:val="000000"/>
          <w:sz w:val="32"/>
          <w:szCs w:val="32"/>
          <w:lang w:eastAsia="zh-CN"/>
        </w:rPr>
        <w:t>陇南市武都区教育局</w:t>
      </w:r>
    </w:p>
    <w:p>
      <w:pPr>
        <w:spacing w:after="240" w:afterLines="100" w:line="360" w:lineRule="auto"/>
        <w:ind w:firstLine="1590" w:firstLineChars="495"/>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代 理 机 构：甘肃省招标中心有限公司</w:t>
      </w:r>
    </w:p>
    <w:p>
      <w:pPr>
        <w:spacing w:after="240" w:afterLines="100" w:line="360" w:lineRule="auto"/>
        <w:jc w:val="center"/>
        <w:rPr>
          <w:rFonts w:hint="eastAsia" w:ascii="仿宋" w:hAnsi="仿宋" w:eastAsia="仿宋" w:cs="仿宋"/>
          <w:b/>
          <w:bCs/>
          <w:color w:val="000000"/>
          <w:sz w:val="32"/>
          <w:szCs w:val="32"/>
        </w:rPr>
      </w:pPr>
    </w:p>
    <w:p>
      <w:pPr>
        <w:spacing w:after="240" w:afterLines="100" w:line="360" w:lineRule="auto"/>
        <w:jc w:val="center"/>
        <w:rPr>
          <w:rFonts w:hint="eastAsia" w:ascii="仿宋" w:hAnsi="仿宋" w:eastAsia="仿宋" w:cs="仿宋"/>
          <w:b/>
          <w:bCs/>
          <w:color w:val="000000"/>
          <w:sz w:val="44"/>
          <w:szCs w:val="44"/>
        </w:rPr>
      </w:pPr>
      <w:r>
        <w:rPr>
          <w:rFonts w:hint="eastAsia" w:ascii="仿宋" w:hAnsi="仿宋" w:eastAsia="仿宋" w:cs="仿宋"/>
          <w:b/>
          <w:bCs/>
          <w:color w:val="000000"/>
          <w:sz w:val="32"/>
          <w:szCs w:val="32"/>
        </w:rPr>
        <w:t>二〇二〇年</w:t>
      </w:r>
      <w:r>
        <w:rPr>
          <w:rFonts w:hint="eastAsia" w:ascii="仿宋" w:hAnsi="仿宋" w:eastAsia="仿宋" w:cs="仿宋"/>
          <w:b/>
          <w:bCs/>
          <w:color w:val="000000"/>
          <w:sz w:val="32"/>
          <w:szCs w:val="32"/>
          <w:lang w:eastAsia="zh-CN"/>
        </w:rPr>
        <w:t>十二</w:t>
      </w:r>
      <w:r>
        <w:rPr>
          <w:rFonts w:hint="eastAsia" w:ascii="仿宋" w:hAnsi="仿宋" w:eastAsia="仿宋" w:cs="仿宋"/>
          <w:b/>
          <w:bCs/>
          <w:color w:val="000000"/>
          <w:sz w:val="32"/>
          <w:szCs w:val="32"/>
        </w:rPr>
        <w:t>月</w:t>
      </w:r>
      <w:r>
        <w:rPr>
          <w:rFonts w:hint="eastAsia" w:ascii="仿宋" w:hAnsi="仿宋" w:eastAsia="仿宋" w:cs="仿宋"/>
          <w:b/>
          <w:bCs/>
          <w:color w:val="000000"/>
          <w:sz w:val="32"/>
          <w:szCs w:val="32"/>
          <w:lang w:val="en-US" w:eastAsia="zh-CN"/>
        </w:rPr>
        <w:t xml:space="preserve"> </w:t>
      </w:r>
    </w:p>
    <w:p>
      <w:pPr>
        <w:spacing w:line="360" w:lineRule="auto"/>
        <w:jc w:val="center"/>
        <w:rPr>
          <w:rFonts w:hint="eastAsia" w:ascii="仿宋" w:hAnsi="仿宋" w:eastAsia="仿宋" w:cs="仿宋"/>
          <w:b/>
          <w:bCs/>
          <w:color w:val="000000"/>
          <w:sz w:val="44"/>
          <w:szCs w:val="44"/>
        </w:rPr>
        <w:sectPr>
          <w:headerReference r:id="rId3" w:type="default"/>
          <w:footerReference r:id="rId4" w:type="default"/>
          <w:pgSz w:w="11907" w:h="16840"/>
          <w:pgMar w:top="1440" w:right="1800" w:bottom="1440" w:left="1800" w:header="851" w:footer="590" w:gutter="0"/>
          <w:pgNumType w:fmt="numberInDash" w:start="1"/>
          <w:cols w:space="720" w:num="1"/>
          <w:titlePg/>
          <w:docGrid w:linePitch="312" w:charSpace="0"/>
        </w:sectPr>
      </w:pPr>
    </w:p>
    <w:p>
      <w:pPr>
        <w:spacing w:line="360" w:lineRule="auto"/>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目     录</w:t>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color w:val="000000"/>
          <w:sz w:val="24"/>
          <w:szCs w:val="24"/>
        </w:rPr>
        <w:fldChar w:fldCharType="begin"/>
      </w:r>
      <w:r>
        <w:rPr>
          <w:rFonts w:hint="eastAsia" w:ascii="仿宋" w:hAnsi="仿宋" w:eastAsia="仿宋" w:cs="仿宋"/>
          <w:b/>
          <w:bCs/>
          <w:color w:val="000000"/>
          <w:sz w:val="24"/>
          <w:szCs w:val="24"/>
        </w:rPr>
        <w:instrText xml:space="preserve">TOC \o "1-3" \t "" \h \z \u </w:instrText>
      </w:r>
      <w:r>
        <w:rPr>
          <w:rFonts w:hint="eastAsia" w:ascii="仿宋" w:hAnsi="仿宋" w:eastAsia="仿宋" w:cs="仿宋"/>
          <w:b/>
          <w:bCs/>
          <w:color w:val="000000"/>
          <w:sz w:val="24"/>
          <w:szCs w:val="24"/>
        </w:rPr>
        <w:fldChar w:fldCharType="separate"/>
      </w:r>
      <w:r>
        <w:rPr>
          <w:rFonts w:hint="eastAsia" w:ascii="仿宋" w:hAnsi="仿宋" w:eastAsia="仿宋" w:cs="仿宋"/>
          <w:b/>
          <w:bCs/>
        </w:rPr>
        <w:fldChar w:fldCharType="begin"/>
      </w:r>
      <w:r>
        <w:rPr>
          <w:rFonts w:hint="eastAsia" w:ascii="仿宋" w:hAnsi="仿宋" w:eastAsia="仿宋" w:cs="仿宋"/>
          <w:b/>
          <w:bCs/>
        </w:rPr>
        <w:instrText xml:space="preserve"> HYPERLINK \l "_Toc10814" </w:instrText>
      </w:r>
      <w:r>
        <w:rPr>
          <w:rFonts w:hint="eastAsia" w:ascii="仿宋" w:hAnsi="仿宋" w:eastAsia="仿宋" w:cs="仿宋"/>
          <w:b/>
          <w:bCs/>
        </w:rPr>
        <w:fldChar w:fldCharType="separate"/>
      </w:r>
      <w:r>
        <w:rPr>
          <w:rFonts w:hint="eastAsia" w:ascii="仿宋" w:hAnsi="仿宋" w:eastAsia="仿宋" w:cs="仿宋"/>
          <w:b/>
          <w:bCs/>
          <w:sz w:val="24"/>
          <w:szCs w:val="24"/>
        </w:rPr>
        <w:t>第一章 竞争性磋商公告</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_Toc1455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 xml:space="preserve">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"_Toc1455" </w:instrText>
      </w:r>
      <w:r>
        <w:rPr>
          <w:rFonts w:hint="eastAsia" w:ascii="仿宋" w:hAnsi="仿宋" w:eastAsia="仿宋" w:cs="仿宋"/>
          <w:b/>
          <w:bCs/>
        </w:rPr>
        <w:fldChar w:fldCharType="separate"/>
      </w:r>
      <w:r>
        <w:rPr>
          <w:rFonts w:hint="eastAsia" w:ascii="仿宋" w:hAnsi="仿宋" w:eastAsia="仿宋" w:cs="仿宋"/>
          <w:b/>
          <w:bCs/>
          <w:sz w:val="24"/>
          <w:szCs w:val="24"/>
        </w:rPr>
        <w:t>第二章 供应商须知及前附表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_Toc1455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- 6 -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"_Toc4987" </w:instrText>
      </w:r>
      <w:r>
        <w:rPr>
          <w:rFonts w:hint="eastAsia" w:ascii="仿宋" w:hAnsi="仿宋" w:eastAsia="仿宋" w:cs="仿宋"/>
          <w:b/>
          <w:bCs/>
        </w:rPr>
        <w:fldChar w:fldCharType="separate"/>
      </w:r>
      <w:r>
        <w:rPr>
          <w:rFonts w:hint="eastAsia" w:ascii="仿宋" w:hAnsi="仿宋" w:eastAsia="仿宋" w:cs="仿宋"/>
          <w:b/>
          <w:bCs/>
          <w:sz w:val="24"/>
          <w:szCs w:val="24"/>
        </w:rPr>
        <w:t>（一）供应商须知前附表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_Toc4987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- 6 -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"_Toc15465" </w:instrText>
      </w:r>
      <w:r>
        <w:rPr>
          <w:rFonts w:hint="eastAsia" w:ascii="仿宋" w:hAnsi="仿宋" w:eastAsia="仿宋" w:cs="仿宋"/>
          <w:b/>
          <w:bCs/>
        </w:rPr>
        <w:fldChar w:fldCharType="separate"/>
      </w:r>
      <w:r>
        <w:rPr>
          <w:rFonts w:hint="eastAsia" w:ascii="仿宋" w:hAnsi="仿宋" w:eastAsia="仿宋" w:cs="仿宋"/>
          <w:b/>
          <w:bCs/>
          <w:sz w:val="24"/>
          <w:szCs w:val="24"/>
        </w:rPr>
        <w:t>（二）供应商须知</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_Toc15465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- 9 -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"_Toc28304" </w:instrText>
      </w:r>
      <w:r>
        <w:rPr>
          <w:rFonts w:hint="eastAsia" w:ascii="仿宋" w:hAnsi="仿宋" w:eastAsia="仿宋" w:cs="仿宋"/>
          <w:b/>
          <w:bCs/>
        </w:rPr>
        <w:fldChar w:fldCharType="separate"/>
      </w:r>
      <w:r>
        <w:rPr>
          <w:rFonts w:hint="eastAsia" w:ascii="仿宋" w:hAnsi="仿宋" w:eastAsia="仿宋" w:cs="仿宋"/>
          <w:b/>
          <w:bCs/>
          <w:sz w:val="24"/>
          <w:szCs w:val="24"/>
        </w:rPr>
        <w:t>一、说明</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_Toc28304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- 9 -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"_Toc11179" </w:instrText>
      </w:r>
      <w:r>
        <w:rPr>
          <w:rFonts w:hint="eastAsia" w:ascii="仿宋" w:hAnsi="仿宋" w:eastAsia="仿宋" w:cs="仿宋"/>
          <w:b/>
          <w:bCs/>
        </w:rPr>
        <w:fldChar w:fldCharType="separate"/>
      </w:r>
      <w:r>
        <w:rPr>
          <w:rFonts w:hint="eastAsia" w:ascii="仿宋" w:hAnsi="仿宋" w:eastAsia="仿宋" w:cs="仿宋"/>
          <w:b/>
          <w:bCs/>
          <w:sz w:val="24"/>
          <w:szCs w:val="24"/>
        </w:rPr>
        <w:t>二、竞争性磋商文件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_Toc11179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- 10 -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"_Toc17408"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1.《竞争性磋商文件》的构成</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_Toc17408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- 10 -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"_Toc5445"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2.《竞争性磋商文件》的澄清</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_Toc5445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- 10 -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"_Toc31374"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3. 《竞争性磋商文件》的修改</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_Toc31374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- 10 -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"_Toc13958" </w:instrText>
      </w:r>
      <w:r>
        <w:rPr>
          <w:rFonts w:hint="eastAsia" w:ascii="仿宋" w:hAnsi="仿宋" w:eastAsia="仿宋" w:cs="仿宋"/>
          <w:b/>
          <w:bCs/>
        </w:rPr>
        <w:fldChar w:fldCharType="separate"/>
      </w:r>
      <w:r>
        <w:rPr>
          <w:rFonts w:hint="eastAsia" w:ascii="仿宋" w:hAnsi="仿宋" w:eastAsia="仿宋" w:cs="仿宋"/>
          <w:b/>
          <w:bCs/>
          <w:sz w:val="24"/>
          <w:szCs w:val="24"/>
        </w:rPr>
        <w:t>三、《竞争性磋商响应性文件》的编制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_Toc13958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- 11 -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"_Toc20566"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1.《竞争性磋商响应性文件》的编写</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_Toc20566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- 11 -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"_Toc9772"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2.《竞争性磋商响应性文件》投标语言和计量单位</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_Toc9772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- 11 -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"_Toc21894"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3.《竞争性磋商响应性文件》中的投标报价</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_Toc21894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- 11 -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"_Toc3837"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4.《竞争性磋商响应性文件》的组成</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_Toc3837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- 12 -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"_Toc14265"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5.《竞争性磋商响应性文件》的印制和签署</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_Toc14265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- 13 -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"_Toc31138"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6.《竞争性磋商响应性文件》的密封和标记</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_Toc31138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- 13 -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"_Toc27259"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7.《竞争性磋商响应性文件》的澄清</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_Toc27259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- 14 -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"_Toc29534"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8.《竞争性磋商响应性文件》的修改与撤回</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_Toc29534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- 14 -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"_Toc2267" </w:instrText>
      </w:r>
      <w:r>
        <w:rPr>
          <w:rFonts w:hint="eastAsia" w:ascii="仿宋" w:hAnsi="仿宋" w:eastAsia="仿宋" w:cs="仿宋"/>
          <w:b/>
          <w:bCs/>
        </w:rPr>
        <w:fldChar w:fldCharType="separate"/>
      </w:r>
      <w:r>
        <w:rPr>
          <w:rFonts w:hint="eastAsia" w:ascii="仿宋" w:hAnsi="仿宋" w:eastAsia="仿宋" w:cs="仿宋"/>
          <w:b/>
          <w:bCs/>
          <w:sz w:val="24"/>
          <w:szCs w:val="24"/>
        </w:rPr>
        <w:t>四、竞争性磋商相关事项</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_Toc2267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- 14 -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"_Toc12449"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1.投标有效期</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_Toc12449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- 14 -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"_Toc22154"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2.投标保证金</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_Toc22154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- 14 -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"_Toc19281"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3.供应商对成交结果的质疑、投诉</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_Toc19281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- 14 -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"_Toc16100" </w:instrText>
      </w:r>
      <w:r>
        <w:rPr>
          <w:rFonts w:hint="eastAsia" w:ascii="仿宋" w:hAnsi="仿宋" w:eastAsia="仿宋" w:cs="仿宋"/>
          <w:b/>
          <w:bCs/>
        </w:rPr>
        <w:fldChar w:fldCharType="separate"/>
      </w:r>
      <w:r>
        <w:rPr>
          <w:rFonts w:hint="eastAsia" w:ascii="仿宋" w:hAnsi="仿宋" w:eastAsia="仿宋" w:cs="仿宋"/>
          <w:b/>
          <w:bCs/>
          <w:sz w:val="24"/>
          <w:szCs w:val="24"/>
        </w:rPr>
        <w:t>五、竞争性磋商</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_Toc16100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- 15 -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4"/>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b/>
          <w:bCs/>
        </w:rPr>
        <w:fldChar w:fldCharType="begin"/>
      </w:r>
      <w:r>
        <w:rPr>
          <w:rFonts w:hint="eastAsia" w:ascii="仿宋" w:hAnsi="仿宋" w:eastAsia="仿宋" w:cs="仿宋"/>
          <w:b/>
          <w:bCs/>
        </w:rPr>
        <w:instrText xml:space="preserve"> HYPERLINK \l "_Toc7715" </w:instrText>
      </w:r>
      <w:r>
        <w:rPr>
          <w:rFonts w:hint="eastAsia" w:ascii="仿宋" w:hAnsi="仿宋" w:eastAsia="仿宋" w:cs="仿宋"/>
          <w:b/>
          <w:bCs/>
        </w:rPr>
        <w:fldChar w:fldCharType="separate"/>
      </w:r>
      <w:r>
        <w:rPr>
          <w:rFonts w:hint="eastAsia" w:ascii="仿宋" w:hAnsi="仿宋" w:eastAsia="仿宋" w:cs="仿宋"/>
          <w:b/>
          <w:bCs/>
          <w:sz w:val="24"/>
          <w:szCs w:val="24"/>
        </w:rPr>
        <w:t>1.开标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_Toc7715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- 15 -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"_Toc879" </w:instrText>
      </w:r>
      <w:r>
        <w:rPr>
          <w:rFonts w:hint="eastAsia" w:ascii="仿宋" w:hAnsi="仿宋" w:eastAsia="仿宋" w:cs="仿宋"/>
          <w:b/>
          <w:bCs/>
        </w:rPr>
        <w:fldChar w:fldCharType="separate"/>
      </w:r>
      <w:r>
        <w:rPr>
          <w:rFonts w:hint="eastAsia" w:ascii="仿宋" w:hAnsi="仿宋" w:eastAsia="仿宋" w:cs="仿宋"/>
          <w:b/>
          <w:bCs/>
          <w:i w:val="0"/>
          <w:iCs w:val="0"/>
          <w:kern w:val="0"/>
          <w:sz w:val="24"/>
          <w:szCs w:val="24"/>
        </w:rPr>
        <w:t>2.评标</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_Toc879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- 16 -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"_Toc1748"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3.定标</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_Toc1748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- 19 -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ind w:left="0"/>
        <w:rPr>
          <w:rFonts w:hint="eastAsia" w:ascii="仿宋" w:hAnsi="仿宋" w:eastAsia="仿宋" w:cs="仿宋"/>
          <w:b/>
          <w:bCs/>
          <w:i w:val="0"/>
          <w:iCs w:val="0"/>
          <w:sz w:val="24"/>
          <w:szCs w:val="24"/>
        </w:rPr>
      </w:pPr>
      <w:r>
        <w:rPr>
          <w:rFonts w:hint="eastAsia" w:ascii="仿宋" w:hAnsi="仿宋" w:eastAsia="仿宋" w:cs="仿宋"/>
          <w:b/>
          <w:bCs/>
          <w:i w:val="0"/>
          <w:iCs w:val="0"/>
          <w:sz w:val="24"/>
          <w:szCs w:val="24"/>
        </w:rPr>
        <w:t xml:space="preserve">  </w:t>
      </w:r>
      <w:r>
        <w:rPr>
          <w:rFonts w:hint="eastAsia" w:ascii="仿宋" w:hAnsi="仿宋" w:eastAsia="仿宋" w:cs="仿宋"/>
          <w:b/>
          <w:bCs/>
        </w:rPr>
        <w:fldChar w:fldCharType="begin"/>
      </w:r>
      <w:r>
        <w:rPr>
          <w:rFonts w:hint="eastAsia" w:ascii="仿宋" w:hAnsi="仿宋" w:eastAsia="仿宋" w:cs="仿宋"/>
          <w:b/>
          <w:bCs/>
        </w:rPr>
        <w:instrText xml:space="preserve"> HYPERLINK \l "_Toc27737"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六、成交及合同签订</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_Toc27737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- 19 -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"_Toc18073"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1.成交通知书</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_Toc18073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- 19 -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"_Toc17690"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2.合同授予原则</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_Toc17690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- 19 -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"_Toc22725"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3.合同的签署</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_Toc22725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- 19 -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8"/>
        <w:tabs>
          <w:tab w:val="right" w:leader="dot" w:pos="8307"/>
        </w:tabs>
        <w:spacing w:line="500" w:lineRule="exact"/>
        <w:rPr>
          <w:rFonts w:hint="eastAsia" w:ascii="仿宋" w:hAnsi="仿宋" w:eastAsia="仿宋" w:cs="仿宋"/>
          <w:b/>
          <w:bCs/>
          <w:i w:val="0"/>
          <w:iCs w:val="0"/>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"_Toc2927" </w:instrText>
      </w:r>
      <w:r>
        <w:rPr>
          <w:rFonts w:hint="eastAsia" w:ascii="仿宋" w:hAnsi="仿宋" w:eastAsia="仿宋" w:cs="仿宋"/>
          <w:b/>
          <w:bCs/>
        </w:rPr>
        <w:fldChar w:fldCharType="separate"/>
      </w:r>
      <w:r>
        <w:rPr>
          <w:rFonts w:hint="eastAsia" w:ascii="仿宋" w:hAnsi="仿宋" w:eastAsia="仿宋" w:cs="仿宋"/>
          <w:b/>
          <w:bCs/>
          <w:i w:val="0"/>
          <w:iCs w:val="0"/>
          <w:sz w:val="24"/>
          <w:szCs w:val="24"/>
        </w:rPr>
        <w:t>4.腐败和欺诈行为</w:t>
      </w:r>
      <w:r>
        <w:rPr>
          <w:rFonts w:hint="eastAsia" w:ascii="仿宋" w:hAnsi="仿宋" w:eastAsia="仿宋" w:cs="仿宋"/>
          <w:b/>
          <w:bCs/>
          <w:i w:val="0"/>
          <w:iCs w:val="0"/>
          <w:sz w:val="24"/>
          <w:szCs w:val="24"/>
        </w:rPr>
        <w:tab/>
      </w:r>
      <w:r>
        <w:rPr>
          <w:rFonts w:hint="eastAsia" w:ascii="仿宋" w:hAnsi="仿宋" w:eastAsia="仿宋" w:cs="仿宋"/>
          <w:b/>
          <w:bCs/>
          <w:i w:val="0"/>
          <w:iCs w:val="0"/>
          <w:sz w:val="24"/>
          <w:szCs w:val="24"/>
        </w:rPr>
        <w:fldChar w:fldCharType="begin"/>
      </w:r>
      <w:r>
        <w:rPr>
          <w:rFonts w:hint="eastAsia" w:ascii="仿宋" w:hAnsi="仿宋" w:eastAsia="仿宋" w:cs="仿宋"/>
          <w:b/>
          <w:bCs/>
          <w:i w:val="0"/>
          <w:iCs w:val="0"/>
          <w:sz w:val="24"/>
          <w:szCs w:val="24"/>
        </w:rPr>
        <w:instrText xml:space="preserve"> PAGEREF _Toc2927 </w:instrText>
      </w:r>
      <w:r>
        <w:rPr>
          <w:rFonts w:hint="eastAsia" w:ascii="仿宋" w:hAnsi="仿宋" w:eastAsia="仿宋" w:cs="仿宋"/>
          <w:b/>
          <w:bCs/>
          <w:i w:val="0"/>
          <w:iCs w:val="0"/>
          <w:sz w:val="24"/>
          <w:szCs w:val="24"/>
        </w:rPr>
        <w:fldChar w:fldCharType="separate"/>
      </w:r>
      <w:r>
        <w:rPr>
          <w:rFonts w:hint="eastAsia" w:ascii="仿宋" w:hAnsi="仿宋" w:eastAsia="仿宋" w:cs="仿宋"/>
          <w:b/>
          <w:bCs/>
          <w:i w:val="0"/>
          <w:iCs w:val="0"/>
          <w:sz w:val="24"/>
          <w:szCs w:val="24"/>
        </w:rPr>
        <w:t>- 20 -</w:t>
      </w:r>
      <w:r>
        <w:rPr>
          <w:rFonts w:hint="eastAsia" w:ascii="仿宋" w:hAnsi="仿宋" w:eastAsia="仿宋" w:cs="仿宋"/>
          <w:b/>
          <w:bCs/>
          <w:i w:val="0"/>
          <w:iCs w:val="0"/>
          <w:sz w:val="24"/>
          <w:szCs w:val="24"/>
        </w:rPr>
        <w:fldChar w:fldCharType="end"/>
      </w:r>
      <w:r>
        <w:rPr>
          <w:rFonts w:hint="eastAsia" w:ascii="仿宋" w:hAnsi="仿宋" w:eastAsia="仿宋" w:cs="仿宋"/>
          <w:b/>
          <w:bCs/>
          <w:i w:val="0"/>
          <w:iCs w:val="0"/>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"_Toc6374" </w:instrText>
      </w:r>
      <w:r>
        <w:rPr>
          <w:rFonts w:hint="eastAsia" w:ascii="仿宋" w:hAnsi="仿宋" w:eastAsia="仿宋" w:cs="仿宋"/>
          <w:b/>
          <w:bCs/>
        </w:rPr>
        <w:fldChar w:fldCharType="separate"/>
      </w:r>
      <w:r>
        <w:rPr>
          <w:rFonts w:hint="eastAsia" w:ascii="仿宋" w:hAnsi="仿宋" w:eastAsia="仿宋" w:cs="仿宋"/>
          <w:b/>
          <w:bCs/>
          <w:sz w:val="24"/>
          <w:szCs w:val="24"/>
        </w:rPr>
        <w:t>第三章 采购内容</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_Toc6374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- 21 -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"_Toc29905" </w:instrText>
      </w:r>
      <w:r>
        <w:rPr>
          <w:rFonts w:hint="eastAsia" w:ascii="仿宋" w:hAnsi="仿宋" w:eastAsia="仿宋" w:cs="仿宋"/>
          <w:b/>
          <w:bCs/>
        </w:rPr>
        <w:fldChar w:fldCharType="separate"/>
      </w:r>
      <w:r>
        <w:rPr>
          <w:rFonts w:hint="eastAsia" w:ascii="仿宋" w:hAnsi="仿宋" w:eastAsia="仿宋" w:cs="仿宋"/>
          <w:b/>
          <w:bCs/>
          <w:sz w:val="24"/>
          <w:szCs w:val="24"/>
        </w:rPr>
        <w:t>第四章 合同条款及合同格式</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_Toc29905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- 23 -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"_Toc13841" </w:instrText>
      </w:r>
      <w:r>
        <w:rPr>
          <w:rFonts w:hint="eastAsia" w:ascii="仿宋" w:hAnsi="仿宋" w:eastAsia="仿宋" w:cs="仿宋"/>
          <w:b/>
          <w:bCs/>
        </w:rPr>
        <w:fldChar w:fldCharType="separate"/>
      </w:r>
      <w:r>
        <w:rPr>
          <w:rFonts w:hint="eastAsia" w:ascii="仿宋" w:hAnsi="仿宋" w:eastAsia="仿宋" w:cs="仿宋"/>
          <w:b/>
          <w:bCs/>
          <w:sz w:val="24"/>
          <w:szCs w:val="24"/>
        </w:rPr>
        <w:t>第五章 竞争性磋商响应性文件格式</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_Toc13841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- 28 -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"_Toc3453" </w:instrText>
      </w:r>
      <w:r>
        <w:rPr>
          <w:rFonts w:hint="eastAsia" w:ascii="仿宋" w:hAnsi="仿宋" w:eastAsia="仿宋" w:cs="仿宋"/>
          <w:b/>
          <w:bCs/>
        </w:rPr>
        <w:fldChar w:fldCharType="separate"/>
      </w:r>
      <w:r>
        <w:rPr>
          <w:rFonts w:hint="eastAsia" w:ascii="仿宋" w:hAnsi="仿宋" w:eastAsia="仿宋" w:cs="仿宋"/>
          <w:b/>
          <w:bCs/>
          <w:sz w:val="24"/>
          <w:szCs w:val="24"/>
        </w:rPr>
        <w:t>（一） 投标函</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_Toc3453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- 28 -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"_Toc10015" </w:instrText>
      </w:r>
      <w:r>
        <w:rPr>
          <w:rFonts w:hint="eastAsia" w:ascii="仿宋" w:hAnsi="仿宋" w:eastAsia="仿宋" w:cs="仿宋"/>
          <w:b/>
          <w:bCs/>
        </w:rPr>
        <w:fldChar w:fldCharType="separate"/>
      </w:r>
      <w:r>
        <w:rPr>
          <w:rFonts w:hint="eastAsia" w:ascii="仿宋" w:hAnsi="仿宋" w:eastAsia="仿宋" w:cs="仿宋"/>
          <w:b/>
          <w:bCs/>
          <w:sz w:val="24"/>
          <w:szCs w:val="24"/>
        </w:rPr>
        <w:t>（二） 开标一览表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_Toc10015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- 29 -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"_Toc26165" </w:instrText>
      </w:r>
      <w:r>
        <w:rPr>
          <w:rFonts w:hint="eastAsia" w:ascii="仿宋" w:hAnsi="仿宋" w:eastAsia="仿宋" w:cs="仿宋"/>
          <w:b/>
          <w:bCs/>
        </w:rPr>
        <w:fldChar w:fldCharType="separate"/>
      </w:r>
      <w:r>
        <w:rPr>
          <w:rFonts w:hint="eastAsia" w:ascii="仿宋" w:hAnsi="仿宋" w:eastAsia="仿宋" w:cs="仿宋"/>
          <w:b/>
          <w:bCs/>
          <w:sz w:val="24"/>
          <w:szCs w:val="24"/>
        </w:rPr>
        <w:t>（三） 投标报价明细表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_Toc26165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- 30 -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"_Toc499" </w:instrText>
      </w:r>
      <w:r>
        <w:rPr>
          <w:rFonts w:hint="eastAsia" w:ascii="仿宋" w:hAnsi="仿宋" w:eastAsia="仿宋" w:cs="仿宋"/>
          <w:b/>
          <w:bCs/>
        </w:rPr>
        <w:fldChar w:fldCharType="separate"/>
      </w:r>
      <w:r>
        <w:rPr>
          <w:rFonts w:hint="eastAsia" w:ascii="仿宋" w:hAnsi="仿宋" w:eastAsia="仿宋" w:cs="仿宋"/>
          <w:b/>
          <w:bCs/>
          <w:sz w:val="24"/>
          <w:szCs w:val="24"/>
        </w:rPr>
        <w:t>（四）投标保证金交纳和退付证明</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_Toc499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- 31 -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"_Toc27880" </w:instrText>
      </w:r>
      <w:r>
        <w:rPr>
          <w:rFonts w:hint="eastAsia" w:ascii="仿宋" w:hAnsi="仿宋" w:eastAsia="仿宋" w:cs="仿宋"/>
          <w:b/>
          <w:bCs/>
        </w:rPr>
        <w:fldChar w:fldCharType="separate"/>
      </w:r>
      <w:r>
        <w:rPr>
          <w:rFonts w:hint="eastAsia" w:ascii="仿宋" w:hAnsi="仿宋" w:eastAsia="仿宋" w:cs="仿宋"/>
          <w:b/>
          <w:bCs/>
          <w:sz w:val="24"/>
          <w:szCs w:val="24"/>
        </w:rPr>
        <w:t>（五） 法定代表人授权书</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_Toc27880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- 32 -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"_Toc21997" </w:instrText>
      </w:r>
      <w:r>
        <w:rPr>
          <w:rFonts w:hint="eastAsia" w:ascii="仿宋" w:hAnsi="仿宋" w:eastAsia="仿宋" w:cs="仿宋"/>
          <w:b/>
          <w:bCs/>
        </w:rPr>
        <w:fldChar w:fldCharType="separate"/>
      </w:r>
      <w:r>
        <w:rPr>
          <w:rFonts w:hint="eastAsia" w:ascii="仿宋" w:hAnsi="仿宋" w:eastAsia="仿宋" w:cs="仿宋"/>
          <w:b/>
          <w:bCs/>
          <w:sz w:val="24"/>
          <w:szCs w:val="24"/>
        </w:rPr>
        <w:t>（六）商务条款偏离表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_Toc21997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- 33 -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"_Toc12257" </w:instrText>
      </w:r>
      <w:r>
        <w:rPr>
          <w:rFonts w:hint="eastAsia" w:ascii="仿宋" w:hAnsi="仿宋" w:eastAsia="仿宋" w:cs="仿宋"/>
          <w:b/>
          <w:bCs/>
        </w:rPr>
        <w:fldChar w:fldCharType="separate"/>
      </w:r>
      <w:r>
        <w:rPr>
          <w:rFonts w:hint="eastAsia" w:ascii="仿宋" w:hAnsi="仿宋" w:eastAsia="仿宋" w:cs="仿宋"/>
          <w:b/>
          <w:bCs/>
          <w:sz w:val="24"/>
          <w:szCs w:val="24"/>
        </w:rPr>
        <w:t>（七）供应商资格声明</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_Toc12257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- 34 -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"_Toc27377" </w:instrText>
      </w:r>
      <w:r>
        <w:rPr>
          <w:rFonts w:hint="eastAsia" w:ascii="仿宋" w:hAnsi="仿宋" w:eastAsia="仿宋" w:cs="仿宋"/>
          <w:b/>
          <w:bCs/>
        </w:rPr>
        <w:fldChar w:fldCharType="separate"/>
      </w:r>
      <w:r>
        <w:rPr>
          <w:rFonts w:hint="eastAsia" w:ascii="仿宋" w:hAnsi="仿宋" w:eastAsia="仿宋" w:cs="仿宋"/>
          <w:b/>
          <w:bCs/>
          <w:sz w:val="24"/>
          <w:szCs w:val="24"/>
        </w:rPr>
        <w:t>（八）近三年已完成或在执行类似项目一览表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_Toc27377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- 35 -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"_Toc1834" </w:instrText>
      </w:r>
      <w:r>
        <w:rPr>
          <w:rFonts w:hint="eastAsia" w:ascii="仿宋" w:hAnsi="仿宋" w:eastAsia="仿宋" w:cs="仿宋"/>
          <w:b/>
          <w:bCs/>
        </w:rPr>
        <w:fldChar w:fldCharType="separate"/>
      </w:r>
      <w:r>
        <w:rPr>
          <w:rFonts w:hint="eastAsia" w:ascii="仿宋" w:hAnsi="仿宋" w:eastAsia="仿宋" w:cs="仿宋"/>
          <w:b/>
          <w:bCs/>
          <w:sz w:val="24"/>
          <w:szCs w:val="24"/>
        </w:rPr>
        <w:t>（九）优惠条件承诺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_Toc1834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- 36 -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"_Toc24985" </w:instrText>
      </w:r>
      <w:r>
        <w:rPr>
          <w:rFonts w:hint="eastAsia" w:ascii="仿宋" w:hAnsi="仿宋" w:eastAsia="仿宋" w:cs="仿宋"/>
          <w:b/>
          <w:bCs/>
        </w:rPr>
        <w:fldChar w:fldCharType="separate"/>
      </w:r>
      <w:r>
        <w:rPr>
          <w:rFonts w:hint="eastAsia" w:ascii="仿宋" w:hAnsi="仿宋" w:eastAsia="仿宋" w:cs="仿宋"/>
          <w:b/>
          <w:bCs/>
          <w:sz w:val="24"/>
          <w:szCs w:val="24"/>
        </w:rPr>
        <w:t>（十）售后服务承诺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_Toc24985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- 37 -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"_Toc20288" </w:instrText>
      </w:r>
      <w:r>
        <w:rPr>
          <w:rFonts w:hint="eastAsia" w:ascii="仿宋" w:hAnsi="仿宋" w:eastAsia="仿宋" w:cs="仿宋"/>
          <w:b/>
          <w:bCs/>
        </w:rPr>
        <w:fldChar w:fldCharType="separate"/>
      </w:r>
      <w:r>
        <w:rPr>
          <w:rFonts w:hint="eastAsia" w:ascii="仿宋" w:hAnsi="仿宋" w:eastAsia="仿宋" w:cs="仿宋"/>
          <w:b/>
          <w:bCs/>
          <w:sz w:val="24"/>
          <w:szCs w:val="24"/>
        </w:rPr>
        <w:t>（十一）培训计划承诺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_Toc20288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- 38 -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"_Toc3414" </w:instrText>
      </w:r>
      <w:r>
        <w:rPr>
          <w:rFonts w:hint="eastAsia" w:ascii="仿宋" w:hAnsi="仿宋" w:eastAsia="仿宋" w:cs="仿宋"/>
          <w:b/>
          <w:bCs/>
        </w:rPr>
        <w:fldChar w:fldCharType="separate"/>
      </w:r>
      <w:r>
        <w:rPr>
          <w:rFonts w:hint="eastAsia" w:ascii="仿宋" w:hAnsi="仿宋" w:eastAsia="仿宋" w:cs="仿宋"/>
          <w:b/>
          <w:bCs/>
          <w:sz w:val="24"/>
          <w:szCs w:val="24"/>
        </w:rPr>
        <w:t>（十二）技术条款偏离表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_Toc3414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- 39 -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307"/>
        </w:tabs>
        <w:spacing w:line="500" w:lineRule="exact"/>
        <w:rPr>
          <w:rFonts w:hint="eastAsia" w:ascii="仿宋" w:hAnsi="仿宋" w:eastAsia="仿宋" w:cs="仿宋"/>
          <w:b/>
          <w:bCs/>
          <w:sz w:val="24"/>
          <w:szCs w:val="24"/>
        </w:rPr>
      </w:pPr>
      <w:r>
        <w:rPr>
          <w:rFonts w:hint="eastAsia" w:ascii="仿宋" w:hAnsi="仿宋" w:eastAsia="仿宋" w:cs="仿宋"/>
          <w:b/>
          <w:bCs/>
        </w:rPr>
        <w:fldChar w:fldCharType="begin"/>
      </w:r>
      <w:r>
        <w:rPr>
          <w:rFonts w:hint="eastAsia" w:ascii="仿宋" w:hAnsi="仿宋" w:eastAsia="仿宋" w:cs="仿宋"/>
          <w:b/>
          <w:bCs/>
        </w:rPr>
        <w:instrText xml:space="preserve"> HYPERLINK \l "_Toc20417" </w:instrText>
      </w:r>
      <w:r>
        <w:rPr>
          <w:rFonts w:hint="eastAsia" w:ascii="仿宋" w:hAnsi="仿宋" w:eastAsia="仿宋" w:cs="仿宋"/>
          <w:b/>
          <w:bCs/>
        </w:rPr>
        <w:fldChar w:fldCharType="separate"/>
      </w:r>
      <w:r>
        <w:rPr>
          <w:rFonts w:hint="eastAsia" w:ascii="仿宋" w:hAnsi="仿宋" w:eastAsia="仿宋" w:cs="仿宋"/>
          <w:b/>
          <w:bCs/>
          <w:spacing w:val="-6"/>
          <w:sz w:val="24"/>
          <w:szCs w:val="24"/>
        </w:rPr>
        <w:t>（十三）《竞争性磋商响应性文件》封面及密封袋封面格式</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_Toc20417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- 40 -</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2"/>
        <w:tabs>
          <w:tab w:val="right" w:leader="dot" w:pos="8297"/>
        </w:tabs>
        <w:spacing w:before="0" w:after="0" w:line="500" w:lineRule="exact"/>
        <w:rPr>
          <w:rFonts w:hint="eastAsia" w:ascii="仿宋" w:hAnsi="仿宋" w:eastAsia="仿宋" w:cs="仿宋"/>
          <w:b/>
          <w:bCs/>
          <w:sz w:val="36"/>
          <w:szCs w:val="36"/>
        </w:rPr>
      </w:pPr>
      <w:r>
        <w:rPr>
          <w:rFonts w:hint="eastAsia" w:ascii="仿宋" w:hAnsi="仿宋" w:eastAsia="仿宋" w:cs="仿宋"/>
          <w:b/>
          <w:bCs/>
          <w:sz w:val="24"/>
          <w:szCs w:val="24"/>
        </w:rPr>
        <w:fldChar w:fldCharType="end"/>
      </w:r>
      <w:bookmarkStart w:id="0" w:name="_Toc371409690"/>
      <w:bookmarkStart w:id="1" w:name="_Toc381600236"/>
      <w:bookmarkStart w:id="2" w:name="_Toc397953665"/>
    </w:p>
    <w:bookmarkEnd w:id="0"/>
    <w:bookmarkEnd w:id="1"/>
    <w:bookmarkEnd w:id="2"/>
    <w:p>
      <w:pPr>
        <w:pStyle w:val="7"/>
        <w:rPr>
          <w:rFonts w:hint="eastAsia" w:ascii="仿宋" w:hAnsi="仿宋" w:eastAsia="仿宋" w:cs="仿宋"/>
          <w:b/>
          <w:bCs/>
        </w:rPr>
      </w:pPr>
      <w:bookmarkStart w:id="3" w:name="_Toc1455"/>
      <w:bookmarkStart w:id="4" w:name="_Toc381600237"/>
      <w:bookmarkStart w:id="5" w:name="_Toc397953667"/>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center"/>
        <w:rPr>
          <w:rFonts w:hint="default" w:ascii="仿宋" w:hAnsi="仿宋" w:eastAsia="仿宋" w:cs="仿宋"/>
          <w:b/>
          <w:bCs/>
          <w:kern w:val="2"/>
          <w:sz w:val="44"/>
          <w:szCs w:val="32"/>
          <w:lang w:val="en-US" w:eastAsia="zh-CN" w:bidi="ar-SA"/>
        </w:rPr>
      </w:pPr>
      <w:r>
        <w:rPr>
          <w:rFonts w:hint="eastAsia" w:ascii="仿宋" w:hAnsi="仿宋" w:eastAsia="仿宋" w:cs="仿宋"/>
          <w:b/>
          <w:bCs/>
          <w:kern w:val="2"/>
          <w:sz w:val="44"/>
          <w:szCs w:val="32"/>
          <w:lang w:val="en-US" w:eastAsia="zh-CN" w:bidi="ar-SA"/>
        </w:rPr>
        <w:t>第一章  竞争性磋商公告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center"/>
        <w:rPr>
          <w:rFonts w:ascii="Arial" w:hAnsi="Arial" w:eastAsia="微软雅黑" w:cs="Arial"/>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pPr>
      <w:r>
        <w:rPr>
          <w:rFonts w:ascii="微软雅黑" w:hAnsi="微软雅黑" w:eastAsia="微软雅黑" w:cs="微软雅黑"/>
          <w:color w:val="333333"/>
          <w:kern w:val="0"/>
          <w:sz w:val="24"/>
          <w:szCs w:val="24"/>
          <w:u w:val="single"/>
          <w:lang w:val="en-US" w:eastAsia="zh-CN" w:bidi="ar"/>
        </w:rPr>
        <w:t xml:space="preserve">陇南市武都区教育局利用2019-2020年义务教育薄弱环节改善与能力提升结余资金采购多媒体教室设备项目竞争性磋商公告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陇南市武都区教育局采购项目的潜在供应商应在甘肃省陇南市武都区东江三号路甘肃省招标中心有限公司陇南办事处获取采购文件，并于2021-01-12 15:00（北京时间）前提交响应文件。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一、项目基本情况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项目编号：GZ2020015-LNSWDQ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项目名称：陇南市武都区教育局利用2019-2020年义务教育薄弱环节改善与能力提升结余资金采购多媒体教室设备项目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预算金额：43.9731(万元)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最高限价：43.9731(万元)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采购需求：采购多媒体教室18套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合同履行期限：1年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本项目（是/否）接受联合体投标：否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二、申请人的资格要求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1.1.满足《中华人民共和国政府采购法》第二十二条规定； 2.须具有合法有效的法人营业执照、国家和地方税务登记证、组织机构代码证、开户许可证；前述法人营业执照、税务登记证、组织机构代码证已三证合一的，则需提供具有统一社会信用代码的营业执照； 3.须提供法人授权函（原件）及被授权人身份证复印件（正、反面复印件）； 4.本次招标不接受联合体投标； 5.招标文件中要求的其他资格。 （1）投标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前三天在“信用中国”网站（www.creditchina.gov.cn）、中国政府采购网（www.ccgp.gov.cn）及“信用甘肃”网站（www.gscredit.gov.cn）查询结果为准，如相关失信记录失效，供应商需提供相关证明资料）。 6.落实政府采购政策需满足的资格要求：（1）根据财政部发布的《政府采购促进中小企业发展暂行办法》规定，本项目对小型和微型企业产品的价格给予6%的扣除。 （2）根据财政部发布的《关于政府采购支持监狱企业发展有关问题的通知》规定，本项目对监狱企业产品的价格给予6%的扣除。 （3）根据财政部、民政部、中国残疾人联合会发布的《关于促进残疾人就业政府采购政策的通知》规定，本项目对残疾人福利性单位产品的价格给予6%的扣除。 （4）投标人如符合以上政策标准，应提供声明函，未提供者不予以认定。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2.落实政府采购政策需满足的资格要求：无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3.本项目的特定资格要求：无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三、获取采购文件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时间：2020-12-31至2021-01-07，每天上午8:30至11:30，下午14:30至17:30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地点：甘肃省陇南市武都区东江三号路甘肃省招标中心有限公司陇南办事处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方式：现场获取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售价：0.0(元)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四、响应文件提交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截止时间：2021-01-12 15:00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地点：甘肃省陇南市武都区东江三号路甘肃省招标中心有限公司陇南办事处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u w:val="single"/>
          <w:lang w:val="en-US" w:eastAsia="zh-CN" w:bidi="ar"/>
        </w:rPr>
        <w:t xml:space="preserve">五、开启 </w:t>
      </w:r>
    </w:p>
    <w:p>
      <w:pPr>
        <w:pStyle w:val="15"/>
        <w:keepNext w:val="0"/>
        <w:keepLines w:val="0"/>
        <w:widowControl/>
        <w:suppressLineNumbers w:val="0"/>
        <w:spacing w:before="0" w:beforeAutospacing="0" w:after="0" w:afterAutospacing="0" w:line="420"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时间：2021-01-12 15:00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地点：甘肃省陇南市武都区东江三号路甘肃省招标中心有限公司陇南办事处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六、公告期限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自本公告发布之日起3个工作日。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七、其他补充事宜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八、凡对本次采购提出询问，请按以下方式联系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1.采购人信息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名 称：陇南市武都区教育局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地 址：甘肃省陇南市武都区油橄榄基地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联系方式：13993969088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2.采购代理机构信息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名 称：甘肃省招标中心有限公司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地 址：甘肃省兰州市城关区飞雁街118号1-19层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联系方式：09312909769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3.项目联系方式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项目联系人：杨红海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微软雅黑" w:hAnsi="微软雅黑" w:eastAsia="微软雅黑" w:cs="微软雅黑"/>
          <w:color w:val="333333"/>
          <w:kern w:val="0"/>
          <w:sz w:val="24"/>
          <w:szCs w:val="24"/>
          <w:u w:val="single"/>
          <w:lang w:val="en-US" w:eastAsia="zh-CN" w:bidi="ar"/>
        </w:rPr>
        <w:t xml:space="preserve">电　话：13993969088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left"/>
        <w:rPr>
          <w:caps w:val="0"/>
          <w:color w:val="000000"/>
          <w:spacing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left"/>
        <w:rPr>
          <w:caps w:val="0"/>
          <w:color w:val="000000"/>
          <w:spacing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left"/>
        <w:rPr>
          <w:caps w:val="0"/>
          <w:color w:val="000000"/>
          <w:spacing w:val="0"/>
        </w:rPr>
      </w:pPr>
      <w:r>
        <w:rPr>
          <w:rFonts w:hint="default" w:ascii="Arial" w:hAnsi="Arial" w:eastAsia="微软雅黑" w:cs="Arial"/>
          <w:caps w:val="0"/>
          <w:color w:val="000000"/>
          <w:spacing w:val="0"/>
          <w:kern w:val="0"/>
          <w:sz w:val="24"/>
          <w:szCs w:val="24"/>
          <w:shd w:val="clear" w:fill="FFFFFF"/>
          <w:lang w:val="en-US" w:eastAsia="zh-CN" w:bidi="ar"/>
        </w:rPr>
        <w:t>                                                      </w:t>
      </w:r>
      <w:r>
        <w:rPr>
          <w:rFonts w:hint="default" w:ascii="Arial" w:hAnsi="Arial" w:eastAsia="微软雅黑" w:cs="Arial"/>
          <w:caps w:val="0"/>
          <w:color w:val="000000"/>
          <w:spacing w:val="0"/>
          <w:kern w:val="0"/>
          <w:sz w:val="24"/>
          <w:szCs w:val="24"/>
          <w:u w:val="single"/>
          <w:shd w:val="clear" w:fill="FFFFFF"/>
          <w:lang w:val="en-US" w:eastAsia="zh-CN" w:bidi="ar"/>
        </w:rPr>
        <w:t xml:space="preserve"> 甘肃省招标中心有限公司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8" w:lineRule="atLeast"/>
        <w:ind w:left="150" w:right="0" w:firstLine="420"/>
        <w:jc w:val="left"/>
        <w:rPr>
          <w:caps w:val="0"/>
          <w:color w:val="000000"/>
          <w:spacing w:val="0"/>
        </w:rPr>
      </w:pPr>
      <w:r>
        <w:rPr>
          <w:rFonts w:hint="default" w:ascii="Arial" w:hAnsi="Arial" w:eastAsia="微软雅黑" w:cs="Arial"/>
          <w:caps w:val="0"/>
          <w:color w:val="000000"/>
          <w:spacing w:val="0"/>
          <w:kern w:val="0"/>
          <w:sz w:val="24"/>
          <w:szCs w:val="24"/>
          <w:shd w:val="clear" w:fill="FFFFFF"/>
          <w:lang w:val="en-US" w:eastAsia="zh-CN" w:bidi="ar"/>
        </w:rPr>
        <w:t xml:space="preserve">                                                             </w:t>
      </w:r>
      <w:r>
        <w:rPr>
          <w:rFonts w:hint="default" w:ascii="Arial" w:hAnsi="Arial" w:eastAsia="微软雅黑" w:cs="Arial"/>
          <w:caps w:val="0"/>
          <w:color w:val="000000"/>
          <w:spacing w:val="0"/>
          <w:kern w:val="0"/>
          <w:sz w:val="24"/>
          <w:szCs w:val="24"/>
          <w:u w:val="single"/>
          <w:shd w:val="clear" w:fill="FFFFFF"/>
          <w:lang w:val="en-US" w:eastAsia="zh-CN" w:bidi="ar"/>
        </w:rPr>
        <w:t>2020年1</w:t>
      </w:r>
      <w:r>
        <w:rPr>
          <w:rFonts w:hint="eastAsia" w:ascii="Arial" w:hAnsi="Arial" w:eastAsia="微软雅黑" w:cs="Arial"/>
          <w:caps w:val="0"/>
          <w:color w:val="000000"/>
          <w:spacing w:val="0"/>
          <w:kern w:val="0"/>
          <w:sz w:val="24"/>
          <w:szCs w:val="24"/>
          <w:u w:val="single"/>
          <w:shd w:val="clear" w:fill="FFFFFF"/>
          <w:lang w:val="en-US" w:eastAsia="zh-CN" w:bidi="ar"/>
        </w:rPr>
        <w:t>2</w:t>
      </w:r>
      <w:r>
        <w:rPr>
          <w:rFonts w:hint="default" w:ascii="Arial" w:hAnsi="Arial" w:eastAsia="微软雅黑" w:cs="Arial"/>
          <w:caps w:val="0"/>
          <w:color w:val="000000"/>
          <w:spacing w:val="0"/>
          <w:kern w:val="0"/>
          <w:sz w:val="24"/>
          <w:szCs w:val="24"/>
          <w:u w:val="single"/>
          <w:shd w:val="clear" w:fill="FFFFFF"/>
          <w:lang w:val="en-US" w:eastAsia="zh-CN" w:bidi="ar"/>
        </w:rPr>
        <w:t>月</w:t>
      </w:r>
      <w:r>
        <w:rPr>
          <w:rFonts w:hint="eastAsia" w:ascii="Arial" w:hAnsi="Arial" w:eastAsia="微软雅黑" w:cs="Arial"/>
          <w:caps w:val="0"/>
          <w:color w:val="000000"/>
          <w:spacing w:val="0"/>
          <w:kern w:val="0"/>
          <w:sz w:val="24"/>
          <w:szCs w:val="24"/>
          <w:u w:val="single"/>
          <w:shd w:val="clear" w:fill="FFFFFF"/>
          <w:lang w:val="en-US" w:eastAsia="zh-CN" w:bidi="ar"/>
        </w:rPr>
        <w:t>30</w:t>
      </w:r>
      <w:r>
        <w:rPr>
          <w:rFonts w:hint="default" w:ascii="Arial" w:hAnsi="Arial" w:eastAsia="微软雅黑" w:cs="Arial"/>
          <w:caps w:val="0"/>
          <w:color w:val="000000"/>
          <w:spacing w:val="0"/>
          <w:kern w:val="0"/>
          <w:sz w:val="24"/>
          <w:szCs w:val="24"/>
          <w:u w:val="single"/>
          <w:shd w:val="clear" w:fill="FFFFFF"/>
          <w:lang w:val="en-US" w:eastAsia="zh-CN" w:bidi="ar"/>
        </w:rPr>
        <w:t>日</w:t>
      </w:r>
    </w:p>
    <w:p>
      <w:pPr>
        <w:pStyle w:val="16"/>
        <w:rPr>
          <w:rFonts w:hint="eastAsia" w:ascii="仿宋" w:hAnsi="仿宋" w:eastAsia="仿宋" w:cs="仿宋"/>
          <w:b/>
          <w:bCs/>
        </w:rPr>
      </w:pPr>
    </w:p>
    <w:p>
      <w:pPr>
        <w:pStyle w:val="16"/>
        <w:rPr>
          <w:rFonts w:hint="eastAsia" w:ascii="仿宋" w:hAnsi="仿宋" w:eastAsia="仿宋" w:cs="仿宋"/>
          <w:b/>
          <w:bCs/>
        </w:rPr>
      </w:pPr>
    </w:p>
    <w:p>
      <w:pPr>
        <w:pStyle w:val="16"/>
        <w:rPr>
          <w:rFonts w:hint="eastAsia" w:ascii="仿宋" w:hAnsi="仿宋" w:eastAsia="仿宋" w:cs="仿宋"/>
          <w:b/>
          <w:bCs/>
        </w:rPr>
      </w:pPr>
    </w:p>
    <w:p>
      <w:pPr>
        <w:pStyle w:val="16"/>
        <w:rPr>
          <w:rFonts w:hint="eastAsia" w:ascii="仿宋" w:hAnsi="仿宋" w:eastAsia="仿宋" w:cs="仿宋"/>
          <w:b/>
          <w:bCs/>
        </w:rPr>
      </w:pPr>
    </w:p>
    <w:p>
      <w:pPr>
        <w:pStyle w:val="16"/>
        <w:jc w:val="both"/>
        <w:rPr>
          <w:rFonts w:hint="eastAsia" w:ascii="仿宋" w:hAnsi="仿宋" w:eastAsia="仿宋" w:cs="仿宋"/>
          <w:b/>
          <w:bCs/>
        </w:rPr>
      </w:pPr>
    </w:p>
    <w:p>
      <w:pPr>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16"/>
        <w:rPr>
          <w:rFonts w:hint="eastAsia" w:ascii="仿宋" w:hAnsi="仿宋" w:eastAsia="仿宋" w:cs="仿宋"/>
          <w:b/>
          <w:bCs/>
        </w:rPr>
      </w:pPr>
      <w:r>
        <w:rPr>
          <w:rFonts w:hint="eastAsia" w:ascii="仿宋" w:hAnsi="仿宋" w:eastAsia="仿宋" w:cs="仿宋"/>
          <w:b/>
          <w:bCs/>
        </w:rPr>
        <w:t>第二章    供应商须知及前附表</w:t>
      </w:r>
      <w:bookmarkEnd w:id="3"/>
      <w:bookmarkEnd w:id="4"/>
      <w:bookmarkEnd w:id="5"/>
    </w:p>
    <w:p>
      <w:pPr>
        <w:rPr>
          <w:rFonts w:hint="eastAsia" w:ascii="仿宋" w:hAnsi="仿宋" w:eastAsia="仿宋" w:cs="仿宋"/>
          <w:b/>
          <w:bCs/>
          <w:color w:val="000000"/>
          <w:sz w:val="24"/>
        </w:rPr>
      </w:pPr>
    </w:p>
    <w:p>
      <w:pPr>
        <w:pStyle w:val="3"/>
        <w:spacing w:before="0" w:after="0" w:line="360" w:lineRule="auto"/>
        <w:ind w:left="210" w:right="210"/>
        <w:rPr>
          <w:rFonts w:hint="eastAsia" w:ascii="仿宋" w:hAnsi="仿宋" w:eastAsia="仿宋" w:cs="仿宋"/>
          <w:b/>
          <w:bCs/>
        </w:rPr>
      </w:pPr>
      <w:bookmarkStart w:id="6" w:name="_Toc4987"/>
      <w:bookmarkStart w:id="7" w:name="_Toc397953668"/>
      <w:r>
        <w:rPr>
          <w:rFonts w:hint="eastAsia" w:ascii="仿宋" w:hAnsi="仿宋" w:eastAsia="仿宋" w:cs="仿宋"/>
          <w:b/>
          <w:bCs/>
        </w:rPr>
        <w:t>（一）供应商须知前附表</w:t>
      </w:r>
      <w:bookmarkEnd w:id="6"/>
      <w:bookmarkEnd w:id="7"/>
    </w:p>
    <w:tbl>
      <w:tblPr>
        <w:tblStyle w:val="17"/>
        <w:tblW w:w="9129"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36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序号</w:t>
            </w:r>
          </w:p>
        </w:tc>
        <w:tc>
          <w:tcPr>
            <w:tcW w:w="8363"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66"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1</w:t>
            </w:r>
          </w:p>
        </w:tc>
        <w:tc>
          <w:tcPr>
            <w:tcW w:w="8363" w:type="dxa"/>
            <w:vAlign w:val="center"/>
          </w:tcPr>
          <w:p>
            <w:pPr>
              <w:spacing w:line="48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项目名称和编号</w:t>
            </w:r>
          </w:p>
          <w:p>
            <w:pPr>
              <w:spacing w:line="480" w:lineRule="auto"/>
              <w:ind w:left="1205" w:hanging="1205" w:hangingChars="500"/>
              <w:rPr>
                <w:rFonts w:hint="eastAsia" w:ascii="仿宋" w:hAnsi="仿宋" w:eastAsia="仿宋" w:cs="仿宋"/>
                <w:b/>
                <w:bCs/>
                <w:color w:val="000000"/>
                <w:sz w:val="24"/>
                <w:lang w:eastAsia="zh-CN"/>
              </w:rPr>
            </w:pPr>
            <w:r>
              <w:rPr>
                <w:rFonts w:hint="eastAsia" w:ascii="仿宋" w:hAnsi="仿宋" w:eastAsia="仿宋" w:cs="仿宋"/>
                <w:b/>
                <w:bCs/>
                <w:color w:val="000000"/>
                <w:sz w:val="24"/>
              </w:rPr>
              <w:t>项目名称：</w:t>
            </w:r>
            <w:r>
              <w:rPr>
                <w:rFonts w:hint="eastAsia" w:ascii="仿宋" w:hAnsi="仿宋" w:eastAsia="仿宋" w:cs="仿宋"/>
                <w:b/>
                <w:bCs/>
                <w:color w:val="000000"/>
                <w:sz w:val="24"/>
                <w:lang w:eastAsia="zh-CN"/>
              </w:rPr>
              <w:t>陇南市武都区教育局利用2019-2020年义务教育薄弱环节改善与能力提升结余资金采购多媒体教室设备项目</w:t>
            </w:r>
          </w:p>
          <w:p>
            <w:pPr>
              <w:spacing w:line="480" w:lineRule="auto"/>
              <w:jc w:val="left"/>
              <w:rPr>
                <w:rFonts w:hint="eastAsia" w:ascii="仿宋" w:hAnsi="仿宋" w:eastAsia="仿宋" w:cs="仿宋"/>
                <w:b/>
                <w:bCs/>
                <w:sz w:val="24"/>
              </w:rPr>
            </w:pPr>
            <w:r>
              <w:rPr>
                <w:rFonts w:hint="eastAsia" w:ascii="仿宋" w:hAnsi="仿宋" w:eastAsia="仿宋" w:cs="仿宋"/>
                <w:b/>
                <w:bCs/>
                <w:color w:val="000000"/>
                <w:sz w:val="24"/>
              </w:rPr>
              <w:t>项目编号：</w:t>
            </w:r>
            <w:r>
              <w:rPr>
                <w:rFonts w:hint="eastAsia" w:ascii="仿宋" w:hAnsi="仿宋" w:eastAsia="仿宋" w:cs="仿宋"/>
                <w:b/>
                <w:bCs/>
                <w:color w:val="000000"/>
                <w:sz w:val="24"/>
                <w:lang w:eastAsia="zh-CN"/>
              </w:rPr>
              <w:t>GZ2020015-LNSWDQ</w:t>
            </w:r>
            <w:r>
              <w:rPr>
                <w:rFonts w:hint="eastAsia" w:ascii="仿宋" w:hAnsi="仿宋" w:eastAsia="仿宋" w:cs="仿宋"/>
                <w:b/>
                <w:bCs/>
                <w:sz w:val="24"/>
              </w:rPr>
              <w:t xml:space="preserve">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66"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2</w:t>
            </w:r>
          </w:p>
        </w:tc>
        <w:tc>
          <w:tcPr>
            <w:tcW w:w="8363" w:type="dxa"/>
            <w:vAlign w:val="center"/>
          </w:tcPr>
          <w:p>
            <w:pPr>
              <w:spacing w:line="48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采购人信息</w:t>
            </w:r>
          </w:p>
          <w:p>
            <w:pPr>
              <w:spacing w:line="480" w:lineRule="auto"/>
              <w:jc w:val="left"/>
              <w:rPr>
                <w:rFonts w:hint="eastAsia" w:ascii="仿宋" w:hAnsi="仿宋" w:eastAsia="仿宋" w:cs="仿宋"/>
                <w:b/>
                <w:bCs/>
                <w:color w:val="000000"/>
                <w:sz w:val="24"/>
                <w:lang w:eastAsia="zh-CN"/>
              </w:rPr>
            </w:pPr>
            <w:r>
              <w:rPr>
                <w:rFonts w:hint="eastAsia" w:ascii="仿宋" w:hAnsi="仿宋" w:eastAsia="仿宋" w:cs="仿宋"/>
                <w:b/>
                <w:bCs/>
                <w:color w:val="000000"/>
                <w:sz w:val="24"/>
              </w:rPr>
              <w:t xml:space="preserve">采购单位: </w:t>
            </w:r>
            <w:r>
              <w:rPr>
                <w:rFonts w:hint="eastAsia" w:ascii="仿宋" w:hAnsi="仿宋" w:eastAsia="仿宋" w:cs="仿宋"/>
                <w:b/>
                <w:bCs/>
                <w:color w:val="000000"/>
                <w:sz w:val="24"/>
                <w:lang w:eastAsia="zh-CN"/>
              </w:rPr>
              <w:t>陇南市武都区教育局</w:t>
            </w:r>
          </w:p>
          <w:p>
            <w:pPr>
              <w:spacing w:line="480" w:lineRule="auto"/>
              <w:jc w:val="left"/>
              <w:rPr>
                <w:rFonts w:hint="eastAsia" w:ascii="仿宋" w:hAnsi="仿宋" w:eastAsia="仿宋" w:cs="仿宋"/>
                <w:b/>
                <w:bCs/>
                <w:sz w:val="28"/>
                <w:szCs w:val="28"/>
                <w:lang w:eastAsia="zh-CN"/>
              </w:rPr>
            </w:pPr>
            <w:r>
              <w:rPr>
                <w:rFonts w:hint="eastAsia" w:ascii="仿宋" w:hAnsi="仿宋" w:eastAsia="仿宋" w:cs="仿宋"/>
                <w:b/>
                <w:bCs/>
                <w:color w:val="000000"/>
                <w:sz w:val="24"/>
              </w:rPr>
              <w:t xml:space="preserve">联系人：杨红海 </w:t>
            </w:r>
          </w:p>
          <w:p>
            <w:pPr>
              <w:spacing w:line="480" w:lineRule="auto"/>
              <w:jc w:val="left"/>
              <w:rPr>
                <w:rFonts w:hint="default" w:ascii="仿宋" w:hAnsi="仿宋" w:eastAsia="仿宋" w:cs="仿宋"/>
                <w:b/>
                <w:bCs/>
                <w:color w:val="000000"/>
                <w:sz w:val="24"/>
                <w:lang w:val="en-US" w:eastAsia="zh-CN"/>
              </w:rPr>
            </w:pPr>
            <w:r>
              <w:rPr>
                <w:rFonts w:hint="eastAsia" w:ascii="仿宋" w:hAnsi="仿宋" w:eastAsia="仿宋" w:cs="仿宋"/>
                <w:b/>
                <w:bCs/>
                <w:color w:val="000000"/>
                <w:sz w:val="24"/>
              </w:rPr>
              <w:t xml:space="preserve">联系电话:13993969088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97" w:hRule="atLeast"/>
          <w:jc w:val="center"/>
        </w:trPr>
        <w:tc>
          <w:tcPr>
            <w:tcW w:w="766"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3</w:t>
            </w:r>
          </w:p>
        </w:tc>
        <w:tc>
          <w:tcPr>
            <w:tcW w:w="8363" w:type="dxa"/>
            <w:vAlign w:val="center"/>
          </w:tcPr>
          <w:p>
            <w:pPr>
              <w:spacing w:line="48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代理机构信息</w:t>
            </w:r>
          </w:p>
          <w:p>
            <w:pPr>
              <w:spacing w:line="48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代理机构：甘肃省招标中心有限公司</w:t>
            </w:r>
          </w:p>
          <w:p>
            <w:pPr>
              <w:spacing w:line="48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单位地址：陇南市武都区东江新区三号路</w:t>
            </w:r>
          </w:p>
          <w:p>
            <w:pPr>
              <w:spacing w:line="480" w:lineRule="auto"/>
              <w:jc w:val="left"/>
              <w:rPr>
                <w:rFonts w:hint="eastAsia" w:ascii="仿宋" w:hAnsi="仿宋" w:eastAsia="仿宋" w:cs="仿宋"/>
                <w:b/>
                <w:bCs/>
                <w:color w:val="000000"/>
                <w:sz w:val="24"/>
                <w:lang w:eastAsia="zh-CN"/>
              </w:rPr>
            </w:pPr>
            <w:r>
              <w:rPr>
                <w:rFonts w:hint="eastAsia" w:ascii="仿宋" w:hAnsi="仿宋" w:eastAsia="仿宋" w:cs="仿宋"/>
                <w:b/>
                <w:bCs/>
                <w:color w:val="000000"/>
                <w:sz w:val="24"/>
              </w:rPr>
              <w:t>联系人：</w:t>
            </w:r>
            <w:r>
              <w:rPr>
                <w:rFonts w:hint="eastAsia" w:ascii="仿宋" w:hAnsi="仿宋" w:eastAsia="仿宋" w:cs="仿宋"/>
                <w:b/>
                <w:bCs/>
                <w:color w:val="000000"/>
                <w:sz w:val="24"/>
                <w:lang w:eastAsia="zh-CN"/>
              </w:rPr>
              <w:t>桑</w:t>
            </w:r>
            <w:r>
              <w:rPr>
                <w:rFonts w:hint="eastAsia" w:ascii="仿宋" w:hAnsi="仿宋" w:eastAsia="仿宋" w:cs="仿宋"/>
                <w:b/>
                <w:bCs/>
                <w:color w:val="000000"/>
                <w:sz w:val="24"/>
                <w:lang w:val="en-US" w:eastAsia="zh-CN"/>
              </w:rPr>
              <w:t xml:space="preserve"> </w:t>
            </w:r>
            <w:r>
              <w:rPr>
                <w:rFonts w:hint="eastAsia" w:ascii="仿宋" w:hAnsi="仿宋" w:eastAsia="仿宋" w:cs="仿宋"/>
                <w:b/>
                <w:bCs/>
                <w:color w:val="000000"/>
                <w:sz w:val="24"/>
                <w:lang w:eastAsia="zh-CN"/>
              </w:rPr>
              <w:t>娇</w:t>
            </w:r>
          </w:p>
          <w:p>
            <w:pPr>
              <w:spacing w:line="480" w:lineRule="auto"/>
              <w:jc w:val="left"/>
              <w:rPr>
                <w:rFonts w:hint="default" w:ascii="仿宋" w:hAnsi="仿宋" w:eastAsia="仿宋" w:cs="仿宋"/>
                <w:b/>
                <w:bCs/>
                <w:color w:val="000000"/>
                <w:sz w:val="24"/>
                <w:lang w:val="en-US" w:eastAsia="zh-CN"/>
              </w:rPr>
            </w:pPr>
            <w:r>
              <w:rPr>
                <w:rFonts w:hint="eastAsia" w:ascii="仿宋" w:hAnsi="仿宋" w:eastAsia="仿宋" w:cs="仿宋"/>
                <w:b/>
                <w:bCs/>
                <w:color w:val="000000"/>
                <w:sz w:val="24"/>
              </w:rPr>
              <w:t xml:space="preserve">联系电话: </w:t>
            </w:r>
            <w:r>
              <w:rPr>
                <w:rFonts w:hint="eastAsia" w:ascii="仿宋" w:hAnsi="仿宋" w:eastAsia="仿宋" w:cs="仿宋"/>
                <w:b/>
                <w:bCs/>
                <w:color w:val="000000"/>
                <w:sz w:val="24"/>
                <w:lang w:val="en-US" w:eastAsia="zh-CN"/>
              </w:rPr>
              <w:t>18509393775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766" w:type="dxa"/>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4</w:t>
            </w:r>
          </w:p>
        </w:tc>
        <w:tc>
          <w:tcPr>
            <w:tcW w:w="8363" w:type="dxa"/>
            <w:vAlign w:val="center"/>
          </w:tcPr>
          <w:p>
            <w:pPr>
              <w:spacing w:line="480" w:lineRule="auto"/>
              <w:jc w:val="left"/>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 xml:space="preserve">预算金额：43.9731(万元)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66" w:type="dxa"/>
            <w:vAlign w:val="center"/>
          </w:tcPr>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rPr>
              <w:t>5</w:t>
            </w:r>
          </w:p>
        </w:tc>
        <w:tc>
          <w:tcPr>
            <w:tcW w:w="8363" w:type="dxa"/>
            <w:vAlign w:val="center"/>
          </w:tcPr>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rPr>
              <w:t>供应商资格要求 ：</w:t>
            </w:r>
          </w:p>
          <w:p>
            <w:pPr>
              <w:numPr>
                <w:ilvl w:val="0"/>
                <w:numId w:val="1"/>
              </w:num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rPr>
              <w:t>投标人应符合《中华人民共和国政府采购法》之二十二条规定</w:t>
            </w:r>
            <w:r>
              <w:rPr>
                <w:rFonts w:hint="eastAsia" w:ascii="仿宋" w:hAnsi="仿宋" w:eastAsia="仿宋" w:cs="仿宋"/>
                <w:b/>
                <w:bCs/>
                <w:color w:val="000000"/>
                <w:sz w:val="24"/>
                <w:lang w:eastAsia="zh-CN"/>
              </w:rPr>
              <w:t>。</w:t>
            </w:r>
          </w:p>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rPr>
              <w:t xml:space="preserve">2、须具有合法有效的法人营业执照、税务登记证、组织机构代码证、开户许可证；前述法人营业执照、税务登记证、组织机构代码证已三证合一的，则需提供具有统一社会信用代码的营业执照； </w:t>
            </w:r>
          </w:p>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 xml:space="preserve">、须提供法人授权函（原件）及被授权人身份证原件、复印件（正、反面复印件）； </w:t>
            </w:r>
          </w:p>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4</w:t>
            </w:r>
            <w:r>
              <w:rPr>
                <w:rFonts w:hint="eastAsia" w:ascii="仿宋" w:hAnsi="仿宋" w:eastAsia="仿宋" w:cs="仿宋"/>
                <w:b/>
                <w:bCs/>
                <w:color w:val="000000"/>
                <w:sz w:val="24"/>
              </w:rPr>
              <w:t xml:space="preserve">、本项目不接受联合体投标。 </w:t>
            </w:r>
          </w:p>
          <w:p>
            <w:pPr>
              <w:adjustRightInd w:val="0"/>
              <w:snapToGrid w:val="0"/>
              <w:spacing w:line="500" w:lineRule="exact"/>
              <w:ind w:firstLine="718" w:firstLineChars="298"/>
              <w:outlineLvl w:val="0"/>
              <w:rPr>
                <w:rFonts w:hint="eastAsia" w:ascii="仿宋" w:hAnsi="仿宋" w:eastAsia="仿宋" w:cs="仿宋"/>
                <w:b/>
                <w:bCs/>
                <w:color w:val="000000"/>
                <w:sz w:val="24"/>
              </w:rPr>
            </w:pPr>
            <w:r>
              <w:rPr>
                <w:rFonts w:hint="eastAsia" w:ascii="仿宋" w:hAnsi="仿宋" w:eastAsia="仿宋" w:cs="仿宋"/>
                <w:b/>
                <w:bCs/>
                <w:color w:val="000000"/>
                <w:sz w:val="24"/>
                <w:lang w:val="en-US" w:eastAsia="zh-CN"/>
              </w:rPr>
              <w:t>5、</w:t>
            </w:r>
            <w:r>
              <w:rPr>
                <w:rFonts w:hint="eastAsia" w:ascii="仿宋" w:hAnsi="仿宋" w:eastAsia="仿宋" w:cs="仿宋"/>
                <w:b/>
                <w:bCs/>
                <w:color w:val="000000"/>
                <w:sz w:val="24"/>
              </w:rPr>
              <w:t xml:space="preserve">投标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失效，供应商需提供相关证明资料）。  </w:t>
            </w:r>
          </w:p>
          <w:p>
            <w:pPr>
              <w:pStyle w:val="7"/>
              <w:adjustRightInd w:val="0"/>
              <w:snapToGrid w:val="0"/>
              <w:spacing w:line="500" w:lineRule="exact"/>
              <w:ind w:firstLine="718" w:firstLineChars="298"/>
              <w:outlineLvl w:val="0"/>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注：原件带至现场备查</w:t>
            </w:r>
            <w:r>
              <w:rPr>
                <w:rFonts w:hint="eastAsia" w:ascii="仿宋" w:hAnsi="仿宋" w:eastAsia="仿宋" w:cs="仿宋"/>
                <w:b/>
                <w:bCs/>
                <w:color w:val="000000"/>
                <w:sz w:val="24"/>
                <w:szCs w:val="24"/>
                <w:lang w:eastAsia="zh-CN"/>
              </w:rPr>
              <w:t>，电子版不适用。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6</w:t>
            </w:r>
          </w:p>
        </w:tc>
        <w:tc>
          <w:tcPr>
            <w:tcW w:w="8363" w:type="dxa"/>
            <w:vAlign w:val="center"/>
          </w:tcPr>
          <w:p>
            <w:pPr>
              <w:spacing w:line="360" w:lineRule="auto"/>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投标语言：中文（有关设备型号、专用名词等除外）</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dxa"/>
            <w:vAlign w:val="center"/>
          </w:tcPr>
          <w:p>
            <w:pPr>
              <w:spacing w:line="360" w:lineRule="auto"/>
              <w:jc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7</w:t>
            </w:r>
          </w:p>
        </w:tc>
        <w:tc>
          <w:tcPr>
            <w:tcW w:w="8363" w:type="dxa"/>
            <w:vAlign w:val="center"/>
          </w:tcPr>
          <w:p>
            <w:pPr>
              <w:spacing w:line="360" w:lineRule="auto"/>
              <w:ind w:firstLine="482" w:firstLineChars="200"/>
              <w:jc w:val="left"/>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评标办法：综合评分法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66" w:type="dxa"/>
            <w:vAlign w:val="center"/>
          </w:tcPr>
          <w:p>
            <w:pPr>
              <w:spacing w:line="360" w:lineRule="auto"/>
              <w:jc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8</w:t>
            </w:r>
          </w:p>
        </w:tc>
        <w:tc>
          <w:tcPr>
            <w:tcW w:w="8363" w:type="dxa"/>
            <w:vAlign w:val="center"/>
          </w:tcPr>
          <w:p>
            <w:pPr>
              <w:spacing w:line="360" w:lineRule="auto"/>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投标有效期：90日历天（从投标截止之日算起）</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66" w:type="dxa"/>
            <w:vAlign w:val="center"/>
          </w:tcPr>
          <w:p>
            <w:pPr>
              <w:spacing w:line="360" w:lineRule="auto"/>
              <w:jc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9</w:t>
            </w:r>
          </w:p>
        </w:tc>
        <w:tc>
          <w:tcPr>
            <w:tcW w:w="8363" w:type="dxa"/>
            <w:vAlign w:val="center"/>
          </w:tcPr>
          <w:p>
            <w:pPr>
              <w:spacing w:line="360" w:lineRule="auto"/>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投标报价货币: 人民币</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66" w:type="dxa"/>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10</w:t>
            </w:r>
          </w:p>
        </w:tc>
        <w:tc>
          <w:tcPr>
            <w:tcW w:w="8363" w:type="dxa"/>
            <w:vAlign w:val="center"/>
          </w:tcPr>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是否要求供应商递交投标保证金：是</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要求：</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一、投标保证金的金额：人民币肆仟伍佰元整（</w:t>
            </w:r>
            <w:r>
              <w:rPr>
                <w:rFonts w:hint="eastAsia" w:ascii="仿宋" w:hAnsi="仿宋" w:eastAsia="仿宋" w:cs="仿宋"/>
                <w:b/>
                <w:bCs/>
                <w:color w:val="000000"/>
                <w:sz w:val="24"/>
                <w:lang w:val="en-US" w:eastAsia="zh-CN"/>
              </w:rPr>
              <w:t>45</w:t>
            </w:r>
            <w:r>
              <w:rPr>
                <w:rFonts w:hint="eastAsia" w:ascii="仿宋" w:hAnsi="仿宋" w:eastAsia="仿宋" w:cs="仿宋"/>
                <w:b/>
                <w:bCs/>
                <w:color w:val="000000"/>
                <w:sz w:val="24"/>
                <w:lang w:eastAsia="zh-CN"/>
              </w:rPr>
              <w:t>00.00元）。</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二、投标保证金账户内容：</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收款人：甘肃省招标中心有限公司</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缴纳方式：现金缴纳。</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（投标保证金有效期应与投标有效期一致）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465" w:hRule="atLeast"/>
          <w:jc w:val="center"/>
        </w:trPr>
        <w:tc>
          <w:tcPr>
            <w:tcW w:w="766" w:type="dxa"/>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11</w:t>
            </w:r>
          </w:p>
        </w:tc>
        <w:tc>
          <w:tcPr>
            <w:tcW w:w="8363" w:type="dxa"/>
            <w:vAlign w:val="center"/>
          </w:tcPr>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投标保证金退付：</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投标保证金退还：供应商的保证金开标结束后退还，投标保证金不转为履约保证金，履约保证金合同内自行约定。</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1.投标保证金不予退还:</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(1)中标人在收到中标通知书后，无法定正当理由拒签合同协议书或未按招标文件规定提交履约担保；</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(2)中标人的违法行为导致中标被依法确认无效的；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 xml:space="preserve">(3)投标人在投标有效期内撤销或修改其投标文件； </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(4)已缴纳投标保证金的供应商无正当理由不参加投标，且开标前24小时之前未书面通知代理机构；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(5)其它违法违规行为，经查情况属实的。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2.如供应商有下列情况，投标保证金、履约保证金不予退还：</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(1)供应商在采购文件中规定的投标有效期内撤回其《竞争性磋商响应性文件》的；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(2)成交供应商在规定期限内未能按规定签订合同的；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(3)供应商在《竞争性磋商响应性文件》中提供虚假材料的；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(4)供应商与采购人、其他供应商或者招标代理机构恶意串通的；</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w:t>
            </w:r>
            <w:r>
              <w:rPr>
                <w:rFonts w:hint="eastAsia" w:ascii="仿宋" w:hAnsi="仿宋" w:eastAsia="仿宋" w:cs="仿宋"/>
                <w:b/>
                <w:bCs/>
                <w:color w:val="000000"/>
                <w:sz w:val="24"/>
                <w:lang w:val="en-US" w:eastAsia="zh-CN"/>
              </w:rPr>
              <w:t>5</w:t>
            </w:r>
            <w:r>
              <w:rPr>
                <w:rFonts w:hint="eastAsia" w:ascii="仿宋" w:hAnsi="仿宋" w:eastAsia="仿宋" w:cs="仿宋"/>
                <w:b/>
                <w:bCs/>
                <w:color w:val="000000"/>
                <w:sz w:val="24"/>
                <w:lang w:eastAsia="zh-CN"/>
              </w:rPr>
              <w:t>)采购文件规定的其它情形。</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766" w:type="dxa"/>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12</w:t>
            </w:r>
          </w:p>
        </w:tc>
        <w:tc>
          <w:tcPr>
            <w:tcW w:w="8363" w:type="dxa"/>
            <w:vAlign w:val="center"/>
          </w:tcPr>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磋商时间及地点：</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磋商时间：2021-01-12 15:00 （北京时间）</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磋商地点：</w:t>
            </w:r>
            <w:r>
              <w:rPr>
                <w:rFonts w:hint="default" w:ascii="仿宋" w:hAnsi="仿宋" w:eastAsia="仿宋" w:cs="仿宋"/>
                <w:b/>
                <w:bCs/>
                <w:color w:val="000000"/>
                <w:sz w:val="24"/>
                <w:lang w:val="en-US" w:eastAsia="zh-CN"/>
              </w:rPr>
              <w:t>甘肃省招标中心有限公司</w:t>
            </w:r>
            <w:r>
              <w:rPr>
                <w:rFonts w:hint="eastAsia" w:ascii="仿宋" w:hAnsi="仿宋" w:eastAsia="仿宋" w:cs="仿宋"/>
                <w:b/>
                <w:bCs/>
                <w:color w:val="000000"/>
                <w:sz w:val="24"/>
                <w:lang w:val="en-US" w:eastAsia="zh-CN"/>
              </w:rPr>
              <w:t>陇南办事处会议室</w:t>
            </w:r>
          </w:p>
          <w:p>
            <w:pPr>
              <w:adjustRightInd w:val="0"/>
              <w:snapToGrid w:val="0"/>
              <w:spacing w:line="500" w:lineRule="exact"/>
              <w:ind w:firstLine="482" w:firstLineChars="2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注：投标文件截止日期及开标时间具体以《甘肃政府采购网》发布的磋商公告为准。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766" w:type="dxa"/>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13</w:t>
            </w:r>
          </w:p>
        </w:tc>
        <w:tc>
          <w:tcPr>
            <w:tcW w:w="8363" w:type="dxa"/>
            <w:vAlign w:val="center"/>
          </w:tcPr>
          <w:p>
            <w:pPr>
              <w:adjustRightInd w:val="0"/>
              <w:snapToGrid w:val="0"/>
              <w:spacing w:line="500" w:lineRule="exact"/>
              <w:ind w:firstLine="241" w:firstLineChars="1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 xml:space="preserve">（1）根据财政部发布的《政府采购促进中小企业发展暂行办法》规定，本项目对小型和微型企业产品的价格给予6%的扣除。  </w:t>
            </w:r>
          </w:p>
          <w:p>
            <w:pPr>
              <w:adjustRightInd w:val="0"/>
              <w:snapToGrid w:val="0"/>
              <w:spacing w:line="500" w:lineRule="exact"/>
              <w:ind w:firstLine="241" w:firstLineChars="1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 xml:space="preserve">（2）根据财政部发布的《关于政府采购支持监狱企业发展有关问题的通知》规定，本项目对监狱企业产品的价格给予6%的扣除。  </w:t>
            </w:r>
          </w:p>
          <w:p>
            <w:pPr>
              <w:adjustRightInd w:val="0"/>
              <w:snapToGrid w:val="0"/>
              <w:spacing w:line="500" w:lineRule="exact"/>
              <w:ind w:firstLine="241" w:firstLineChars="1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 xml:space="preserve">（3）根据财政部、民政部、中国残疾人联合会发布的《关于促进残疾人就业政府采购政策的通知》规定，本项目对残疾人福利性单位产品的价格给予6%的扣除。  </w:t>
            </w:r>
          </w:p>
          <w:p>
            <w:pPr>
              <w:adjustRightInd w:val="0"/>
              <w:snapToGrid w:val="0"/>
              <w:spacing w:line="500" w:lineRule="exact"/>
              <w:ind w:firstLine="718" w:firstLineChars="298"/>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t>如符合以上政策标准，应提供声明函，未提供者不予以认定。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766" w:type="dxa"/>
            <w:vAlign w:val="center"/>
          </w:tcPr>
          <w:p>
            <w:pPr>
              <w:jc w:val="center"/>
              <w:rPr>
                <w:rFonts w:hint="default"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14</w:t>
            </w:r>
          </w:p>
        </w:tc>
        <w:tc>
          <w:tcPr>
            <w:tcW w:w="8363" w:type="dxa"/>
            <w:vAlign w:val="center"/>
          </w:tcPr>
          <w:p>
            <w:pPr>
              <w:adjustRightInd w:val="0"/>
              <w:snapToGrid w:val="0"/>
              <w:spacing w:line="500" w:lineRule="exact"/>
              <w:ind w:firstLine="241" w:firstLineChars="100"/>
              <w:outlineLvl w:val="0"/>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eastAsia="zh-CN"/>
              </w:rPr>
              <w:t>投标文件签字或盖章要求</w:t>
            </w:r>
            <w:r>
              <w:rPr>
                <w:rFonts w:hint="eastAsia" w:ascii="仿宋" w:hAnsi="仿宋" w:eastAsia="仿宋" w:cs="仿宋"/>
                <w:b/>
                <w:bCs/>
                <w:color w:val="000000"/>
                <w:sz w:val="24"/>
                <w:lang w:val="en-US" w:eastAsia="zh-CN"/>
              </w:rPr>
              <w:t>:</w:t>
            </w:r>
          </w:p>
          <w:p>
            <w:pPr>
              <w:adjustRightInd w:val="0"/>
              <w:snapToGrid w:val="0"/>
              <w:spacing w:line="500" w:lineRule="exact"/>
              <w:ind w:firstLine="241" w:firstLineChars="1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val="en-US" w:eastAsia="zh-CN"/>
              </w:rPr>
              <w:t>1)</w:t>
            </w:r>
            <w:r>
              <w:rPr>
                <w:rFonts w:hint="eastAsia" w:ascii="仿宋" w:hAnsi="仿宋" w:eastAsia="仿宋" w:cs="仿宋"/>
                <w:b/>
                <w:bCs/>
                <w:color w:val="000000"/>
                <w:sz w:val="24"/>
                <w:lang w:eastAsia="zh-CN"/>
              </w:rPr>
              <w:t>由供应商的法定代表人或其授权委托人在投标文件上签字（印章）并加盖公章。除没有修改过的印刷文献外，投标文件中要求签字盖章的地方都应由供应商法定代表人或其授权委托人签字（印章）并加盖公章（投标文件的副本可采用正本的复印件）。</w:t>
            </w:r>
          </w:p>
          <w:p>
            <w:pPr>
              <w:adjustRightInd w:val="0"/>
              <w:snapToGrid w:val="0"/>
              <w:spacing w:line="500" w:lineRule="exact"/>
              <w:ind w:firstLine="241" w:firstLineChars="100"/>
              <w:outlineLvl w:val="0"/>
              <w:rPr>
                <w:rFonts w:hint="eastAsia" w:ascii="仿宋" w:hAnsi="仿宋" w:eastAsia="仿宋" w:cs="仿宋"/>
                <w:b/>
                <w:bCs/>
                <w:color w:val="000000"/>
                <w:sz w:val="24"/>
                <w:lang w:eastAsia="zh-CN"/>
              </w:rPr>
            </w:pPr>
            <w:r>
              <w:rPr>
                <w:rFonts w:hint="eastAsia" w:ascii="仿宋" w:hAnsi="仿宋" w:eastAsia="仿宋" w:cs="仿宋"/>
                <w:b/>
                <w:bCs/>
                <w:color w:val="000000"/>
                <w:sz w:val="24"/>
                <w:lang w:val="en-US" w:eastAsia="zh-CN"/>
              </w:rPr>
              <w:t>2)</w:t>
            </w:r>
            <w:r>
              <w:rPr>
                <w:rFonts w:hint="eastAsia" w:ascii="仿宋" w:hAnsi="仿宋" w:eastAsia="仿宋" w:cs="仿宋"/>
                <w:b/>
                <w:bCs/>
                <w:color w:val="000000"/>
                <w:sz w:val="24"/>
                <w:lang w:eastAsia="zh-CN"/>
              </w:rPr>
              <w:t>投标文件应尽量避免涂改、行间插字或删除。如果出现上述情况，改动之处应加盖单位公章或由供应商的法定代表人或其授权的代理人签字确认。</w:t>
            </w:r>
          </w:p>
        </w:tc>
      </w:tr>
    </w:tbl>
    <w:p>
      <w:pPr>
        <w:rPr>
          <w:rFonts w:hint="eastAsia" w:ascii="仿宋" w:hAnsi="仿宋" w:eastAsia="仿宋" w:cs="仿宋"/>
          <w:b/>
          <w:bCs/>
        </w:rPr>
      </w:pPr>
      <w:bookmarkStart w:id="8" w:name="_Toc373309552"/>
      <w:bookmarkStart w:id="9" w:name="_Toc373314697"/>
      <w:bookmarkStart w:id="10" w:name="_Toc397953669"/>
      <w:bookmarkStart w:id="11" w:name="_Toc15465"/>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3"/>
        <w:spacing w:before="0" w:after="0"/>
        <w:ind w:left="210" w:right="210"/>
        <w:rPr>
          <w:rFonts w:hint="eastAsia" w:ascii="仿宋" w:hAnsi="仿宋" w:eastAsia="仿宋" w:cs="仿宋"/>
          <w:b/>
          <w:bCs/>
        </w:rPr>
      </w:pPr>
      <w:r>
        <w:rPr>
          <w:rFonts w:hint="eastAsia" w:ascii="仿宋" w:hAnsi="仿宋" w:eastAsia="仿宋" w:cs="仿宋"/>
          <w:b/>
          <w:bCs/>
        </w:rPr>
        <w:t>（二）供应商须知</w:t>
      </w:r>
      <w:bookmarkEnd w:id="8"/>
      <w:bookmarkEnd w:id="9"/>
      <w:bookmarkEnd w:id="10"/>
      <w:bookmarkEnd w:id="11"/>
    </w:p>
    <w:p>
      <w:pPr>
        <w:pStyle w:val="4"/>
        <w:spacing w:line="360" w:lineRule="auto"/>
        <w:rPr>
          <w:rFonts w:hint="eastAsia" w:ascii="仿宋" w:hAnsi="仿宋" w:eastAsia="仿宋" w:cs="仿宋"/>
          <w:b/>
          <w:bCs/>
        </w:rPr>
      </w:pPr>
      <w:bookmarkStart w:id="12" w:name="_Toc373309553"/>
      <w:bookmarkStart w:id="13" w:name="_Toc397953670"/>
      <w:bookmarkStart w:id="14" w:name="_Toc28304"/>
      <w:bookmarkStart w:id="15" w:name="_Toc373314698"/>
      <w:r>
        <w:rPr>
          <w:rFonts w:hint="eastAsia" w:ascii="仿宋" w:hAnsi="仿宋" w:eastAsia="仿宋" w:cs="仿宋"/>
          <w:b/>
          <w:bCs/>
        </w:rPr>
        <w:t>一、说明</w:t>
      </w:r>
      <w:bookmarkEnd w:id="12"/>
      <w:bookmarkEnd w:id="13"/>
      <w:bookmarkEnd w:id="14"/>
      <w:bookmarkEnd w:id="15"/>
    </w:p>
    <w:p>
      <w:pPr>
        <w:pStyle w:val="5"/>
        <w:spacing w:line="360" w:lineRule="auto"/>
        <w:rPr>
          <w:rFonts w:hint="eastAsia" w:ascii="仿宋" w:hAnsi="仿宋" w:eastAsia="仿宋" w:cs="仿宋"/>
          <w:b/>
          <w:bCs/>
          <w:sz w:val="28"/>
          <w:szCs w:val="28"/>
        </w:rPr>
      </w:pPr>
      <w:bookmarkStart w:id="16" w:name="_Toc397953671"/>
      <w:bookmarkStart w:id="17" w:name="_Toc14725"/>
      <w:r>
        <w:rPr>
          <w:rFonts w:hint="eastAsia" w:ascii="仿宋" w:hAnsi="仿宋" w:eastAsia="仿宋" w:cs="仿宋"/>
          <w:b/>
          <w:bCs/>
        </w:rPr>
        <w:t>1.定义</w:t>
      </w:r>
      <w:bookmarkEnd w:id="16"/>
      <w:bookmarkEnd w:id="17"/>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1.1“政府采购当事人”是指在政府采购活动中享有权利和承担义务的各类主体，包括采购人、供应商和招标代理机构。</w:t>
      </w:r>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1.2“采购人”是指</w:t>
      </w:r>
      <w:r>
        <w:rPr>
          <w:rFonts w:hint="eastAsia" w:ascii="仿宋" w:hAnsi="仿宋" w:eastAsia="仿宋" w:cs="仿宋"/>
          <w:b/>
          <w:bCs/>
          <w:color w:val="000000"/>
          <w:sz w:val="24"/>
          <w:lang w:eastAsia="zh-CN"/>
        </w:rPr>
        <w:t>陇南市武都区教育局</w:t>
      </w:r>
      <w:r>
        <w:rPr>
          <w:rFonts w:hint="eastAsia" w:ascii="仿宋" w:hAnsi="仿宋" w:eastAsia="仿宋" w:cs="仿宋"/>
          <w:b/>
          <w:bCs/>
          <w:color w:val="000000"/>
          <w:sz w:val="24"/>
        </w:rPr>
        <w:t>。</w:t>
      </w:r>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1.3“代理机构”是指甘肃省招标中心有限公司。</w:t>
      </w:r>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1.4“供应商”是指向采购人提交《竞争性磋商响应性文件》的供应商。</w:t>
      </w:r>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1.5 “《竞争性磋商文件》”是指由采购人发出的文本、文件，包括全部章节和附件及答疑会议纪要。</w:t>
      </w:r>
    </w:p>
    <w:p>
      <w:pPr>
        <w:spacing w:line="360" w:lineRule="auto"/>
        <w:ind w:firstLine="482" w:firstLineChars="200"/>
        <w:rPr>
          <w:rFonts w:hint="eastAsia" w:ascii="仿宋" w:hAnsi="仿宋" w:eastAsia="仿宋" w:cs="仿宋"/>
          <w:b/>
          <w:bCs/>
          <w:color w:val="000000"/>
          <w:sz w:val="28"/>
          <w:szCs w:val="28"/>
        </w:rPr>
      </w:pPr>
      <w:r>
        <w:rPr>
          <w:rFonts w:hint="eastAsia" w:ascii="仿宋" w:hAnsi="仿宋" w:eastAsia="仿宋" w:cs="仿宋"/>
          <w:b/>
          <w:bCs/>
          <w:color w:val="000000"/>
          <w:sz w:val="24"/>
        </w:rPr>
        <w:t>1.6“《竞争性磋商响应性文件》”是指供应商根据本《竞争性磋商文件》提交的全部文件。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1.7“书面形式”是指任何手写、打印或印刷的各种函件，不包括电传、电报、传真、电子邮件。</w:t>
      </w:r>
      <w:bookmarkStart w:id="18" w:name="_Toc91029993"/>
      <w:bookmarkStart w:id="19" w:name="_Toc139343527"/>
      <w:bookmarkStart w:id="20" w:name="_Toc91477243"/>
      <w:bookmarkStart w:id="21" w:name="_Toc469850042"/>
      <w:bookmarkStart w:id="22" w:name="_Toc89586883"/>
      <w:bookmarkStart w:id="23" w:name="_Toc229198016"/>
      <w:bookmarkStart w:id="24" w:name="_Toc89058522"/>
      <w:bookmarkStart w:id="25" w:name="_Toc274816705"/>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1.8“货物”系指供应商按照</w:t>
      </w:r>
      <w:r>
        <w:rPr>
          <w:rFonts w:hint="eastAsia" w:ascii="仿宋" w:hAnsi="仿宋" w:eastAsia="仿宋" w:cs="仿宋"/>
          <w:b/>
          <w:bCs/>
          <w:color w:val="000000"/>
          <w:sz w:val="24"/>
        </w:rPr>
        <w:t>《竞争性磋商文件》</w:t>
      </w:r>
      <w:r>
        <w:rPr>
          <w:rFonts w:hint="eastAsia" w:ascii="仿宋" w:hAnsi="仿宋" w:eastAsia="仿宋" w:cs="仿宋"/>
          <w:b/>
          <w:bCs/>
          <w:sz w:val="24"/>
        </w:rPr>
        <w:t>和采购内容的规定，须向采购人提供的一切软硬件及其它材料。</w:t>
      </w:r>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1.9“服务”系指</w:t>
      </w:r>
      <w:r>
        <w:rPr>
          <w:rFonts w:hint="eastAsia" w:ascii="仿宋" w:hAnsi="仿宋" w:eastAsia="仿宋" w:cs="仿宋"/>
          <w:b/>
          <w:bCs/>
          <w:color w:val="000000"/>
          <w:sz w:val="24"/>
        </w:rPr>
        <w:t>《竞争性磋商文件》</w:t>
      </w:r>
      <w:r>
        <w:rPr>
          <w:rFonts w:hint="eastAsia" w:ascii="仿宋" w:hAnsi="仿宋" w:eastAsia="仿宋" w:cs="仿宋"/>
          <w:b/>
          <w:bCs/>
          <w:sz w:val="24"/>
        </w:rPr>
        <w:t>和采购内容规定供应商须承担的附加工作。</w:t>
      </w:r>
    </w:p>
    <w:p>
      <w:pPr>
        <w:pStyle w:val="33"/>
        <w:rPr>
          <w:rFonts w:hint="eastAsia" w:ascii="仿宋" w:hAnsi="仿宋" w:eastAsia="仿宋" w:cs="仿宋"/>
          <w:b/>
          <w:bCs/>
          <w:color w:val="000000"/>
          <w:kern w:val="2"/>
          <w:sz w:val="24"/>
          <w:szCs w:val="24"/>
        </w:rPr>
      </w:pPr>
      <w:r>
        <w:rPr>
          <w:rFonts w:hint="eastAsia" w:ascii="仿宋" w:hAnsi="仿宋" w:eastAsia="仿宋" w:cs="仿宋"/>
          <w:b/>
          <w:bCs/>
          <w:sz w:val="24"/>
        </w:rPr>
        <w:t>1.10</w:t>
      </w:r>
      <w:r>
        <w:rPr>
          <w:rFonts w:hint="eastAsia" w:ascii="仿宋" w:hAnsi="仿宋" w:eastAsia="仿宋" w:cs="仿宋"/>
          <w:b/>
          <w:bCs/>
          <w:color w:val="000000"/>
          <w:kern w:val="2"/>
          <w:sz w:val="24"/>
          <w:szCs w:val="24"/>
        </w:rPr>
        <w:t>供应商决定参加磋商，即被认为接受了本竞争性磋商文件的规定和约束，并且视为自竞争性磋商公告期限届满之日起已经知道或应当知道自身权益是否受到了损害。</w:t>
      </w:r>
    </w:p>
    <w:p>
      <w:pPr>
        <w:pStyle w:val="5"/>
        <w:spacing w:line="360" w:lineRule="auto"/>
        <w:rPr>
          <w:rFonts w:hint="eastAsia" w:ascii="仿宋" w:hAnsi="仿宋" w:eastAsia="仿宋" w:cs="仿宋"/>
          <w:b/>
          <w:bCs/>
        </w:rPr>
      </w:pPr>
      <w:bookmarkStart w:id="26" w:name="_Toc397953672"/>
      <w:bookmarkStart w:id="27" w:name="_Toc6237"/>
      <w:r>
        <w:rPr>
          <w:rFonts w:hint="eastAsia" w:ascii="仿宋" w:hAnsi="仿宋" w:eastAsia="仿宋" w:cs="仿宋"/>
          <w:b/>
          <w:bCs/>
        </w:rPr>
        <w:t>2.资金来源</w:t>
      </w:r>
      <w:bookmarkEnd w:id="18"/>
      <w:bookmarkEnd w:id="19"/>
      <w:bookmarkEnd w:id="20"/>
      <w:bookmarkEnd w:id="21"/>
      <w:bookmarkEnd w:id="22"/>
      <w:bookmarkEnd w:id="23"/>
      <w:bookmarkEnd w:id="24"/>
      <w:bookmarkEnd w:id="25"/>
      <w:bookmarkEnd w:id="26"/>
      <w:bookmarkEnd w:id="27"/>
    </w:p>
    <w:p>
      <w:pPr>
        <w:spacing w:line="360" w:lineRule="auto"/>
        <w:ind w:firstLine="482" w:firstLineChars="200"/>
        <w:rPr>
          <w:rFonts w:hint="eastAsia" w:ascii="仿宋" w:hAnsi="仿宋" w:eastAsia="仿宋" w:cs="仿宋"/>
          <w:b/>
          <w:bCs/>
          <w:color w:val="FF0000"/>
          <w:sz w:val="24"/>
        </w:rPr>
      </w:pPr>
      <w:bookmarkStart w:id="28" w:name="_Toc469850043"/>
      <w:bookmarkStart w:id="29" w:name="_Toc229198017"/>
      <w:bookmarkStart w:id="30" w:name="_Toc274816706"/>
      <w:bookmarkStart w:id="31" w:name="_Toc91029994"/>
      <w:bookmarkStart w:id="32" w:name="_Toc139343528"/>
      <w:bookmarkStart w:id="33" w:name="_Toc91477244"/>
      <w:bookmarkStart w:id="34" w:name="_Toc89586884"/>
      <w:bookmarkStart w:id="35" w:name="_Toc89058523"/>
      <w:r>
        <w:rPr>
          <w:rFonts w:hint="eastAsia" w:ascii="仿宋" w:hAnsi="仿宋" w:eastAsia="仿宋" w:cs="仿宋"/>
          <w:b/>
          <w:bCs/>
          <w:color w:val="000000"/>
          <w:sz w:val="24"/>
        </w:rPr>
        <w:t>本项目资金来源</w:t>
      </w:r>
      <w:r>
        <w:rPr>
          <w:rFonts w:hint="eastAsia" w:ascii="仿宋" w:hAnsi="仿宋" w:eastAsia="仿宋" w:cs="仿宋"/>
          <w:b/>
          <w:bCs/>
          <w:sz w:val="24"/>
        </w:rPr>
        <w:t>为单位自筹。</w:t>
      </w:r>
    </w:p>
    <w:p>
      <w:pPr>
        <w:pStyle w:val="5"/>
        <w:spacing w:line="360" w:lineRule="auto"/>
        <w:rPr>
          <w:rFonts w:hint="eastAsia" w:ascii="仿宋" w:hAnsi="仿宋" w:eastAsia="仿宋" w:cs="仿宋"/>
          <w:b/>
          <w:bCs/>
        </w:rPr>
      </w:pPr>
      <w:bookmarkStart w:id="36" w:name="_Toc397953673"/>
      <w:bookmarkStart w:id="37" w:name="_Toc20703"/>
      <w:r>
        <w:rPr>
          <w:rFonts w:hint="eastAsia" w:ascii="仿宋" w:hAnsi="仿宋" w:eastAsia="仿宋" w:cs="仿宋"/>
          <w:b/>
          <w:bCs/>
        </w:rPr>
        <w:t>3.合格的供应商</w:t>
      </w:r>
      <w:bookmarkEnd w:id="28"/>
      <w:bookmarkEnd w:id="29"/>
      <w:bookmarkEnd w:id="30"/>
      <w:bookmarkEnd w:id="31"/>
      <w:bookmarkEnd w:id="32"/>
      <w:bookmarkEnd w:id="33"/>
      <w:bookmarkEnd w:id="34"/>
      <w:bookmarkEnd w:id="35"/>
      <w:bookmarkEnd w:id="36"/>
      <w:bookmarkEnd w:id="37"/>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3.1符合本项目竞争性磋商公告全部要求的供应商。</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3.2</w:t>
      </w:r>
      <w:r>
        <w:rPr>
          <w:rFonts w:hint="eastAsia" w:ascii="仿宋" w:hAnsi="仿宋" w:eastAsia="仿宋" w:cs="仿宋"/>
          <w:b/>
          <w:bCs/>
          <w:color w:val="000000"/>
          <w:spacing w:val="-3"/>
          <w:sz w:val="24"/>
        </w:rPr>
        <w:t>供应商必须递交投标保证金。</w:t>
      </w:r>
    </w:p>
    <w:p>
      <w:pPr>
        <w:spacing w:line="360" w:lineRule="auto"/>
        <w:ind w:firstLine="482" w:firstLineChars="200"/>
        <w:rPr>
          <w:rFonts w:hint="eastAsia" w:ascii="仿宋" w:hAnsi="仿宋" w:eastAsia="仿宋" w:cs="仿宋"/>
          <w:b/>
          <w:bCs/>
          <w:color w:val="000000"/>
          <w:spacing w:val="-4"/>
          <w:sz w:val="24"/>
        </w:rPr>
      </w:pPr>
      <w:r>
        <w:rPr>
          <w:rFonts w:hint="eastAsia" w:ascii="仿宋" w:hAnsi="仿宋" w:eastAsia="仿宋" w:cs="仿宋"/>
          <w:b/>
          <w:bCs/>
          <w:color w:val="000000"/>
          <w:sz w:val="24"/>
        </w:rPr>
        <w:t>3.3</w:t>
      </w:r>
      <w:r>
        <w:rPr>
          <w:rFonts w:hint="eastAsia" w:ascii="仿宋" w:hAnsi="仿宋" w:eastAsia="仿宋" w:cs="仿宋"/>
          <w:b/>
          <w:bCs/>
          <w:color w:val="000000"/>
          <w:spacing w:val="-4"/>
          <w:sz w:val="24"/>
        </w:rPr>
        <w:t>供应商在过去和现在都不应直接或间接地与采购人为采购本次货物和服务进行设计、编制规范和其他文件所委托的咨询公司或其附属机构有任何关联。</w:t>
      </w:r>
    </w:p>
    <w:p>
      <w:pPr>
        <w:pStyle w:val="4"/>
        <w:spacing w:line="360" w:lineRule="auto"/>
        <w:rPr>
          <w:rFonts w:hint="eastAsia" w:ascii="仿宋" w:hAnsi="仿宋" w:eastAsia="仿宋" w:cs="仿宋"/>
          <w:b/>
          <w:bCs/>
        </w:rPr>
      </w:pPr>
      <w:bookmarkStart w:id="38" w:name="_Toc469850046"/>
      <w:bookmarkStart w:id="39" w:name="_Toc89586887"/>
      <w:bookmarkStart w:id="40" w:name="_Toc229198020"/>
      <w:bookmarkStart w:id="41" w:name="_Toc397953674"/>
      <w:bookmarkStart w:id="42" w:name="_Toc89058526"/>
      <w:bookmarkStart w:id="43" w:name="_Toc274816709"/>
      <w:bookmarkStart w:id="44" w:name="_Toc91029997"/>
      <w:bookmarkStart w:id="45" w:name="_Toc11179"/>
      <w:bookmarkStart w:id="46" w:name="_Toc91477247"/>
      <w:bookmarkStart w:id="47" w:name="_Toc139343531"/>
      <w:r>
        <w:rPr>
          <w:rFonts w:hint="eastAsia" w:ascii="仿宋" w:hAnsi="仿宋" w:eastAsia="仿宋" w:cs="仿宋"/>
          <w:b/>
          <w:bCs/>
        </w:rPr>
        <w:t>二、竞争性磋商文件</w:t>
      </w:r>
      <w:bookmarkEnd w:id="38"/>
      <w:bookmarkEnd w:id="39"/>
      <w:bookmarkEnd w:id="40"/>
      <w:bookmarkEnd w:id="41"/>
      <w:bookmarkEnd w:id="42"/>
      <w:bookmarkEnd w:id="43"/>
      <w:bookmarkEnd w:id="44"/>
      <w:bookmarkEnd w:id="45"/>
      <w:bookmarkEnd w:id="46"/>
      <w:bookmarkEnd w:id="47"/>
    </w:p>
    <w:p>
      <w:pPr>
        <w:pStyle w:val="5"/>
        <w:spacing w:line="360" w:lineRule="auto"/>
        <w:rPr>
          <w:rFonts w:hint="eastAsia" w:ascii="仿宋" w:hAnsi="仿宋" w:eastAsia="仿宋" w:cs="仿宋"/>
          <w:b/>
          <w:bCs/>
          <w:color w:val="000000"/>
          <w:kern w:val="2"/>
          <w:sz w:val="24"/>
          <w:szCs w:val="24"/>
          <w:lang w:val="en-US" w:eastAsia="zh-CN" w:bidi="ar-SA"/>
        </w:rPr>
      </w:pPr>
      <w:bookmarkStart w:id="48" w:name="_Toc91477248"/>
      <w:bookmarkStart w:id="49" w:name="_Toc91029998"/>
      <w:bookmarkStart w:id="50" w:name="_Toc229198021"/>
      <w:bookmarkStart w:id="51" w:name="_Toc89058527"/>
      <w:bookmarkStart w:id="52" w:name="_Toc469850047"/>
      <w:bookmarkStart w:id="53" w:name="_Toc17408"/>
      <w:bookmarkStart w:id="54" w:name="_Toc397953675"/>
      <w:bookmarkStart w:id="55" w:name="_Toc139343532"/>
      <w:bookmarkStart w:id="56" w:name="_Toc89586888"/>
      <w:bookmarkStart w:id="57" w:name="_Toc274816710"/>
      <w:r>
        <w:rPr>
          <w:rFonts w:hint="eastAsia" w:ascii="仿宋" w:hAnsi="仿宋" w:eastAsia="仿宋" w:cs="仿宋"/>
          <w:b/>
          <w:bCs/>
          <w:color w:val="000000"/>
          <w:kern w:val="2"/>
          <w:sz w:val="24"/>
          <w:szCs w:val="24"/>
          <w:lang w:val="en-US" w:eastAsia="zh-CN" w:bidi="ar-SA"/>
        </w:rPr>
        <w:t>1.《竞争性磋商文件》的构成</w:t>
      </w:r>
      <w:bookmarkEnd w:id="48"/>
      <w:bookmarkEnd w:id="49"/>
      <w:bookmarkEnd w:id="50"/>
      <w:bookmarkEnd w:id="51"/>
      <w:bookmarkEnd w:id="52"/>
      <w:bookmarkEnd w:id="53"/>
      <w:bookmarkEnd w:id="54"/>
      <w:bookmarkEnd w:id="55"/>
      <w:bookmarkEnd w:id="56"/>
      <w:bookmarkEnd w:id="57"/>
    </w:p>
    <w:p>
      <w:pPr>
        <w:pStyle w:val="5"/>
        <w:spacing w:line="360" w:lineRule="auto"/>
        <w:ind w:firstLine="482" w:firstLineChars="200"/>
        <w:rPr>
          <w:rFonts w:hint="eastAsia" w:ascii="仿宋" w:hAnsi="仿宋" w:eastAsia="仿宋" w:cs="仿宋"/>
          <w:b/>
          <w:bCs/>
          <w:color w:val="000000"/>
          <w:kern w:val="2"/>
          <w:sz w:val="24"/>
          <w:szCs w:val="24"/>
          <w:lang w:val="en-US" w:eastAsia="zh-CN" w:bidi="ar-SA"/>
        </w:rPr>
      </w:pPr>
      <w:bookmarkStart w:id="58" w:name="_Toc395967998"/>
      <w:bookmarkStart w:id="59" w:name="_Toc397953676"/>
      <w:bookmarkStart w:id="60" w:name="_Toc8128"/>
      <w:r>
        <w:rPr>
          <w:rFonts w:hint="eastAsia" w:ascii="仿宋" w:hAnsi="仿宋" w:eastAsia="仿宋" w:cs="仿宋"/>
          <w:b/>
          <w:bCs/>
          <w:color w:val="000000"/>
          <w:kern w:val="2"/>
          <w:sz w:val="24"/>
          <w:szCs w:val="24"/>
          <w:lang w:val="en-US" w:eastAsia="zh-CN" w:bidi="ar-SA"/>
        </w:rPr>
        <w:t>（1）竞争性磋商公告</w:t>
      </w:r>
      <w:bookmarkEnd w:id="58"/>
      <w:bookmarkEnd w:id="59"/>
      <w:bookmarkEnd w:id="60"/>
    </w:p>
    <w:p>
      <w:pPr>
        <w:pStyle w:val="5"/>
        <w:spacing w:line="360" w:lineRule="auto"/>
        <w:ind w:firstLine="482" w:firstLineChars="200"/>
        <w:rPr>
          <w:rFonts w:hint="eastAsia" w:ascii="仿宋" w:hAnsi="仿宋" w:eastAsia="仿宋" w:cs="仿宋"/>
          <w:b/>
          <w:bCs/>
          <w:color w:val="000000"/>
          <w:kern w:val="2"/>
          <w:sz w:val="24"/>
          <w:szCs w:val="24"/>
          <w:lang w:val="en-US" w:eastAsia="zh-CN" w:bidi="ar-SA"/>
        </w:rPr>
      </w:pPr>
      <w:bookmarkStart w:id="61" w:name="_Toc397953678"/>
      <w:bookmarkStart w:id="62" w:name="_Toc395967999"/>
      <w:bookmarkStart w:id="63" w:name="_Toc5103"/>
      <w:r>
        <w:rPr>
          <w:rFonts w:hint="eastAsia" w:ascii="仿宋" w:hAnsi="仿宋" w:eastAsia="仿宋" w:cs="仿宋"/>
          <w:b/>
          <w:bCs/>
          <w:color w:val="000000"/>
          <w:kern w:val="2"/>
          <w:sz w:val="24"/>
          <w:szCs w:val="24"/>
          <w:lang w:val="en-US" w:eastAsia="zh-CN" w:bidi="ar-SA"/>
        </w:rPr>
        <w:t>（2）供应商须知及前附表</w:t>
      </w:r>
      <w:bookmarkEnd w:id="61"/>
      <w:bookmarkEnd w:id="62"/>
      <w:bookmarkEnd w:id="63"/>
    </w:p>
    <w:p>
      <w:pPr>
        <w:pStyle w:val="5"/>
        <w:spacing w:line="360" w:lineRule="auto"/>
        <w:ind w:firstLine="482" w:firstLineChars="200"/>
        <w:rPr>
          <w:rFonts w:hint="eastAsia" w:ascii="仿宋" w:hAnsi="仿宋" w:eastAsia="仿宋" w:cs="仿宋"/>
          <w:b/>
          <w:bCs/>
          <w:color w:val="000000"/>
          <w:kern w:val="2"/>
          <w:sz w:val="24"/>
          <w:szCs w:val="24"/>
          <w:lang w:val="en-US" w:eastAsia="zh-CN" w:bidi="ar-SA"/>
        </w:rPr>
      </w:pPr>
      <w:bookmarkStart w:id="64" w:name="_Toc395968000"/>
      <w:bookmarkStart w:id="65" w:name="_Toc12905"/>
      <w:bookmarkStart w:id="66" w:name="_Toc397953679"/>
      <w:r>
        <w:rPr>
          <w:rFonts w:hint="eastAsia" w:ascii="仿宋" w:hAnsi="仿宋" w:eastAsia="仿宋" w:cs="仿宋"/>
          <w:b/>
          <w:bCs/>
          <w:color w:val="000000"/>
          <w:kern w:val="2"/>
          <w:sz w:val="24"/>
          <w:szCs w:val="24"/>
          <w:lang w:val="en-US" w:eastAsia="zh-CN" w:bidi="ar-SA"/>
        </w:rPr>
        <w:t>（3）</w:t>
      </w:r>
      <w:bookmarkEnd w:id="64"/>
      <w:bookmarkEnd w:id="65"/>
      <w:bookmarkEnd w:id="66"/>
      <w:r>
        <w:rPr>
          <w:rFonts w:hint="eastAsia" w:ascii="仿宋" w:hAnsi="仿宋" w:eastAsia="仿宋" w:cs="仿宋"/>
          <w:b/>
          <w:bCs/>
          <w:color w:val="000000"/>
          <w:kern w:val="2"/>
          <w:sz w:val="24"/>
          <w:szCs w:val="24"/>
          <w:lang w:val="en-US" w:eastAsia="zh-CN" w:bidi="ar-SA"/>
        </w:rPr>
        <w:t>采购内容</w:t>
      </w:r>
    </w:p>
    <w:p>
      <w:pPr>
        <w:pStyle w:val="5"/>
        <w:spacing w:line="360" w:lineRule="auto"/>
        <w:ind w:firstLine="482" w:firstLineChars="200"/>
        <w:rPr>
          <w:rFonts w:hint="eastAsia" w:ascii="仿宋" w:hAnsi="仿宋" w:eastAsia="仿宋" w:cs="仿宋"/>
          <w:b/>
          <w:bCs/>
          <w:color w:val="000000"/>
          <w:kern w:val="2"/>
          <w:sz w:val="24"/>
          <w:szCs w:val="24"/>
          <w:lang w:val="en-US" w:eastAsia="zh-CN" w:bidi="ar-SA"/>
        </w:rPr>
      </w:pPr>
      <w:bookmarkStart w:id="67" w:name="_Toc7982"/>
      <w:bookmarkStart w:id="68" w:name="_Toc395968001"/>
      <w:bookmarkStart w:id="69" w:name="_Toc397953680"/>
      <w:r>
        <w:rPr>
          <w:rFonts w:hint="eastAsia" w:ascii="仿宋" w:hAnsi="仿宋" w:eastAsia="仿宋" w:cs="仿宋"/>
          <w:b/>
          <w:bCs/>
          <w:color w:val="000000"/>
          <w:kern w:val="2"/>
          <w:sz w:val="24"/>
          <w:szCs w:val="24"/>
          <w:lang w:val="en-US" w:eastAsia="zh-CN" w:bidi="ar-SA"/>
        </w:rPr>
        <w:t>（4）合同条款及合同格式</w:t>
      </w:r>
      <w:bookmarkEnd w:id="67"/>
      <w:bookmarkEnd w:id="68"/>
      <w:bookmarkEnd w:id="69"/>
    </w:p>
    <w:p>
      <w:pPr>
        <w:pStyle w:val="5"/>
        <w:spacing w:line="360" w:lineRule="auto"/>
        <w:ind w:firstLine="482" w:firstLineChars="200"/>
        <w:rPr>
          <w:rFonts w:hint="eastAsia" w:ascii="仿宋" w:hAnsi="仿宋" w:eastAsia="仿宋" w:cs="仿宋"/>
          <w:b/>
          <w:bCs/>
          <w:color w:val="000000"/>
          <w:kern w:val="2"/>
          <w:sz w:val="24"/>
          <w:szCs w:val="24"/>
          <w:lang w:val="en-US" w:eastAsia="zh-CN" w:bidi="ar-SA"/>
        </w:rPr>
      </w:pPr>
      <w:bookmarkStart w:id="70" w:name="_Toc397953681"/>
      <w:bookmarkStart w:id="71" w:name="_Toc25207"/>
      <w:bookmarkStart w:id="72" w:name="_Toc395968002"/>
      <w:r>
        <w:rPr>
          <w:rFonts w:hint="eastAsia" w:ascii="仿宋" w:hAnsi="仿宋" w:eastAsia="仿宋" w:cs="仿宋"/>
          <w:b/>
          <w:bCs/>
          <w:color w:val="000000"/>
          <w:kern w:val="2"/>
          <w:sz w:val="24"/>
          <w:szCs w:val="24"/>
          <w:lang w:val="en-US" w:eastAsia="zh-CN" w:bidi="ar-SA"/>
        </w:rPr>
        <w:t>（5）竞争性磋商响应性文件格式</w:t>
      </w:r>
      <w:bookmarkEnd w:id="70"/>
      <w:bookmarkEnd w:id="71"/>
      <w:bookmarkEnd w:id="72"/>
    </w:p>
    <w:p>
      <w:pPr>
        <w:pStyle w:val="5"/>
        <w:spacing w:line="360" w:lineRule="auto"/>
        <w:rPr>
          <w:rFonts w:hint="eastAsia" w:ascii="仿宋" w:hAnsi="仿宋" w:eastAsia="仿宋" w:cs="仿宋"/>
          <w:b/>
          <w:bCs/>
          <w:color w:val="000000"/>
          <w:kern w:val="2"/>
          <w:sz w:val="24"/>
          <w:szCs w:val="24"/>
          <w:lang w:val="en-US" w:eastAsia="zh-CN" w:bidi="ar-SA"/>
        </w:rPr>
      </w:pPr>
      <w:bookmarkStart w:id="73" w:name="_Toc229198022"/>
      <w:bookmarkStart w:id="74" w:name="_Toc139343533"/>
      <w:bookmarkStart w:id="75" w:name="_Toc397953682"/>
      <w:bookmarkStart w:id="76" w:name="_Toc91029999"/>
      <w:bookmarkStart w:id="77" w:name="_Toc274816711"/>
      <w:bookmarkStart w:id="78" w:name="_Toc5445"/>
      <w:bookmarkStart w:id="79" w:name="_Toc469850048"/>
      <w:bookmarkStart w:id="80" w:name="_Toc91477249"/>
      <w:bookmarkStart w:id="81" w:name="_Toc89586889"/>
      <w:bookmarkStart w:id="82" w:name="_Toc89058528"/>
      <w:r>
        <w:rPr>
          <w:rFonts w:hint="eastAsia" w:ascii="仿宋" w:hAnsi="仿宋" w:eastAsia="仿宋" w:cs="仿宋"/>
          <w:b/>
          <w:bCs/>
          <w:color w:val="000000"/>
          <w:kern w:val="2"/>
          <w:sz w:val="24"/>
          <w:szCs w:val="24"/>
          <w:lang w:val="en-US" w:eastAsia="zh-CN" w:bidi="ar-SA"/>
        </w:rPr>
        <w:t>2.《竞争性磋商文件》的澄清</w:t>
      </w:r>
      <w:bookmarkEnd w:id="73"/>
      <w:bookmarkEnd w:id="74"/>
      <w:bookmarkEnd w:id="75"/>
      <w:bookmarkEnd w:id="76"/>
      <w:bookmarkEnd w:id="77"/>
      <w:bookmarkEnd w:id="78"/>
      <w:bookmarkEnd w:id="79"/>
      <w:bookmarkEnd w:id="80"/>
      <w:bookmarkEnd w:id="81"/>
      <w:bookmarkEnd w:id="82"/>
    </w:p>
    <w:p>
      <w:pPr>
        <w:spacing w:line="360" w:lineRule="auto"/>
        <w:ind w:firstLine="482" w:firstLineChars="200"/>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供应商若对《竞争性磋商文件》有任何疑问，应于投标截止日期前5日以书面形式向代理机构提出澄清要求。如认为有必要，代理机构将以书面形式予以澄清，同时将书面澄清文件向所有供应商发送。供应商在收到该澄清文件后应于1日内以传真形式（加盖公章）向交易中心予以确认，该答复作为《竞争性磋商文件》的组成部分，具有约束作用。</w:t>
      </w:r>
    </w:p>
    <w:p>
      <w:pPr>
        <w:pStyle w:val="5"/>
        <w:spacing w:line="360" w:lineRule="auto"/>
        <w:rPr>
          <w:rFonts w:hint="eastAsia" w:ascii="仿宋" w:hAnsi="仿宋" w:eastAsia="仿宋" w:cs="仿宋"/>
          <w:b/>
          <w:bCs/>
        </w:rPr>
      </w:pPr>
      <w:bookmarkStart w:id="83" w:name="_Toc397953683"/>
      <w:bookmarkStart w:id="84" w:name="_Toc31374"/>
      <w:bookmarkStart w:id="85" w:name="_Toc89058529"/>
      <w:bookmarkStart w:id="86" w:name="_Toc139343534"/>
      <w:bookmarkStart w:id="87" w:name="_Toc91477250"/>
      <w:bookmarkStart w:id="88" w:name="_Toc274816712"/>
      <w:bookmarkStart w:id="89" w:name="_Toc469850049"/>
      <w:bookmarkStart w:id="90" w:name="_Toc229198023"/>
      <w:bookmarkStart w:id="91" w:name="_Toc89586890"/>
      <w:bookmarkStart w:id="92" w:name="_Toc91030000"/>
      <w:r>
        <w:rPr>
          <w:rFonts w:hint="eastAsia" w:ascii="仿宋" w:hAnsi="仿宋" w:eastAsia="仿宋" w:cs="仿宋"/>
          <w:b/>
          <w:bCs/>
        </w:rPr>
        <w:t>3. 《竞争性磋商文件》的修改</w:t>
      </w:r>
      <w:bookmarkEnd w:id="83"/>
      <w:bookmarkEnd w:id="84"/>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3.1投标截止期五个工作日前的任何时候，无论出于何种原因，代理机构可主动地或在解答供应商提出的澄清问题时对《竞争性磋商文件》进行修改，《竞争性磋商文件》的修改书将构成《竞争性磋商文件》的一部分。</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3.2《竞争性磋商文件》的修改将发布到陇南市公共资源交易网和甘肃政府采购网，并对其具有约束力。</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3.3为使供应商在编制《竞争性磋商响应性文件》时有充分时间对《竞争性磋商文件》的修改部分进行研究，招标代理机构可自行决定是否延长投标截止日期和推迟采购时间。</w:t>
      </w:r>
    </w:p>
    <w:bookmarkEnd w:id="85"/>
    <w:bookmarkEnd w:id="86"/>
    <w:bookmarkEnd w:id="87"/>
    <w:bookmarkEnd w:id="88"/>
    <w:bookmarkEnd w:id="89"/>
    <w:bookmarkEnd w:id="90"/>
    <w:bookmarkEnd w:id="91"/>
    <w:bookmarkEnd w:id="92"/>
    <w:p>
      <w:pPr>
        <w:pStyle w:val="4"/>
        <w:spacing w:line="360" w:lineRule="auto"/>
        <w:rPr>
          <w:rFonts w:hint="eastAsia" w:ascii="仿宋" w:hAnsi="仿宋" w:eastAsia="仿宋" w:cs="仿宋"/>
          <w:b/>
          <w:bCs/>
        </w:rPr>
      </w:pPr>
      <w:bookmarkStart w:id="93" w:name="_Toc13958"/>
      <w:bookmarkStart w:id="94" w:name="_Toc373314700"/>
      <w:bookmarkStart w:id="95" w:name="_Toc397953684"/>
      <w:bookmarkStart w:id="96" w:name="_Toc91477252"/>
      <w:bookmarkStart w:id="97" w:name="_Toc139343536"/>
      <w:bookmarkStart w:id="98" w:name="_Toc469850051"/>
      <w:bookmarkStart w:id="99" w:name="_Toc91030002"/>
      <w:bookmarkStart w:id="100" w:name="_Toc274816714"/>
      <w:bookmarkStart w:id="101" w:name="_Toc89058531"/>
      <w:bookmarkStart w:id="102" w:name="_Toc89586892"/>
      <w:bookmarkStart w:id="103" w:name="_Toc229198025"/>
      <w:r>
        <w:rPr>
          <w:rFonts w:hint="eastAsia" w:ascii="仿宋" w:hAnsi="仿宋" w:eastAsia="仿宋" w:cs="仿宋"/>
          <w:b/>
          <w:bCs/>
        </w:rPr>
        <w:t>三、《竞争性磋商响应性文件》的编制</w:t>
      </w:r>
      <w:bookmarkEnd w:id="93"/>
      <w:bookmarkEnd w:id="94"/>
      <w:bookmarkEnd w:id="95"/>
    </w:p>
    <w:bookmarkEnd w:id="96"/>
    <w:bookmarkEnd w:id="97"/>
    <w:bookmarkEnd w:id="98"/>
    <w:bookmarkEnd w:id="99"/>
    <w:bookmarkEnd w:id="100"/>
    <w:bookmarkEnd w:id="101"/>
    <w:bookmarkEnd w:id="102"/>
    <w:bookmarkEnd w:id="103"/>
    <w:p>
      <w:pPr>
        <w:pStyle w:val="5"/>
        <w:spacing w:line="360" w:lineRule="auto"/>
        <w:rPr>
          <w:rFonts w:hint="eastAsia" w:ascii="仿宋" w:hAnsi="仿宋" w:eastAsia="仿宋" w:cs="仿宋"/>
          <w:b/>
          <w:bCs/>
        </w:rPr>
      </w:pPr>
      <w:bookmarkStart w:id="104" w:name="_Toc397953685"/>
      <w:bookmarkStart w:id="105" w:name="_Toc20566"/>
      <w:r>
        <w:rPr>
          <w:rFonts w:hint="eastAsia" w:ascii="仿宋" w:hAnsi="仿宋" w:eastAsia="仿宋" w:cs="仿宋"/>
          <w:b/>
          <w:bCs/>
        </w:rPr>
        <w:t>1.</w:t>
      </w:r>
      <w:r>
        <w:rPr>
          <w:rFonts w:hint="eastAsia" w:ascii="仿宋" w:hAnsi="仿宋" w:eastAsia="仿宋" w:cs="仿宋"/>
          <w:b/>
          <w:bCs/>
          <w:sz w:val="28"/>
          <w:szCs w:val="28"/>
        </w:rPr>
        <w:t xml:space="preserve"> </w:t>
      </w:r>
      <w:r>
        <w:rPr>
          <w:rFonts w:hint="eastAsia" w:ascii="仿宋" w:hAnsi="仿宋" w:eastAsia="仿宋" w:cs="仿宋"/>
          <w:b/>
          <w:bCs/>
        </w:rPr>
        <w:t>《竞争性磋商响应性文件》的编写</w:t>
      </w:r>
      <w:bookmarkEnd w:id="104"/>
      <w:bookmarkEnd w:id="105"/>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1.1供应商应按《竞争性磋商文件》的内容与要求和第六章提供的格式编写其《竞争性磋商响应性文件》，供应商不得空留或缺少任何《竞争性磋商文件》要求填写的表格或提交的资料，未列出格式的供应商可自行编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1.2供应商必须保证《竞争性磋商响应性文件》所提供的全部资料真实可靠，并接受采购人对其中任何资料进一步审查的要求。</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1.3《竞争性磋商响应性文件》封面及密封袋封面编制格式详见附件。</w:t>
      </w:r>
    </w:p>
    <w:p>
      <w:pPr>
        <w:pStyle w:val="5"/>
        <w:spacing w:line="360" w:lineRule="auto"/>
        <w:rPr>
          <w:rFonts w:hint="eastAsia" w:ascii="仿宋" w:hAnsi="仿宋" w:eastAsia="仿宋" w:cs="仿宋"/>
          <w:b/>
          <w:bCs/>
        </w:rPr>
      </w:pPr>
      <w:bookmarkStart w:id="106" w:name="_Toc89586893"/>
      <w:bookmarkStart w:id="107" w:name="_Toc139343537"/>
      <w:bookmarkStart w:id="108" w:name="_Toc91030003"/>
      <w:bookmarkStart w:id="109" w:name="_Toc397953686"/>
      <w:bookmarkStart w:id="110" w:name="_Toc91477253"/>
      <w:bookmarkStart w:id="111" w:name="_Toc274816715"/>
      <w:bookmarkStart w:id="112" w:name="_Toc89058532"/>
      <w:bookmarkStart w:id="113" w:name="_Toc9772"/>
      <w:bookmarkStart w:id="114" w:name="_Toc229198026"/>
      <w:r>
        <w:rPr>
          <w:rFonts w:hint="eastAsia" w:ascii="仿宋" w:hAnsi="仿宋" w:eastAsia="仿宋" w:cs="仿宋"/>
          <w:b/>
          <w:bCs/>
        </w:rPr>
        <w:t>2. 《竞争性磋商响应性文件》投标语言和计量单位</w:t>
      </w:r>
      <w:bookmarkEnd w:id="106"/>
      <w:bookmarkEnd w:id="107"/>
      <w:bookmarkEnd w:id="108"/>
      <w:bookmarkEnd w:id="109"/>
      <w:bookmarkEnd w:id="110"/>
      <w:bookmarkEnd w:id="111"/>
      <w:bookmarkEnd w:id="112"/>
      <w:bookmarkEnd w:id="113"/>
      <w:bookmarkEnd w:id="114"/>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2.1本次采购有关的所有文件均应使用中文。</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2.2《竞争性磋商响应性文件》中所有的计量单位，除《竞争性磋商文件》中有特殊要求外，均采用中华人民共和国法定计量单位。</w:t>
      </w:r>
    </w:p>
    <w:p>
      <w:pPr>
        <w:pStyle w:val="5"/>
        <w:spacing w:line="360" w:lineRule="auto"/>
        <w:rPr>
          <w:rFonts w:hint="eastAsia" w:ascii="仿宋" w:hAnsi="仿宋" w:eastAsia="仿宋" w:cs="仿宋"/>
          <w:b/>
          <w:bCs/>
        </w:rPr>
      </w:pPr>
      <w:bookmarkStart w:id="115" w:name="_Toc397953687"/>
      <w:bookmarkStart w:id="116" w:name="_Toc21894"/>
      <w:r>
        <w:rPr>
          <w:rFonts w:hint="eastAsia" w:ascii="仿宋" w:hAnsi="仿宋" w:eastAsia="仿宋" w:cs="仿宋"/>
          <w:b/>
          <w:bCs/>
          <w:color w:val="000000"/>
        </w:rPr>
        <w:t>3. 《竞争性磋商响应性文件》中的</w:t>
      </w:r>
      <w:r>
        <w:rPr>
          <w:rFonts w:hint="eastAsia" w:ascii="仿宋" w:hAnsi="仿宋" w:eastAsia="仿宋" w:cs="仿宋"/>
          <w:b/>
          <w:bCs/>
        </w:rPr>
        <w:t>投标报价</w:t>
      </w:r>
      <w:bookmarkEnd w:id="115"/>
      <w:bookmarkEnd w:id="116"/>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供应商应按照《竞争性磋商文件》提供的格式填写“采购一览表”和“投标分项报价表”。如果两者的报价不符，以“采购一览表”中的价格为准。供应商应在投标分项报价表上标明对本次采购拟提供的货物和服务的价格，包括单价和总价。如果单价与总价不符，以单价为准。本次投标报价要求：</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3.1供应商应承担与采购活动有关的一切费用。不论采购的结果如何，代理机构和采购人在任何情况下均无义务和责任承担这些费用。</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3.2供应商的投标报价是响应本项目要求的全部工作内容的价格体现，包括供应商完成本项目所需的一切费用。 </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3.3供应商第一次报价时只允许有一个报价，价格磋商后报价以最后一次报价为准，并且在合同履行过程中是固定不变的，任何有选择或可调整的报价将不予接受，并按无效投标处理。 </w:t>
      </w:r>
    </w:p>
    <w:p>
      <w:pPr>
        <w:pStyle w:val="5"/>
        <w:keepNext w:val="0"/>
        <w:keepLines w:val="0"/>
        <w:spacing w:line="360" w:lineRule="auto"/>
        <w:ind w:firstLine="472" w:firstLineChars="196"/>
        <w:rPr>
          <w:rFonts w:hint="eastAsia" w:ascii="仿宋" w:hAnsi="仿宋" w:eastAsia="仿宋" w:cs="仿宋"/>
          <w:b/>
          <w:bCs/>
        </w:rPr>
      </w:pPr>
      <w:bookmarkStart w:id="117" w:name="_Toc91030006"/>
      <w:bookmarkStart w:id="118" w:name="_Toc89586896"/>
      <w:bookmarkStart w:id="119" w:name="_Toc89058535"/>
      <w:bookmarkStart w:id="120" w:name="_Toc274816718"/>
      <w:bookmarkStart w:id="121" w:name="_Toc139343540"/>
      <w:bookmarkStart w:id="122" w:name="_Toc229198029"/>
      <w:bookmarkStart w:id="123" w:name="_Toc469850055"/>
      <w:bookmarkStart w:id="124" w:name="_Toc91477256"/>
      <w:bookmarkStart w:id="125" w:name="_Toc397952455"/>
      <w:bookmarkStart w:id="126" w:name="_Toc397953688"/>
      <w:bookmarkStart w:id="127" w:name="_Toc9430"/>
      <w:bookmarkStart w:id="128" w:name="_Toc397952686"/>
      <w:bookmarkStart w:id="129" w:name="_Toc397952577"/>
      <w:bookmarkStart w:id="130" w:name="_Toc397952372"/>
      <w:r>
        <w:rPr>
          <w:rFonts w:hint="eastAsia" w:ascii="仿宋" w:hAnsi="仿宋" w:eastAsia="仿宋" w:cs="仿宋"/>
          <w:b/>
          <w:bCs/>
        </w:rPr>
        <w:t>3.4投标货币</w:t>
      </w:r>
      <w:bookmarkEnd w:id="117"/>
      <w:bookmarkEnd w:id="118"/>
      <w:bookmarkEnd w:id="119"/>
      <w:bookmarkEnd w:id="120"/>
      <w:bookmarkEnd w:id="121"/>
      <w:bookmarkEnd w:id="122"/>
      <w:bookmarkEnd w:id="123"/>
      <w:bookmarkEnd w:id="124"/>
      <w:r>
        <w:rPr>
          <w:rFonts w:hint="eastAsia" w:ascii="仿宋" w:hAnsi="仿宋" w:eastAsia="仿宋" w:cs="仿宋"/>
          <w:b/>
          <w:bCs/>
        </w:rPr>
        <w:t>：投标应以人民币为货币单位报价。</w:t>
      </w:r>
      <w:bookmarkEnd w:id="125"/>
      <w:bookmarkEnd w:id="126"/>
      <w:bookmarkEnd w:id="127"/>
      <w:bookmarkEnd w:id="128"/>
      <w:bookmarkEnd w:id="129"/>
      <w:bookmarkEnd w:id="130"/>
    </w:p>
    <w:p>
      <w:pPr>
        <w:pStyle w:val="5"/>
        <w:keepNext w:val="0"/>
        <w:keepLines w:val="0"/>
        <w:spacing w:line="360" w:lineRule="auto"/>
        <w:rPr>
          <w:rFonts w:hint="eastAsia" w:ascii="仿宋" w:hAnsi="仿宋" w:eastAsia="仿宋" w:cs="仿宋"/>
          <w:b/>
          <w:bCs/>
        </w:rPr>
      </w:pPr>
      <w:bookmarkStart w:id="131" w:name="_Toc397953689"/>
      <w:bookmarkStart w:id="132" w:name="_Toc3837"/>
      <w:r>
        <w:rPr>
          <w:rFonts w:hint="eastAsia" w:ascii="仿宋" w:hAnsi="仿宋" w:eastAsia="仿宋" w:cs="仿宋"/>
          <w:b/>
          <w:bCs/>
        </w:rPr>
        <w:t>4.《竞争性磋商响应性文件》的组成</w:t>
      </w:r>
      <w:bookmarkEnd w:id="131"/>
      <w:bookmarkEnd w:id="132"/>
    </w:p>
    <w:p>
      <w:pPr>
        <w:spacing w:line="360" w:lineRule="auto"/>
        <w:ind w:firstLine="450" w:firstLineChars="200"/>
        <w:rPr>
          <w:rFonts w:hint="eastAsia" w:ascii="仿宋" w:hAnsi="仿宋" w:eastAsia="仿宋" w:cs="仿宋"/>
          <w:b/>
          <w:bCs/>
          <w:color w:val="000000"/>
          <w:spacing w:val="-8"/>
          <w:sz w:val="24"/>
        </w:rPr>
      </w:pPr>
      <w:bookmarkStart w:id="133" w:name="_Toc139343539"/>
      <w:bookmarkStart w:id="134" w:name="_Toc274816717"/>
      <w:bookmarkStart w:id="135" w:name="_Toc91477255"/>
      <w:bookmarkStart w:id="136" w:name="_Toc469850054"/>
      <w:bookmarkStart w:id="137" w:name="_Toc89058534"/>
      <w:bookmarkStart w:id="138" w:name="_Toc229198028"/>
      <w:bookmarkStart w:id="139" w:name="_Toc91030005"/>
      <w:bookmarkStart w:id="140" w:name="_Toc89586895"/>
      <w:r>
        <w:rPr>
          <w:rFonts w:hint="eastAsia" w:ascii="仿宋" w:hAnsi="仿宋" w:eastAsia="仿宋" w:cs="仿宋"/>
          <w:b/>
          <w:bCs/>
          <w:color w:val="000000"/>
          <w:spacing w:val="-8"/>
          <w:sz w:val="24"/>
        </w:rPr>
        <w:t>《竞争性磋商响应性文件》应由商务文件（包括资格证明文件）和技术文件（包括技术响应、样本资料等）组成，所有复印件须加盖公章。建议按如下顺序编制：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4.1商务文件部分应当包括：</w:t>
      </w:r>
      <w:r>
        <w:rPr>
          <w:rFonts w:hint="eastAsia" w:ascii="仿宋" w:hAnsi="仿宋" w:eastAsia="仿宋" w:cs="仿宋"/>
          <w:b/>
          <w:bCs/>
          <w:color w:val="000000"/>
          <w:kern w:val="0"/>
          <w:sz w:val="24"/>
        </w:rPr>
        <w:t xml:space="preserve"> </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投标函；</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开标一览表；</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投标报价明细表；</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投标保证金交纳和退付证明；</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法定代表人授权书（附法定代表人身份证及被授权人身份证）；</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商务条款偏离表；</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供应商基本情况介绍：</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①包括企业简介、经营范围、职工人数、技术人员状况、财务资信状况等（按要求填写供应商一般情况表，并附所要求复印件）；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②营业执照副本（复印件加盖公章）；</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③税务登记证副本（复印件加盖公章）；</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④</w:t>
      </w:r>
      <w:r>
        <w:rPr>
          <w:rFonts w:hint="eastAsia" w:ascii="仿宋" w:hAnsi="仿宋" w:eastAsia="仿宋" w:cs="仿宋"/>
          <w:b/>
          <w:bCs/>
          <w:sz w:val="24"/>
        </w:rPr>
        <w:t>组织机构代码证副本（复印件加盖公章）；</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⑤供应商资质证件副本（复印件加盖公章）；</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⑧供应商认为有必要提供的其他资料</w:t>
      </w:r>
      <w:r>
        <w:rPr>
          <w:rFonts w:hint="eastAsia" w:ascii="仿宋" w:hAnsi="仿宋" w:eastAsia="仿宋" w:cs="仿宋"/>
          <w:b/>
          <w:bCs/>
          <w:sz w:val="24"/>
        </w:rPr>
        <w:t>。</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⑻供应商业绩（填写近三年已完成或在执行类似项目一览表）；</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⑼优惠条件承诺书；</w:t>
      </w:r>
      <w:r>
        <w:rPr>
          <w:rFonts w:hint="eastAsia" w:ascii="仿宋" w:hAnsi="仿宋" w:eastAsia="仿宋" w:cs="仿宋"/>
          <w:b/>
          <w:bCs/>
          <w:sz w:val="24"/>
        </w:rPr>
        <w:t xml:space="preserve"> </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⑽售后服务；</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⑾培训计划承诺。</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4.2技术文件部分应包括：</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（1）主要材料技术指标、参数的详细说明等技术资料；</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（2）技术条款偏离表（供应商应对投标货物提供完整的详细的技术说明，如果对指定的技术要求建议做任何改动，应在《竞争性磋商响应性文件》中清楚的说明）；</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（3）其他技术响应文件及技术标准文件；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 xml:space="preserve">（4）供应商认为有必要提供的其他技术资料及相关技术资料。 </w:t>
      </w:r>
    </w:p>
    <w:bookmarkEnd w:id="133"/>
    <w:bookmarkEnd w:id="134"/>
    <w:bookmarkEnd w:id="135"/>
    <w:bookmarkEnd w:id="136"/>
    <w:bookmarkEnd w:id="137"/>
    <w:bookmarkEnd w:id="138"/>
    <w:bookmarkEnd w:id="139"/>
    <w:bookmarkEnd w:id="140"/>
    <w:p>
      <w:pPr>
        <w:pStyle w:val="5"/>
        <w:keepNext w:val="0"/>
        <w:keepLines w:val="0"/>
        <w:spacing w:line="360" w:lineRule="auto"/>
        <w:rPr>
          <w:rFonts w:hint="eastAsia" w:ascii="仿宋" w:hAnsi="仿宋" w:eastAsia="仿宋" w:cs="仿宋"/>
          <w:b/>
          <w:bCs/>
        </w:rPr>
      </w:pPr>
      <w:bookmarkStart w:id="141" w:name="_Toc397953690"/>
      <w:bookmarkStart w:id="142" w:name="_Toc14265"/>
      <w:bookmarkStart w:id="143" w:name="_Toc91477263"/>
      <w:bookmarkStart w:id="144" w:name="_Toc91030013"/>
      <w:bookmarkStart w:id="145" w:name="_Toc469850062"/>
      <w:bookmarkStart w:id="146" w:name="_Toc89058542"/>
      <w:bookmarkStart w:id="147" w:name="_Toc89586903"/>
      <w:bookmarkStart w:id="148" w:name="_Toc229198036"/>
      <w:bookmarkStart w:id="149" w:name="_Toc139343547"/>
      <w:bookmarkStart w:id="150" w:name="_Toc274816723"/>
      <w:r>
        <w:rPr>
          <w:rFonts w:hint="eastAsia" w:ascii="仿宋" w:hAnsi="仿宋" w:eastAsia="仿宋" w:cs="仿宋"/>
          <w:b/>
          <w:bCs/>
        </w:rPr>
        <w:t>5.《竞争性磋商响应性文件》的印制和签署</w:t>
      </w:r>
      <w:bookmarkEnd w:id="141"/>
      <w:bookmarkEnd w:id="142"/>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5.1供应商应按“供应商须知前附表”规定的份数提交《竞争性磋商响应性文件》。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5.2《竞争性磋商响应性文件》的正本和副本均需打印或使用不褪色墨水笔书写，字迹应清晰易于辨认，并应在《竞争性磋商响应性文件》封面的右上角清楚地注明“正本”或“副本”。正本和副本如有不一致之处，以正本为准。</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5.3《竞争性磋商响应性文件》的正本和副本均应加盖供应商公章并经法定代表人或其被授权人签字或盖章。由被授权人签字或盖章的须同时提交授权委托书。</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5.4除供应商对错误处须修改外，全套《竞争性磋商响应性文件》应无涂改或行间插字和增删。如有修改，修改处应由供应商加盖供应商公章或由授权代表签字或盖章。</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5.5《竞争性磋商响应性文件》</w:t>
      </w:r>
      <w:r>
        <w:rPr>
          <w:rFonts w:hint="eastAsia" w:ascii="仿宋" w:hAnsi="仿宋" w:eastAsia="仿宋" w:cs="仿宋"/>
          <w:b/>
          <w:bCs/>
          <w:sz w:val="24"/>
        </w:rPr>
        <w:t>的印制应采用A4纸打印，采用胶装方式装订，即不可抽取调换内页的装订方式，无脱落无散页，有目录、有连续的页码。</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5.6《竞争性磋商响应性文件》应根据《竞争性磋商文件》的要求制作，签署、盖章和内容应完整，如有遗漏，将被视为无效投标。</w:t>
      </w:r>
    </w:p>
    <w:p>
      <w:pPr>
        <w:pStyle w:val="5"/>
        <w:keepNext w:val="0"/>
        <w:keepLines w:val="0"/>
        <w:spacing w:line="360" w:lineRule="auto"/>
        <w:rPr>
          <w:rFonts w:hint="eastAsia" w:ascii="仿宋" w:hAnsi="仿宋" w:eastAsia="仿宋" w:cs="仿宋"/>
          <w:b/>
          <w:bCs/>
        </w:rPr>
      </w:pPr>
      <w:bookmarkStart w:id="151" w:name="_Toc31138"/>
      <w:bookmarkStart w:id="152" w:name="_Toc397953691"/>
      <w:r>
        <w:rPr>
          <w:rFonts w:hint="eastAsia" w:ascii="仿宋" w:hAnsi="仿宋" w:eastAsia="仿宋" w:cs="仿宋"/>
          <w:b/>
          <w:bCs/>
        </w:rPr>
        <w:t>6.《竞争性磋商响应性文件》的密封和标记</w:t>
      </w:r>
      <w:bookmarkEnd w:id="143"/>
      <w:bookmarkEnd w:id="144"/>
      <w:bookmarkEnd w:id="145"/>
      <w:bookmarkEnd w:id="146"/>
      <w:bookmarkEnd w:id="147"/>
      <w:bookmarkEnd w:id="148"/>
      <w:bookmarkEnd w:id="149"/>
      <w:bookmarkEnd w:id="150"/>
      <w:bookmarkEnd w:id="151"/>
      <w:bookmarkEnd w:id="152"/>
      <w:r>
        <w:rPr>
          <w:rFonts w:hint="eastAsia" w:ascii="仿宋" w:hAnsi="仿宋" w:eastAsia="仿宋" w:cs="仿宋"/>
          <w:b/>
          <w:bCs/>
          <w:color w:val="000000"/>
          <w:sz w:val="24"/>
          <w:lang w:eastAsia="zh-CN"/>
        </w:rPr>
        <w:t>（电子版不适用）</w:t>
      </w:r>
    </w:p>
    <w:p>
      <w:pPr>
        <w:spacing w:line="360" w:lineRule="auto"/>
        <w:ind w:firstLine="482" w:firstLineChars="200"/>
        <w:rPr>
          <w:rFonts w:hint="eastAsia" w:ascii="仿宋" w:hAnsi="仿宋" w:eastAsia="仿宋" w:cs="仿宋"/>
          <w:b/>
          <w:bCs/>
          <w:color w:val="000000"/>
          <w:sz w:val="24"/>
          <w:lang w:eastAsia="zh-CN"/>
        </w:rPr>
      </w:pPr>
      <w:r>
        <w:rPr>
          <w:rFonts w:hint="eastAsia" w:ascii="仿宋" w:hAnsi="仿宋" w:eastAsia="仿宋" w:cs="仿宋"/>
          <w:b/>
          <w:bCs/>
          <w:color w:val="000000"/>
          <w:sz w:val="24"/>
        </w:rPr>
        <w:t>6.1供应商应将《竞争性磋商响应性文件》正、副本同时密封在一个袋内，密封袋需加盖供应商公章，并在封面上注明项目名称、项目编号、供应商名称并注明：“在</w:t>
      </w:r>
      <w:r>
        <w:rPr>
          <w:rFonts w:hint="eastAsia" w:ascii="仿宋" w:hAnsi="仿宋" w:eastAsia="仿宋" w:cs="仿宋"/>
          <w:b/>
          <w:bCs/>
          <w:color w:val="000000"/>
          <w:sz w:val="24"/>
          <w:u w:val="single"/>
          <w:lang w:eastAsia="zh-CN"/>
        </w:rPr>
        <w:t>202</w:t>
      </w:r>
      <w:r>
        <w:rPr>
          <w:rFonts w:hint="eastAsia" w:ascii="仿宋" w:hAnsi="仿宋" w:eastAsia="仿宋" w:cs="仿宋"/>
          <w:b/>
          <w:bCs/>
          <w:color w:val="000000"/>
          <w:sz w:val="24"/>
          <w:u w:val="single"/>
          <w:lang w:val="en-US" w:eastAsia="zh-CN"/>
        </w:rPr>
        <w:t>1</w:t>
      </w:r>
      <w:r>
        <w:rPr>
          <w:rFonts w:hint="eastAsia" w:ascii="仿宋" w:hAnsi="仿宋" w:eastAsia="仿宋" w:cs="仿宋"/>
          <w:b/>
          <w:bCs/>
          <w:color w:val="000000"/>
          <w:sz w:val="24"/>
        </w:rPr>
        <w:t>年</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b/>
          <w:bCs/>
          <w:color w:val="000000"/>
          <w:sz w:val="24"/>
        </w:rPr>
        <w:t>月</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b/>
          <w:bCs/>
          <w:color w:val="000000"/>
          <w:sz w:val="24"/>
        </w:rPr>
        <w:t>日</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b/>
          <w:bCs/>
          <w:color w:val="000000"/>
          <w:sz w:val="24"/>
        </w:rPr>
        <w:t>分之前不得启封”字样，密封袋两端粘贴密封条，加盖骑缝章。</w:t>
      </w:r>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color w:val="000000"/>
          <w:sz w:val="24"/>
        </w:rPr>
        <w:t>6.2</w:t>
      </w:r>
      <w:bookmarkStart w:id="153" w:name="_Toc91477264"/>
      <w:bookmarkStart w:id="154" w:name="_Toc89586904"/>
      <w:bookmarkStart w:id="155" w:name="_Toc89058543"/>
      <w:bookmarkStart w:id="156" w:name="_Toc274816724"/>
      <w:bookmarkStart w:id="157" w:name="_Toc91030014"/>
      <w:bookmarkStart w:id="158" w:name="_Toc469850063"/>
      <w:bookmarkStart w:id="159" w:name="_Toc229198037"/>
      <w:bookmarkStart w:id="160" w:name="_Toc139343548"/>
      <w:r>
        <w:rPr>
          <w:rFonts w:hint="eastAsia" w:ascii="仿宋" w:hAnsi="仿宋" w:eastAsia="仿宋" w:cs="仿宋"/>
          <w:b/>
          <w:bCs/>
          <w:sz w:val="24"/>
        </w:rPr>
        <w:t>供应商应将“开标一览表” 单独密封，并在密封袋上标明“开标一览表” 及 “在</w:t>
      </w:r>
      <w:r>
        <w:rPr>
          <w:rFonts w:hint="eastAsia" w:ascii="仿宋" w:hAnsi="仿宋" w:eastAsia="仿宋" w:cs="仿宋"/>
          <w:b/>
          <w:bCs/>
          <w:sz w:val="24"/>
          <w:u w:val="single"/>
        </w:rPr>
        <w:t xml:space="preserve"> </w:t>
      </w:r>
      <w:r>
        <w:rPr>
          <w:rFonts w:hint="eastAsia" w:ascii="仿宋" w:hAnsi="仿宋" w:eastAsia="仿宋" w:cs="仿宋"/>
          <w:b/>
          <w:bCs/>
          <w:sz w:val="24"/>
          <w:u w:val="single"/>
          <w:lang w:eastAsia="zh-CN"/>
        </w:rPr>
        <w:t>202</w:t>
      </w:r>
      <w:r>
        <w:rPr>
          <w:rFonts w:hint="eastAsia" w:ascii="仿宋" w:hAnsi="仿宋" w:eastAsia="仿宋" w:cs="仿宋"/>
          <w:b/>
          <w:bCs/>
          <w:sz w:val="24"/>
          <w:u w:val="single"/>
          <w:lang w:val="en-US" w:eastAsia="zh-CN"/>
        </w:rPr>
        <w:t>1</w:t>
      </w:r>
      <w:r>
        <w:rPr>
          <w:rFonts w:hint="eastAsia" w:ascii="仿宋" w:hAnsi="仿宋" w:eastAsia="仿宋" w:cs="仿宋"/>
          <w:b/>
          <w:bCs/>
          <w:sz w:val="24"/>
        </w:rPr>
        <w:t>年</w:t>
      </w:r>
      <w:r>
        <w:rPr>
          <w:rFonts w:hint="eastAsia" w:ascii="仿宋" w:hAnsi="仿宋" w:eastAsia="仿宋" w:cs="仿宋"/>
          <w:b/>
          <w:bCs/>
          <w:sz w:val="24"/>
          <w:u w:val="single"/>
        </w:rPr>
        <w:t xml:space="preserve">   </w:t>
      </w:r>
      <w:r>
        <w:rPr>
          <w:rFonts w:hint="eastAsia" w:ascii="仿宋" w:hAnsi="仿宋" w:eastAsia="仿宋" w:cs="仿宋"/>
          <w:b/>
          <w:bCs/>
          <w:sz w:val="24"/>
        </w:rPr>
        <w:t>月</w:t>
      </w:r>
      <w:r>
        <w:rPr>
          <w:rFonts w:hint="eastAsia" w:ascii="仿宋" w:hAnsi="仿宋" w:eastAsia="仿宋" w:cs="仿宋"/>
          <w:b/>
          <w:bCs/>
          <w:sz w:val="24"/>
          <w:u w:val="single"/>
        </w:rPr>
        <w:t xml:space="preserve">   </w:t>
      </w:r>
      <w:r>
        <w:rPr>
          <w:rFonts w:hint="eastAsia" w:ascii="仿宋" w:hAnsi="仿宋" w:eastAsia="仿宋" w:cs="仿宋"/>
          <w:b/>
          <w:bCs/>
          <w:sz w:val="24"/>
        </w:rPr>
        <w:t>日</w:t>
      </w:r>
      <w:r>
        <w:rPr>
          <w:rFonts w:hint="eastAsia" w:ascii="仿宋" w:hAnsi="仿宋" w:eastAsia="仿宋" w:cs="仿宋"/>
          <w:b/>
          <w:bCs/>
          <w:sz w:val="24"/>
          <w:u w:val="single"/>
        </w:rPr>
        <w:t xml:space="preserve">    </w:t>
      </w:r>
      <w:r>
        <w:rPr>
          <w:rFonts w:hint="eastAsia" w:ascii="仿宋" w:hAnsi="仿宋" w:eastAsia="仿宋" w:cs="仿宋"/>
          <w:b/>
          <w:bCs/>
          <w:sz w:val="24"/>
        </w:rPr>
        <w:t>分之前不得启封”字样。密封袋两端粘贴密封条，加盖骑缝章。</w:t>
      </w:r>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6.3供应商应将“投标函” 、“投标保证金交纳和退付证明” 、“法人委托授权书”（若法定代表人参加投标则不提交此项）及“投标文件电子版（U盘）”单独密封提交，用于开标前检查。密封袋两端粘贴密封条，加盖骑缝章。</w:t>
      </w:r>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6.4</w:t>
      </w:r>
      <w:r>
        <w:rPr>
          <w:rFonts w:hint="eastAsia" w:ascii="仿宋" w:hAnsi="仿宋" w:eastAsia="仿宋" w:cs="仿宋"/>
          <w:b/>
          <w:bCs/>
          <w:color w:val="000000"/>
          <w:sz w:val="24"/>
        </w:rPr>
        <w:t>《竞争性磋商响应性文件》</w:t>
      </w:r>
      <w:r>
        <w:rPr>
          <w:rFonts w:hint="eastAsia" w:ascii="仿宋" w:hAnsi="仿宋" w:eastAsia="仿宋" w:cs="仿宋"/>
          <w:b/>
          <w:bCs/>
          <w:sz w:val="24"/>
        </w:rPr>
        <w:t>严禁使用档案袋进行密封，一律使用牛皮纸包装密封，且开口以及拐角处用写“封条”字样的密封纸进行密封，并加盖公章和写有“密封”字样的密封印章。</w:t>
      </w:r>
    </w:p>
    <w:p>
      <w:pPr>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6.5以上条款说明的密封要求，若供应商提交的文件外层封口处未按要求密封和加写标记，招标机构对误投或过早启封或造成</w:t>
      </w:r>
      <w:r>
        <w:rPr>
          <w:rFonts w:hint="eastAsia" w:ascii="仿宋" w:hAnsi="仿宋" w:eastAsia="仿宋" w:cs="仿宋"/>
          <w:b/>
          <w:bCs/>
          <w:color w:val="000000"/>
          <w:sz w:val="24"/>
        </w:rPr>
        <w:t>《竞争性磋商响应性文件》</w:t>
      </w:r>
      <w:r>
        <w:rPr>
          <w:rFonts w:hint="eastAsia" w:ascii="仿宋" w:hAnsi="仿宋" w:eastAsia="仿宋" w:cs="仿宋"/>
          <w:b/>
          <w:bCs/>
          <w:sz w:val="24"/>
        </w:rPr>
        <w:t>不被接受，采购人和招标机构概不负责。</w:t>
      </w:r>
    </w:p>
    <w:p>
      <w:pPr>
        <w:pStyle w:val="5"/>
        <w:keepNext w:val="0"/>
        <w:keepLines w:val="0"/>
        <w:spacing w:line="360" w:lineRule="auto"/>
        <w:rPr>
          <w:rFonts w:hint="eastAsia" w:ascii="仿宋" w:hAnsi="仿宋" w:eastAsia="仿宋" w:cs="仿宋"/>
          <w:b/>
          <w:bCs/>
        </w:rPr>
      </w:pPr>
      <w:bookmarkStart w:id="161" w:name="_Toc27259"/>
      <w:bookmarkStart w:id="162" w:name="_Toc397953692"/>
      <w:r>
        <w:rPr>
          <w:rFonts w:hint="eastAsia" w:ascii="仿宋" w:hAnsi="仿宋" w:eastAsia="仿宋" w:cs="仿宋"/>
          <w:b/>
          <w:bCs/>
        </w:rPr>
        <w:t>7.《竞争性磋商响应性文件》的澄清</w:t>
      </w:r>
      <w:bookmarkEnd w:id="161"/>
      <w:bookmarkEnd w:id="162"/>
    </w:p>
    <w:p>
      <w:pPr>
        <w:spacing w:line="360" w:lineRule="auto"/>
        <w:ind w:left="1" w:firstLine="522" w:firstLineChars="200"/>
        <w:rPr>
          <w:rFonts w:hint="eastAsia" w:ascii="仿宋" w:hAnsi="仿宋" w:eastAsia="仿宋" w:cs="仿宋"/>
          <w:b/>
          <w:bCs/>
          <w:spacing w:val="10"/>
          <w:sz w:val="24"/>
          <w:szCs w:val="20"/>
        </w:rPr>
      </w:pPr>
      <w:r>
        <w:rPr>
          <w:rFonts w:hint="eastAsia" w:ascii="仿宋" w:hAnsi="仿宋" w:eastAsia="仿宋" w:cs="仿宋"/>
          <w:b/>
          <w:bCs/>
          <w:spacing w:val="10"/>
          <w:sz w:val="24"/>
          <w:szCs w:val="20"/>
        </w:rPr>
        <w:t>为</w:t>
      </w:r>
      <w:r>
        <w:rPr>
          <w:rFonts w:hint="eastAsia" w:ascii="仿宋" w:hAnsi="仿宋" w:eastAsia="仿宋" w:cs="仿宋"/>
          <w:b/>
          <w:bCs/>
          <w:sz w:val="24"/>
          <w:szCs w:val="20"/>
        </w:rPr>
        <w:t xml:space="preserve">有助于对《磋商响应文件》的审查、评价和比较，评标期间可分别要求供应商对其《磋商响应文件》进行澄清或答疑，有关澄清或答疑要求的答复应以书面形式提交。 </w:t>
      </w:r>
    </w:p>
    <w:bookmarkEnd w:id="153"/>
    <w:bookmarkEnd w:id="154"/>
    <w:bookmarkEnd w:id="155"/>
    <w:bookmarkEnd w:id="156"/>
    <w:bookmarkEnd w:id="157"/>
    <w:bookmarkEnd w:id="158"/>
    <w:bookmarkEnd w:id="159"/>
    <w:bookmarkEnd w:id="160"/>
    <w:p>
      <w:pPr>
        <w:pStyle w:val="5"/>
        <w:keepNext w:val="0"/>
        <w:keepLines w:val="0"/>
        <w:spacing w:line="360" w:lineRule="auto"/>
        <w:rPr>
          <w:rFonts w:hint="eastAsia" w:ascii="仿宋" w:hAnsi="仿宋" w:eastAsia="仿宋" w:cs="仿宋"/>
          <w:b/>
          <w:bCs/>
        </w:rPr>
      </w:pPr>
      <w:bookmarkStart w:id="163" w:name="_Toc89058545"/>
      <w:bookmarkStart w:id="164" w:name="_Toc89586906"/>
      <w:bookmarkStart w:id="165" w:name="_Toc229198039"/>
      <w:bookmarkStart w:id="166" w:name="_Toc91030016"/>
      <w:bookmarkStart w:id="167" w:name="_Toc469850065"/>
      <w:bookmarkStart w:id="168" w:name="_Toc29534"/>
      <w:bookmarkStart w:id="169" w:name="_Toc139343550"/>
      <w:bookmarkStart w:id="170" w:name="_Toc274816726"/>
      <w:bookmarkStart w:id="171" w:name="_Toc397953693"/>
      <w:bookmarkStart w:id="172" w:name="_Toc91477266"/>
      <w:r>
        <w:rPr>
          <w:rFonts w:hint="eastAsia" w:ascii="仿宋" w:hAnsi="仿宋" w:eastAsia="仿宋" w:cs="仿宋"/>
          <w:b/>
          <w:bCs/>
        </w:rPr>
        <w:t>8.《竞争性磋商响应性文件》的修改与撤回</w:t>
      </w:r>
      <w:bookmarkEnd w:id="163"/>
      <w:bookmarkEnd w:id="164"/>
      <w:bookmarkEnd w:id="165"/>
      <w:bookmarkEnd w:id="166"/>
      <w:bookmarkEnd w:id="167"/>
      <w:bookmarkEnd w:id="168"/>
      <w:bookmarkEnd w:id="169"/>
      <w:bookmarkEnd w:id="170"/>
      <w:bookmarkEnd w:id="171"/>
      <w:bookmarkEnd w:id="172"/>
    </w:p>
    <w:p>
      <w:pPr>
        <w:spacing w:line="360" w:lineRule="auto"/>
        <w:ind w:firstLine="482" w:firstLineChars="200"/>
        <w:rPr>
          <w:rFonts w:hint="eastAsia" w:ascii="仿宋" w:hAnsi="仿宋" w:eastAsia="仿宋" w:cs="仿宋"/>
          <w:b/>
          <w:bCs/>
          <w:color w:val="000000"/>
          <w:sz w:val="24"/>
        </w:rPr>
      </w:pPr>
      <w:bookmarkStart w:id="173" w:name="_Toc229198040"/>
      <w:bookmarkStart w:id="174" w:name="_Toc469850066"/>
      <w:bookmarkStart w:id="175" w:name="_Toc89058546"/>
      <w:bookmarkStart w:id="176" w:name="_Toc91477267"/>
      <w:bookmarkStart w:id="177" w:name="_Toc139343551"/>
      <w:bookmarkStart w:id="178" w:name="_Toc89586907"/>
      <w:bookmarkStart w:id="179" w:name="_Toc91030017"/>
      <w:r>
        <w:rPr>
          <w:rFonts w:hint="eastAsia" w:ascii="仿宋" w:hAnsi="仿宋" w:eastAsia="仿宋" w:cs="仿宋"/>
          <w:b/>
          <w:bCs/>
          <w:color w:val="000000"/>
          <w:sz w:val="24"/>
        </w:rPr>
        <w:t>8.1供应商可以在递交《竞争性磋商响应性文件》以后，在规定的投标截止时间之前，以书面形式向采购人递交修改或撤回其《竞争性磋商响应性文件》的通知。在投标截止时间以后，不能更改《竞争性磋商响应性文件》。</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8.2供应商的修改或撤回通知，应单独密封在一个信封中，在信封上注明“修改”或“撤回”的字样。同时，信封上还须按《竞争性磋商响应性文件》的密封要求加写标志。</w:t>
      </w:r>
    </w:p>
    <w:p>
      <w:pPr>
        <w:pStyle w:val="4"/>
        <w:rPr>
          <w:rFonts w:hint="eastAsia" w:ascii="仿宋" w:hAnsi="仿宋" w:eastAsia="仿宋" w:cs="仿宋"/>
          <w:b/>
          <w:bCs/>
        </w:rPr>
      </w:pPr>
      <w:bookmarkStart w:id="180" w:name="_Toc2267"/>
      <w:bookmarkStart w:id="181" w:name="_Toc397953694"/>
      <w:r>
        <w:rPr>
          <w:rFonts w:hint="eastAsia" w:ascii="仿宋" w:hAnsi="仿宋" w:eastAsia="仿宋" w:cs="仿宋"/>
          <w:b/>
          <w:bCs/>
        </w:rPr>
        <w:t>四、竞争性磋商相关事项</w:t>
      </w:r>
      <w:bookmarkEnd w:id="180"/>
      <w:bookmarkEnd w:id="181"/>
    </w:p>
    <w:p>
      <w:pPr>
        <w:pStyle w:val="5"/>
        <w:keepNext w:val="0"/>
        <w:keepLines w:val="0"/>
        <w:spacing w:line="360" w:lineRule="auto"/>
        <w:rPr>
          <w:rFonts w:hint="eastAsia" w:ascii="仿宋" w:hAnsi="仿宋" w:eastAsia="仿宋" w:cs="仿宋"/>
          <w:b/>
          <w:bCs/>
        </w:rPr>
      </w:pPr>
      <w:bookmarkStart w:id="182" w:name="_Toc139343544"/>
      <w:bookmarkStart w:id="183" w:name="_Toc91477260"/>
      <w:bookmarkStart w:id="184" w:name="_Toc91030010"/>
      <w:bookmarkStart w:id="185" w:name="_Toc274816720"/>
      <w:bookmarkStart w:id="186" w:name="_Toc469850059"/>
      <w:bookmarkStart w:id="187" w:name="_Toc229198033"/>
      <w:bookmarkStart w:id="188" w:name="_Toc397953695"/>
      <w:bookmarkStart w:id="189" w:name="_Toc89058539"/>
      <w:bookmarkStart w:id="190" w:name="_Toc12449"/>
      <w:bookmarkStart w:id="191" w:name="_Toc89586900"/>
      <w:r>
        <w:rPr>
          <w:rFonts w:hint="eastAsia" w:ascii="仿宋" w:hAnsi="仿宋" w:eastAsia="仿宋" w:cs="仿宋"/>
          <w:b/>
          <w:bCs/>
        </w:rPr>
        <w:t>1.投标有效期</w:t>
      </w:r>
      <w:bookmarkEnd w:id="182"/>
      <w:bookmarkEnd w:id="183"/>
      <w:bookmarkEnd w:id="184"/>
      <w:bookmarkEnd w:id="185"/>
      <w:bookmarkEnd w:id="186"/>
      <w:bookmarkEnd w:id="187"/>
      <w:bookmarkEnd w:id="188"/>
      <w:bookmarkEnd w:id="189"/>
      <w:bookmarkEnd w:id="190"/>
      <w:bookmarkEnd w:id="191"/>
    </w:p>
    <w:p>
      <w:pPr>
        <w:spacing w:line="360" w:lineRule="auto"/>
        <w:ind w:firstLine="482" w:firstLineChars="200"/>
        <w:rPr>
          <w:rFonts w:hint="eastAsia" w:ascii="仿宋" w:hAnsi="仿宋" w:eastAsia="仿宋" w:cs="仿宋"/>
          <w:b/>
          <w:bCs/>
          <w:color w:val="000000"/>
          <w:sz w:val="24"/>
        </w:rPr>
      </w:pPr>
      <w:bookmarkStart w:id="192" w:name="_Toc139343545"/>
      <w:bookmarkStart w:id="193" w:name="_Toc91477261"/>
      <w:bookmarkStart w:id="194" w:name="_Toc469850060"/>
      <w:bookmarkStart w:id="195" w:name="_Toc89586901"/>
      <w:bookmarkStart w:id="196" w:name="_Toc229198034"/>
      <w:bookmarkStart w:id="197" w:name="_Toc274816721"/>
      <w:bookmarkStart w:id="198" w:name="_Toc91030011"/>
      <w:bookmarkStart w:id="199" w:name="_Toc89058540"/>
      <w:r>
        <w:rPr>
          <w:rFonts w:hint="eastAsia" w:ascii="仿宋" w:hAnsi="仿宋" w:eastAsia="仿宋" w:cs="仿宋"/>
          <w:b/>
          <w:bCs/>
          <w:color w:val="000000"/>
          <w:sz w:val="24"/>
        </w:rPr>
        <w:t>1.1投标有效期为90天，不满足要求的投标将被视为非响应性投标而予以拒绝。</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1.2特殊情况下，在原投标有效期截止之前，代理机构可征得供应商同意延长投标有效期。这种要求与答复均应为书面形式提交。供应商可拒绝代理机构的这种要求而其投标保证金不被没收。同意延长的供应商既不能被要求也不允许修改其《竞争性磋商响应性文件》，但要相应延长其投标保证金的有效期。</w:t>
      </w:r>
    </w:p>
    <w:p>
      <w:pPr>
        <w:pStyle w:val="5"/>
        <w:keepNext w:val="0"/>
        <w:keepLines w:val="0"/>
        <w:spacing w:line="360" w:lineRule="auto"/>
        <w:rPr>
          <w:rFonts w:hint="eastAsia" w:ascii="仿宋" w:hAnsi="仿宋" w:eastAsia="仿宋" w:cs="仿宋"/>
          <w:b/>
          <w:bCs/>
        </w:rPr>
      </w:pPr>
      <w:bookmarkStart w:id="200" w:name="_Toc397953696"/>
      <w:bookmarkStart w:id="201" w:name="_Toc22154"/>
      <w:r>
        <w:rPr>
          <w:rFonts w:hint="eastAsia" w:ascii="仿宋" w:hAnsi="仿宋" w:eastAsia="仿宋" w:cs="仿宋"/>
          <w:b/>
          <w:bCs/>
        </w:rPr>
        <w:t>2.投标保证金</w:t>
      </w:r>
      <w:bookmarkEnd w:id="200"/>
      <w:bookmarkEnd w:id="201"/>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2.1供应商应提交符合“供应商须知前附表”规定时间、金额及形式的投标保证金，并作为其投标的一部分。</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2.2投标保证金是为了保护代理机构和采购人免遭因供应商的行为而蒙受损失。招标代理机构和采购人在因供应商的行为受到损害时可根据供应商须知的规定没收供应商的投标保证金。</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2.3投标保证金的交纳和退付（详见供应商须知前附表）。</w:t>
      </w:r>
    </w:p>
    <w:bookmarkEnd w:id="192"/>
    <w:bookmarkEnd w:id="193"/>
    <w:bookmarkEnd w:id="194"/>
    <w:bookmarkEnd w:id="195"/>
    <w:bookmarkEnd w:id="196"/>
    <w:bookmarkEnd w:id="197"/>
    <w:bookmarkEnd w:id="198"/>
    <w:bookmarkEnd w:id="199"/>
    <w:p>
      <w:pPr>
        <w:pStyle w:val="5"/>
        <w:keepNext w:val="0"/>
        <w:keepLines w:val="0"/>
        <w:spacing w:line="360" w:lineRule="auto"/>
        <w:rPr>
          <w:rFonts w:hint="eastAsia" w:ascii="仿宋" w:hAnsi="仿宋" w:eastAsia="仿宋" w:cs="仿宋"/>
          <w:b/>
          <w:bCs/>
        </w:rPr>
      </w:pPr>
      <w:bookmarkStart w:id="202" w:name="_Toc397953698"/>
      <w:bookmarkStart w:id="203" w:name="_Toc19281"/>
      <w:r>
        <w:rPr>
          <w:rFonts w:hint="eastAsia" w:ascii="仿宋" w:hAnsi="仿宋" w:eastAsia="仿宋" w:cs="仿宋"/>
          <w:b/>
          <w:bCs/>
        </w:rPr>
        <w:t>3.供应商对成交结果的质疑、投诉</w:t>
      </w:r>
      <w:bookmarkEnd w:id="202"/>
      <w:bookmarkEnd w:id="203"/>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3.1 供应商对成交结果有异议的，应当在自成交公告发布之日起七个工作日内，以书面形式向代理机构提出质疑；</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3.2 代理机构在收到供应商书面质疑后七个工作日内，对质疑内容做出答复；</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3.3供应商对代理机构的答复不满意或者代理机构未在规定时间内答复的，供应商可以在答复期满后十五个工作日内按有关的规定，向陇南市政府采购监督管理科投诉。</w:t>
      </w:r>
    </w:p>
    <w:p>
      <w:pPr>
        <w:pStyle w:val="4"/>
        <w:spacing w:line="276" w:lineRule="auto"/>
        <w:rPr>
          <w:rFonts w:hint="eastAsia" w:ascii="仿宋" w:hAnsi="仿宋" w:eastAsia="仿宋" w:cs="仿宋"/>
          <w:b/>
          <w:bCs/>
        </w:rPr>
      </w:pPr>
      <w:bookmarkStart w:id="204" w:name="_Toc16100"/>
      <w:bookmarkStart w:id="205" w:name="_Toc274816727"/>
      <w:bookmarkStart w:id="206" w:name="_Toc397953699"/>
      <w:r>
        <w:rPr>
          <w:rFonts w:hint="eastAsia" w:ascii="仿宋" w:hAnsi="仿宋" w:eastAsia="仿宋" w:cs="仿宋"/>
          <w:b/>
          <w:bCs/>
        </w:rPr>
        <w:t>五、竞争性磋商</w:t>
      </w:r>
      <w:bookmarkEnd w:id="173"/>
      <w:bookmarkEnd w:id="174"/>
      <w:bookmarkEnd w:id="175"/>
      <w:bookmarkEnd w:id="176"/>
      <w:bookmarkEnd w:id="177"/>
      <w:bookmarkEnd w:id="178"/>
      <w:bookmarkEnd w:id="179"/>
      <w:bookmarkEnd w:id="204"/>
      <w:bookmarkEnd w:id="205"/>
      <w:bookmarkEnd w:id="206"/>
      <w:bookmarkStart w:id="207" w:name="_Toc393354670"/>
      <w:bookmarkStart w:id="208" w:name="_Toc392351538"/>
      <w:bookmarkStart w:id="209" w:name="_Toc274816735"/>
    </w:p>
    <w:p>
      <w:pPr>
        <w:pStyle w:val="4"/>
        <w:spacing w:line="276" w:lineRule="auto"/>
        <w:rPr>
          <w:rFonts w:hint="eastAsia" w:ascii="仿宋" w:hAnsi="仿宋" w:eastAsia="仿宋" w:cs="仿宋"/>
          <w:b/>
          <w:bCs/>
          <w:kern w:val="2"/>
          <w:szCs w:val="20"/>
        </w:rPr>
      </w:pPr>
      <w:bookmarkStart w:id="210" w:name="_Toc7715"/>
      <w:bookmarkStart w:id="211" w:name="_Toc397953700"/>
      <w:r>
        <w:rPr>
          <w:rFonts w:hint="eastAsia" w:ascii="仿宋" w:hAnsi="仿宋" w:eastAsia="仿宋" w:cs="仿宋"/>
          <w:b/>
          <w:bCs/>
          <w:kern w:val="2"/>
          <w:szCs w:val="20"/>
        </w:rPr>
        <w:t>1.开标</w:t>
      </w:r>
      <w:bookmarkEnd w:id="207"/>
      <w:bookmarkEnd w:id="208"/>
      <w:bookmarkEnd w:id="210"/>
      <w:bookmarkEnd w:id="211"/>
      <w:r>
        <w:rPr>
          <w:rFonts w:hint="eastAsia" w:ascii="仿宋" w:hAnsi="仿宋" w:eastAsia="仿宋" w:cs="仿宋"/>
          <w:b/>
          <w:bCs/>
          <w:kern w:val="2"/>
          <w:szCs w:val="20"/>
        </w:rPr>
        <w:t xml:space="preserve"> </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1.1</w:t>
      </w:r>
      <w:r>
        <w:rPr>
          <w:rFonts w:hint="eastAsia" w:ascii="仿宋" w:hAnsi="仿宋" w:eastAsia="仿宋" w:cs="仿宋"/>
          <w:b/>
          <w:bCs/>
          <w:sz w:val="24"/>
        </w:rPr>
        <w:t>代理机构</w:t>
      </w:r>
      <w:r>
        <w:rPr>
          <w:rFonts w:hint="eastAsia" w:ascii="仿宋" w:hAnsi="仿宋" w:eastAsia="仿宋" w:cs="仿宋"/>
          <w:b/>
          <w:bCs/>
          <w:sz w:val="24"/>
          <w:szCs w:val="20"/>
        </w:rPr>
        <w:t>将在“供应商须知前附表”规定的时间、地点组织磋商。提交了可接受的“撤回通知”的《磋商响应性文件》将不予开封。</w:t>
      </w:r>
    </w:p>
    <w:p>
      <w:pPr>
        <w:tabs>
          <w:tab w:val="left" w:pos="993"/>
        </w:tabs>
        <w:adjustRightInd w:val="0"/>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1.2 投标截止时间为止对于迟到的</w:t>
      </w:r>
      <w:r>
        <w:rPr>
          <w:rFonts w:hint="eastAsia" w:ascii="仿宋" w:hAnsi="仿宋" w:eastAsia="仿宋" w:cs="仿宋"/>
          <w:b/>
          <w:bCs/>
          <w:color w:val="000000"/>
          <w:sz w:val="24"/>
        </w:rPr>
        <w:t>《竞争性磋商响应性文件》</w:t>
      </w:r>
      <w:r>
        <w:rPr>
          <w:rFonts w:hint="eastAsia" w:ascii="仿宋" w:hAnsi="仿宋" w:eastAsia="仿宋" w:cs="仿宋"/>
          <w:b/>
          <w:bCs/>
          <w:sz w:val="24"/>
        </w:rPr>
        <w:t>代理机构和采购人概不接收。</w:t>
      </w:r>
    </w:p>
    <w:p>
      <w:pPr>
        <w:tabs>
          <w:tab w:val="left" w:pos="993"/>
        </w:tabs>
        <w:adjustRightInd w:val="0"/>
        <w:snapToGrid w:val="0"/>
        <w:spacing w:line="360" w:lineRule="auto"/>
        <w:ind w:firstLine="602" w:firstLineChars="250"/>
        <w:rPr>
          <w:rFonts w:hint="eastAsia" w:ascii="仿宋" w:hAnsi="仿宋" w:eastAsia="仿宋" w:cs="仿宋"/>
          <w:b/>
          <w:bCs/>
          <w:sz w:val="24"/>
        </w:rPr>
      </w:pPr>
      <w:r>
        <w:rPr>
          <w:rFonts w:hint="eastAsia" w:ascii="仿宋" w:hAnsi="仿宋" w:eastAsia="仿宋" w:cs="仿宋"/>
          <w:b/>
          <w:bCs/>
          <w:sz w:val="24"/>
        </w:rPr>
        <w:t>采购人可按本须知规定通过修改《竞争性磋商文件》自行决定酌情延长提交</w:t>
      </w:r>
      <w:r>
        <w:rPr>
          <w:rFonts w:hint="eastAsia" w:ascii="仿宋" w:hAnsi="仿宋" w:eastAsia="仿宋" w:cs="仿宋"/>
          <w:b/>
          <w:bCs/>
          <w:color w:val="000000"/>
          <w:sz w:val="24"/>
        </w:rPr>
        <w:t>《竞争性磋商响应性文件》</w:t>
      </w:r>
      <w:r>
        <w:rPr>
          <w:rFonts w:hint="eastAsia" w:ascii="仿宋" w:hAnsi="仿宋" w:eastAsia="仿宋" w:cs="仿宋"/>
          <w:b/>
          <w:bCs/>
          <w:sz w:val="24"/>
        </w:rPr>
        <w:t>的截止时间。在此情况下，代理机构、采购人和供应商受投标截止时间制约的所有权利和义务均应延长至新的截止时间。</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1.3采购响应性文件的递交：供应商应委派法人代表或法人授权代表递交《采购响应性文件》，签到并参加磋商。</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1.4唱标：由</w:t>
      </w:r>
      <w:r>
        <w:rPr>
          <w:rFonts w:hint="eastAsia" w:ascii="仿宋" w:hAnsi="仿宋" w:eastAsia="仿宋" w:cs="仿宋"/>
          <w:b/>
          <w:bCs/>
          <w:sz w:val="24"/>
        </w:rPr>
        <w:t>代理机构</w:t>
      </w:r>
      <w:r>
        <w:rPr>
          <w:rFonts w:hint="eastAsia" w:ascii="仿宋" w:hAnsi="仿宋" w:eastAsia="仿宋" w:cs="仿宋"/>
          <w:b/>
          <w:bCs/>
          <w:sz w:val="24"/>
          <w:szCs w:val="20"/>
        </w:rPr>
        <w:t>人员对《磋商响应性文件》进行唱标。</w:t>
      </w:r>
    </w:p>
    <w:p>
      <w:pPr>
        <w:keepNext/>
        <w:keepLines/>
        <w:spacing w:line="413" w:lineRule="auto"/>
        <w:outlineLvl w:val="2"/>
        <w:rPr>
          <w:rFonts w:hint="eastAsia" w:ascii="仿宋" w:hAnsi="仿宋" w:eastAsia="仿宋" w:cs="仿宋"/>
          <w:b/>
          <w:bCs/>
          <w:kern w:val="0"/>
          <w:sz w:val="24"/>
          <w:szCs w:val="20"/>
        </w:rPr>
      </w:pPr>
      <w:bookmarkStart w:id="212" w:name="_Toc397953701"/>
      <w:bookmarkStart w:id="213" w:name="_Toc393354671"/>
      <w:bookmarkStart w:id="214" w:name="_Toc879"/>
      <w:bookmarkStart w:id="215" w:name="_Toc392351539"/>
      <w:r>
        <w:rPr>
          <w:rFonts w:hint="eastAsia" w:ascii="仿宋" w:hAnsi="仿宋" w:eastAsia="仿宋" w:cs="仿宋"/>
          <w:b/>
          <w:bCs/>
          <w:kern w:val="0"/>
          <w:sz w:val="24"/>
          <w:szCs w:val="20"/>
        </w:rPr>
        <w:t>2.评标</w:t>
      </w:r>
      <w:bookmarkEnd w:id="212"/>
      <w:bookmarkEnd w:id="213"/>
      <w:bookmarkEnd w:id="214"/>
      <w:bookmarkEnd w:id="215"/>
    </w:p>
    <w:p>
      <w:pPr>
        <w:keepNext/>
        <w:keepLines/>
        <w:spacing w:line="413" w:lineRule="auto"/>
        <w:outlineLvl w:val="2"/>
        <w:rPr>
          <w:rFonts w:hint="eastAsia" w:ascii="仿宋" w:hAnsi="仿宋" w:eastAsia="仿宋" w:cs="仿宋"/>
          <w:b/>
          <w:bCs/>
          <w:kern w:val="0"/>
          <w:sz w:val="24"/>
          <w:szCs w:val="20"/>
        </w:rPr>
      </w:pPr>
      <w:bookmarkStart w:id="216" w:name="_Toc30623"/>
      <w:r>
        <w:rPr>
          <w:rFonts w:hint="eastAsia" w:ascii="仿宋" w:hAnsi="仿宋" w:eastAsia="仿宋" w:cs="仿宋"/>
          <w:b/>
          <w:bCs/>
          <w:kern w:val="0"/>
          <w:sz w:val="24"/>
          <w:szCs w:val="20"/>
        </w:rPr>
        <w:t>2.1评审程序</w:t>
      </w:r>
      <w:bookmarkEnd w:id="216"/>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竞争性磋商程序：初步审查、竞争性磋商（包括澄清）、报价、综合评审、推荐成交等程序。</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2.1.1竞争性磋商小组应当对供应商提交的响应文件进行初步审查。响应文件</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有下列情况之一，其响应文件无效，不再参与后继的竞争性磋商。</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（1）不符合供应资格条件的；</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（2）未按照竞争性磋商文件规定要求签署、盖章的；</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（3）响应文件有效期不足的；</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（4）不符合法律、规章、规范性文件和竞争性磋商文件规定的；</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（5）不满足磋商文件规定的实质性响应的。</w:t>
      </w:r>
    </w:p>
    <w:p>
      <w:pPr>
        <w:pStyle w:val="2"/>
        <w:rPr>
          <w:rFonts w:hint="eastAsia" w:eastAsia="仿宋"/>
          <w:lang w:eastAsia="zh-CN"/>
        </w:rPr>
      </w:pPr>
      <w:r>
        <w:rPr>
          <w:rFonts w:hint="eastAsia" w:ascii="仿宋" w:hAnsi="仿宋" w:eastAsia="仿宋" w:cs="仿宋"/>
          <w:b/>
          <w:bCs/>
          <w:color w:val="000000" w:themeColor="text1"/>
          <w:kern w:val="0"/>
          <w:sz w:val="24"/>
          <w:szCs w:val="20"/>
          <w:lang w:eastAsia="zh-CN"/>
          <w14:textFill>
            <w14:solidFill>
              <w14:schemeClr w14:val="tx1"/>
            </w14:solidFill>
          </w14:textFill>
        </w:rPr>
        <w:t>（</w:t>
      </w:r>
      <w:bookmarkStart w:id="306" w:name="_GoBack"/>
      <w:bookmarkEnd w:id="306"/>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2.1.2初步审查结束后，磋商小组所有成员应当集中与单一供应商分别进行磋商，并给予符合磋商要求供应商平等的磋商机会。</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2.1.3实质性响应</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（1） 实质性响应是指响应文件与竞争性磋商文件要求的所有条款、条件和规格相符，没有偏离。偏离指不满足、或不响应竞争性磋商文件的要求。</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（2）响应文件是否实质性响应竞争性磋商文件要求，由竞争性磋商小组依据竞争性磋商文件规定认定。竞争性磋商小组决定响应文件的响应性只根据响应文件本身的真实无误的内容，而不依据外部的证据。</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2.1.4澄清</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2.1.5竞争性磋商</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（1）在磋商过程中，磋商小组可以根据磋商文件和磋商情况实质性变动采购需求中的技术、服务要求以及合同草案条款，但不得变动磋商文件中的其他内容。</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（2）实质性变动的内容，须经采购人代表确认。</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（3）对磋商文件作出的实质性变动是磋商文件的有效组成部分，磋商小组应当及时以书面形式同时通知所有参加磋商的供应商。</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（4）供应商应当按照磋商文件的变动情况和磋商小组的要求重新提交响应文件，并由其法定代表人或授权代表签字或者加盖公章。由授权代表签字的，应当附法定代表人授权书。</w:t>
      </w:r>
    </w:p>
    <w:p>
      <w:pPr>
        <w:keepNext/>
        <w:keepLines/>
        <w:spacing w:line="413" w:lineRule="auto"/>
        <w:outlineLvl w:val="2"/>
        <w:rPr>
          <w:rFonts w:hint="eastAsia" w:ascii="仿宋" w:hAnsi="仿宋" w:eastAsia="仿宋" w:cs="仿宋"/>
          <w:b/>
          <w:bCs/>
          <w:color w:val="000000" w:themeColor="text1"/>
          <w:kern w:val="0"/>
          <w:sz w:val="24"/>
          <w:szCs w:val="20"/>
          <w14:textFill>
            <w14:solidFill>
              <w14:schemeClr w14:val="tx1"/>
            </w14:solidFill>
          </w14:textFill>
        </w:rPr>
      </w:pPr>
      <w:r>
        <w:rPr>
          <w:rFonts w:hint="eastAsia" w:ascii="仿宋" w:hAnsi="仿宋" w:eastAsia="仿宋" w:cs="仿宋"/>
          <w:b/>
          <w:bCs/>
          <w:color w:val="000000" w:themeColor="text1"/>
          <w:kern w:val="0"/>
          <w:sz w:val="24"/>
          <w:szCs w:val="20"/>
          <w14:textFill>
            <w14:solidFill>
              <w14:schemeClr w14:val="tx1"/>
            </w14:solidFill>
          </w14:textFill>
        </w:rPr>
        <w:t>2.1.</w:t>
      </w:r>
      <w:r>
        <w:rPr>
          <w:rFonts w:hint="eastAsia" w:ascii="仿宋" w:hAnsi="仿宋" w:eastAsia="仿宋" w:cs="仿宋"/>
          <w:b/>
          <w:bCs/>
          <w:color w:val="000000" w:themeColor="text1"/>
          <w:kern w:val="0"/>
          <w:sz w:val="24"/>
          <w:szCs w:val="20"/>
          <w:lang w:val="en-US" w:eastAsia="zh-CN"/>
          <w14:textFill>
            <w14:solidFill>
              <w14:schemeClr w14:val="tx1"/>
            </w14:solidFill>
          </w14:textFill>
        </w:rPr>
        <w:t>6</w:t>
      </w:r>
      <w:bookmarkStart w:id="217" w:name="_Toc26437"/>
      <w:r>
        <w:rPr>
          <w:rFonts w:hint="eastAsia" w:ascii="仿宋" w:hAnsi="仿宋" w:eastAsia="仿宋" w:cs="仿宋"/>
          <w:b/>
          <w:bCs/>
          <w:color w:val="000000" w:themeColor="text1"/>
          <w:kern w:val="0"/>
          <w:sz w:val="24"/>
          <w:szCs w:val="20"/>
          <w14:textFill>
            <w14:solidFill>
              <w14:schemeClr w14:val="tx1"/>
            </w14:solidFill>
          </w14:textFill>
        </w:rPr>
        <w:t>磋商小组应当按照少数服从多数的原则投票推荐不少于2家供应商的评估方案或者解决方案，并要求在规定的时间内提交最后报价。</w:t>
      </w:r>
      <w:bookmarkEnd w:id="217"/>
    </w:p>
    <w:p>
      <w:pPr>
        <w:tabs>
          <w:tab w:val="left" w:pos="8640"/>
        </w:tabs>
        <w:spacing w:line="360" w:lineRule="auto"/>
        <w:rPr>
          <w:rFonts w:hint="eastAsia" w:ascii="仿宋" w:hAnsi="仿宋" w:eastAsia="仿宋" w:cs="仿宋"/>
          <w:b/>
          <w:bCs/>
          <w:color w:val="000000" w:themeColor="text1"/>
          <w:kern w:val="0"/>
          <w:sz w:val="24"/>
          <w:szCs w:val="20"/>
          <w:lang w:eastAsia="zh-CN"/>
          <w14:textFill>
            <w14:solidFill>
              <w14:schemeClr w14:val="tx1"/>
            </w14:solidFill>
          </w14:textFill>
        </w:rPr>
      </w:pPr>
      <w:bookmarkStart w:id="218" w:name="_Toc19041"/>
      <w:r>
        <w:rPr>
          <w:rFonts w:hint="eastAsia" w:ascii="仿宋" w:hAnsi="仿宋" w:eastAsia="仿宋" w:cs="仿宋"/>
          <w:b/>
          <w:bCs/>
          <w:color w:val="000000" w:themeColor="text1"/>
          <w:kern w:val="0"/>
          <w:sz w:val="24"/>
          <w:szCs w:val="20"/>
          <w14:textFill>
            <w14:solidFill>
              <w14:schemeClr w14:val="tx1"/>
            </w14:solidFill>
          </w14:textFill>
        </w:rPr>
        <w:t>2.1.</w:t>
      </w:r>
      <w:r>
        <w:rPr>
          <w:rFonts w:hint="eastAsia" w:ascii="仿宋" w:hAnsi="仿宋" w:eastAsia="仿宋" w:cs="仿宋"/>
          <w:b/>
          <w:bCs/>
          <w:color w:val="000000" w:themeColor="text1"/>
          <w:kern w:val="0"/>
          <w:sz w:val="24"/>
          <w:szCs w:val="20"/>
          <w:lang w:val="en-US" w:eastAsia="zh-CN"/>
          <w14:textFill>
            <w14:solidFill>
              <w14:schemeClr w14:val="tx1"/>
            </w14:solidFill>
          </w14:textFill>
        </w:rPr>
        <w:t>7</w:t>
      </w:r>
      <w:r>
        <w:rPr>
          <w:rFonts w:hint="eastAsia" w:ascii="仿宋" w:hAnsi="仿宋" w:eastAsia="仿宋" w:cs="仿宋"/>
          <w:b/>
          <w:bCs/>
          <w:color w:val="000000" w:themeColor="text1"/>
          <w:kern w:val="0"/>
          <w:sz w:val="24"/>
          <w:szCs w:val="20"/>
          <w14:textFill>
            <w14:solidFill>
              <w14:schemeClr w14:val="tx1"/>
            </w14:solidFill>
          </w14:textFill>
        </w:rPr>
        <w:t>经磋商确定最终采购需求和提交最后报价的供应商后，由磋商小组采用综合评分法对提交最后报价的供应商的响应文件和最后报价进行综合评分</w:t>
      </w:r>
      <w:bookmarkEnd w:id="218"/>
      <w:r>
        <w:rPr>
          <w:rFonts w:hint="eastAsia" w:ascii="仿宋" w:hAnsi="仿宋" w:eastAsia="仿宋" w:cs="仿宋"/>
          <w:b/>
          <w:bCs/>
          <w:color w:val="000000" w:themeColor="text1"/>
          <w:kern w:val="0"/>
          <w:sz w:val="24"/>
          <w:szCs w:val="20"/>
          <w:lang w:eastAsia="zh-CN"/>
          <w14:textFill>
            <w14:solidFill>
              <w14:schemeClr w14:val="tx1"/>
            </w14:solidFill>
          </w14:textFill>
        </w:rPr>
        <w:t>，</w:t>
      </w:r>
      <w:r>
        <w:rPr>
          <w:rFonts w:hint="eastAsia" w:ascii="仿宋" w:hAnsi="仿宋" w:eastAsia="仿宋" w:cs="仿宋"/>
          <w:b/>
          <w:bCs/>
          <w:color w:val="000000" w:themeColor="text1"/>
          <w:kern w:val="0"/>
          <w:sz w:val="24"/>
          <w:szCs w:val="20"/>
          <w14:textFill>
            <w14:solidFill>
              <w14:schemeClr w14:val="tx1"/>
            </w14:solidFill>
          </w14:textFill>
        </w:rPr>
        <w:t>汇总评审结果确定推荐的中标候选人</w:t>
      </w:r>
      <w:r>
        <w:rPr>
          <w:rFonts w:hint="eastAsia" w:ascii="仿宋" w:hAnsi="仿宋" w:eastAsia="仿宋" w:cs="仿宋"/>
          <w:b/>
          <w:bCs/>
          <w:color w:val="000000" w:themeColor="text1"/>
          <w:kern w:val="0"/>
          <w:sz w:val="24"/>
          <w:szCs w:val="20"/>
          <w:lang w:eastAsia="zh-CN"/>
          <w14:textFill>
            <w14:solidFill>
              <w14:schemeClr w14:val="tx1"/>
            </w14:solidFill>
          </w14:textFill>
        </w:rPr>
        <w:t>。</w:t>
      </w:r>
    </w:p>
    <w:p>
      <w:pPr>
        <w:spacing w:line="360" w:lineRule="auto"/>
        <w:rPr>
          <w:rFonts w:hint="eastAsia" w:ascii="仿宋" w:hAnsi="仿宋" w:eastAsia="仿宋" w:cs="仿宋"/>
          <w:b/>
          <w:bCs/>
          <w:spacing w:val="10"/>
          <w:sz w:val="24"/>
          <w:szCs w:val="20"/>
        </w:rPr>
      </w:pPr>
      <w:r>
        <w:rPr>
          <w:rFonts w:hint="eastAsia" w:ascii="仿宋" w:hAnsi="仿宋" w:eastAsia="仿宋" w:cs="仿宋"/>
          <w:b/>
          <w:bCs/>
          <w:color w:val="000000" w:themeColor="text1"/>
          <w:kern w:val="0"/>
          <w:sz w:val="24"/>
          <w:szCs w:val="20"/>
          <w14:textFill>
            <w14:solidFill>
              <w14:schemeClr w14:val="tx1"/>
            </w14:solidFill>
          </w14:textFill>
        </w:rPr>
        <w:t>2.2</w:t>
      </w:r>
      <w:bookmarkStart w:id="219" w:name="_Toc390376765"/>
      <w:r>
        <w:rPr>
          <w:rFonts w:hint="eastAsia" w:ascii="仿宋" w:hAnsi="仿宋" w:eastAsia="仿宋" w:cs="仿宋"/>
          <w:b/>
          <w:bCs/>
          <w:color w:val="000000" w:themeColor="text1"/>
          <w:kern w:val="0"/>
          <w:sz w:val="24"/>
          <w:szCs w:val="20"/>
          <w14:textFill>
            <w14:solidFill>
              <w14:schemeClr w14:val="tx1"/>
            </w14:solidFill>
          </w14:textFill>
        </w:rPr>
        <w:t>综合</w:t>
      </w:r>
      <w:r>
        <w:rPr>
          <w:rFonts w:hint="eastAsia" w:ascii="仿宋" w:hAnsi="仿宋" w:eastAsia="仿宋" w:cs="仿宋"/>
          <w:b/>
          <w:bCs/>
          <w:color w:val="000000" w:themeColor="text1"/>
          <w:sz w:val="24"/>
          <w:lang w:val="zh-CN"/>
          <w14:textFill>
            <w14:solidFill>
              <w14:schemeClr w14:val="tx1"/>
            </w14:solidFill>
          </w14:textFill>
        </w:rPr>
        <w:t>评标标准及要求</w:t>
      </w:r>
      <w:bookmarkEnd w:id="219"/>
      <w:r>
        <w:rPr>
          <w:rFonts w:hint="eastAsia" w:ascii="仿宋" w:hAnsi="仿宋" w:eastAsia="仿宋" w:cs="仿宋"/>
          <w:b/>
          <w:bCs/>
          <w:color w:val="000000" w:themeColor="text1"/>
          <w:sz w:val="24"/>
          <w:lang w:val="zh-CN"/>
          <w14:textFill>
            <w14:solidFill>
              <w14:schemeClr w14:val="tx1"/>
            </w14:solidFill>
          </w14:textFill>
        </w:rPr>
        <w:t>：</w:t>
      </w:r>
    </w:p>
    <w:tbl>
      <w:tblPr>
        <w:tblStyle w:val="17"/>
        <w:tblW w:w="5211"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230"/>
        <w:gridCol w:w="945"/>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27" w:type="pct"/>
            <w:vAlign w:val="center"/>
          </w:tcPr>
          <w:p>
            <w:pPr>
              <w:jc w:val="center"/>
              <w:rPr>
                <w:rFonts w:ascii="宋体" w:hAnsi="宋体" w:cs="Arial"/>
                <w:b/>
                <w:bCs/>
                <w:color w:val="000000"/>
                <w:kern w:val="0"/>
                <w:szCs w:val="21"/>
              </w:rPr>
            </w:pPr>
            <w:r>
              <w:rPr>
                <w:rFonts w:ascii="宋体" w:hAnsi="宋体" w:cs="Arial"/>
                <w:b/>
                <w:bCs/>
                <w:color w:val="000000"/>
                <w:kern w:val="0"/>
                <w:szCs w:val="21"/>
              </w:rPr>
              <w:t>评分项目</w:t>
            </w:r>
          </w:p>
        </w:tc>
        <w:tc>
          <w:tcPr>
            <w:tcW w:w="692" w:type="pct"/>
            <w:vAlign w:val="center"/>
          </w:tcPr>
          <w:p>
            <w:pPr>
              <w:jc w:val="center"/>
              <w:rPr>
                <w:rFonts w:ascii="宋体" w:hAnsi="宋体" w:cs="Arial"/>
                <w:b/>
                <w:bCs/>
                <w:color w:val="000000"/>
                <w:kern w:val="0"/>
                <w:szCs w:val="21"/>
              </w:rPr>
            </w:pPr>
            <w:r>
              <w:rPr>
                <w:rFonts w:ascii="宋体" w:hAnsi="宋体" w:cs="Arial"/>
                <w:b/>
                <w:bCs/>
                <w:color w:val="000000"/>
                <w:kern w:val="0"/>
                <w:szCs w:val="21"/>
              </w:rPr>
              <w:t>评标分项</w:t>
            </w:r>
          </w:p>
        </w:tc>
        <w:tc>
          <w:tcPr>
            <w:tcW w:w="531" w:type="pct"/>
            <w:vAlign w:val="center"/>
          </w:tcPr>
          <w:p>
            <w:pPr>
              <w:jc w:val="center"/>
              <w:rPr>
                <w:rFonts w:ascii="宋体" w:hAnsi="宋体" w:cs="Arial"/>
                <w:b/>
                <w:bCs/>
                <w:color w:val="000000"/>
                <w:kern w:val="0"/>
                <w:szCs w:val="21"/>
              </w:rPr>
            </w:pPr>
            <w:r>
              <w:rPr>
                <w:rFonts w:ascii="宋体" w:hAnsi="宋体" w:cs="Arial"/>
                <w:b/>
                <w:bCs/>
                <w:color w:val="000000"/>
                <w:kern w:val="0"/>
                <w:szCs w:val="21"/>
              </w:rPr>
              <w:t>分值</w:t>
            </w:r>
          </w:p>
        </w:tc>
        <w:tc>
          <w:tcPr>
            <w:tcW w:w="3148" w:type="pct"/>
            <w:vAlign w:val="center"/>
          </w:tcPr>
          <w:p>
            <w:pPr>
              <w:jc w:val="center"/>
              <w:rPr>
                <w:rFonts w:ascii="宋体" w:hAnsi="宋体" w:cs="Arial"/>
                <w:b/>
                <w:bCs/>
                <w:color w:val="000000"/>
                <w:kern w:val="0"/>
                <w:szCs w:val="21"/>
              </w:rPr>
            </w:pPr>
            <w:r>
              <w:rPr>
                <w:rFonts w:ascii="宋体" w:hAnsi="宋体" w:cs="Arial"/>
                <w:b/>
                <w:bCs/>
                <w:color w:val="000000"/>
                <w:kern w:val="0"/>
                <w:szCs w:val="21"/>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Align w:val="center"/>
          </w:tcPr>
          <w:p>
            <w:pPr>
              <w:jc w:val="center"/>
              <w:rPr>
                <w:rFonts w:ascii="宋体" w:hAnsi="宋体" w:cs="Arial"/>
                <w:b/>
                <w:bCs/>
                <w:color w:val="000000"/>
                <w:kern w:val="0"/>
                <w:szCs w:val="21"/>
              </w:rPr>
            </w:pPr>
            <w:r>
              <w:rPr>
                <w:rFonts w:ascii="宋体" w:hAnsi="宋体" w:cs="Arial"/>
                <w:b/>
                <w:bCs/>
                <w:color w:val="000000"/>
                <w:kern w:val="0"/>
                <w:szCs w:val="21"/>
              </w:rPr>
              <w:t>价格部分</w:t>
            </w:r>
          </w:p>
          <w:p>
            <w:pPr>
              <w:jc w:val="center"/>
              <w:rPr>
                <w:rFonts w:ascii="宋体" w:hAnsi="宋体" w:cs="Arial"/>
                <w:b/>
                <w:bCs/>
                <w:color w:val="000000"/>
                <w:kern w:val="0"/>
                <w:szCs w:val="21"/>
              </w:rPr>
            </w:pPr>
            <w:r>
              <w:rPr>
                <w:rFonts w:ascii="宋体" w:hAnsi="宋体" w:cs="Arial"/>
                <w:b/>
                <w:bCs/>
                <w:color w:val="000000"/>
                <w:kern w:val="0"/>
                <w:szCs w:val="21"/>
              </w:rPr>
              <w:t>（30分）</w:t>
            </w:r>
          </w:p>
        </w:tc>
        <w:tc>
          <w:tcPr>
            <w:tcW w:w="692" w:type="pct"/>
            <w:vAlign w:val="center"/>
          </w:tcPr>
          <w:p>
            <w:pPr>
              <w:jc w:val="center"/>
              <w:rPr>
                <w:rFonts w:ascii="宋体" w:hAnsi="宋体" w:cs="Arial"/>
                <w:b/>
                <w:bCs/>
                <w:color w:val="000000"/>
                <w:kern w:val="0"/>
                <w:szCs w:val="21"/>
              </w:rPr>
            </w:pPr>
            <w:r>
              <w:rPr>
                <w:rFonts w:ascii="宋体" w:hAnsi="宋体" w:cs="Arial"/>
                <w:b/>
                <w:bCs/>
                <w:color w:val="000000"/>
                <w:kern w:val="0"/>
                <w:szCs w:val="21"/>
              </w:rPr>
              <w:t>投标报价</w:t>
            </w:r>
          </w:p>
        </w:tc>
        <w:tc>
          <w:tcPr>
            <w:tcW w:w="531" w:type="pct"/>
            <w:vAlign w:val="center"/>
          </w:tcPr>
          <w:p>
            <w:pPr>
              <w:jc w:val="center"/>
              <w:rPr>
                <w:rFonts w:ascii="宋体" w:hAnsi="宋体" w:cs="Arial"/>
                <w:b/>
                <w:bCs/>
                <w:color w:val="000000"/>
                <w:kern w:val="0"/>
                <w:szCs w:val="21"/>
              </w:rPr>
            </w:pPr>
            <w:r>
              <w:rPr>
                <w:rFonts w:ascii="宋体" w:hAnsi="宋体" w:cs="Arial"/>
                <w:b/>
                <w:bCs/>
                <w:color w:val="000000"/>
                <w:kern w:val="0"/>
                <w:szCs w:val="21"/>
              </w:rPr>
              <w:t>30分</w:t>
            </w:r>
          </w:p>
        </w:tc>
        <w:tc>
          <w:tcPr>
            <w:tcW w:w="3148" w:type="pct"/>
            <w:vAlign w:val="center"/>
          </w:tcPr>
          <w:p>
            <w:pPr>
              <w:pStyle w:val="34"/>
              <w:spacing w:before="1"/>
              <w:ind w:left="108"/>
              <w:rPr>
                <w:rFonts w:hint="eastAsia" w:ascii="仿宋" w:hAnsi="仿宋" w:eastAsia="仿宋" w:cs="仿宋"/>
                <w:b/>
                <w:bCs/>
                <w:color w:val="auto"/>
                <w:sz w:val="24"/>
                <w:szCs w:val="24"/>
              </w:rPr>
            </w:pPr>
            <w:r>
              <w:rPr>
                <w:rFonts w:hint="eastAsia" w:ascii="仿宋" w:hAnsi="仿宋" w:eastAsia="仿宋" w:cs="仿宋"/>
                <w:b/>
                <w:bCs/>
                <w:color w:val="auto"/>
                <w:sz w:val="24"/>
                <w:szCs w:val="24"/>
              </w:rPr>
              <w:t>1、满足招标文件所有要求且投标价格最低的投标报价为评标基准价，其价格分为满分。</w:t>
            </w:r>
          </w:p>
          <w:p>
            <w:pPr>
              <w:pStyle w:val="34"/>
              <w:spacing w:before="1"/>
              <w:ind w:left="108"/>
              <w:rPr>
                <w:rFonts w:hint="eastAsia" w:ascii="仿宋" w:hAnsi="仿宋" w:eastAsia="仿宋" w:cs="仿宋"/>
                <w:b/>
                <w:bCs/>
                <w:color w:val="auto"/>
                <w:sz w:val="24"/>
                <w:szCs w:val="24"/>
              </w:rPr>
            </w:pPr>
            <w:r>
              <w:rPr>
                <w:rFonts w:hint="eastAsia" w:ascii="仿宋" w:hAnsi="仿宋" w:eastAsia="仿宋" w:cs="仿宋"/>
                <w:b/>
                <w:bCs/>
                <w:color w:val="auto"/>
                <w:sz w:val="24"/>
                <w:szCs w:val="24"/>
              </w:rPr>
              <w:t>2、其他投标人的价格分统一按照下列公式计算：投标报价得分＝（评标基准价/投标报价）×30%×100</w:t>
            </w:r>
          </w:p>
          <w:p>
            <w:pPr>
              <w:ind w:right="-105" w:rightChars="-50" w:firstLine="241" w:firstLineChars="100"/>
              <w:jc w:val="both"/>
              <w:rPr>
                <w:rFonts w:ascii="宋体" w:hAnsi="宋体" w:cs="Arial"/>
                <w:b/>
                <w:bCs/>
                <w:color w:val="000000"/>
                <w:kern w:val="0"/>
                <w:szCs w:val="21"/>
              </w:rPr>
            </w:pPr>
            <w:r>
              <w:rPr>
                <w:rFonts w:hint="eastAsia" w:ascii="仿宋" w:hAnsi="仿宋" w:eastAsia="仿宋" w:cs="仿宋"/>
                <w:b/>
                <w:bCs/>
                <w:color w:val="auto"/>
                <w:sz w:val="24"/>
                <w:szCs w:val="24"/>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restart"/>
          </w:tcPr>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r>
              <w:rPr>
                <w:rFonts w:ascii="宋体" w:hAnsi="宋体" w:cs="Arial"/>
                <w:b/>
                <w:bCs/>
                <w:color w:val="000000"/>
                <w:kern w:val="0"/>
                <w:szCs w:val="21"/>
              </w:rPr>
              <w:t>技术部分</w:t>
            </w:r>
          </w:p>
          <w:p>
            <w:pPr>
              <w:rPr>
                <w:rFonts w:ascii="宋体" w:hAnsi="宋体" w:cs="Arial"/>
                <w:b/>
                <w:bCs/>
                <w:color w:val="000000"/>
                <w:kern w:val="0"/>
                <w:szCs w:val="21"/>
              </w:rPr>
            </w:pPr>
            <w:r>
              <w:rPr>
                <w:rFonts w:ascii="宋体" w:hAnsi="宋体" w:cs="Arial"/>
                <w:b/>
                <w:bCs/>
                <w:color w:val="000000"/>
                <w:kern w:val="0"/>
                <w:szCs w:val="21"/>
              </w:rPr>
              <w:t>(40分)</w:t>
            </w:r>
          </w:p>
        </w:tc>
        <w:tc>
          <w:tcPr>
            <w:tcW w:w="692" w:type="pct"/>
            <w:vAlign w:val="center"/>
          </w:tcPr>
          <w:p>
            <w:pPr>
              <w:jc w:val="center"/>
              <w:rPr>
                <w:rFonts w:ascii="宋体" w:hAnsi="宋体" w:cs="Arial"/>
                <w:b/>
                <w:bCs/>
                <w:color w:val="000000"/>
                <w:kern w:val="0"/>
                <w:szCs w:val="21"/>
              </w:rPr>
            </w:pPr>
            <w:r>
              <w:rPr>
                <w:rFonts w:ascii="宋体" w:hAnsi="宋体" w:cs="Arial"/>
                <w:b/>
                <w:bCs/>
                <w:color w:val="000000"/>
                <w:kern w:val="0"/>
                <w:szCs w:val="21"/>
              </w:rPr>
              <w:t>技术参数</w:t>
            </w:r>
          </w:p>
          <w:p>
            <w:pPr>
              <w:jc w:val="center"/>
              <w:rPr>
                <w:rFonts w:ascii="宋体" w:hAnsi="宋体" w:cs="Arial"/>
                <w:b/>
                <w:bCs/>
                <w:color w:val="000000"/>
                <w:kern w:val="0"/>
                <w:szCs w:val="21"/>
              </w:rPr>
            </w:pPr>
            <w:r>
              <w:rPr>
                <w:rFonts w:ascii="宋体" w:hAnsi="宋体" w:cs="Arial"/>
                <w:b/>
                <w:bCs/>
                <w:color w:val="000000"/>
                <w:kern w:val="0"/>
                <w:szCs w:val="21"/>
              </w:rPr>
              <w:t>（3</w:t>
            </w:r>
            <w:r>
              <w:rPr>
                <w:rFonts w:hint="eastAsia" w:ascii="宋体" w:hAnsi="宋体" w:cs="Arial"/>
                <w:b/>
                <w:bCs/>
                <w:color w:val="000000"/>
                <w:kern w:val="0"/>
                <w:szCs w:val="21"/>
                <w:lang w:val="en-US" w:eastAsia="zh-CN"/>
              </w:rPr>
              <w:t>0</w:t>
            </w:r>
            <w:r>
              <w:rPr>
                <w:rFonts w:ascii="宋体" w:hAnsi="宋体" w:cs="Arial"/>
                <w:b/>
                <w:bCs/>
                <w:color w:val="000000"/>
                <w:kern w:val="0"/>
                <w:szCs w:val="21"/>
              </w:rPr>
              <w:t>分）</w:t>
            </w:r>
          </w:p>
        </w:tc>
        <w:tc>
          <w:tcPr>
            <w:tcW w:w="531" w:type="pct"/>
            <w:vAlign w:val="center"/>
          </w:tcPr>
          <w:p>
            <w:pPr>
              <w:jc w:val="both"/>
              <w:rPr>
                <w:rFonts w:ascii="宋体" w:hAnsi="宋体" w:cs="Arial"/>
                <w:b/>
                <w:bCs/>
                <w:color w:val="000000"/>
                <w:kern w:val="0"/>
                <w:szCs w:val="21"/>
              </w:rPr>
            </w:pPr>
            <w:r>
              <w:rPr>
                <w:rFonts w:ascii="宋体" w:hAnsi="宋体" w:cs="Arial"/>
                <w:b/>
                <w:bCs/>
                <w:color w:val="000000"/>
                <w:kern w:val="0"/>
                <w:szCs w:val="21"/>
                <w:lang w:val="en-US"/>
              </w:rPr>
              <w:t>3</w:t>
            </w:r>
            <w:r>
              <w:rPr>
                <w:rFonts w:hint="eastAsia" w:ascii="宋体" w:hAnsi="宋体" w:cs="Arial"/>
                <w:b/>
                <w:bCs/>
                <w:color w:val="000000"/>
                <w:kern w:val="0"/>
                <w:szCs w:val="21"/>
                <w:lang w:val="en-US" w:eastAsia="zh-CN"/>
              </w:rPr>
              <w:t>0</w:t>
            </w:r>
            <w:r>
              <w:rPr>
                <w:rFonts w:ascii="宋体" w:hAnsi="宋体" w:cs="Arial"/>
                <w:b/>
                <w:bCs/>
                <w:color w:val="000000"/>
                <w:kern w:val="0"/>
                <w:szCs w:val="21"/>
              </w:rPr>
              <w:t>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根据供应商所投货物对招标文件中 “技术规格及要求”的各项配置响应情况，由评委进行评议并打分，全部满足招标文件要求的得</w:t>
            </w:r>
            <w:r>
              <w:rPr>
                <w:rFonts w:hint="eastAsia" w:ascii="仿宋" w:hAnsi="仿宋" w:eastAsia="仿宋" w:cs="仿宋"/>
                <w:b/>
                <w:bCs/>
                <w:color w:val="auto"/>
                <w:sz w:val="24"/>
                <w:szCs w:val="24"/>
                <w:lang w:val="en-US" w:eastAsia="zh-CN"/>
              </w:rPr>
              <w:t>30</w:t>
            </w:r>
            <w:r>
              <w:rPr>
                <w:rFonts w:hint="eastAsia" w:ascii="仿宋" w:hAnsi="仿宋" w:eastAsia="仿宋" w:cs="仿宋"/>
                <w:b/>
                <w:bCs/>
                <w:color w:val="auto"/>
                <w:sz w:val="24"/>
                <w:szCs w:val="24"/>
              </w:rPr>
              <w:t>分；</w:t>
            </w:r>
          </w:p>
          <w:p>
            <w:pPr>
              <w:ind w:firstLine="482" w:firstLineChars="200"/>
              <w:rPr>
                <w:rFonts w:ascii="宋体" w:hAnsi="宋体" w:cs="Arial"/>
                <w:b/>
                <w:bCs/>
                <w:color w:val="000000"/>
                <w:kern w:val="0"/>
                <w:szCs w:val="21"/>
              </w:rPr>
            </w:pPr>
            <w:r>
              <w:rPr>
                <w:rFonts w:hint="eastAsia" w:ascii="仿宋" w:hAnsi="仿宋" w:eastAsia="仿宋" w:cs="仿宋"/>
                <w:b/>
                <w:bCs/>
                <w:color w:val="auto"/>
                <w:sz w:val="24"/>
                <w:szCs w:val="24"/>
              </w:rPr>
              <w:t>说明：带“★”号的条款须提供加盖生产厂商鲜章的</w:t>
            </w:r>
            <w:r>
              <w:rPr>
                <w:rFonts w:hint="eastAsia" w:ascii="仿宋" w:hAnsi="仿宋" w:eastAsia="仿宋" w:cs="仿宋"/>
                <w:b/>
                <w:bCs/>
                <w:color w:val="auto"/>
                <w:sz w:val="24"/>
                <w:szCs w:val="24"/>
                <w:lang w:eastAsia="zh-CN"/>
              </w:rPr>
              <w:t>证明</w:t>
            </w:r>
            <w:r>
              <w:rPr>
                <w:rFonts w:hint="eastAsia" w:ascii="仿宋" w:hAnsi="仿宋" w:eastAsia="仿宋" w:cs="仿宋"/>
                <w:b/>
                <w:bCs/>
                <w:color w:val="auto"/>
                <w:sz w:val="24"/>
                <w:szCs w:val="24"/>
              </w:rPr>
              <w:t>材料（包括：公开发布的印刷资料或者产品说明书或者产品检测报告），否则不予认定。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tcPr>
          <w:p>
            <w:pPr>
              <w:rPr>
                <w:rFonts w:ascii="宋体" w:hAnsi="宋体" w:cs="Arial"/>
                <w:b/>
                <w:bCs/>
                <w:color w:val="000000"/>
                <w:kern w:val="0"/>
                <w:szCs w:val="21"/>
              </w:rPr>
            </w:pPr>
          </w:p>
        </w:tc>
        <w:tc>
          <w:tcPr>
            <w:tcW w:w="692" w:type="pct"/>
            <w:vAlign w:val="center"/>
          </w:tcPr>
          <w:p>
            <w:pPr>
              <w:jc w:val="center"/>
              <w:rPr>
                <w:rFonts w:ascii="宋体" w:hAnsi="宋体" w:cs="Arial"/>
                <w:b/>
                <w:bCs/>
                <w:color w:val="000000"/>
                <w:kern w:val="0"/>
                <w:szCs w:val="21"/>
              </w:rPr>
            </w:pPr>
            <w:r>
              <w:rPr>
                <w:rFonts w:ascii="宋体" w:hAnsi="宋体" w:cs="Arial"/>
                <w:b/>
                <w:bCs/>
                <w:color w:val="000000"/>
                <w:kern w:val="0"/>
                <w:szCs w:val="21"/>
              </w:rPr>
              <w:t>培训方案</w:t>
            </w:r>
          </w:p>
          <w:p>
            <w:pPr>
              <w:jc w:val="center"/>
              <w:rPr>
                <w:rFonts w:ascii="宋体" w:hAnsi="宋体" w:cs="Arial"/>
                <w:b/>
                <w:bCs/>
                <w:color w:val="000000"/>
                <w:kern w:val="0"/>
                <w:szCs w:val="21"/>
              </w:rPr>
            </w:pPr>
            <w:r>
              <w:rPr>
                <w:rFonts w:ascii="宋体" w:hAnsi="宋体" w:cs="Arial"/>
                <w:b/>
                <w:bCs/>
                <w:color w:val="000000"/>
                <w:kern w:val="0"/>
                <w:szCs w:val="21"/>
              </w:rPr>
              <w:t>（</w:t>
            </w:r>
            <w:r>
              <w:rPr>
                <w:rFonts w:hint="eastAsia" w:ascii="宋体" w:hAnsi="宋体" w:cs="Arial"/>
                <w:b/>
                <w:bCs/>
                <w:color w:val="000000"/>
                <w:kern w:val="0"/>
                <w:szCs w:val="21"/>
                <w:lang w:val="en-US" w:eastAsia="zh-CN"/>
              </w:rPr>
              <w:t>5</w:t>
            </w:r>
            <w:r>
              <w:rPr>
                <w:rFonts w:ascii="宋体" w:hAnsi="宋体" w:cs="Arial"/>
                <w:b/>
                <w:bCs/>
                <w:color w:val="000000"/>
                <w:kern w:val="0"/>
                <w:szCs w:val="21"/>
              </w:rPr>
              <w:t>分）</w:t>
            </w:r>
          </w:p>
        </w:tc>
        <w:tc>
          <w:tcPr>
            <w:tcW w:w="531" w:type="pct"/>
            <w:vAlign w:val="center"/>
          </w:tcPr>
          <w:p>
            <w:pPr>
              <w:jc w:val="center"/>
              <w:rPr>
                <w:rFonts w:ascii="宋体" w:hAnsi="宋体" w:cs="Arial"/>
                <w:b/>
                <w:bCs/>
                <w:color w:val="000000"/>
                <w:kern w:val="0"/>
                <w:szCs w:val="21"/>
              </w:rPr>
            </w:pPr>
          </w:p>
          <w:p>
            <w:pPr>
              <w:jc w:val="center"/>
              <w:rPr>
                <w:rFonts w:ascii="宋体" w:hAnsi="宋体" w:cs="Arial"/>
                <w:b/>
                <w:bCs/>
                <w:color w:val="000000"/>
                <w:kern w:val="0"/>
                <w:szCs w:val="21"/>
              </w:rPr>
            </w:pPr>
            <w:r>
              <w:rPr>
                <w:rFonts w:hint="eastAsia" w:ascii="宋体" w:hAnsi="宋体" w:cs="Arial"/>
                <w:b/>
                <w:bCs/>
                <w:color w:val="000000"/>
                <w:kern w:val="0"/>
                <w:szCs w:val="21"/>
                <w:lang w:val="en-US" w:eastAsia="zh-CN"/>
              </w:rPr>
              <w:t>5</w:t>
            </w:r>
            <w:r>
              <w:rPr>
                <w:rFonts w:ascii="宋体" w:hAnsi="宋体" w:cs="Arial"/>
                <w:b/>
                <w:bCs/>
                <w:color w:val="000000"/>
                <w:kern w:val="0"/>
                <w:szCs w:val="21"/>
              </w:rPr>
              <w:t>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rPr>
              <w:t>提供完善的应用培训方案（内容包括培训内容、培训时间、培训地点、培训对象、培训人员等）得分横向对比得 0-</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tcPr>
          <w:p>
            <w:pPr>
              <w:rPr>
                <w:rFonts w:ascii="宋体" w:hAnsi="宋体" w:cs="Arial"/>
                <w:b/>
                <w:bCs/>
                <w:color w:val="000000"/>
                <w:kern w:val="0"/>
                <w:szCs w:val="21"/>
              </w:rPr>
            </w:pPr>
          </w:p>
        </w:tc>
        <w:tc>
          <w:tcPr>
            <w:tcW w:w="692" w:type="pct"/>
            <w:vAlign w:val="center"/>
          </w:tcPr>
          <w:p>
            <w:pPr>
              <w:jc w:val="center"/>
              <w:rPr>
                <w:rFonts w:ascii="宋体" w:hAnsi="宋体" w:cs="Arial"/>
                <w:b/>
                <w:bCs/>
                <w:color w:val="000000"/>
                <w:kern w:val="0"/>
                <w:szCs w:val="21"/>
              </w:rPr>
            </w:pPr>
            <w:r>
              <w:rPr>
                <w:rFonts w:ascii="宋体" w:hAnsi="宋体" w:cs="Arial"/>
                <w:b/>
                <w:bCs/>
                <w:color w:val="000000"/>
                <w:kern w:val="0"/>
                <w:szCs w:val="21"/>
              </w:rPr>
              <w:t>售后服务</w:t>
            </w:r>
          </w:p>
          <w:p>
            <w:pPr>
              <w:jc w:val="center"/>
              <w:rPr>
                <w:rFonts w:ascii="宋体" w:hAnsi="宋体" w:cs="Arial"/>
                <w:b/>
                <w:bCs/>
                <w:color w:val="000000"/>
                <w:kern w:val="0"/>
                <w:szCs w:val="21"/>
              </w:rPr>
            </w:pPr>
            <w:r>
              <w:rPr>
                <w:rFonts w:ascii="宋体" w:hAnsi="宋体" w:cs="Arial"/>
                <w:b/>
                <w:bCs/>
                <w:color w:val="000000"/>
                <w:kern w:val="0"/>
                <w:szCs w:val="21"/>
              </w:rPr>
              <w:t>（5分）</w:t>
            </w:r>
          </w:p>
        </w:tc>
        <w:tc>
          <w:tcPr>
            <w:tcW w:w="531" w:type="pct"/>
            <w:vAlign w:val="center"/>
          </w:tcPr>
          <w:p>
            <w:pPr>
              <w:jc w:val="center"/>
              <w:rPr>
                <w:rFonts w:ascii="宋体" w:hAnsi="宋体" w:cs="Arial"/>
                <w:b/>
                <w:bCs/>
                <w:color w:val="000000"/>
                <w:kern w:val="0"/>
                <w:szCs w:val="21"/>
              </w:rPr>
            </w:pPr>
          </w:p>
          <w:p>
            <w:pPr>
              <w:jc w:val="center"/>
              <w:rPr>
                <w:rFonts w:ascii="宋体" w:hAnsi="宋体" w:cs="Arial"/>
                <w:b/>
                <w:bCs/>
                <w:color w:val="000000"/>
                <w:kern w:val="0"/>
                <w:szCs w:val="21"/>
              </w:rPr>
            </w:pPr>
            <w:r>
              <w:rPr>
                <w:rFonts w:ascii="宋体" w:hAnsi="宋体" w:cs="Arial"/>
                <w:b/>
                <w:bCs/>
                <w:color w:val="000000"/>
                <w:kern w:val="0"/>
                <w:szCs w:val="21"/>
              </w:rPr>
              <w:t>5分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1、</w:t>
            </w:r>
            <w:r>
              <w:rPr>
                <w:rFonts w:hint="eastAsia" w:ascii="仿宋" w:hAnsi="仿宋" w:eastAsia="仿宋" w:cs="仿宋"/>
                <w:b/>
                <w:bCs/>
                <w:color w:val="auto"/>
                <w:sz w:val="24"/>
                <w:szCs w:val="24"/>
              </w:rPr>
              <w:t>提供完善的售后服务方案（内容包括投标人的售后服务电话、响应时间、现场服务支持能力、售后巡检、质量保证期限及范围等）</w:t>
            </w:r>
            <w:r>
              <w:rPr>
                <w:rFonts w:hint="eastAsia" w:ascii="仿宋" w:hAnsi="仿宋" w:eastAsia="仿宋" w:cs="仿宋"/>
                <w:b/>
                <w:bCs/>
                <w:color w:val="auto"/>
                <w:sz w:val="24"/>
                <w:szCs w:val="24"/>
                <w:lang w:val="en-US" w:eastAsia="zh-CN"/>
              </w:rPr>
              <w:t>提供得3分，否则不得分。</w:t>
            </w:r>
          </w:p>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rPr>
              <w:t>为确保产品可获得体系化、全天候的及时售后服务，所投产品制造商须通过GB/T27922售后服务认证，服务体系等级不低于五星级（须提供认证证书复印件及官网截图），提供得2分，否则不得分。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27" w:type="pct"/>
            <w:vMerge w:val="restart"/>
            <w:vAlign w:val="center"/>
          </w:tcPr>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p>
          <w:p>
            <w:pPr>
              <w:rPr>
                <w:rFonts w:ascii="宋体" w:hAnsi="宋体" w:cs="Arial"/>
                <w:b/>
                <w:bCs/>
                <w:color w:val="000000"/>
                <w:kern w:val="0"/>
                <w:szCs w:val="21"/>
              </w:rPr>
            </w:pPr>
            <w:r>
              <w:rPr>
                <w:rFonts w:ascii="宋体" w:hAnsi="宋体" w:cs="Arial"/>
                <w:b/>
                <w:bCs/>
                <w:color w:val="000000"/>
                <w:kern w:val="0"/>
                <w:szCs w:val="21"/>
              </w:rPr>
              <w:t>商务得分</w:t>
            </w:r>
          </w:p>
          <w:p>
            <w:pPr>
              <w:rPr>
                <w:rFonts w:ascii="宋体" w:hAnsi="宋体" w:cs="Arial"/>
                <w:b/>
                <w:bCs/>
                <w:color w:val="000000"/>
                <w:kern w:val="0"/>
                <w:szCs w:val="21"/>
              </w:rPr>
            </w:pPr>
            <w:r>
              <w:rPr>
                <w:rFonts w:ascii="宋体" w:hAnsi="宋体" w:cs="Arial"/>
                <w:b/>
                <w:bCs/>
                <w:color w:val="000000"/>
                <w:kern w:val="0"/>
                <w:szCs w:val="21"/>
              </w:rPr>
              <w:t>（30分）</w:t>
            </w:r>
          </w:p>
        </w:tc>
        <w:tc>
          <w:tcPr>
            <w:tcW w:w="692" w:type="pct"/>
            <w:vMerge w:val="restart"/>
            <w:vAlign w:val="center"/>
          </w:tcPr>
          <w:p>
            <w:pPr>
              <w:rPr>
                <w:rFonts w:ascii="宋体" w:hAnsi="宋体" w:cs="Arial"/>
                <w:b/>
                <w:bCs/>
                <w:color w:val="000000"/>
                <w:kern w:val="0"/>
                <w:szCs w:val="21"/>
              </w:rPr>
            </w:pPr>
            <w:r>
              <w:rPr>
                <w:rFonts w:ascii="宋体" w:hAnsi="宋体" w:cs="Arial"/>
                <w:b/>
                <w:bCs/>
                <w:color w:val="000000"/>
                <w:kern w:val="0"/>
                <w:szCs w:val="21"/>
              </w:rPr>
              <w:t>产品资质</w:t>
            </w:r>
          </w:p>
          <w:p>
            <w:pPr>
              <w:rPr>
                <w:rFonts w:ascii="宋体" w:hAnsi="宋体" w:cs="Arial"/>
                <w:b/>
                <w:bCs/>
                <w:color w:val="000000"/>
                <w:kern w:val="0"/>
                <w:szCs w:val="21"/>
              </w:rPr>
            </w:pPr>
            <w:r>
              <w:rPr>
                <w:rFonts w:ascii="宋体" w:hAnsi="宋体" w:cs="Arial"/>
                <w:b/>
                <w:bCs/>
                <w:color w:val="000000"/>
                <w:kern w:val="0"/>
                <w:szCs w:val="21"/>
              </w:rPr>
              <w:t>（</w:t>
            </w:r>
            <w:r>
              <w:rPr>
                <w:rFonts w:hint="eastAsia" w:ascii="宋体" w:hAnsi="宋体" w:cs="Arial"/>
                <w:b/>
                <w:bCs/>
                <w:color w:val="000000"/>
                <w:kern w:val="0"/>
                <w:szCs w:val="21"/>
                <w:lang w:val="en-US" w:eastAsia="zh-CN"/>
              </w:rPr>
              <w:t>30</w:t>
            </w:r>
            <w:r>
              <w:rPr>
                <w:rFonts w:ascii="宋体" w:hAnsi="宋体" w:cs="Arial"/>
                <w:b/>
                <w:bCs/>
                <w:color w:val="000000"/>
                <w:kern w:val="0"/>
                <w:szCs w:val="21"/>
              </w:rPr>
              <w:t>分）</w:t>
            </w:r>
          </w:p>
        </w:tc>
        <w:tc>
          <w:tcPr>
            <w:tcW w:w="531" w:type="pct"/>
            <w:vAlign w:val="center"/>
          </w:tcPr>
          <w:p>
            <w:pPr>
              <w:jc w:val="center"/>
              <w:rPr>
                <w:rFonts w:ascii="宋体" w:hAnsi="宋体" w:cs="Arial"/>
                <w:b/>
                <w:bCs/>
                <w:color w:val="000000"/>
                <w:kern w:val="0"/>
                <w:szCs w:val="21"/>
              </w:rPr>
            </w:pPr>
            <w:r>
              <w:rPr>
                <w:rFonts w:hint="eastAsia" w:ascii="宋体" w:hAnsi="宋体" w:cs="Arial"/>
                <w:b/>
                <w:bCs/>
                <w:color w:val="000000"/>
                <w:kern w:val="0"/>
                <w:szCs w:val="21"/>
                <w:lang w:val="en-US" w:eastAsia="zh-CN"/>
              </w:rPr>
              <w:t>3</w:t>
            </w:r>
            <w:r>
              <w:rPr>
                <w:rFonts w:ascii="宋体" w:hAnsi="宋体" w:cs="Arial"/>
                <w:b/>
                <w:bCs/>
                <w:color w:val="000000"/>
                <w:kern w:val="0"/>
                <w:szCs w:val="21"/>
              </w:rPr>
              <w:t>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响应环境保护政策，所投产品生产厂商提供ISO14064温室气体核查认证证书复印件，得</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vAlign w:val="center"/>
          </w:tcPr>
          <w:p>
            <w:pPr>
              <w:rPr>
                <w:rFonts w:ascii="宋体" w:hAnsi="宋体" w:cs="Arial"/>
                <w:b/>
                <w:bCs/>
                <w:color w:val="000000"/>
                <w:kern w:val="0"/>
                <w:szCs w:val="21"/>
              </w:rPr>
            </w:pPr>
          </w:p>
        </w:tc>
        <w:tc>
          <w:tcPr>
            <w:tcW w:w="692" w:type="pct"/>
            <w:vMerge w:val="continue"/>
            <w:vAlign w:val="center"/>
          </w:tcPr>
          <w:p>
            <w:pPr>
              <w:rPr>
                <w:rFonts w:ascii="宋体" w:hAnsi="宋体" w:cs="Arial"/>
                <w:b/>
                <w:bCs/>
                <w:color w:val="000000"/>
                <w:kern w:val="0"/>
                <w:szCs w:val="21"/>
              </w:rPr>
            </w:pPr>
          </w:p>
        </w:tc>
        <w:tc>
          <w:tcPr>
            <w:tcW w:w="531" w:type="pct"/>
            <w:vAlign w:val="center"/>
          </w:tcPr>
          <w:p>
            <w:pPr>
              <w:jc w:val="center"/>
              <w:rPr>
                <w:rFonts w:hint="eastAsia" w:ascii="宋体" w:hAnsi="宋体" w:cs="Arial"/>
                <w:b/>
                <w:bCs/>
                <w:color w:val="000000"/>
                <w:kern w:val="0"/>
                <w:szCs w:val="21"/>
                <w:lang w:val="en-US" w:eastAsia="zh-CN"/>
              </w:rPr>
            </w:pPr>
            <w:r>
              <w:rPr>
                <w:rFonts w:hint="eastAsia" w:ascii="宋体" w:hAnsi="宋体" w:cs="Arial"/>
                <w:b/>
                <w:bCs/>
                <w:color w:val="000000"/>
                <w:kern w:val="0"/>
                <w:szCs w:val="21"/>
                <w:lang w:val="en-US" w:eastAsia="zh-CN"/>
              </w:rPr>
              <w:t>3</w:t>
            </w:r>
            <w:r>
              <w:rPr>
                <w:rFonts w:ascii="宋体" w:hAnsi="宋体" w:cs="Arial"/>
                <w:b/>
                <w:bCs/>
                <w:color w:val="000000"/>
                <w:kern w:val="0"/>
                <w:szCs w:val="21"/>
              </w:rPr>
              <w:t>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default" w:ascii="仿宋" w:hAnsi="仿宋" w:eastAsia="仿宋" w:cs="仿宋"/>
                <w:b/>
                <w:bCs/>
                <w:color w:val="auto"/>
                <w:sz w:val="24"/>
                <w:szCs w:val="24"/>
                <w:lang w:val="en-US" w:eastAsia="zh-CN"/>
              </w:rPr>
              <w:t>为避免知识产权纠纷风险，</w:t>
            </w:r>
            <w:r>
              <w:rPr>
                <w:rFonts w:hint="eastAsia" w:ascii="仿宋" w:hAnsi="仿宋" w:eastAsia="仿宋" w:cs="仿宋"/>
                <w:b/>
                <w:bCs/>
                <w:color w:val="auto"/>
                <w:sz w:val="24"/>
                <w:szCs w:val="24"/>
                <w:lang w:val="en-US" w:eastAsia="zh-CN"/>
              </w:rPr>
              <w:t>智慧黑板</w:t>
            </w:r>
            <w:r>
              <w:rPr>
                <w:rFonts w:hint="default" w:ascii="仿宋" w:hAnsi="仿宋" w:eastAsia="仿宋" w:cs="仿宋"/>
                <w:b/>
                <w:bCs/>
                <w:color w:val="auto"/>
                <w:sz w:val="24"/>
                <w:szCs w:val="24"/>
                <w:lang w:val="en-US" w:eastAsia="zh-CN"/>
              </w:rPr>
              <w:t>dbx-tv总音频增强技术其制造商须获得dbx-tv技术许可（须提供技术许可证书复印件）</w:t>
            </w:r>
            <w:r>
              <w:rPr>
                <w:rFonts w:hint="eastAsia" w:ascii="仿宋" w:hAnsi="仿宋" w:eastAsia="仿宋" w:cs="仿宋"/>
                <w:b/>
                <w:bCs/>
                <w:color w:val="auto"/>
                <w:sz w:val="24"/>
                <w:szCs w:val="24"/>
                <w:lang w:val="en-US" w:eastAsia="zh-CN"/>
              </w:rPr>
              <w:t>，提供得3分，否则不得分。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ascii="宋体" w:hAnsi="宋体" w:cs="Arial"/>
                <w:b/>
                <w:bCs/>
                <w:color w:val="000000"/>
                <w:kern w:val="0"/>
                <w:szCs w:val="21"/>
              </w:rPr>
              <w:t>3分</w:t>
            </w:r>
          </w:p>
        </w:tc>
        <w:tc>
          <w:tcPr>
            <w:tcW w:w="3148" w:type="pct"/>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为提供用户良好稳定的软件使用体验，投标人所投产品生产厂家根据市场需求持续进行软件开发、更新、维护，出具CMMI</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lang w:eastAsia="zh-CN"/>
              </w:rPr>
              <w:t>级证书（须提供证明文件复印件及官网截图），</w:t>
            </w:r>
            <w:r>
              <w:rPr>
                <w:rFonts w:hint="eastAsia" w:ascii="仿宋" w:hAnsi="仿宋" w:eastAsia="仿宋" w:cs="仿宋"/>
                <w:b/>
                <w:bCs/>
                <w:color w:val="auto"/>
                <w:sz w:val="24"/>
                <w:szCs w:val="24"/>
                <w:lang w:val="en-US" w:eastAsia="zh-CN"/>
              </w:rPr>
              <w:t>提供得3分，否则不得分。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ascii="宋体" w:hAnsi="宋体" w:cs="Arial"/>
                <w:b/>
                <w:bCs/>
                <w:color w:val="000000"/>
                <w:kern w:val="0"/>
                <w:szCs w:val="21"/>
              </w:rPr>
              <w:t>3分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rPr>
              <w:t>整机端内置双频(2.4G&amp;5G) WiFi网卡，支持IEEE 802.11a/b/g/n/ac标准，符合中华人民共和国无线电管理规定和技术标准，需提供无线电发射设备型号核准证加盖生产厂家鲜章。（须提供技术许可证书复印件）。</w:t>
            </w:r>
            <w:r>
              <w:rPr>
                <w:rFonts w:hint="eastAsia" w:ascii="仿宋" w:hAnsi="仿宋" w:eastAsia="仿宋" w:cs="仿宋"/>
                <w:b/>
                <w:bCs/>
                <w:color w:val="auto"/>
                <w:sz w:val="24"/>
                <w:szCs w:val="24"/>
                <w:lang w:val="en-US" w:eastAsia="zh-CN"/>
              </w:rPr>
              <w:t>提供得3分，否则不得分。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hint="eastAsia" w:ascii="宋体" w:hAnsi="宋体" w:cs="Arial"/>
                <w:b/>
                <w:bCs/>
                <w:color w:val="000000"/>
                <w:kern w:val="0"/>
                <w:szCs w:val="21"/>
                <w:lang w:val="en-US" w:eastAsia="zh-CN"/>
              </w:rPr>
              <w:t>3</w:t>
            </w:r>
            <w:r>
              <w:rPr>
                <w:rFonts w:ascii="宋体" w:hAnsi="宋体" w:cs="Arial"/>
                <w:b/>
                <w:bCs/>
                <w:color w:val="000000"/>
                <w:kern w:val="0"/>
                <w:szCs w:val="21"/>
              </w:rPr>
              <w:t>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为确保此次采购的</w:t>
            </w:r>
            <w:r>
              <w:rPr>
                <w:rFonts w:hint="eastAsia" w:ascii="仿宋" w:hAnsi="仿宋" w:eastAsia="仿宋" w:cs="仿宋"/>
                <w:b/>
                <w:bCs/>
                <w:color w:val="auto"/>
                <w:sz w:val="24"/>
                <w:szCs w:val="24"/>
                <w:lang w:val="en-US" w:eastAsia="zh-CN"/>
              </w:rPr>
              <w:t>一体机</w:t>
            </w:r>
            <w:r>
              <w:rPr>
                <w:rFonts w:hint="eastAsia" w:ascii="仿宋" w:hAnsi="仿宋" w:eastAsia="仿宋" w:cs="仿宋"/>
                <w:b/>
                <w:bCs/>
                <w:color w:val="auto"/>
                <w:sz w:val="24"/>
                <w:szCs w:val="24"/>
                <w:lang w:eastAsia="zh-CN"/>
              </w:rPr>
              <w:t>后续的升级开发以及避免知识产权纠纷影响学校使用，所投产品制造商须通过GB/T29490的知识产权管理体系认证，须提供认证证书复印件及官网截图，</w:t>
            </w:r>
            <w:r>
              <w:rPr>
                <w:rFonts w:hint="eastAsia" w:ascii="仿宋" w:hAnsi="仿宋" w:eastAsia="仿宋" w:cs="仿宋"/>
                <w:b/>
                <w:bCs/>
                <w:color w:val="auto"/>
                <w:sz w:val="24"/>
                <w:szCs w:val="24"/>
                <w:lang w:val="en-US" w:eastAsia="zh-CN"/>
              </w:rPr>
              <w:t>提供得3分，否则不得分。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hint="eastAsia" w:ascii="宋体" w:hAnsi="宋体" w:cs="Arial"/>
                <w:b/>
                <w:bCs/>
                <w:color w:val="000000"/>
                <w:kern w:val="0"/>
                <w:szCs w:val="21"/>
                <w:lang w:val="en-US" w:eastAsia="zh-CN"/>
              </w:rPr>
              <w:t>3</w:t>
            </w:r>
            <w:r>
              <w:rPr>
                <w:rFonts w:ascii="宋体" w:hAnsi="宋体" w:cs="Arial"/>
                <w:b/>
                <w:bCs/>
                <w:color w:val="000000"/>
                <w:kern w:val="0"/>
                <w:szCs w:val="21"/>
              </w:rPr>
              <w:t>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为确保后期建设的规范对接，保证建设的兼容性、前瞻性，投所投产品制造商应参与制定或产品设计生产符合《多媒体教学工程环境建设规范》（须提供证明文件复印件）提供得3分，否则不得分</w:t>
            </w:r>
            <w:r>
              <w:rPr>
                <w:rFonts w:hint="eastAsia" w:ascii="仿宋" w:hAnsi="仿宋" w:eastAsia="仿宋" w:cs="仿宋"/>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hint="eastAsia" w:ascii="宋体" w:hAnsi="宋体" w:cs="Arial"/>
                <w:b/>
                <w:bCs/>
                <w:color w:val="000000"/>
                <w:kern w:val="0"/>
                <w:szCs w:val="21"/>
                <w:lang w:val="en-US" w:eastAsia="zh-CN"/>
              </w:rPr>
              <w:t>2</w:t>
            </w:r>
            <w:r>
              <w:rPr>
                <w:rFonts w:ascii="宋体" w:hAnsi="宋体" w:cs="Arial"/>
                <w:b/>
                <w:bCs/>
                <w:color w:val="000000"/>
                <w:kern w:val="0"/>
                <w:szCs w:val="21"/>
              </w:rPr>
              <w:t>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所投产品制造商通过中国质量认证中心核发的低碳体系认证和符合IECQ有害物质体系认证证书，提供证明文件复印件并加盖生产企业公章，得</w:t>
            </w:r>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rPr>
              <w:t>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hint="default" w:ascii="宋体" w:hAnsi="宋体" w:cs="Arial"/>
                <w:b/>
                <w:bCs/>
                <w:color w:val="000000"/>
                <w:kern w:val="0"/>
                <w:szCs w:val="21"/>
                <w:lang w:val="en-US" w:eastAsia="zh-CN"/>
              </w:rPr>
            </w:pPr>
            <w:r>
              <w:rPr>
                <w:rFonts w:hint="eastAsia" w:ascii="宋体" w:hAnsi="宋体" w:cs="Arial"/>
                <w:b/>
                <w:bCs/>
                <w:color w:val="000000"/>
                <w:kern w:val="0"/>
                <w:szCs w:val="21"/>
                <w:lang w:val="en-US" w:eastAsia="zh-CN"/>
              </w:rPr>
              <w:t>3分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为保护学生视力健康，要求投标产品通过视觉舒适度A级认证证书，</w:t>
            </w:r>
            <w:r>
              <w:rPr>
                <w:rFonts w:hint="eastAsia" w:ascii="仿宋" w:hAnsi="仿宋" w:eastAsia="仿宋" w:cs="仿宋"/>
                <w:b/>
                <w:bCs/>
                <w:color w:val="auto"/>
                <w:sz w:val="24"/>
                <w:szCs w:val="24"/>
              </w:rPr>
              <w:t>并提供证书复印件，得3分，否则不得分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27" w:type="pct"/>
            <w:vMerge w:val="continue"/>
          </w:tcPr>
          <w:p>
            <w:pPr>
              <w:rPr>
                <w:rFonts w:ascii="宋体" w:hAnsi="宋体" w:cs="Arial"/>
                <w:b/>
                <w:bCs/>
                <w:color w:val="000000"/>
                <w:kern w:val="0"/>
                <w:szCs w:val="21"/>
              </w:rPr>
            </w:pPr>
          </w:p>
        </w:tc>
        <w:tc>
          <w:tcPr>
            <w:tcW w:w="692" w:type="pct"/>
            <w:vMerge w:val="continue"/>
          </w:tcPr>
          <w:p>
            <w:pPr>
              <w:rPr>
                <w:rFonts w:ascii="宋体" w:hAnsi="宋体" w:cs="Arial"/>
                <w:b/>
                <w:bCs/>
                <w:color w:val="000000"/>
                <w:kern w:val="0"/>
                <w:szCs w:val="21"/>
              </w:rPr>
            </w:pPr>
          </w:p>
        </w:tc>
        <w:tc>
          <w:tcPr>
            <w:tcW w:w="531" w:type="pct"/>
            <w:vAlign w:val="center"/>
          </w:tcPr>
          <w:p>
            <w:pPr>
              <w:jc w:val="center"/>
              <w:rPr>
                <w:rFonts w:ascii="宋体" w:hAnsi="宋体" w:cs="Arial"/>
                <w:b/>
                <w:bCs/>
                <w:color w:val="000000"/>
                <w:kern w:val="0"/>
                <w:szCs w:val="21"/>
              </w:rPr>
            </w:pPr>
            <w:r>
              <w:rPr>
                <w:rFonts w:ascii="宋体" w:hAnsi="宋体" w:cs="Arial"/>
                <w:b/>
                <w:bCs/>
                <w:color w:val="000000"/>
                <w:kern w:val="0"/>
                <w:szCs w:val="21"/>
              </w:rPr>
              <w:t>3分</w:t>
            </w:r>
          </w:p>
        </w:tc>
        <w:tc>
          <w:tcPr>
            <w:tcW w:w="3148" w:type="pct"/>
            <w:vAlign w:val="center"/>
          </w:tcPr>
          <w:p>
            <w:pPr>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所投核心产品生产厂商具有ISO/IEC27001信息安全管理体系认证证书，并提供证书复印件，得3分，否则不得分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27" w:type="pct"/>
            <w:vMerge w:val="continue"/>
          </w:tcPr>
          <w:p>
            <w:pPr>
              <w:rPr>
                <w:rFonts w:ascii="宋体" w:hAnsi="宋体" w:cs="Arial"/>
                <w:b/>
                <w:bCs/>
                <w:color w:val="000000"/>
                <w:kern w:val="0"/>
                <w:szCs w:val="21"/>
              </w:rPr>
            </w:pPr>
          </w:p>
        </w:tc>
        <w:tc>
          <w:tcPr>
            <w:tcW w:w="692" w:type="pct"/>
            <w:vMerge w:val="continue"/>
            <w:vAlign w:val="center"/>
          </w:tcPr>
          <w:p>
            <w:pPr>
              <w:jc w:val="center"/>
              <w:rPr>
                <w:rFonts w:ascii="宋体" w:hAnsi="宋体" w:cs="Arial"/>
                <w:b/>
                <w:bCs/>
                <w:color w:val="FF0000"/>
                <w:kern w:val="0"/>
                <w:szCs w:val="21"/>
              </w:rPr>
            </w:pPr>
          </w:p>
        </w:tc>
        <w:tc>
          <w:tcPr>
            <w:tcW w:w="531" w:type="pct"/>
            <w:vAlign w:val="center"/>
          </w:tcPr>
          <w:p>
            <w:pPr>
              <w:jc w:val="center"/>
              <w:rPr>
                <w:rFonts w:hint="eastAsia" w:ascii="宋体" w:hAnsi="宋体" w:cs="Arial"/>
                <w:b/>
                <w:bCs/>
                <w:color w:val="000000"/>
                <w:kern w:val="0"/>
                <w:szCs w:val="21"/>
              </w:rPr>
            </w:pPr>
            <w:r>
              <w:rPr>
                <w:rFonts w:hint="eastAsia" w:ascii="宋体" w:hAnsi="宋体" w:cs="Arial"/>
                <w:b/>
                <w:bCs/>
                <w:color w:val="000000"/>
                <w:kern w:val="0"/>
                <w:szCs w:val="21"/>
              </w:rPr>
              <w:t>2分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为保障该设备软件使用，要求提供该设备所配备白板软件著作权证书复印件</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提供得2分，否则不得分。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7" w:type="pct"/>
            <w:vMerge w:val="continue"/>
          </w:tcPr>
          <w:p>
            <w:pPr>
              <w:rPr>
                <w:rFonts w:ascii="宋体" w:hAnsi="宋体" w:cs="Arial"/>
                <w:b/>
                <w:bCs/>
                <w:color w:val="000000"/>
                <w:kern w:val="0"/>
                <w:szCs w:val="21"/>
              </w:rPr>
            </w:pPr>
          </w:p>
        </w:tc>
        <w:tc>
          <w:tcPr>
            <w:tcW w:w="692" w:type="pct"/>
            <w:vMerge w:val="continue"/>
            <w:vAlign w:val="center"/>
          </w:tcPr>
          <w:p>
            <w:pPr>
              <w:jc w:val="center"/>
              <w:rPr>
                <w:rFonts w:ascii="宋体" w:hAnsi="宋体" w:cs="Arial"/>
                <w:b/>
                <w:bCs/>
                <w:color w:val="FF0000"/>
                <w:kern w:val="0"/>
                <w:szCs w:val="21"/>
              </w:rPr>
            </w:pPr>
          </w:p>
        </w:tc>
        <w:tc>
          <w:tcPr>
            <w:tcW w:w="531" w:type="pct"/>
            <w:vAlign w:val="center"/>
          </w:tcPr>
          <w:p>
            <w:pPr>
              <w:jc w:val="center"/>
              <w:rPr>
                <w:rFonts w:hint="eastAsia" w:ascii="宋体" w:hAnsi="宋体" w:cs="Arial"/>
                <w:b/>
                <w:bCs/>
                <w:color w:val="000000"/>
                <w:kern w:val="0"/>
                <w:szCs w:val="21"/>
              </w:rPr>
            </w:pPr>
            <w:r>
              <w:rPr>
                <w:rFonts w:hint="eastAsia" w:ascii="宋体" w:hAnsi="宋体" w:cs="Arial"/>
                <w:b/>
                <w:bCs/>
                <w:color w:val="000000"/>
                <w:kern w:val="0"/>
                <w:szCs w:val="21"/>
              </w:rPr>
              <w:t>2分</w:t>
            </w:r>
          </w:p>
        </w:tc>
        <w:tc>
          <w:tcPr>
            <w:tcW w:w="3148" w:type="pct"/>
            <w:vAlign w:val="center"/>
          </w:tcPr>
          <w:p>
            <w:pPr>
              <w:ind w:firstLine="482" w:firstLineChars="20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rPr>
              <w:t>为保护教学数据及师生个人数据的安全，</w:t>
            </w:r>
            <w:r>
              <w:rPr>
                <w:rFonts w:hint="eastAsia" w:ascii="仿宋" w:hAnsi="仿宋" w:eastAsia="仿宋" w:cs="仿宋"/>
                <w:b/>
                <w:bCs/>
                <w:color w:val="auto"/>
                <w:sz w:val="24"/>
                <w:szCs w:val="24"/>
                <w:lang w:val="en-US" w:eastAsia="zh-CN"/>
              </w:rPr>
              <w:t>生产厂家所提供的软件</w:t>
            </w:r>
            <w:r>
              <w:rPr>
                <w:rFonts w:hint="eastAsia" w:ascii="仿宋" w:hAnsi="仿宋" w:eastAsia="仿宋" w:cs="仿宋"/>
                <w:b/>
                <w:bCs/>
                <w:color w:val="auto"/>
                <w:sz w:val="24"/>
                <w:szCs w:val="24"/>
              </w:rPr>
              <w:t>须通过公安部监制的信息安全等级保护备案二级或以上认证（须提供认证证书复印件）</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提供得2分，否则不得分。</w:t>
            </w:r>
          </w:p>
        </w:tc>
      </w:tr>
    </w:tbl>
    <w:p>
      <w:pPr>
        <w:rPr>
          <w:b/>
          <w:bCs/>
        </w:rPr>
      </w:pPr>
    </w:p>
    <w:p>
      <w:pPr>
        <w:spacing w:line="360" w:lineRule="auto"/>
        <w:rPr>
          <w:rFonts w:hint="eastAsia" w:ascii="仿宋" w:hAnsi="仿宋" w:eastAsia="仿宋" w:cs="仿宋"/>
          <w:b/>
          <w:bCs/>
          <w:sz w:val="24"/>
          <w:szCs w:val="20"/>
        </w:rPr>
      </w:pPr>
      <w:r>
        <w:rPr>
          <w:rFonts w:hint="eastAsia" w:ascii="仿宋" w:hAnsi="仿宋" w:eastAsia="仿宋" w:cs="仿宋"/>
          <w:b/>
          <w:bCs/>
          <w:spacing w:val="10"/>
          <w:sz w:val="24"/>
          <w:szCs w:val="20"/>
        </w:rPr>
        <w:t>2.3评</w:t>
      </w:r>
      <w:r>
        <w:rPr>
          <w:rFonts w:hint="eastAsia" w:ascii="仿宋" w:hAnsi="仿宋" w:eastAsia="仿宋" w:cs="仿宋"/>
          <w:b/>
          <w:bCs/>
          <w:sz w:val="24"/>
          <w:szCs w:val="20"/>
        </w:rPr>
        <w:t>标过程的保密性</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2.3.1开标后，直到向成交的供应商授予合同时止，凡与审查、澄清、评价和比较《采购响应性文件》的有关资料以及授标意见等，均不得向与评标无关的其他人透露。</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2.3.2在评标过程中，如果供应商试图在《磋商响应性文件》审查、澄清、评价、比较及授予合同方面向采购人施加任何影响，其《磋商响应性文件》将被拒绝。</w:t>
      </w:r>
    </w:p>
    <w:p>
      <w:pPr>
        <w:spacing w:line="360" w:lineRule="auto"/>
        <w:rPr>
          <w:rFonts w:hint="eastAsia" w:ascii="仿宋" w:hAnsi="仿宋" w:eastAsia="仿宋" w:cs="仿宋"/>
          <w:b/>
          <w:bCs/>
          <w:sz w:val="24"/>
          <w:szCs w:val="20"/>
        </w:rPr>
      </w:pPr>
      <w:r>
        <w:rPr>
          <w:rFonts w:hint="eastAsia" w:ascii="仿宋" w:hAnsi="仿宋" w:eastAsia="仿宋" w:cs="仿宋"/>
          <w:b/>
          <w:bCs/>
          <w:sz w:val="24"/>
          <w:szCs w:val="20"/>
        </w:rPr>
        <w:t>2.4成立采购小组</w:t>
      </w:r>
    </w:p>
    <w:p>
      <w:pPr>
        <w:spacing w:line="360" w:lineRule="auto"/>
        <w:ind w:left="1" w:firstLine="482" w:firstLineChars="200"/>
        <w:rPr>
          <w:rFonts w:hint="eastAsia" w:ascii="仿宋" w:hAnsi="仿宋" w:eastAsia="仿宋" w:cs="仿宋"/>
          <w:b/>
          <w:bCs/>
          <w:sz w:val="24"/>
          <w:szCs w:val="20"/>
        </w:rPr>
      </w:pPr>
      <w:r>
        <w:rPr>
          <w:rFonts w:hint="eastAsia" w:ascii="仿宋" w:hAnsi="仿宋" w:eastAsia="仿宋" w:cs="仿宋"/>
          <w:b/>
          <w:bCs/>
          <w:sz w:val="24"/>
          <w:szCs w:val="20"/>
        </w:rPr>
        <w:t>2.4.1招标代理机构将按照《中华人民共和国政府采购法》、《中华人民共和国招标投标法》及有关规定组建采购小组。</w:t>
      </w:r>
    </w:p>
    <w:p>
      <w:pPr>
        <w:spacing w:line="360" w:lineRule="auto"/>
        <w:ind w:left="1" w:firstLine="482" w:firstLineChars="200"/>
        <w:rPr>
          <w:rFonts w:hint="eastAsia" w:ascii="仿宋" w:hAnsi="仿宋" w:eastAsia="仿宋" w:cs="仿宋"/>
          <w:b/>
          <w:bCs/>
          <w:sz w:val="24"/>
          <w:szCs w:val="20"/>
        </w:rPr>
      </w:pPr>
      <w:r>
        <w:rPr>
          <w:rFonts w:hint="eastAsia" w:ascii="仿宋" w:hAnsi="仿宋" w:eastAsia="仿宋" w:cs="仿宋"/>
          <w:b/>
          <w:bCs/>
          <w:sz w:val="24"/>
          <w:szCs w:val="20"/>
        </w:rPr>
        <w:t>2.4.2采购小组由采购人代表及有关技术、经济等方面的专家</w:t>
      </w:r>
      <w:r>
        <w:rPr>
          <w:rFonts w:hint="eastAsia" w:ascii="仿宋" w:hAnsi="仿宋" w:eastAsia="仿宋" w:cs="仿宋"/>
          <w:b/>
          <w:bCs/>
          <w:sz w:val="24"/>
          <w:szCs w:val="20"/>
          <w:lang w:val="en-US" w:eastAsia="zh-CN"/>
        </w:rPr>
        <w:t>3</w:t>
      </w:r>
      <w:r>
        <w:rPr>
          <w:rFonts w:hint="eastAsia" w:ascii="仿宋" w:hAnsi="仿宋" w:eastAsia="仿宋" w:cs="仿宋"/>
          <w:b/>
          <w:bCs/>
          <w:sz w:val="24"/>
          <w:szCs w:val="20"/>
        </w:rPr>
        <w:t>人</w:t>
      </w:r>
      <w:r>
        <w:rPr>
          <w:rFonts w:hint="eastAsia" w:ascii="仿宋" w:hAnsi="仿宋" w:eastAsia="仿宋" w:cs="仿宋"/>
          <w:b/>
          <w:bCs/>
          <w:sz w:val="24"/>
          <w:szCs w:val="20"/>
          <w:lang w:eastAsia="zh-CN"/>
        </w:rPr>
        <w:t>及</w:t>
      </w:r>
      <w:r>
        <w:rPr>
          <w:rFonts w:hint="eastAsia" w:ascii="仿宋" w:hAnsi="仿宋" w:eastAsia="仿宋" w:cs="仿宋"/>
          <w:b/>
          <w:bCs/>
          <w:sz w:val="24"/>
          <w:szCs w:val="20"/>
          <w:lang w:val="en-US" w:eastAsia="zh-CN"/>
        </w:rPr>
        <w:t>3人</w:t>
      </w:r>
      <w:r>
        <w:rPr>
          <w:rFonts w:hint="eastAsia" w:ascii="仿宋" w:hAnsi="仿宋" w:eastAsia="仿宋" w:cs="仿宋"/>
          <w:b/>
          <w:bCs/>
          <w:sz w:val="24"/>
          <w:szCs w:val="20"/>
          <w:lang w:eastAsia="zh-CN"/>
        </w:rPr>
        <w:t>以上</w:t>
      </w:r>
      <w:r>
        <w:rPr>
          <w:rFonts w:hint="eastAsia" w:ascii="仿宋" w:hAnsi="仿宋" w:eastAsia="仿宋" w:cs="仿宋"/>
          <w:b/>
          <w:bCs/>
          <w:sz w:val="24"/>
          <w:szCs w:val="20"/>
        </w:rPr>
        <w:t>单数组成。</w:t>
      </w:r>
    </w:p>
    <w:p>
      <w:pPr>
        <w:spacing w:line="360" w:lineRule="auto"/>
        <w:ind w:left="1" w:firstLine="482" w:firstLineChars="200"/>
        <w:rPr>
          <w:rFonts w:hint="eastAsia" w:ascii="仿宋" w:hAnsi="仿宋" w:eastAsia="仿宋" w:cs="仿宋"/>
          <w:b/>
          <w:bCs/>
          <w:sz w:val="24"/>
          <w:szCs w:val="20"/>
        </w:rPr>
      </w:pPr>
      <w:r>
        <w:rPr>
          <w:rFonts w:hint="eastAsia" w:ascii="仿宋" w:hAnsi="仿宋" w:eastAsia="仿宋" w:cs="仿宋"/>
          <w:b/>
          <w:bCs/>
          <w:sz w:val="24"/>
          <w:szCs w:val="20"/>
        </w:rPr>
        <w:t>2.4.3由采购小组成员推选采购小组组长。</w:t>
      </w:r>
    </w:p>
    <w:p>
      <w:pPr>
        <w:spacing w:line="360" w:lineRule="auto"/>
        <w:rPr>
          <w:rFonts w:hint="eastAsia" w:ascii="仿宋" w:hAnsi="仿宋" w:eastAsia="仿宋" w:cs="仿宋"/>
          <w:b/>
          <w:bCs/>
          <w:sz w:val="24"/>
          <w:szCs w:val="20"/>
        </w:rPr>
      </w:pPr>
      <w:r>
        <w:rPr>
          <w:rFonts w:hint="eastAsia" w:ascii="仿宋" w:hAnsi="仿宋" w:eastAsia="仿宋" w:cs="仿宋"/>
          <w:b/>
          <w:bCs/>
          <w:sz w:val="24"/>
          <w:szCs w:val="20"/>
        </w:rPr>
        <w:t>2.5响应无效说明</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采购小组评审时，供应商或其《磋商响应性文件》出现下列情况之一者，视为无效的《磋商响应性文件》：</w:t>
      </w:r>
    </w:p>
    <w:p>
      <w:pPr>
        <w:numPr>
          <w:ilvl w:val="0"/>
          <w:numId w:val="3"/>
        </w:numPr>
        <w:spacing w:line="360" w:lineRule="auto"/>
        <w:ind w:left="941"/>
        <w:rPr>
          <w:rFonts w:hint="eastAsia" w:ascii="仿宋" w:hAnsi="仿宋" w:eastAsia="仿宋" w:cs="仿宋"/>
          <w:b/>
          <w:bCs/>
          <w:sz w:val="24"/>
          <w:szCs w:val="20"/>
        </w:rPr>
      </w:pPr>
      <w:r>
        <w:rPr>
          <w:rFonts w:hint="eastAsia" w:ascii="仿宋" w:hAnsi="仿宋" w:eastAsia="仿宋" w:cs="仿宋"/>
          <w:b/>
          <w:bCs/>
          <w:sz w:val="24"/>
          <w:szCs w:val="20"/>
        </w:rPr>
        <w:t>供应商未按《磋商文件》规定提交足额投标保证金的；</w:t>
      </w:r>
    </w:p>
    <w:p>
      <w:pPr>
        <w:numPr>
          <w:ilvl w:val="0"/>
          <w:numId w:val="3"/>
        </w:numPr>
        <w:spacing w:line="360" w:lineRule="auto"/>
        <w:ind w:left="941"/>
        <w:rPr>
          <w:rFonts w:hint="eastAsia" w:ascii="仿宋" w:hAnsi="仿宋" w:eastAsia="仿宋" w:cs="仿宋"/>
          <w:b/>
          <w:bCs/>
          <w:sz w:val="24"/>
          <w:szCs w:val="20"/>
        </w:rPr>
      </w:pPr>
      <w:r>
        <w:rPr>
          <w:rFonts w:hint="eastAsia" w:ascii="仿宋" w:hAnsi="仿宋" w:eastAsia="仿宋" w:cs="仿宋"/>
          <w:b/>
          <w:bCs/>
          <w:sz w:val="24"/>
          <w:szCs w:val="20"/>
        </w:rPr>
        <w:t>供应商投标报价明细未按《磋商文件》规定填写的；</w:t>
      </w:r>
    </w:p>
    <w:p>
      <w:pPr>
        <w:numPr>
          <w:ilvl w:val="0"/>
          <w:numId w:val="3"/>
        </w:numPr>
        <w:spacing w:line="360" w:lineRule="auto"/>
        <w:ind w:left="0" w:firstLine="520"/>
        <w:rPr>
          <w:rFonts w:hint="eastAsia" w:ascii="仿宋" w:hAnsi="仿宋" w:eastAsia="仿宋" w:cs="仿宋"/>
          <w:b/>
          <w:bCs/>
          <w:sz w:val="24"/>
          <w:szCs w:val="20"/>
        </w:rPr>
      </w:pPr>
      <w:r>
        <w:rPr>
          <w:rFonts w:hint="eastAsia" w:ascii="仿宋" w:hAnsi="仿宋" w:eastAsia="仿宋" w:cs="仿宋"/>
          <w:b/>
          <w:bCs/>
          <w:sz w:val="24"/>
          <w:szCs w:val="20"/>
        </w:rPr>
        <w:t>《磋商响应文件》未按照《磋商文件》要求由供应商法定代表人或授权代表签字，或未按《磋商文件》要求的格式加盖公章的；</w:t>
      </w:r>
    </w:p>
    <w:p>
      <w:pPr>
        <w:numPr>
          <w:ilvl w:val="0"/>
          <w:numId w:val="3"/>
        </w:numPr>
        <w:spacing w:line="360" w:lineRule="auto"/>
        <w:ind w:left="941"/>
        <w:rPr>
          <w:rFonts w:hint="eastAsia" w:ascii="仿宋" w:hAnsi="仿宋" w:eastAsia="仿宋" w:cs="仿宋"/>
          <w:b/>
          <w:bCs/>
          <w:sz w:val="24"/>
          <w:szCs w:val="20"/>
        </w:rPr>
      </w:pPr>
      <w:r>
        <w:rPr>
          <w:rFonts w:hint="eastAsia" w:ascii="仿宋" w:hAnsi="仿宋" w:eastAsia="仿宋" w:cs="仿宋"/>
          <w:b/>
          <w:bCs/>
          <w:sz w:val="24"/>
          <w:szCs w:val="20"/>
        </w:rPr>
        <w:t>《磋商响应文件》中未提供法人授权委托书和被授权人身份证复印件的；</w:t>
      </w:r>
    </w:p>
    <w:p>
      <w:pPr>
        <w:numPr>
          <w:ilvl w:val="0"/>
          <w:numId w:val="3"/>
        </w:numPr>
        <w:spacing w:line="360" w:lineRule="auto"/>
        <w:ind w:left="941"/>
        <w:rPr>
          <w:rFonts w:hint="eastAsia" w:ascii="仿宋" w:hAnsi="仿宋" w:eastAsia="仿宋" w:cs="仿宋"/>
          <w:b/>
          <w:bCs/>
          <w:sz w:val="24"/>
          <w:szCs w:val="20"/>
        </w:rPr>
      </w:pPr>
      <w:r>
        <w:rPr>
          <w:rFonts w:hint="eastAsia" w:ascii="仿宋" w:hAnsi="仿宋" w:eastAsia="仿宋" w:cs="仿宋"/>
          <w:b/>
          <w:bCs/>
          <w:sz w:val="24"/>
          <w:szCs w:val="20"/>
        </w:rPr>
        <w:t>《磋商响应文件》出现多个采购方案或采购报价的；</w:t>
      </w:r>
    </w:p>
    <w:p>
      <w:pPr>
        <w:numPr>
          <w:ilvl w:val="0"/>
          <w:numId w:val="3"/>
        </w:numPr>
        <w:spacing w:line="360" w:lineRule="auto"/>
        <w:ind w:left="0" w:firstLine="520"/>
        <w:rPr>
          <w:rFonts w:hint="eastAsia" w:ascii="仿宋" w:hAnsi="仿宋" w:eastAsia="仿宋" w:cs="仿宋"/>
          <w:b/>
          <w:bCs/>
          <w:sz w:val="24"/>
          <w:szCs w:val="20"/>
        </w:rPr>
      </w:pPr>
      <w:r>
        <w:rPr>
          <w:rFonts w:hint="eastAsia" w:ascii="仿宋" w:hAnsi="仿宋" w:eastAsia="仿宋" w:cs="仿宋"/>
          <w:b/>
          <w:bCs/>
          <w:sz w:val="24"/>
          <w:szCs w:val="20"/>
        </w:rPr>
        <w:t>《磋商响应文件》含有违反国家法律、法规的内容，或附有采购人不能接受的条件的。</w:t>
      </w:r>
      <w:r>
        <w:rPr>
          <w:rFonts w:hint="eastAsia" w:ascii="仿宋" w:hAnsi="仿宋" w:eastAsia="仿宋" w:cs="仿宋"/>
          <w:b/>
          <w:bCs/>
          <w:spacing w:val="10"/>
          <w:sz w:val="24"/>
          <w:szCs w:val="20"/>
        </w:rPr>
        <w:t xml:space="preserve">    </w:t>
      </w:r>
    </w:p>
    <w:p>
      <w:pPr>
        <w:spacing w:line="413" w:lineRule="auto"/>
        <w:outlineLvl w:val="2"/>
        <w:rPr>
          <w:rFonts w:hint="eastAsia" w:ascii="仿宋" w:hAnsi="仿宋" w:eastAsia="仿宋" w:cs="仿宋"/>
          <w:b/>
          <w:bCs/>
          <w:sz w:val="24"/>
          <w:szCs w:val="20"/>
        </w:rPr>
      </w:pPr>
      <w:bookmarkStart w:id="220" w:name="_Toc392351540"/>
      <w:bookmarkStart w:id="221" w:name="_Toc393354672"/>
      <w:bookmarkStart w:id="222" w:name="_Toc1748"/>
      <w:bookmarkStart w:id="223" w:name="_Toc397953702"/>
      <w:r>
        <w:rPr>
          <w:rFonts w:hint="eastAsia" w:ascii="仿宋" w:hAnsi="仿宋" w:eastAsia="仿宋" w:cs="仿宋"/>
          <w:b/>
          <w:bCs/>
          <w:sz w:val="24"/>
          <w:szCs w:val="20"/>
        </w:rPr>
        <w:t>3.定标</w:t>
      </w:r>
      <w:bookmarkEnd w:id="220"/>
      <w:bookmarkEnd w:id="221"/>
      <w:bookmarkEnd w:id="222"/>
      <w:bookmarkEnd w:id="223"/>
      <w:r>
        <w:rPr>
          <w:rFonts w:hint="eastAsia" w:ascii="仿宋" w:hAnsi="仿宋" w:eastAsia="仿宋" w:cs="仿宋"/>
          <w:b/>
          <w:bCs/>
          <w:sz w:val="24"/>
          <w:szCs w:val="20"/>
        </w:rPr>
        <w:t>（综合评标法）</w:t>
      </w:r>
    </w:p>
    <w:p>
      <w:pPr>
        <w:spacing w:line="360" w:lineRule="auto"/>
        <w:ind w:firstLine="482" w:firstLineChars="200"/>
        <w:rPr>
          <w:rFonts w:hint="eastAsia" w:ascii="仿宋" w:hAnsi="仿宋" w:eastAsia="仿宋" w:cs="仿宋"/>
          <w:b/>
          <w:bCs/>
          <w:sz w:val="24"/>
          <w:szCs w:val="20"/>
        </w:rPr>
      </w:pPr>
      <w:bookmarkStart w:id="224" w:name="_Toc397953703"/>
      <w:r>
        <w:rPr>
          <w:rFonts w:hint="eastAsia" w:ascii="仿宋" w:hAnsi="仿宋" w:eastAsia="仿宋" w:cs="仿宋"/>
          <w:b/>
          <w:bCs/>
          <w:sz w:val="24"/>
          <w:szCs w:val="20"/>
        </w:rPr>
        <w:t>3.1磋商小组经过磋商和综合评标，按照排名顺序向采购人推荐中标供应商，采购人根据供应商是否符合采购需求、质量和服务等要求确定成交供应商。</w:t>
      </w:r>
    </w:p>
    <w:p>
      <w:pPr>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3.2 采购人与供应商应当在保证采购项目质量和双方商定合理价格的基础上进行采购。</w:t>
      </w:r>
    </w:p>
    <w:p>
      <w:pPr>
        <w:pStyle w:val="5"/>
        <w:keepNext w:val="0"/>
        <w:keepLines w:val="0"/>
        <w:spacing w:line="360" w:lineRule="auto"/>
        <w:rPr>
          <w:rFonts w:hint="eastAsia" w:ascii="仿宋" w:hAnsi="仿宋" w:eastAsia="仿宋" w:cs="仿宋"/>
          <w:b/>
          <w:bCs/>
        </w:rPr>
      </w:pPr>
      <w:bookmarkStart w:id="225" w:name="_Toc27737"/>
      <w:r>
        <w:rPr>
          <w:rFonts w:hint="eastAsia" w:ascii="仿宋" w:hAnsi="仿宋" w:eastAsia="仿宋" w:cs="仿宋"/>
          <w:b/>
          <w:bCs/>
        </w:rPr>
        <w:t xml:space="preserve">六、 </w:t>
      </w:r>
      <w:bookmarkEnd w:id="209"/>
      <w:r>
        <w:rPr>
          <w:rFonts w:hint="eastAsia" w:ascii="仿宋" w:hAnsi="仿宋" w:eastAsia="仿宋" w:cs="仿宋"/>
          <w:b/>
          <w:bCs/>
        </w:rPr>
        <w:t>成交及合同签订</w:t>
      </w:r>
      <w:bookmarkEnd w:id="224"/>
      <w:bookmarkEnd w:id="225"/>
    </w:p>
    <w:p>
      <w:pPr>
        <w:pStyle w:val="5"/>
        <w:keepNext w:val="0"/>
        <w:keepLines w:val="0"/>
        <w:spacing w:line="360" w:lineRule="auto"/>
        <w:rPr>
          <w:rFonts w:hint="eastAsia" w:ascii="仿宋" w:hAnsi="仿宋" w:eastAsia="仿宋" w:cs="仿宋"/>
          <w:b/>
          <w:bCs/>
        </w:rPr>
      </w:pPr>
      <w:bookmarkStart w:id="226" w:name="_Toc274816736"/>
      <w:bookmarkStart w:id="227" w:name="_Toc128372079"/>
      <w:bookmarkStart w:id="228" w:name="_Toc185307750"/>
      <w:bookmarkStart w:id="229" w:name="_Toc128372757"/>
      <w:bookmarkStart w:id="230" w:name="_Toc397953704"/>
      <w:bookmarkStart w:id="231" w:name="_Toc139965352"/>
      <w:bookmarkStart w:id="232" w:name="_Toc139965351"/>
      <w:bookmarkStart w:id="233" w:name="_Toc128372078"/>
      <w:bookmarkStart w:id="234" w:name="_Toc128372756"/>
      <w:bookmarkStart w:id="235" w:name="_Toc89586923"/>
      <w:bookmarkStart w:id="236" w:name="_Toc229198056"/>
      <w:bookmarkStart w:id="237" w:name="_Toc91477283"/>
      <w:bookmarkStart w:id="238" w:name="_Toc89058562"/>
      <w:bookmarkStart w:id="239" w:name="_Toc91030033"/>
      <w:r>
        <w:rPr>
          <w:rFonts w:hint="eastAsia" w:ascii="仿宋" w:hAnsi="仿宋" w:eastAsia="仿宋" w:cs="仿宋"/>
          <w:b/>
          <w:bCs/>
        </w:rPr>
        <w:t xml:space="preserve">    </w:t>
      </w:r>
      <w:bookmarkStart w:id="240" w:name="_Toc18073"/>
      <w:r>
        <w:rPr>
          <w:rFonts w:hint="eastAsia" w:ascii="仿宋" w:hAnsi="仿宋" w:eastAsia="仿宋" w:cs="仿宋"/>
          <w:b/>
          <w:bCs/>
        </w:rPr>
        <w:t>1.成交通知书</w:t>
      </w:r>
      <w:bookmarkEnd w:id="226"/>
      <w:bookmarkEnd w:id="227"/>
      <w:bookmarkEnd w:id="228"/>
      <w:bookmarkEnd w:id="229"/>
      <w:bookmarkEnd w:id="230"/>
      <w:bookmarkEnd w:id="231"/>
      <w:bookmarkEnd w:id="240"/>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sz w:val="24"/>
        </w:rPr>
        <w:t>代理机构</w:t>
      </w:r>
      <w:r>
        <w:rPr>
          <w:rFonts w:hint="eastAsia" w:ascii="仿宋" w:hAnsi="仿宋" w:eastAsia="仿宋" w:cs="仿宋"/>
          <w:b/>
          <w:bCs/>
          <w:color w:val="000000"/>
          <w:sz w:val="24"/>
        </w:rPr>
        <w:t>根据采购小组的采购结果，公布拟成交结果，该结果将作为正式成交或签订供货合同的凭据。</w:t>
      </w:r>
      <w:r>
        <w:rPr>
          <w:rFonts w:hint="eastAsia" w:ascii="仿宋" w:hAnsi="仿宋" w:eastAsia="仿宋" w:cs="仿宋"/>
          <w:b/>
          <w:bCs/>
          <w:sz w:val="24"/>
        </w:rPr>
        <w:t>代理机构</w:t>
      </w:r>
      <w:r>
        <w:rPr>
          <w:rFonts w:hint="eastAsia" w:ascii="仿宋" w:hAnsi="仿宋" w:eastAsia="仿宋" w:cs="仿宋"/>
          <w:b/>
          <w:bCs/>
          <w:color w:val="000000"/>
          <w:sz w:val="24"/>
        </w:rPr>
        <w:t>将以书面形式通知成交的供应商其投标被接受。在该通知书发出三十日内，供应商应与采购人签订供货合同。</w:t>
      </w:r>
    </w:p>
    <w:p>
      <w:pPr>
        <w:pStyle w:val="5"/>
        <w:keepNext w:val="0"/>
        <w:keepLines w:val="0"/>
        <w:spacing w:line="360" w:lineRule="auto"/>
        <w:rPr>
          <w:rFonts w:hint="eastAsia" w:ascii="仿宋" w:hAnsi="仿宋" w:eastAsia="仿宋" w:cs="仿宋"/>
          <w:b/>
          <w:bCs/>
        </w:rPr>
      </w:pPr>
      <w:bookmarkStart w:id="241" w:name="_Toc274816737"/>
      <w:bookmarkStart w:id="242" w:name="_Toc185307751"/>
      <w:bookmarkStart w:id="243" w:name="_Toc397953705"/>
      <w:bookmarkStart w:id="244" w:name="_Toc17690"/>
      <w:r>
        <w:rPr>
          <w:rFonts w:hint="eastAsia" w:ascii="仿宋" w:hAnsi="仿宋" w:eastAsia="仿宋" w:cs="仿宋"/>
          <w:b/>
          <w:bCs/>
        </w:rPr>
        <w:t>2.合同授予</w:t>
      </w:r>
      <w:bookmarkEnd w:id="232"/>
      <w:bookmarkEnd w:id="233"/>
      <w:bookmarkEnd w:id="234"/>
      <w:r>
        <w:rPr>
          <w:rFonts w:hint="eastAsia" w:ascii="仿宋" w:hAnsi="仿宋" w:eastAsia="仿宋" w:cs="仿宋"/>
          <w:b/>
          <w:bCs/>
        </w:rPr>
        <w:t>原则</w:t>
      </w:r>
      <w:bookmarkEnd w:id="241"/>
      <w:bookmarkEnd w:id="242"/>
      <w:bookmarkEnd w:id="243"/>
      <w:bookmarkEnd w:id="244"/>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2.1采购人将把合同授予经采购小组采购推荐，在法定公示时间后，收到成交通知书的供应商。</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2.2采购人保留在签订合同时调整方案需求和变动所购货物数量的权力。</w:t>
      </w:r>
    </w:p>
    <w:p>
      <w:pPr>
        <w:pStyle w:val="5"/>
        <w:keepNext w:val="0"/>
        <w:keepLines w:val="0"/>
        <w:spacing w:line="360" w:lineRule="auto"/>
        <w:rPr>
          <w:rFonts w:hint="eastAsia" w:ascii="仿宋" w:hAnsi="仿宋" w:eastAsia="仿宋" w:cs="仿宋"/>
          <w:b/>
          <w:bCs/>
        </w:rPr>
      </w:pPr>
      <w:bookmarkStart w:id="245" w:name="_Toc397953706"/>
      <w:bookmarkStart w:id="246" w:name="_Toc185307752"/>
      <w:bookmarkStart w:id="247" w:name="_Toc274816738"/>
      <w:bookmarkStart w:id="248" w:name="_Toc139965353"/>
      <w:bookmarkStart w:id="249" w:name="_Toc22725"/>
      <w:bookmarkStart w:id="250" w:name="_Toc128372080"/>
      <w:bookmarkStart w:id="251" w:name="_Toc128372758"/>
      <w:r>
        <w:rPr>
          <w:rFonts w:hint="eastAsia" w:ascii="仿宋" w:hAnsi="仿宋" w:eastAsia="仿宋" w:cs="仿宋"/>
          <w:b/>
          <w:bCs/>
        </w:rPr>
        <w:t>3.合同的签署</w:t>
      </w:r>
      <w:bookmarkEnd w:id="245"/>
      <w:bookmarkEnd w:id="246"/>
      <w:bookmarkEnd w:id="247"/>
      <w:bookmarkEnd w:id="248"/>
      <w:bookmarkEnd w:id="249"/>
      <w:bookmarkEnd w:id="250"/>
      <w:bookmarkEnd w:id="251"/>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3.1</w:t>
      </w:r>
      <w:r>
        <w:rPr>
          <w:rFonts w:hint="eastAsia" w:ascii="仿宋" w:hAnsi="仿宋" w:eastAsia="仿宋" w:cs="仿宋"/>
          <w:b/>
          <w:bCs/>
          <w:color w:val="000000"/>
          <w:spacing w:val="-2"/>
          <w:sz w:val="24"/>
        </w:rPr>
        <w:t>供应商按成交通知书中规定的时间和地点，在</w:t>
      </w:r>
      <w:r>
        <w:rPr>
          <w:rFonts w:hint="eastAsia" w:ascii="仿宋" w:hAnsi="仿宋" w:eastAsia="仿宋" w:cs="仿宋"/>
          <w:b/>
          <w:bCs/>
          <w:sz w:val="24"/>
        </w:rPr>
        <w:t>代理机构</w:t>
      </w:r>
      <w:r>
        <w:rPr>
          <w:rFonts w:hint="eastAsia" w:ascii="仿宋" w:hAnsi="仿宋" w:eastAsia="仿宋" w:cs="仿宋"/>
          <w:b/>
          <w:bCs/>
          <w:color w:val="000000"/>
          <w:spacing w:val="-2"/>
          <w:sz w:val="24"/>
        </w:rPr>
        <w:t>监督下，由授权代表与采购人签订合同。采购人与供应商是合同权利与义务的直接、全部责任承担人。</w:t>
      </w:r>
      <w:r>
        <w:rPr>
          <w:rFonts w:hint="eastAsia" w:ascii="仿宋" w:hAnsi="仿宋" w:eastAsia="仿宋" w:cs="仿宋"/>
          <w:b/>
          <w:bCs/>
          <w:sz w:val="24"/>
        </w:rPr>
        <w:t>代理机构</w:t>
      </w:r>
      <w:r>
        <w:rPr>
          <w:rFonts w:hint="eastAsia" w:ascii="仿宋" w:hAnsi="仿宋" w:eastAsia="仿宋" w:cs="仿宋"/>
          <w:b/>
          <w:bCs/>
          <w:color w:val="000000"/>
          <w:spacing w:val="-2"/>
          <w:sz w:val="24"/>
        </w:rPr>
        <w:t>所发出的成交通知书对采购人和成交供应商具有同等法律效力。</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3.2成交通知书发出后，</w:t>
      </w:r>
      <w:r>
        <w:rPr>
          <w:rFonts w:hint="eastAsia" w:ascii="仿宋" w:hAnsi="仿宋" w:eastAsia="仿宋" w:cs="仿宋"/>
          <w:b/>
          <w:bCs/>
          <w:color w:val="000000"/>
          <w:spacing w:val="-2"/>
          <w:sz w:val="24"/>
        </w:rPr>
        <w:t>采购人</w:t>
      </w:r>
      <w:r>
        <w:rPr>
          <w:rFonts w:hint="eastAsia" w:ascii="仿宋" w:hAnsi="仿宋" w:eastAsia="仿宋" w:cs="仿宋"/>
          <w:b/>
          <w:bCs/>
          <w:color w:val="000000"/>
          <w:sz w:val="24"/>
        </w:rPr>
        <w:t>拒绝签订供货合同或擅自改变成交内容，按照《中华人民共和国合同法》定金罚则及损害赔偿的原则处罚并办理。若成交供应商不能在规定时间内与采购人签订合同，或变相签订合同，采购人依监督职能可采取取消其成交资格并没收其投标保证金</w:t>
      </w:r>
      <w:bookmarkStart w:id="252" w:name="_Toc139965354"/>
      <w:bookmarkStart w:id="253" w:name="_Toc128372081"/>
      <w:bookmarkStart w:id="254" w:name="_Toc128372759"/>
      <w:r>
        <w:rPr>
          <w:rFonts w:hint="eastAsia" w:ascii="仿宋" w:hAnsi="仿宋" w:eastAsia="仿宋" w:cs="仿宋"/>
          <w:b/>
          <w:bCs/>
          <w:color w:val="000000"/>
          <w:sz w:val="24"/>
        </w:rPr>
        <w:t>。</w:t>
      </w:r>
      <w:bookmarkEnd w:id="252"/>
      <w:bookmarkEnd w:id="253"/>
      <w:bookmarkEnd w:id="254"/>
    </w:p>
    <w:p>
      <w:pPr>
        <w:pStyle w:val="5"/>
        <w:keepNext w:val="0"/>
        <w:keepLines w:val="0"/>
        <w:spacing w:line="360" w:lineRule="auto"/>
        <w:rPr>
          <w:rFonts w:hint="eastAsia" w:ascii="仿宋" w:hAnsi="仿宋" w:eastAsia="仿宋" w:cs="仿宋"/>
          <w:b/>
          <w:bCs/>
        </w:rPr>
      </w:pPr>
      <w:r>
        <w:rPr>
          <w:rFonts w:hint="eastAsia" w:ascii="仿宋" w:hAnsi="仿宋" w:eastAsia="仿宋" w:cs="仿宋"/>
          <w:b/>
          <w:bCs/>
        </w:rPr>
        <w:t>4.竞争性磋商终止</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出现下列情形之一的，采购人或者招标代理机构应当终止竞争性磋商采购活动，在省级以上财政部门指定的媒体上发布项目终止公告并说明原因，重新开展采购</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活动：</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（1）因情况变化，不再符合规定的竞争性磋商采购方式适用情形的；</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（2）出现影响采购公正的违法、违规行为的；</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（3）因重大变故，采购任务取消的。</w:t>
      </w:r>
    </w:p>
    <w:p>
      <w:pPr>
        <w:pStyle w:val="5"/>
        <w:keepNext w:val="0"/>
        <w:keepLines w:val="0"/>
        <w:spacing w:line="360" w:lineRule="auto"/>
        <w:rPr>
          <w:rFonts w:hint="eastAsia" w:ascii="仿宋" w:hAnsi="仿宋" w:eastAsia="仿宋" w:cs="仿宋"/>
          <w:b/>
          <w:bCs/>
        </w:rPr>
      </w:pPr>
      <w:r>
        <w:rPr>
          <w:rFonts w:hint="eastAsia" w:ascii="仿宋" w:hAnsi="仿宋" w:eastAsia="仿宋" w:cs="仿宋"/>
          <w:b/>
          <w:bCs/>
        </w:rPr>
        <w:t>5.重新评审</w:t>
      </w:r>
    </w:p>
    <w:p>
      <w:pPr>
        <w:pStyle w:val="5"/>
        <w:keepNext w:val="0"/>
        <w:keepLines w:val="0"/>
        <w:spacing w:line="360" w:lineRule="auto"/>
        <w:ind w:firstLine="482" w:firstLineChars="200"/>
        <w:rPr>
          <w:rFonts w:hint="eastAsia" w:ascii="仿宋" w:hAnsi="仿宋" w:eastAsia="仿宋" w:cs="仿宋"/>
          <w:b/>
          <w:bCs/>
        </w:rPr>
      </w:pPr>
      <w:r>
        <w:rPr>
          <w:rFonts w:hint="eastAsia" w:ascii="仿宋" w:hAnsi="仿宋" w:eastAsia="仿宋" w:cs="仿宋"/>
          <w:b/>
          <w:bCs/>
        </w:rPr>
        <w:t>除资格性审查认定错误和价格计算错误外，采购人或者招标代理机构不以任何理由组织重新评审。采购人、招标代理机构发现竞争性磋商小组未按照采购文件规定的评定成交的标准进行评审的，应当重新开展采购活动，并同时书面报告本级财政部门。</w:t>
      </w:r>
    </w:p>
    <w:bookmarkEnd w:id="235"/>
    <w:bookmarkEnd w:id="236"/>
    <w:bookmarkEnd w:id="237"/>
    <w:bookmarkEnd w:id="238"/>
    <w:bookmarkEnd w:id="239"/>
    <w:p>
      <w:pPr>
        <w:pStyle w:val="5"/>
        <w:keepNext w:val="0"/>
        <w:keepLines w:val="0"/>
        <w:spacing w:line="360" w:lineRule="auto"/>
        <w:rPr>
          <w:rFonts w:hint="eastAsia" w:ascii="仿宋" w:hAnsi="仿宋" w:eastAsia="仿宋" w:cs="仿宋"/>
          <w:b/>
          <w:bCs/>
        </w:rPr>
      </w:pPr>
      <w:bookmarkStart w:id="255" w:name="_Toc139343568"/>
      <w:bookmarkStart w:id="256" w:name="_Toc274816740"/>
      <w:bookmarkStart w:id="257" w:name="_Toc89058563"/>
      <w:bookmarkStart w:id="258" w:name="_Toc91030034"/>
      <w:bookmarkStart w:id="259" w:name="_Toc229198057"/>
      <w:bookmarkStart w:id="260" w:name="_Toc91477284"/>
      <w:bookmarkStart w:id="261" w:name="_Toc397953707"/>
      <w:bookmarkStart w:id="262" w:name="_Toc89586924"/>
      <w:bookmarkStart w:id="263" w:name="_Toc2927"/>
      <w:r>
        <w:rPr>
          <w:rFonts w:hint="eastAsia" w:ascii="仿宋" w:hAnsi="仿宋" w:eastAsia="仿宋" w:cs="仿宋"/>
          <w:b/>
          <w:bCs/>
        </w:rPr>
        <w:t>6.腐败和欺诈行为</w:t>
      </w:r>
      <w:bookmarkEnd w:id="255"/>
      <w:bookmarkEnd w:id="256"/>
      <w:bookmarkEnd w:id="257"/>
      <w:bookmarkEnd w:id="258"/>
      <w:bookmarkEnd w:id="259"/>
      <w:bookmarkEnd w:id="260"/>
      <w:bookmarkEnd w:id="261"/>
      <w:bookmarkEnd w:id="262"/>
      <w:bookmarkEnd w:id="263"/>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6.1定义</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（1）“腐败行为”是指提供给予接受或索取任何有价值的东西来影响代理机构和/或采购人在采购过程或合同实施过程中的行为；</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2）“欺诈行为”是指为了影响采购过程或合同实施过程而谎报事实，损害代理机构和/或采购人的利益，包括供应商之间串通投标（递交《竞争性磋商响应性文件》之前和之后），人为地使投标丧失竞争性，剥夺采购人从自由公开竞争所能获得的权益。</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6.2如果招标代理机构和采购人认为供应商在本项目的竞争中有腐败或欺诈行为，其投标将被拒绝。</w:t>
      </w:r>
      <w:bookmarkStart w:id="264" w:name="_Toc397953708"/>
      <w:bookmarkStart w:id="265" w:name="_Toc381600238"/>
    </w:p>
    <w:p>
      <w:pPr>
        <w:pStyle w:val="16"/>
        <w:tabs>
          <w:tab w:val="left" w:pos="3542"/>
          <w:tab w:val="center" w:pos="5314"/>
        </w:tabs>
        <w:ind w:firstLine="2209" w:firstLineChars="500"/>
        <w:jc w:val="left"/>
        <w:rPr>
          <w:rFonts w:hint="eastAsia" w:ascii="仿宋" w:hAnsi="仿宋" w:eastAsia="仿宋" w:cs="仿宋"/>
          <w:b/>
          <w:bCs/>
        </w:rPr>
      </w:pPr>
    </w:p>
    <w:p>
      <w:pPr>
        <w:pStyle w:val="16"/>
        <w:tabs>
          <w:tab w:val="left" w:pos="3542"/>
          <w:tab w:val="center" w:pos="5314"/>
        </w:tabs>
        <w:ind w:firstLine="2209" w:firstLineChars="500"/>
        <w:jc w:val="left"/>
        <w:rPr>
          <w:rFonts w:hint="eastAsia" w:ascii="仿宋" w:hAnsi="仿宋" w:eastAsia="仿宋" w:cs="仿宋"/>
          <w:b/>
          <w:bCs/>
        </w:rPr>
      </w:pPr>
    </w:p>
    <w:p>
      <w:pPr>
        <w:pStyle w:val="16"/>
        <w:tabs>
          <w:tab w:val="left" w:pos="3542"/>
          <w:tab w:val="center" w:pos="5314"/>
        </w:tabs>
        <w:ind w:firstLine="2209" w:firstLineChars="500"/>
        <w:jc w:val="left"/>
        <w:rPr>
          <w:rFonts w:hint="eastAsia" w:ascii="仿宋" w:hAnsi="仿宋" w:eastAsia="仿宋" w:cs="仿宋"/>
          <w:b/>
          <w:bCs/>
        </w:rPr>
      </w:pPr>
    </w:p>
    <w:p>
      <w:pPr>
        <w:pStyle w:val="16"/>
        <w:tabs>
          <w:tab w:val="left" w:pos="3542"/>
          <w:tab w:val="center" w:pos="5314"/>
        </w:tabs>
        <w:ind w:firstLine="2209" w:firstLineChars="500"/>
        <w:jc w:val="left"/>
        <w:rPr>
          <w:rFonts w:hint="eastAsia" w:ascii="仿宋" w:hAnsi="仿宋" w:eastAsia="仿宋" w:cs="仿宋"/>
          <w:b/>
          <w:bCs/>
        </w:rPr>
      </w:pPr>
    </w:p>
    <w:p>
      <w:pPr>
        <w:pStyle w:val="16"/>
        <w:tabs>
          <w:tab w:val="left" w:pos="3542"/>
          <w:tab w:val="center" w:pos="5314"/>
        </w:tabs>
        <w:ind w:firstLine="2209" w:firstLineChars="500"/>
        <w:jc w:val="left"/>
        <w:rPr>
          <w:rFonts w:hint="eastAsia" w:ascii="仿宋" w:hAnsi="仿宋" w:eastAsia="仿宋" w:cs="仿宋"/>
          <w:b/>
          <w:bCs/>
        </w:rPr>
      </w:pPr>
    </w:p>
    <w:bookmarkEnd w:id="264"/>
    <w:p>
      <w:pPr>
        <w:rPr>
          <w:rFonts w:hint="eastAsia" w:ascii="仿宋" w:hAnsi="仿宋" w:eastAsia="仿宋" w:cs="仿宋"/>
          <w:b/>
          <w:bCs/>
        </w:rPr>
        <w:sectPr>
          <w:footerReference r:id="rId5" w:type="default"/>
          <w:pgSz w:w="11907" w:h="16840"/>
          <w:pgMar w:top="1440" w:right="1800" w:bottom="1440" w:left="1800" w:header="851" w:footer="590" w:gutter="0"/>
          <w:pgNumType w:fmt="numberInDash"/>
          <w:cols w:space="720" w:num="1"/>
          <w:docGrid w:linePitch="312" w:charSpace="0"/>
        </w:sectPr>
      </w:pPr>
    </w:p>
    <w:p>
      <w:pPr>
        <w:numPr>
          <w:ilvl w:val="0"/>
          <w:numId w:val="0"/>
        </w:numPr>
        <w:jc w:val="center"/>
        <w:rPr>
          <w:rFonts w:hint="eastAsia" w:ascii="仿宋" w:hAnsi="仿宋" w:eastAsia="仿宋" w:cs="仿宋"/>
          <w:b/>
          <w:bCs/>
          <w:kern w:val="2"/>
          <w:sz w:val="44"/>
          <w:szCs w:val="32"/>
          <w:lang w:val="en-US" w:eastAsia="zh-CN" w:bidi="ar-SA"/>
        </w:rPr>
      </w:pPr>
      <w:r>
        <w:rPr>
          <w:rFonts w:hint="eastAsia" w:ascii="仿宋" w:hAnsi="仿宋" w:eastAsia="仿宋" w:cs="仿宋"/>
          <w:b/>
          <w:bCs/>
          <w:kern w:val="2"/>
          <w:sz w:val="44"/>
          <w:szCs w:val="32"/>
          <w:lang w:val="en-US" w:eastAsia="zh-CN" w:bidi="ar-SA"/>
        </w:rPr>
        <w:t>第三章  采购内容</w:t>
      </w:r>
    </w:p>
    <w:p>
      <w:pPr>
        <w:pStyle w:val="2"/>
        <w:ind w:firstLine="321" w:firstLineChars="100"/>
        <w:rPr>
          <w:rFonts w:hint="eastAsia" w:ascii="宋体" w:hAnsi="宋体" w:eastAsia="仿宋" w:cs="宋体"/>
          <w:b/>
          <w:bCs/>
          <w:color w:val="auto"/>
          <w:kern w:val="1"/>
          <w:sz w:val="32"/>
          <w:szCs w:val="20"/>
          <w:highlight w:val="none"/>
          <w:lang w:val="en-US" w:eastAsia="zh-CN" w:bidi="ar-SA"/>
        </w:rPr>
      </w:pPr>
      <w:bookmarkStart w:id="266" w:name="_Toc397953709"/>
      <w:bookmarkStart w:id="267" w:name="_Toc29905"/>
      <w:r>
        <w:rPr>
          <w:rFonts w:hint="eastAsia" w:ascii="宋体" w:hAnsi="宋体" w:eastAsia="仿宋" w:cs="宋体"/>
          <w:b/>
          <w:bCs/>
          <w:color w:val="auto"/>
          <w:kern w:val="1"/>
          <w:sz w:val="32"/>
          <w:szCs w:val="20"/>
          <w:highlight w:val="none"/>
          <w:lang w:val="en-US" w:eastAsia="zh-CN" w:bidi="ar-SA"/>
        </w:rPr>
        <w:t>一、采购内容及数量</w:t>
      </w:r>
    </w:p>
    <w:tbl>
      <w:tblPr>
        <w:tblStyle w:val="17"/>
        <w:tblW w:w="10228" w:type="dxa"/>
        <w:jc w:val="center"/>
        <w:tblLayout w:type="fixed"/>
        <w:tblCellMar>
          <w:top w:w="0" w:type="dxa"/>
          <w:left w:w="0" w:type="dxa"/>
          <w:bottom w:w="0" w:type="dxa"/>
          <w:right w:w="0" w:type="dxa"/>
        </w:tblCellMar>
      </w:tblPr>
      <w:tblGrid>
        <w:gridCol w:w="778"/>
        <w:gridCol w:w="1065"/>
        <w:gridCol w:w="6510"/>
        <w:gridCol w:w="915"/>
        <w:gridCol w:w="960"/>
      </w:tblGrid>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序号</w:t>
            </w: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设备名称</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技术参数</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hint="eastAsia" w:ascii="宋体" w:hAnsi="宋体"/>
                <w:sz w:val="21"/>
                <w:szCs w:val="21"/>
              </w:rPr>
            </w:pPr>
            <w:r>
              <w:rPr>
                <w:rFonts w:hint="eastAsia" w:ascii="宋体" w:hAnsi="宋体"/>
                <w:sz w:val="21"/>
                <w:szCs w:val="21"/>
              </w:rPr>
              <w:t>单位</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rPr>
                <w:rFonts w:hint="eastAsia" w:ascii="宋体" w:hAnsi="宋体"/>
                <w:sz w:val="21"/>
                <w:szCs w:val="21"/>
              </w:rPr>
            </w:pPr>
            <w:r>
              <w:rPr>
                <w:rFonts w:hint="eastAsia" w:ascii="宋体" w:hAnsi="宋体"/>
                <w:sz w:val="21"/>
                <w:szCs w:val="21"/>
              </w:rPr>
              <w:t>数量</w:t>
            </w:r>
          </w:p>
        </w:tc>
      </w:tr>
      <w:tr>
        <w:tblPrEx>
          <w:tblCellMar>
            <w:top w:w="0" w:type="dxa"/>
            <w:left w:w="0" w:type="dxa"/>
            <w:bottom w:w="0" w:type="dxa"/>
            <w:right w:w="0" w:type="dxa"/>
          </w:tblCellMar>
        </w:tblPrEx>
        <w:trPr>
          <w:trHeight w:val="921"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ascii="宋体" w:hAnsi="宋体" w:cs="宋体"/>
                <w:b/>
                <w:bCs/>
                <w:kern w:val="0"/>
                <w:sz w:val="21"/>
                <w:szCs w:val="21"/>
              </w:rPr>
            </w:pPr>
            <w:r>
              <w:rPr>
                <w:rFonts w:hint="eastAsia" w:ascii="宋体" w:hAnsi="宋体" w:cs="宋体"/>
                <w:kern w:val="0"/>
                <w:sz w:val="21"/>
                <w:szCs w:val="21"/>
              </w:rPr>
              <w:t>1</w:t>
            </w: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kern w:val="0"/>
                <w:sz w:val="21"/>
                <w:szCs w:val="21"/>
              </w:rPr>
            </w:pPr>
          </w:p>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红外智慧黑板</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一：整机硬件参数</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1.整机采用三拼接平面一体化设计，无推拉式结构及外露连接线，外观简洁。整机尺寸宽度不小于4200mm，高度（最宽处）不小于1200mm。</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副屏书写屏采用工业级黑色微瓷材质镀膜，表面硬度≥8H，粉笔书写细腻，抗折弯，不掉漆掉色。微瓷镀膜保证副屏硬度的同时提供优秀的书写体验，同时具备防潮、防锈、防眩光、防冲击、耐酒精、耐酸碱、耐高低温等优良特性。</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3.整机前朝向面板支持教师用作黑板书写板书。主屏支持液体粉笔、水溶性粉笔等直接书写，两侧屏幕均支持普通粉笔、液体粉笔、水溶性粉笔等直接书写。</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4.中央主屏幕显示采用86英寸UHD超高清LED液晶屏，屏幕分辨率不低于3840*2160，显示比例16:9，主屏具备防眩光效果。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5.整机屏幕与屏幕保护层0贴合，减少显示面板与玻璃间的偏光、散射，画面显示更加清晰通透、可视角度更广。</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6.整机中间主屏及两侧副屏可支持多种媒介进行板书书写，便于老师完整书写教学内容。整机主屏面板采用耐磨玻璃材质，长期书写情况下面板磨损导致的雾度变化不超过1%。</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7.★整机主屏面板采用防眩光全钢化防爆玻璃面板，面板的碎片状态、抗冲击性、霰弹袋冲击性能、耐热冲击性能均通过国家强制玻璃标准，表面应力≥100Mpa,适应学校复杂环境，保障教学安全。</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8.输入接口具备1路VGA；1路Audio；1路AV；1路YPbPr；2路HDMI2.0；1路Android USB；1路RS232；1路RJ45；输出接口具备1路耳机；1路同轴输出；1路Touch USB out。</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9.采用红外触控技术，支持Windows系统中进行10点或以上触控；支持在Android系统中进行10点或以上触控，单点书写。整机内置前朝向2*15w功放，确保声音播放效果。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10.★整机具有减滤蓝光功能，可通过前置物理功能按键方式一键启用减滤蓝光模式。整机视网膜蓝光危害（蓝光加权辐射亮度LB）符合IEC62471标准，LB限值范围≤0.55</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11.整机支持机身前置物理按键一键启动录屏功能，可将屏幕中显示的课件、音频等内容与老师人声同步录制。整机内置非独立外扩展的麦克风，可用于一键录屏对音频进行采集。</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12.★整机内置非独立外扩展的摄像头，支持二维码扫码识别功能，可拍摄不低于800万像素的照片。。</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13.支持用户在菜单中开启/关闭DBX-TV中总恒音、总绚音、总环音的功能。</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14.★采用智能电子产品一键式设计：同一物理按键完成Android系统、Windows系统和节能熄屏操作，通过轻按按键实现节能熄屏/唤醒，长按按键实现关机。</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15.在PC系统出现异常或需要清除PC数据时，可插入带激活文件的U盘，在嵌入式系统的设置界面中启动PC一键还原功能，将PC系统恢复至出厂状态。</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16.★整机内置专业硬件自检维护工具（不接受第三方工具），支持对触摸框、PC模块、光感系统等模块进行检测，并针对不同模块给出问题原因提示，可对嵌入式系统运行内存、垃圾文件进行清理，确保嵌入式系统运行流畅。支持扫描系统提供的电子二维码进行在线客服问题报修。</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17.整机具备不少于3路前置双系统USB3.0接口,双系统USB3.0接口支持Android系统、Windows系统读取外接移动存储设备,即插即用无需区分接口对应系统。</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18.系统版本不低于Android 7.0，内存不低于2GB，存储空间不低于8GB</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19.整机在任意通道下，可调用互动课堂功能。支持手机扫描二维码进行互动答题；教师可发起单选题、多选题、抢答题、判断题等，答题结束可查看答题数据并导出。学生可自行设置姓名，支持课堂抽选功能。提供实时提问功能，学生可通过移动端实时发送提问内容至智慧黑板展示。</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20.无PC状态下，嵌入式安卓操作系统支持超级计算器功能，可进行初级计算、方程（组）智能求解、自动求导求积分的操作，可根据用户输入的函数智能绘制函数图像。</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二：电脑配置：</w:t>
            </w:r>
          </w:p>
          <w:p>
            <w:pPr>
              <w:keepNext w:val="0"/>
              <w:keepLines w:val="0"/>
              <w:widowControl/>
              <w:suppressLineNumbers w:val="0"/>
              <w:jc w:val="left"/>
              <w:rPr>
                <w:rFonts w:hint="eastAsia" w:ascii="宋体" w:hAnsi="宋体"/>
                <w:kern w:val="0"/>
                <w:sz w:val="20"/>
                <w:szCs w:val="20"/>
                <w:highlight w:val="none"/>
                <w:lang w:val="en-US" w:eastAsia="zh-CN" w:bidi="ar-SA"/>
              </w:rPr>
            </w:pPr>
            <w:r>
              <w:rPr>
                <w:rFonts w:hint="eastAsia" w:ascii="宋体" w:hAnsi="宋体"/>
                <w:kern w:val="0"/>
                <w:sz w:val="20"/>
                <w:szCs w:val="20"/>
                <w:lang w:val="en-US" w:eastAsia="zh-CN" w:bidi="ar-SA"/>
              </w:rPr>
              <w:t>1.主板采用H310芯片组，搭载Intel 8代酷睿系列</w:t>
            </w:r>
            <w:r>
              <w:rPr>
                <w:rFonts w:hint="eastAsia" w:ascii="宋体" w:hAnsi="宋体"/>
                <w:kern w:val="0"/>
                <w:sz w:val="20"/>
                <w:szCs w:val="20"/>
                <w:highlight w:val="none"/>
                <w:lang w:val="en-US" w:eastAsia="zh-CN" w:bidi="ar-SA"/>
              </w:rPr>
              <w:t xml:space="preserve"> i5CPU</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2.内存：</w:t>
            </w:r>
            <w:r>
              <w:rPr>
                <w:rFonts w:hint="eastAsia" w:ascii="宋体" w:hAnsi="宋体"/>
                <w:kern w:val="0"/>
                <w:sz w:val="20"/>
                <w:szCs w:val="20"/>
                <w:highlight w:val="none"/>
                <w:lang w:val="en-US" w:eastAsia="zh-CN" w:bidi="ar-SA"/>
              </w:rPr>
              <w:t xml:space="preserve">4GB </w:t>
            </w:r>
            <w:r>
              <w:rPr>
                <w:rFonts w:hint="eastAsia" w:ascii="宋体" w:hAnsi="宋体"/>
                <w:kern w:val="0"/>
                <w:sz w:val="20"/>
                <w:szCs w:val="20"/>
                <w:lang w:val="en-US" w:eastAsia="zh-CN" w:bidi="ar-SA"/>
              </w:rPr>
              <w:t>DDR4笔记本内存或以上配置。硬盘：</w:t>
            </w:r>
            <w:r>
              <w:rPr>
                <w:rFonts w:hint="eastAsia" w:ascii="宋体" w:hAnsi="宋体"/>
                <w:kern w:val="0"/>
                <w:sz w:val="20"/>
                <w:szCs w:val="20"/>
                <w:highlight w:val="none"/>
                <w:lang w:val="en-US" w:eastAsia="zh-CN" w:bidi="ar-SA"/>
              </w:rPr>
              <w:t>256GB</w:t>
            </w:r>
            <w:r>
              <w:rPr>
                <w:rFonts w:hint="eastAsia" w:ascii="宋体" w:hAnsi="宋体"/>
                <w:kern w:val="0"/>
                <w:sz w:val="20"/>
                <w:szCs w:val="20"/>
                <w:lang w:val="en-US" w:eastAsia="zh-CN" w:bidi="ar-SA"/>
              </w:rPr>
              <w:t>或以上SSD固态硬盘</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采用按压式卡扣方式，无需工具即可快速拆卸电脑模块。，采用抽拉内置式模块化电脑，抽拉内置式，PC模块可插入整机，可实现无单独接线的插拔。采用120pin或以上接口。（提供国家权威机构出具的检测报告）</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4.具有独立非外扩展的电脑USB接口：电脑上至少具备4个USB3.0 TypeA接口，1个USB TypeC接口（支持TypeC接口的U盘插入使用），具有独立非外扩展的视频输出接口：≥1路VGA ；≥1路HDMI ；≥1路DP。</w:t>
            </w:r>
          </w:p>
          <w:p>
            <w:pPr>
              <w:keepNext w:val="0"/>
              <w:keepLines w:val="0"/>
              <w:widowControl/>
              <w:suppressLineNumbers w:val="0"/>
              <w:jc w:val="left"/>
              <w:rPr>
                <w:rFonts w:hint="eastAsia" w:ascii="宋体" w:hAnsi="宋体" w:eastAsia="宋体"/>
                <w:kern w:val="0"/>
                <w:sz w:val="20"/>
                <w:szCs w:val="20"/>
                <w:lang w:val="en-US" w:eastAsia="zh-CN" w:bidi="ar-SA"/>
              </w:rPr>
            </w:pPr>
            <w:r>
              <w:rPr>
                <w:rFonts w:hint="eastAsia" w:ascii="宋体" w:hAnsi="宋体"/>
                <w:kern w:val="0"/>
                <w:sz w:val="20"/>
                <w:szCs w:val="20"/>
                <w:lang w:val="en-US" w:eastAsia="zh-CN" w:bidi="ar-SA"/>
              </w:rPr>
              <w:t>5.PC模块的USB接口（Type-A\Type-C）须为冗余备份接口，在正常使用智慧黑板的内置摄像头、内置麦克风功能时，USB接口不被占用，确保教师有足够的接口外接存储设备及显示设备。</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三：白板软件功能</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1.★备授课一体化，具有备课模式及授课模式，支持老师个人账号注册登录使用，也可通过USB key进行身份快速识别登录。支持课件云存储，无需使用U盘等存储设备，老师只需联网登录即可获取云课件。</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教学系统为使用方全体教师配备个人账号，形成一体的信息化教学账号体系；根据教师账号信息将教师云空间匹配至对应学校、学科校本资源库。支持通过数字账号、微信二维码、硬件密钥方式登录教师个人账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3.采用备授课一体化框架设计，教师可根据教学场景自由切换类PPT界面的备课模式与触控交互教学模式，适用于教室、办公室等不同教学环境，便于教师教学使用。</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4.互动课件与多媒体素材的云空间相互独立，互不干扰；教师可新建课件组或素材文件夹对教学资源进行个性化的分类与标记，便于管理；</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5.语文学科工具及资源：</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（1）汉字工具及英汉字典：支持在田字格上书写汉字并自动识别为印刷体，可展示该汉字的读音、笔画顺序、笔画数量等。支持用户反馈汉字错误，保证字库正确性。</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（2）提供覆盖小学、初中、高中的古诗词、古文资源，包含原文、翻译、背景介绍、作者介绍、朗诵音频等。支持用户根据年级、朝代、诗人等进行分类查找，也可直接搜索诗词、古文名称或作者名查找。</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6.数学学科工具：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（1）几何图形绘制：支持输入任意长度线条，并可设置为线段、射线；支持输入任意边数及角度的图形，可显示或隐藏角度大小，并可直接通过修改角度编辑图形；支持输入任 意角度的扇形及圆形，可显示角度大小；支持绘制立方体、圆柱体等立体几何图形。</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（2）支持复杂数学公式输入，提供不少于20个数学符号及模板，输出的公式内容支持不同颜色标记及二次编辑。</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 地理学科教学工具：3D星球模型：提供3D立体星球模型，包括地球、太阳、火星、水星、木星、金星、土星、海王星、天王星，支持360°自由旋转、缩放展示。地球教学工具：提供立体地球教学工具，清晰展现地球表面的六大板块、降水分布、气温分布、气候分布、人口分布、表层洋流、陆地自然带、海平面等压线等内容，且支持三维、二维切换展示，方便地理学科教学。</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8.化学方程式编辑器：支持化学方程式快速编辑，当输入一个化学元素时，软件界面将自动显示出和该元素相关的多个常用化学反应方程式，老师可直接选择使用。插入后的 化学方程式可重新编辑。</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9.音乐工具：提供钢琴琴键的展示形式，便于老师使用。弹奏时支持实时显示对应的五线谱及简谱音符，有助于学生了解学习。支持对弹奏的音乐进行录音，并在录音回播时支持实时显示琴键弹奏的过程及对应的音符，方便老师进行教学，巩固知识点。</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10. 移动互联系统（移动展台功能）：支持Android 4.0及IOS 7.0以上版本系统。可与智慧黑板实现无线连接，可对连接的设备进行密码的权限管理。支持手机投屏，可通过该软件将手机屏幕画面实时投影到大屏上。具备客户端生成热点功能，在没有路由器的情况下，可通过客户端生成局域网热点供外部终端进行无线连接。支持Office、WPS及白板软件课件远程同步，支持模拟电脑触摸板功能，支持移动展台功能，可一键对试卷、课本等实物进行拍摄，将实物照片一键上传至智能平板中，并可通过移动端实现激光笔、聚光灯、双向批注及撤销功能。</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11.多学科题库：提供涵盖小学、初中、高中的总知识点不少于9000个，试题数量不少于30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12.多学科课件库：提供涵盖语文、数学、英语等教学章节的不少于2000份的交互式课件。课件支持直接预览并下载，预览时支持拖动课堂活动、形状、几何、文本等元素；下载时课件可同步至教师个人云课件存储空间；课件支持教师在线评分，课件资源库不断免费更新。</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14.微课视频：提供涵盖小学、初中、高中超过2000个微课程视频，每个学段的微课视频内容应不少于三个主要学科。微课内容可在线点播，下载至课件播放。微课视频支持视频关键帧打点标记，播放过程中可一键跳转至标记位置，同时支持一键对视频内容进行截图插入课件。</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四、课堂学生行为管理软件：</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一：软件整体要求</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 学生行为评价系统，集成四大功能模块：学校管理中心、教师管理中心、课堂表现评价、家校互联互通，功能及操作均在同一软件平台同一账号体系实现。支持PC 客户端、PC 网页端、安卓、苹果手机端登陆使用，且各个端的数据是互通的，方便老师随时随地对学生进行管理与评价。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二：学校管理中心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支持查看学校内的班级列表信息，方便管理员进行汇总查看。支持查看学校内某个班级的详细信息，并支持导出数据，方便管理员进行分析查看。</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三：教师管理中心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支持教师设置个人帐号信息、班级信息、学生信息等。支持通过输入学校邀请码的方式申请加入学校。支持创建新班级，并可从现有班级中快速导入学生与家长账号。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四：课堂表现评价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1.老师可通过移动端、PC 端及网页端对学生、小组及班级进行行为评价打分。支持快速检索学生功能，可通过学生姓名的首个汉字、首个汉字的拼音首字母进行检索。</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2.支持按学生或小组的首字母、总分、表扬分数、待改进分数等维度进行排序，方便老师快速找到需要评价的学生或小组。</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3.支持多重分组功能，老师可创建不少于2 个组别，方便对学生进行分组评价。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4.为提高课堂趣味性，软件支持随机抽选学生进行评价。为方便把控课堂活动时间，支持计时器功能，包括秒表和倒计时。</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5.支持考勤功能，可将学生状态设定为出勤、迟到、缺勤、请假等。</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6.支持查看课堂表现评价统计报表，按饼状图形式展现学生课堂表现情况，支持查看班级或学生个人的评价情况，并可具体查看到每一条评价的原因、对象、分值，便于老师做统计分析。报表数据支持导出成excel 文件。</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五：家校互联互通</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1.支持教师向其他教师或家长发送公告，公告支持超过200字的文本、图片、语音、视频和外部网页链接等形式。教师可设置家长阅读后提供电子回执。</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支持教师发送作业给其他教师或家长，作业支持超过200字的文本、图片、视频、语音、外部网页链接等形式。支持家长在线提交作业，作业支持超过200字的文本、图片、视频、语音、外部网页链接等形式。教师可设置提交作业截止时间，并能在线批改学生作业，3.支持评语、语音及量化点评，教师筛选出的优秀作业可展示给班内所有家长。</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4.支持教师以文本、图片形式点评学生在校表现，相关情况及时通报家长。支持教师将公告、作业、成绩和学生表现分享至微信，便于展示及交流使用。</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台</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textAlignment w:val="top"/>
              <w:rPr>
                <w:rFonts w:hint="default"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实物展台</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1.壁挂式安装，防盗防破坏。</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2.无锐角无利边设计，有效防止师生碰伤、划伤。</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3.采用三折叠开合式托板，展开后托板尺寸≥A4面积，收起时小巧不占空间，高效利用挂墙面积。</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4.采用USB高速接口，单根USB线实现供电、高清数据传输需求。</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5.采用800W像素自动对焦摄像头，可拍摄A4画幅。</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解析度：中间1600线，四周1400线。</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6.展台按键采用触摸按键，可实现一键启动展台画面、画面放大、画面缩小、画面旋转、拍照截图等功能，同时也支持在一体机或电脑上进行同样的操作。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7.整机自带均光罩LED补光灯，光线不足时可进行亮度补充，亮度均匀。</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8.支持对展台实时画面进行放大、缩小、旋转、自适应、冻结画面等操作。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9.★支持展台画面实时批注，预设多种笔划粗细及颜色供选择，且支持对展台画面联同批注内容进行同步缩放、移动（提供国家广播电视产品质量监督检验中心所出具的权威检测报告）。</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10.支持展台画面拍照截图并进行多图预览，可对任一图片进行全屏显示。</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11.老师可在一体机或电脑上选择延时拍照功能，支持5秒或10秒延时模式，预留充足时间以便调整拍摄内容。</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12.★可选择图像、文本或动态三种情景模式，适应不同展示内容（提供国家广播电视产品质量监督检验中心所出具的权威检测报告）。</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13.具备图像增强功能，可自动裁剪背景并增强文字显示，使文档画面更清晰。</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14.支持故障自动检测，在软件无法出现展台拍摄画面时，自动出现检测链接，帮助用户检测“无画面”的原因，并给出引导性解决方案。可判断硬件连接、显卡驱动、摄像头占用、软件版本等问题。</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15.支持二维码扫码功能：打开扫一扫功能后，将书本上的二维码放入扫描框内即可自动扫描，并进入系统浏览器获取二维码的链接内容，帮助老师快速获取电子教学资源。</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套</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eastAsia" w:ascii="宋体" w:hAnsi="宋体" w:eastAsia="宋体" w:cs="宋体"/>
                <w:kern w:val="0"/>
                <w:sz w:val="21"/>
                <w:szCs w:val="21"/>
                <w:lang w:val="en-US" w:eastAsia="zh-CN"/>
              </w:rPr>
            </w:pPr>
          </w:p>
          <w:p>
            <w:pPr>
              <w:spacing w:line="360" w:lineRule="auto"/>
              <w:jc w:val="center"/>
              <w:textAlignment w:val="top"/>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移动端授课系统</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jc w:val="left"/>
              <w:rPr>
                <w:rFonts w:hint="eastAsia" w:ascii="宋体" w:hAnsi="宋体"/>
                <w:kern w:val="0"/>
                <w:sz w:val="20"/>
                <w:szCs w:val="20"/>
                <w:lang w:val="en-US" w:eastAsia="zh-CN" w:bidi="ar-SA"/>
              </w:rPr>
            </w:pP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1.支持Android 5.0及以上、iOS9.0及以上系统的设备使用。</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2.</w:t>
            </w:r>
            <w:r>
              <w:rPr>
                <w:rFonts w:hint="default" w:ascii="宋体" w:hAnsi="宋体"/>
                <w:kern w:val="0"/>
                <w:sz w:val="20"/>
                <w:szCs w:val="20"/>
                <w:lang w:val="en-US" w:eastAsia="zh-CN" w:bidi="ar-SA"/>
              </w:rPr>
              <w:t>不需借助任何外接设备，只需手机与交互智能平板能访问互联网，即可进行移动授课。</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3.在手机与交互智能平板的备授课软件上登录同一账号后，设备间会通过账号识别自动连接，无需用户手动连接。</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4.在手机上登录账号后，支持以列表的方式查看该账号里所有的云课件，并支持打开其中某份课件在线预览，预览时支持显示缩略图目录，支持通过缩略图目录跳页。</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5.预览模式下的云课件支持元素拖拽、克隆、置顶、删除等互动功能，支持在手机上进行思维导图、课堂活动等操作。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6.支持云课件通过微信好友、朋友圈、手机号（可调用手机通讯录）、二维码、普通链接、加密链接等方式分享，同时支持将分享的有效期设置为1天/7天/30天/永久中的一种。</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7.通过扫码等方式获取课件后，在课件列表下拉刷新即可显示待接收课件，选择所需课件点击接收，即可将该课件接收至个人的云课件列表。</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8.在课件列表内，可以对所有课件和课件组进行移动、删除和重命名，可以多选课件和课件组进行移动和删除操作。</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9.在交互智能平板上的备授课软件登录同一账号后，即可在手机端选择任意课件开始授课。在其它电脑端上的备授课软件登录同一账号后，需要先打开至少1份课件，才能在手机端对已打开的课件开始授课。</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10.开始授课后，无需同一局域网下，即可支持在手机上控制交互智能平板的课件翻页，支持使用缩略图目录跳页，且支持使用手机音量键翻页。批注功能：支持在手机屏幕上书写和擦除批注，并实时同步至交互智能平板上，且支持3种笔粗细和5种笔颜色。相机功能：支持调用手机摄像头拍照并直接上传到交互智能平板的课件中，包含文档、普通和彩图3种拍照模式。拍照后可以在手机上编辑图片，上传后可以在交互智能平板上旋转、缩放、置顶和克隆图片。支持上传手机系统相册里的图片，一次最多上传9张。</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11.开始授课后，在同一局域网下，支持传屏与摄像功能。传屏功能：支持将手机屏幕实时同步至交互智能平板上，支持用窗口或全屏的方式显示。摄像功能：支持将手机摄像头的画面实时同步至交互智能平板上，且支持根据不同的环境情况作2个调节——若光线较暗支持打开闪光灯；若网络环境较差支持切换画面清晰度。支持用窗口或全屏的方式显示。</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12.★以上所有功能操作需在同一软件平台上实现，且需保证课堂投屏助手软件与交互智能平板设备为同一品牌，以保证软件稳定性。</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套</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textAlignment w:val="top"/>
              <w:rPr>
                <w:rFonts w:hint="default"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cs="宋体"/>
                <w:kern w:val="0"/>
                <w:sz w:val="21"/>
                <w:szCs w:val="21"/>
                <w:lang w:val="en-US" w:eastAsia="zh-CN"/>
              </w:rPr>
            </w:pPr>
            <w:r>
              <w:rPr>
                <w:rFonts w:hint="eastAsia" w:ascii="宋体" w:hAnsi="宋体" w:cs="宋体"/>
                <w:kern w:val="0"/>
                <w:sz w:val="21"/>
                <w:szCs w:val="21"/>
                <w:lang w:val="en-US" w:eastAsia="zh-CN"/>
              </w:rPr>
              <w:t>教学数据分析平台</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一：整体设计：</w:t>
            </w:r>
          </w:p>
          <w:p>
            <w:pPr>
              <w:keepNext w:val="0"/>
              <w:keepLines w:val="0"/>
              <w:widowControl/>
              <w:numPr>
                <w:ilvl w:val="0"/>
                <w:numId w:val="4"/>
              </w:numPr>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定义：基于数据分析的教学教研管理平台，支持学校管理教学教研流程，包括教学计划、电子备课、听课评课、班级氛围、校本资源建设，同时收集数据反馈和评价，方便管理者掌握和促进教学教研效果。同时支持教师管理个人教学教研活动并进行数据采集分析，帮助教师提升个人专业发展。</w:t>
            </w:r>
          </w:p>
          <w:p>
            <w:pPr>
              <w:keepNext w:val="0"/>
              <w:keepLines w:val="0"/>
              <w:widowControl/>
              <w:numPr>
                <w:ilvl w:val="0"/>
                <w:numId w:val="0"/>
              </w:numPr>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二：基础数据中心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 ★信息化指数：通过多维度分析学校的信息化教学应用情况，综合评估出信息化指数，并与月均值、全省均值进行对比，方便管理者快速了解信息化教学进展。</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2.★信息化数据雷达图：将信息化教学数据分五个维度进行评估，分别为课件制作、听课评课、师生互动、互动教学、家校沟通，并与全省均值对比，学校信息化教学情况一目了然。</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三：系统管理</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1.学校通知：管理员可根据组织架构信息，自由选定教师发送学校通知。发送后，管理员可实时查阅教师已读、未读情况。通知的发送、接收都可在微信小程序中完成，方便随时随地进行通知的查阅和管理。</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2.组织架构：管理员可自定义构建部门，亦可将教师导入相应的部门，方便进行分组管理。支持管理者在移动端审核教师入校，方便快速处理教师的申请。</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3.教研结构：支持管理者按照学段-学科-年级快速创建教师的教研组织结构，方便教师信息的分类管理。</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4.人员管理：支持管理员通过多种方式邀请教师入校，包含直接导入教师、链接邀请入校、二维码邀请入校。支持以姓名、手机号快速搜索教师，同时支持导出学校教师名单。</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5.班级管理：支持查看校内每个班级的班主任、班级人数，查看每位学生的课堂行为点评，了解每位学生情况，便捷进行班级管理。</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四：教研管理中心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为学校提供教研全流程管理服务，包含教学计划、电子教案、听课评课、校本资源、班级氛围的流程管理和数据分析，方便学校统筹管理教学、教研活动进展，收集数据反馈和评价，了解全校教师的教学教研产出。</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2学校目标与计划：可以在系统中录入学校教学计划，计划可以和教案的课时数相关联，方便管理者掌握学校教学进度。</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3.教研组计划：以不同学科不同年级教研组为单位，可以在系统中录入教研组教学计划，计划可以和教案的课时数相关联，方便教研组管理教学进度。</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4.教案模板管理：支持管理者自定义学校的教案模板，可以设置必填项和选填项，有效规范教师教案的编写。</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5.校本课件管理：可统一审核发布、删除教师上传至校本库的课件，支持查看更新时间、大小、下载次数等数据。校本课件支持文件夹分组，方便各学科课件的分组管理。同时支持课件的批量移动、删除。</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 xml:space="preserve">6.校本课件预览：校本课件支持直接预览课件及该课件的教案，方便课件、教案的检查。  </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7.评课表管理：支持自定义设置学校专属评课表，系统预置中央电教馆“一师一优课，一课一名师”模板供使用。点评支持评分题和主观题，支持发布多张评课表，方便同时开展多学科、多个评课活动。</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五：教研数据中心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教案数据：支持查看全校教案总数、教师课件总数、校本课件总数。同时支持按本周、本月、本学期、自定义时间段查看教案制作数量的排行，查看全校教师的教案，方便进行教案检查；同时支持按年级、学科对比教师编写教案的数量，方便管理者总览全校教案编写情况。</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课件制作数据：支持按本周、本月、本学期、自定义时间查看全校教师课件制作的数据排行，教师榜单支持按照课件数、上传校本课件数、校本课件热度进行排序。课件数据支持按学科对比，方便总览全校课件制作情况。</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3.校本课件榜单：支持查看校本课件各维度的榜单，包含最多分享教师榜单、最受欢迎课件榜单、最受欢迎教师榜单，可以查看数据详情，支持一键获取课件。</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4.校本课件数据详情：支持查看校本课件数据，包括新增数据，各年级和学科的对比，可查看校本课件列表，校本课件列表可按累计被下载数排序。</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 xml:space="preserve">5.班级氛围数据概况：支持查看不同时间段班级氛围数据的概况，数据包含家长入班率，教师对学生的新增点评数，教师参与度，表现突出的教师前三名。 </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6.班级氛围数据详情：支持查看班级点评分数数据，包含班级总分榜、当月班级分数榜、教师点评榜、最热点评维度，可以按年级进行柱状图分析对比，方便了解全校班级管理情况。</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7.听课评课概览：展示教研组听评课数据概况，数据包含教研组授课节数、听课人数、优秀课例前三名，教师得分榜前三名。支持获取查看优秀课例，可查看教师评课维度得分详情。</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8.听评课数据详情：全校听评课数据统一汇总，数据包含全校评课平均分，累计评课数量，本周新增评课数量，听课人数，方便了解听评课教研活动的开展情况。</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9.听评课排行榜：全校听评课排行榜，有教师得分榜、课例排行榜、听课排行榜，并支持按年级、学科查看全校榜单详细数据。</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10.听评课数据统计导出：支持对不同评课维度得分进行统计，计算平均分并找出评分薄弱项，方便管理者针对性优化教学策略，同时支持查看全校的评课记录和得分详情，并可一键导出Excel表格，方便整理。</w:t>
            </w:r>
          </w:p>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五：教师中心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教师的教学教研一站式服务平台，为教师提供教学计划与教案设计、资源中心、个人云空间、教学数据分析模块，覆盖老师课前、课中、课后的教学场景，方便课前制定教学计划并完成电子备课，课中使用教学资源进行互动教学，课后收集教学数据及评价反馈。通过一站式服务，提高老师教学工作效率，使教学过程全记录，教学数据全打通。</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资源中心：</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2.资源中心支持教师调用资源，资源类型包括课件资源、题库资源、多媒体图片视频素材资源等。教学设计系统：3.★支持老师阅览学校计划、本学科组计划，并根据上级计划制定个人教学计划，同时支持实时查看、对比教研组计划及个人计划的进展，掌握教学进度。</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4. 电子教案：教师可以在个人空间直接编写教案，编写教案时可以关联课件，支持教师在个人空间、配套备授课工具查看课件以及教案，方便教师进行教学设计。</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六：听课评课系统：</w:t>
            </w:r>
          </w:p>
          <w:p>
            <w:pPr>
              <w:keepNext w:val="0"/>
              <w:keepLines w:val="0"/>
              <w:widowControl/>
              <w:suppressLineNumbers w:val="0"/>
              <w:jc w:val="left"/>
              <w:rPr>
                <w:rFonts w:hint="eastAsia" w:ascii="宋体" w:hAnsi="宋体"/>
                <w:kern w:val="0"/>
                <w:sz w:val="20"/>
                <w:szCs w:val="20"/>
                <w:lang w:val="en-US" w:eastAsia="zh-CN" w:bidi="ar-SA"/>
              </w:rPr>
            </w:pPr>
            <w:r>
              <w:rPr>
                <w:rFonts w:hint="eastAsia" w:ascii="宋体" w:hAnsi="宋体"/>
                <w:kern w:val="0"/>
                <w:sz w:val="20"/>
                <w:szCs w:val="20"/>
                <w:lang w:val="en-US" w:eastAsia="zh-CN" w:bidi="ar-SA"/>
              </w:rPr>
              <w:t>1.听课评课：教师可以查看个人的听评课数据，包括个人平均分、累计听课节数、累计评课节数，同时可以分析评价维度的得分情况以及个人薄弱项。支持查看历史评课记录，并进行评课分析。</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套</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textAlignment w:val="top"/>
              <w:rPr>
                <w:rFonts w:hint="eastAsia" w:ascii="宋体" w:hAnsi="宋体" w:cs="宋体"/>
                <w:kern w:val="0"/>
                <w:sz w:val="21"/>
                <w:szCs w:val="21"/>
                <w:lang w:val="en-US" w:eastAsia="zh-CN"/>
              </w:rPr>
            </w:pPr>
          </w:p>
          <w:p>
            <w:pPr>
              <w:spacing w:line="360" w:lineRule="auto"/>
              <w:textAlignment w:val="top"/>
              <w:rPr>
                <w:rFonts w:hint="eastAsia" w:ascii="宋体" w:hAnsi="宋体" w:cs="宋体"/>
                <w:kern w:val="0"/>
                <w:sz w:val="21"/>
                <w:szCs w:val="21"/>
                <w:lang w:val="en-US" w:eastAsia="zh-CN"/>
              </w:rPr>
            </w:pPr>
          </w:p>
          <w:p>
            <w:pPr>
              <w:spacing w:line="360" w:lineRule="auto"/>
              <w:textAlignment w:val="top"/>
              <w:rPr>
                <w:rFonts w:hint="eastAsia" w:ascii="宋体" w:hAnsi="宋体" w:cs="宋体"/>
                <w:kern w:val="0"/>
                <w:sz w:val="21"/>
                <w:szCs w:val="21"/>
                <w:lang w:val="en-US" w:eastAsia="zh-CN"/>
              </w:rPr>
            </w:pPr>
          </w:p>
          <w:p>
            <w:pPr>
              <w:spacing w:line="360" w:lineRule="auto"/>
              <w:textAlignment w:val="top"/>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p>
            <w:pPr>
              <w:spacing w:line="360" w:lineRule="auto"/>
              <w:textAlignment w:val="top"/>
              <w:rPr>
                <w:rFonts w:hint="eastAsia" w:ascii="宋体" w:hAnsi="宋体" w:cs="宋体"/>
                <w:kern w:val="0"/>
                <w:sz w:val="21"/>
                <w:szCs w:val="21"/>
                <w:lang w:val="en-US" w:eastAsia="zh-CN"/>
              </w:rPr>
            </w:pPr>
          </w:p>
          <w:p>
            <w:pPr>
              <w:spacing w:line="360" w:lineRule="auto"/>
              <w:textAlignment w:val="top"/>
              <w:rPr>
                <w:rFonts w:hint="eastAsia" w:ascii="宋体" w:hAnsi="宋体" w:cs="宋体"/>
                <w:kern w:val="0"/>
                <w:sz w:val="21"/>
                <w:szCs w:val="21"/>
                <w:lang w:val="en-US" w:eastAsia="zh-CN"/>
              </w:rPr>
            </w:pPr>
          </w:p>
          <w:p>
            <w:pPr>
              <w:spacing w:line="360" w:lineRule="auto"/>
              <w:textAlignment w:val="top"/>
              <w:rPr>
                <w:rFonts w:hint="default" w:ascii="宋体" w:hAnsi="宋体" w:cs="宋体"/>
                <w:kern w:val="0"/>
                <w:sz w:val="21"/>
                <w:szCs w:val="21"/>
                <w:lang w:val="en-US" w:eastAsia="zh-CN"/>
              </w:rPr>
            </w:pP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kern w:val="0"/>
                <w:sz w:val="21"/>
                <w:szCs w:val="21"/>
                <w:lang w:val="en-US" w:eastAsia="zh-CN"/>
              </w:rPr>
            </w:pPr>
          </w:p>
          <w:p>
            <w:pPr>
              <w:spacing w:line="360" w:lineRule="auto"/>
              <w:jc w:val="both"/>
              <w:textAlignment w:val="top"/>
              <w:rPr>
                <w:rFonts w:hint="default" w:ascii="宋体" w:hAnsi="宋体" w:cs="宋体"/>
                <w:kern w:val="0"/>
                <w:sz w:val="21"/>
                <w:szCs w:val="21"/>
                <w:lang w:val="en-US" w:eastAsia="zh-CN"/>
              </w:rPr>
            </w:pPr>
            <w:r>
              <w:rPr>
                <w:rFonts w:hint="eastAsia" w:ascii="宋体" w:hAnsi="宋体" w:cs="宋体"/>
                <w:kern w:val="0"/>
                <w:sz w:val="21"/>
                <w:szCs w:val="21"/>
                <w:lang w:val="en-US" w:eastAsia="zh-CN"/>
              </w:rPr>
              <w:t>校园多媒体运维管理系统</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jc w:val="left"/>
              <w:rPr>
                <w:rFonts w:hint="default" w:ascii="宋体" w:hAnsi="宋体"/>
                <w:kern w:val="0"/>
                <w:sz w:val="20"/>
                <w:szCs w:val="20"/>
                <w:lang w:val="en-US" w:eastAsia="zh-CN" w:bidi="ar-SA"/>
              </w:rPr>
            </w:pPr>
            <w:r>
              <w:rPr>
                <w:rFonts w:hint="eastAsia" w:ascii="宋体" w:hAnsi="宋体"/>
                <w:kern w:val="0"/>
                <w:sz w:val="20"/>
                <w:szCs w:val="20"/>
                <w:lang w:val="en-US" w:eastAsia="zh-CN" w:bidi="ar-SA"/>
              </w:rPr>
              <w:t>后台控制端采用B/S架构设计，可在Windows、Linux、Android、IOS等多种不同的操作系统上通过网页浏览器登陆进行操作，可控制在局域网或互联网内的一体机终端设备。教室受控端：2. 使用校园集控系统的每个学校/区域拥有专属代码，该学校/区域的一体机设备只需接入互联网，并在受控端输入该代码进行连接，管理员即可在后台对设备进行远程管理。3. 可在一体机桌面查看设备基本信息，如：尺寸、分辨率、系统、CPU、安卓版本等信息，方便授课老师管理设备。4. 支持按照一体机安装的年级、班级，设置教室受控端的名称，方便管理员对应管理。校园控制：5. 远程监控：在控制端网页可实时监控已连接的一体机，可远程查看开关机状态、使用状态评估、整机温度、以及系统内存、硬盘空间等设备信息。6.★ 远程设备控制：在控制端网页可对已连接的一体机进行实时控制，包括开关机、切换通道、更改图像及声音模式、锁屏等功能。7. 锁定时段控制：控制端可远程设置设备锁屏时间段，如“周一至周五中午12点至14点锁屏”，在锁屏时间段内，设备功能按键及触摸均无法使用，方便管理员保证机器在非正常使用时间段内，不被无关人员操作。8. 远程桌面控制：在控制端网页可实时查看已连接并处于开机状态下的一体机桌面，同时可在控制端远程操作桌面内容。10. 倒计时日历：控制端可远程设置倒计时事件，并设定时间开始倒计时，提供便捷有效的信息提醒工具。11. 操作反馈：远程控制及信息发布操作均可获得实时反馈，方便用户及时获取操作情况。12. 数据统计：控制端可根据设备使用情况，生成多个数据报表，包括开机次数、使用人数累计、活跃人数、软件使用次数、学科使用率等，方便管理员检查设备使用情况。13. 管理员分组：系统可将管理权限分配给多个管理员，共同管理受控范围内设备；顶级管理员可查看普通管理员进行的操作，并可对普通管理员进行权限管理，根据不同管理员职责开放适当权限。14. 分组管理：顶级管理员可按照年级、楼层等，将一体机控制、监控等权限分配给对应的普通管理员，进行分组管理。区域控制：15. 支持区域集控功能，可在地方区域内跨校跨网段进行分级管理，方便相关教育部门统一对整个区域的设备进行监管，并了解设备整体的使用情况。16. 区域数据汇总：区域控制端可汇总区域内所有学校已连接的一体机使用数据，并自动输出数据图表，可查看包括各学校使用活跃度排行、终端使用时长、软件使用情况等等数据图表。★17、安全管控平台：管理平台可远程对运行状态 下的交互智能设备批量进行本地系统启动盘的冻结、解冻（冰点保护）。冻结的设备重启后会自动还原到冻结前 的状态，即本地系统启动盘 的数据及系统更改会自动恢复至冻结前状态。提供国家权威机构出具的检测报告。管理平台可实时监控开启冰点保护设备数量、安装冰点保护设备数量、磁盘冰冻状态等，并提示冰点风险，方便用户管理一体机系统环境。18、★移动管理平台：移动管理平台可对已连接的交互智能设备进行实时关机、开机和重启操作。提供国家权威机构出具的检测报告。移动管理平台可查看已连接设备运行异常数据，异常类型包含温度过高、CPU占用率过高、待机时间过长等，支持按年级筛选查看设备异常数据并对异常设备进行管控。提供国家权威机构出具的检测报告。交互智能设备发生异常时，移动管理平台自动发送异常信息提醒管理员，包括设备长时间无人使用异常、未准点关机异常。提供国家权威机构出具的检测报告，任意通道信息发布：可远程对选定的一体机在任意通道下即时发布走马灯文字信息和屏幕常驻信息，可设置播放次数，选择播放位置。</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eastAsia" w:ascii="宋体" w:hAnsi="宋体" w:cs="宋体"/>
                <w:b/>
                <w:bCs/>
                <w:kern w:val="0"/>
                <w:sz w:val="21"/>
                <w:szCs w:val="21"/>
                <w:lang w:val="en-US" w:eastAsia="zh-CN"/>
              </w:rPr>
            </w:pPr>
          </w:p>
          <w:p>
            <w:pPr>
              <w:spacing w:line="360" w:lineRule="auto"/>
              <w:jc w:val="center"/>
              <w:textAlignment w:val="top"/>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套</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eastAsia" w:ascii="宋体" w:hAnsi="宋体" w:eastAsia="宋体" w:cs="宋体"/>
                <w:b/>
                <w:bCs/>
                <w:kern w:val="0"/>
                <w:sz w:val="21"/>
                <w:szCs w:val="21"/>
                <w:lang w:val="en-US" w:eastAsia="zh-CN"/>
              </w:rPr>
            </w:pPr>
          </w:p>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r>
        <w:tblPrEx>
          <w:tblCellMar>
            <w:top w:w="0" w:type="dxa"/>
            <w:left w:w="0" w:type="dxa"/>
            <w:bottom w:w="0" w:type="dxa"/>
            <w:right w:w="0" w:type="dxa"/>
          </w:tblCellMar>
        </w:tblPrEx>
        <w:trPr>
          <w:trHeight w:val="339" w:hRule="atLeast"/>
          <w:jc w:val="center"/>
        </w:trPr>
        <w:tc>
          <w:tcPr>
            <w:tcW w:w="7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textAlignment w:val="top"/>
              <w:rPr>
                <w:rFonts w:hint="default" w:ascii="宋体" w:hAnsi="宋体" w:cs="宋体"/>
                <w:kern w:val="0"/>
                <w:sz w:val="21"/>
                <w:szCs w:val="21"/>
                <w:lang w:val="en-US" w:eastAsia="zh-CN"/>
              </w:rPr>
            </w:pPr>
          </w:p>
        </w:tc>
        <w:tc>
          <w:tcPr>
            <w:tcW w:w="106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both"/>
              <w:textAlignment w:val="top"/>
              <w:rPr>
                <w:rFonts w:hint="default" w:ascii="宋体" w:hAnsi="宋体" w:cs="宋体"/>
                <w:kern w:val="0"/>
                <w:sz w:val="21"/>
                <w:szCs w:val="21"/>
                <w:lang w:val="en-US" w:eastAsia="zh-CN"/>
              </w:rPr>
            </w:pPr>
            <w:r>
              <w:rPr>
                <w:rFonts w:hint="eastAsia" w:ascii="宋体" w:hAnsi="宋体" w:cs="宋体"/>
                <w:kern w:val="0"/>
                <w:sz w:val="21"/>
                <w:szCs w:val="21"/>
                <w:lang w:val="en-US" w:eastAsia="zh-CN"/>
              </w:rPr>
              <w:t>校园安全系统</w:t>
            </w:r>
          </w:p>
        </w:tc>
        <w:tc>
          <w:tcPr>
            <w:tcW w:w="65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41"/>
              <w:numPr>
                <w:ilvl w:val="0"/>
                <w:numId w:val="0"/>
              </w:numPr>
              <w:spacing w:line="360" w:lineRule="auto"/>
              <w:jc w:val="left"/>
              <w:rPr>
                <w:rFonts w:hint="eastAsia" w:ascii="宋体" w:hAnsi="宋体" w:cs="宋体"/>
                <w:b w:val="0"/>
                <w:bCs/>
                <w:color w:val="000000"/>
                <w:kern w:val="0"/>
                <w:szCs w:val="21"/>
                <w:lang w:val="en-US" w:eastAsia="zh-CN"/>
              </w:rPr>
            </w:pPr>
            <w:r>
              <w:rPr>
                <w:rFonts w:hint="eastAsia" w:ascii="宋体" w:hAnsi="宋体" w:cs="宋体"/>
                <w:b w:val="0"/>
                <w:bCs/>
                <w:color w:val="000000"/>
                <w:kern w:val="0"/>
                <w:szCs w:val="21"/>
                <w:lang w:val="en-US" w:eastAsia="zh-CN"/>
              </w:rPr>
              <w:t>产品具备网址过滤、图像过滤、网址库升级、网页内容信息过滤、网页内容信息过滤扩展、预定义网址库自动添加、传输文件过滤、邮件编码过滤、邮件内容信息过滤、服务命令过滤、在线游戏过滤、定时抓屏等功能；（提供公安部信息安全产品检测中心检测报告）。设置家长权限及学校权限，家长权限可对软件进行统一管理操作，家长权限及学生权限切换实时升效；★该系统的技术完全符合国家工业和信息化部制定的基于PC终端的互联网内容过滤软件技术要求YDN138-2006；（提供相关证明材料）。产品支持对终端运行的游戏进行策略管理，不允许运行的游戏会直接拦截游戏运行；产品具备对设备使用时间进行管理的功能，管理员可以根据需要设定使用设备的时间表，在设定的允许使用设备的时间区间使用设备；★该系统的技术完全符合国家工业和信息化部制定的基于PC终端的互联网内容过滤软件技术要求YDN138-2006；（提供相关证明材料）★供应商必须提供所投软件产品的版权；有国家公安部销售许可证，符合安全过滤产品上市销售标准；</w:t>
            </w:r>
          </w:p>
        </w:tc>
        <w:tc>
          <w:tcPr>
            <w:tcW w:w="9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套</w:t>
            </w:r>
          </w:p>
        </w:tc>
        <w:tc>
          <w:tcPr>
            <w:tcW w:w="9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jc w:val="center"/>
              <w:textAlignment w:val="top"/>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18</w:t>
            </w:r>
          </w:p>
        </w:tc>
      </w:tr>
    </w:tbl>
    <w:p>
      <w:pPr>
        <w:pStyle w:val="2"/>
        <w:rPr>
          <w:rFonts w:hint="eastAsia" w:ascii="宋体" w:hAnsi="宋体" w:eastAsia="仿宋" w:cs="宋体"/>
          <w:b/>
          <w:bCs/>
          <w:color w:val="auto"/>
          <w:kern w:val="1"/>
          <w:sz w:val="32"/>
          <w:szCs w:val="20"/>
          <w:highlight w:val="none"/>
          <w:lang w:val="en-US" w:eastAsia="zh-CN" w:bidi="ar-SA"/>
        </w:rPr>
      </w:pPr>
    </w:p>
    <w:p>
      <w:pPr>
        <w:pStyle w:val="3"/>
        <w:widowControl/>
        <w:spacing w:before="0" w:after="0" w:line="360" w:lineRule="auto"/>
        <w:ind w:left="0" w:leftChars="0" w:right="210" w:firstLine="0" w:firstLineChars="0"/>
        <w:jc w:val="both"/>
        <w:rPr>
          <w:rFonts w:ascii="宋体" w:hAnsi="宋体" w:cs="宋体"/>
          <w:color w:val="auto"/>
          <w:kern w:val="1"/>
          <w:szCs w:val="20"/>
          <w:highlight w:val="none"/>
        </w:rPr>
      </w:pPr>
      <w:r>
        <w:rPr>
          <w:rFonts w:hint="eastAsia" w:ascii="仿宋" w:hAnsi="仿宋" w:eastAsia="仿宋" w:cs="仿宋"/>
          <w:color w:val="auto"/>
          <w:highlight w:val="none"/>
          <w:lang w:eastAsia="zh-CN"/>
        </w:rPr>
        <w:t>二</w:t>
      </w:r>
      <w:r>
        <w:rPr>
          <w:rFonts w:hint="eastAsia" w:ascii="仿宋" w:hAnsi="仿宋" w:eastAsia="仿宋" w:cs="仿宋"/>
          <w:color w:val="auto"/>
          <w:highlight w:val="none"/>
        </w:rPr>
        <w:t>、</w:t>
      </w:r>
      <w:r>
        <w:rPr>
          <w:rFonts w:hint="eastAsia" w:ascii="宋体" w:hAnsi="宋体" w:eastAsia="仿宋" w:cs="宋体"/>
          <w:color w:val="auto"/>
          <w:kern w:val="1"/>
          <w:szCs w:val="20"/>
          <w:highlight w:val="none"/>
          <w:lang w:eastAsia="zh-CN"/>
        </w:rPr>
        <w:t>其他采购</w:t>
      </w:r>
      <w:r>
        <w:rPr>
          <w:rFonts w:ascii="宋体" w:hAnsi="宋体" w:cs="宋体"/>
          <w:color w:val="auto"/>
          <w:kern w:val="1"/>
          <w:szCs w:val="20"/>
          <w:highlight w:val="none"/>
        </w:rPr>
        <w:t>要求</w:t>
      </w:r>
    </w:p>
    <w:p>
      <w:pPr>
        <w:widowControl/>
        <w:spacing w:line="360" w:lineRule="auto"/>
        <w:ind w:firstLine="480" w:firstLineChars="200"/>
        <w:rPr>
          <w:rFonts w:hint="eastAsia" w:ascii="宋体" w:hAnsi="宋体"/>
          <w:color w:val="auto"/>
          <w:sz w:val="24"/>
          <w:highlight w:val="none"/>
          <w:lang w:val="en-US" w:eastAsia="zh-CN"/>
        </w:rPr>
      </w:pPr>
      <w:bookmarkStart w:id="268" w:name="_Toc329873638"/>
      <w:bookmarkEnd w:id="268"/>
      <w:bookmarkStart w:id="269" w:name="_Toc27273"/>
      <w:bookmarkEnd w:id="269"/>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交货期</w:t>
      </w:r>
      <w:r>
        <w:rPr>
          <w:rFonts w:hint="eastAsia" w:ascii="宋体" w:hAnsi="宋体" w:cs="宋体"/>
          <w:color w:val="auto"/>
          <w:sz w:val="24"/>
          <w:highlight w:val="none"/>
        </w:rPr>
        <w:t>：</w:t>
      </w:r>
      <w:r>
        <w:rPr>
          <w:rFonts w:hint="eastAsia" w:ascii="宋体" w:hAnsi="宋体"/>
          <w:color w:val="auto"/>
          <w:sz w:val="24"/>
          <w:highlight w:val="none"/>
          <w:lang w:val="en-US" w:eastAsia="zh-CN"/>
        </w:rPr>
        <w:t>7日历天</w:t>
      </w:r>
    </w:p>
    <w:p>
      <w:pPr>
        <w:widowControl/>
        <w:spacing w:line="360" w:lineRule="auto"/>
        <w:ind w:firstLine="480" w:firstLineChars="200"/>
        <w:rPr>
          <w:rFonts w:hint="eastAsia" w:ascii="宋体" w:hAnsi="宋体" w:cs="宋体"/>
          <w:color w:val="auto"/>
          <w:kern w:val="1"/>
          <w:sz w:val="24"/>
          <w:szCs w:val="20"/>
          <w:highlight w:val="none"/>
        </w:rPr>
      </w:pPr>
      <w:r>
        <w:rPr>
          <w:rFonts w:hint="eastAsia" w:ascii="宋体" w:hAnsi="宋体"/>
          <w:color w:val="auto"/>
          <w:sz w:val="24"/>
          <w:highlight w:val="none"/>
          <w:lang w:val="en-US" w:eastAsia="zh-CN"/>
        </w:rPr>
        <w:t>2、</w:t>
      </w:r>
      <w:r>
        <w:rPr>
          <w:rFonts w:hint="eastAsia" w:ascii="宋体" w:hAnsi="宋体" w:cs="宋体"/>
          <w:color w:val="auto"/>
          <w:sz w:val="24"/>
          <w:highlight w:val="none"/>
        </w:rPr>
        <w:t>交付地点</w:t>
      </w:r>
      <w:r>
        <w:rPr>
          <w:rFonts w:hint="eastAsia" w:ascii="宋体" w:hAnsi="宋体"/>
          <w:color w:val="auto"/>
          <w:sz w:val="24"/>
          <w:highlight w:val="none"/>
        </w:rPr>
        <w:t>：采购人指定地点。</w:t>
      </w:r>
    </w:p>
    <w:p>
      <w:pPr>
        <w:numPr>
          <w:ilvl w:val="0"/>
          <w:numId w:val="0"/>
        </w:numPr>
        <w:tabs>
          <w:tab w:val="left" w:pos="0"/>
        </w:tabs>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质量要求：符合现行国家标准或行业标准</w:t>
      </w:r>
      <w:r>
        <w:rPr>
          <w:rFonts w:hint="eastAsia" w:hAnsi="宋体" w:cs="宋体"/>
          <w:color w:val="auto"/>
          <w:sz w:val="24"/>
          <w:highlight w:val="none"/>
        </w:rPr>
        <w:t>、技术规范</w:t>
      </w:r>
      <w:r>
        <w:rPr>
          <w:rFonts w:hint="eastAsia" w:ascii="宋体" w:hAnsi="宋体" w:cs="宋体"/>
          <w:color w:val="auto"/>
          <w:sz w:val="24"/>
          <w:highlight w:val="none"/>
        </w:rPr>
        <w:t>规定。</w:t>
      </w:r>
    </w:p>
    <w:p>
      <w:pPr>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2"/>
        <w:rPr>
          <w:rFonts w:hint="eastAsia" w:ascii="仿宋" w:hAnsi="仿宋" w:eastAsia="仿宋" w:cs="仿宋"/>
          <w:b/>
          <w:bCs/>
        </w:rPr>
      </w:pPr>
    </w:p>
    <w:p>
      <w:pPr>
        <w:pStyle w:val="16"/>
        <w:rPr>
          <w:rFonts w:hint="eastAsia" w:ascii="仿宋" w:hAnsi="仿宋" w:eastAsia="仿宋" w:cs="仿宋"/>
          <w:b/>
          <w:bCs/>
        </w:rPr>
      </w:pPr>
      <w:r>
        <w:rPr>
          <w:rFonts w:hint="eastAsia" w:ascii="仿宋" w:hAnsi="仿宋" w:eastAsia="仿宋" w:cs="仿宋"/>
          <w:b/>
          <w:bCs/>
        </w:rPr>
        <w:t>第四章    合同条款及合同格式</w:t>
      </w:r>
      <w:bookmarkEnd w:id="265"/>
      <w:bookmarkEnd w:id="266"/>
      <w:bookmarkEnd w:id="267"/>
    </w:p>
    <w:p>
      <w:pPr>
        <w:tabs>
          <w:tab w:val="left" w:pos="720"/>
        </w:tabs>
        <w:spacing w:line="360" w:lineRule="auto"/>
        <w:rPr>
          <w:rFonts w:hint="eastAsia" w:ascii="仿宋" w:hAnsi="仿宋" w:eastAsia="仿宋" w:cs="仿宋"/>
          <w:b/>
          <w:bCs/>
          <w:color w:val="000000"/>
          <w:sz w:val="24"/>
        </w:rPr>
      </w:pPr>
    </w:p>
    <w:p>
      <w:pPr>
        <w:adjustRightInd w:val="0"/>
        <w:snapToGrid w:val="0"/>
        <w:spacing w:line="360" w:lineRule="auto"/>
        <w:rPr>
          <w:rFonts w:hint="eastAsia" w:ascii="仿宋" w:hAnsi="仿宋" w:eastAsia="仿宋" w:cs="仿宋"/>
          <w:b/>
          <w:bCs/>
          <w:color w:val="000000"/>
          <w:sz w:val="24"/>
        </w:rPr>
      </w:pPr>
      <w:bookmarkStart w:id="270" w:name="_Toc381600239"/>
    </w:p>
    <w:p>
      <w:pPr>
        <w:pStyle w:val="2"/>
        <w:rPr>
          <w:rFonts w:hint="eastAsia" w:ascii="仿宋" w:hAnsi="仿宋" w:eastAsia="仿宋" w:cs="仿宋"/>
          <w:b/>
          <w:bCs/>
          <w:color w:val="000000"/>
          <w:sz w:val="24"/>
        </w:rPr>
      </w:pPr>
    </w:p>
    <w:p>
      <w:pPr>
        <w:pStyle w:val="2"/>
        <w:rPr>
          <w:rFonts w:hint="eastAsia" w:ascii="仿宋" w:hAnsi="仿宋" w:eastAsia="仿宋" w:cs="仿宋"/>
          <w:b/>
          <w:bCs/>
          <w:color w:val="000000"/>
          <w:sz w:val="24"/>
        </w:rPr>
      </w:pPr>
    </w:p>
    <w:p>
      <w:pPr>
        <w:pStyle w:val="2"/>
        <w:rPr>
          <w:rFonts w:hint="eastAsia" w:ascii="仿宋" w:hAnsi="仿宋" w:eastAsia="仿宋" w:cs="仿宋"/>
          <w:b/>
          <w:bCs/>
          <w:color w:val="000000"/>
          <w:sz w:val="24"/>
        </w:rPr>
      </w:pPr>
    </w:p>
    <w:p>
      <w:pPr>
        <w:adjustRightInd w:val="0"/>
        <w:snapToGrid w:val="0"/>
        <w:spacing w:line="360" w:lineRule="auto"/>
        <w:rPr>
          <w:rFonts w:hint="eastAsia" w:ascii="仿宋" w:hAnsi="仿宋" w:eastAsia="仿宋" w:cs="仿宋"/>
          <w:b/>
          <w:bCs/>
          <w:color w:val="000000"/>
          <w:sz w:val="84"/>
          <w:szCs w:val="84"/>
        </w:rPr>
      </w:pPr>
    </w:p>
    <w:p>
      <w:pPr>
        <w:pStyle w:val="2"/>
        <w:rPr>
          <w:rFonts w:hint="eastAsia" w:ascii="仿宋" w:hAnsi="仿宋" w:eastAsia="仿宋" w:cs="仿宋"/>
          <w:b/>
          <w:bCs/>
          <w:color w:val="000000"/>
          <w:sz w:val="84"/>
          <w:szCs w:val="84"/>
        </w:rPr>
      </w:pPr>
    </w:p>
    <w:p>
      <w:pPr>
        <w:pStyle w:val="2"/>
        <w:rPr>
          <w:rFonts w:hint="eastAsia" w:ascii="仿宋" w:hAnsi="仿宋" w:eastAsia="仿宋" w:cs="仿宋"/>
          <w:b/>
          <w:bCs/>
          <w:color w:val="000000"/>
          <w:sz w:val="84"/>
          <w:szCs w:val="84"/>
        </w:rPr>
      </w:pPr>
    </w:p>
    <w:p>
      <w:pPr>
        <w:pStyle w:val="2"/>
        <w:rPr>
          <w:rFonts w:hint="eastAsia" w:ascii="仿宋" w:hAnsi="仿宋" w:eastAsia="仿宋" w:cs="仿宋"/>
          <w:b/>
          <w:bCs/>
          <w:color w:val="000000"/>
          <w:sz w:val="84"/>
          <w:szCs w:val="84"/>
        </w:rPr>
      </w:pPr>
    </w:p>
    <w:p>
      <w:pPr>
        <w:adjustRightInd w:val="0"/>
        <w:snapToGrid w:val="0"/>
        <w:spacing w:line="360" w:lineRule="auto"/>
        <w:jc w:val="center"/>
        <w:rPr>
          <w:rFonts w:hint="eastAsia" w:ascii="仿宋" w:hAnsi="仿宋" w:eastAsia="仿宋" w:cs="仿宋"/>
          <w:b/>
          <w:bCs/>
          <w:color w:val="000000"/>
          <w:sz w:val="84"/>
          <w:szCs w:val="84"/>
        </w:rPr>
      </w:pPr>
    </w:p>
    <w:p>
      <w:pPr>
        <w:adjustRightInd w:val="0"/>
        <w:snapToGrid w:val="0"/>
        <w:spacing w:line="360" w:lineRule="auto"/>
        <w:jc w:val="center"/>
        <w:rPr>
          <w:rFonts w:hint="eastAsia" w:ascii="仿宋" w:hAnsi="仿宋" w:eastAsia="仿宋" w:cs="仿宋"/>
          <w:b/>
          <w:bCs/>
          <w:color w:val="000000"/>
          <w:sz w:val="84"/>
          <w:szCs w:val="84"/>
        </w:rPr>
      </w:pPr>
    </w:p>
    <w:p>
      <w:pPr>
        <w:adjustRightInd w:val="0"/>
        <w:snapToGrid w:val="0"/>
        <w:spacing w:line="360" w:lineRule="auto"/>
        <w:ind w:firstLine="1687" w:firstLineChars="200"/>
        <w:jc w:val="both"/>
        <w:rPr>
          <w:rFonts w:hint="eastAsia" w:ascii="仿宋" w:hAnsi="仿宋" w:eastAsia="仿宋" w:cs="仿宋"/>
          <w:b/>
          <w:bCs/>
          <w:color w:val="000000"/>
          <w:sz w:val="84"/>
          <w:szCs w:val="84"/>
          <w:u w:val="single"/>
        </w:rPr>
      </w:pPr>
      <w:r>
        <w:rPr>
          <w:rFonts w:hint="eastAsia" w:ascii="仿宋" w:hAnsi="仿宋" w:eastAsia="仿宋" w:cs="仿宋"/>
          <w:b/>
          <w:bCs/>
          <w:color w:val="000000"/>
          <w:sz w:val="84"/>
          <w:szCs w:val="84"/>
        </w:rPr>
        <w:t>政府采购合同</w:t>
      </w:r>
    </w:p>
    <w:p>
      <w:pPr>
        <w:adjustRightInd w:val="0"/>
        <w:snapToGrid w:val="0"/>
        <w:spacing w:line="360" w:lineRule="auto"/>
        <w:rPr>
          <w:rFonts w:hint="eastAsia" w:ascii="仿宋" w:hAnsi="仿宋" w:eastAsia="仿宋" w:cs="仿宋"/>
          <w:b/>
          <w:bCs/>
          <w:color w:val="000000"/>
          <w:sz w:val="28"/>
          <w:szCs w:val="28"/>
        </w:rPr>
      </w:pPr>
    </w:p>
    <w:p>
      <w:pPr>
        <w:adjustRightInd w:val="0"/>
        <w:snapToGrid w:val="0"/>
        <w:spacing w:line="360" w:lineRule="auto"/>
        <w:rPr>
          <w:rFonts w:hint="eastAsia" w:ascii="仿宋" w:hAnsi="仿宋" w:eastAsia="仿宋" w:cs="仿宋"/>
          <w:b/>
          <w:bCs/>
          <w:color w:val="000000"/>
          <w:sz w:val="28"/>
          <w:szCs w:val="28"/>
        </w:rPr>
      </w:pPr>
    </w:p>
    <w:p>
      <w:pPr>
        <w:adjustRightInd w:val="0"/>
        <w:snapToGrid w:val="0"/>
        <w:spacing w:line="360" w:lineRule="auto"/>
        <w:rPr>
          <w:rFonts w:hint="eastAsia" w:ascii="仿宋" w:hAnsi="仿宋" w:eastAsia="仿宋" w:cs="仿宋"/>
          <w:b/>
          <w:bCs/>
          <w:color w:val="000000"/>
          <w:sz w:val="28"/>
          <w:szCs w:val="28"/>
        </w:rPr>
      </w:pPr>
    </w:p>
    <w:p>
      <w:pPr>
        <w:pStyle w:val="2"/>
        <w:rPr>
          <w:rFonts w:hint="eastAsia"/>
        </w:rPr>
      </w:pPr>
    </w:p>
    <w:p>
      <w:pPr>
        <w:adjustRightInd w:val="0"/>
        <w:snapToGrid w:val="0"/>
        <w:spacing w:line="360" w:lineRule="auto"/>
        <w:rPr>
          <w:rFonts w:hint="eastAsia" w:ascii="仿宋" w:hAnsi="仿宋" w:eastAsia="仿宋" w:cs="仿宋"/>
          <w:b/>
          <w:bCs/>
          <w:color w:val="000000"/>
          <w:sz w:val="28"/>
          <w:szCs w:val="28"/>
        </w:rPr>
      </w:pPr>
    </w:p>
    <w:p>
      <w:pPr>
        <w:adjustRightInd w:val="0"/>
        <w:snapToGrid w:val="0"/>
        <w:spacing w:line="360" w:lineRule="auto"/>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adjustRightInd w:val="0"/>
        <w:snapToGrid w:val="0"/>
        <w:spacing w:line="360" w:lineRule="auto"/>
        <w:rPr>
          <w:rFonts w:hint="eastAsia" w:ascii="仿宋" w:hAnsi="仿宋" w:eastAsia="仿宋" w:cs="仿宋"/>
          <w:b/>
          <w:bCs/>
          <w:color w:val="000000"/>
          <w:sz w:val="28"/>
          <w:szCs w:val="28"/>
        </w:rPr>
      </w:pP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项目编号：</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eastAsia="zh-CN"/>
        </w:rPr>
        <w:t>GZ2020015-LNSWDQ</w:t>
      </w:r>
      <w:r>
        <w:rPr>
          <w:rFonts w:hint="eastAsia" w:ascii="仿宋" w:hAnsi="仿宋" w:eastAsia="仿宋" w:cs="仿宋"/>
          <w:b/>
          <w:bCs/>
          <w:sz w:val="28"/>
          <w:szCs w:val="28"/>
          <w:u w:val="single"/>
        </w:rPr>
        <w:t xml:space="preserve"> </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rPr>
        <w:t xml:space="preserve">                 </w:t>
      </w: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合同编号：</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rPr>
        <w:t xml:space="preserve">             </w:t>
      </w:r>
    </w:p>
    <w:p>
      <w:pPr>
        <w:adjustRightInd w:val="0"/>
        <w:snapToGrid w:val="0"/>
        <w:spacing w:line="360" w:lineRule="auto"/>
        <w:ind w:firstLine="1687" w:firstLineChars="600"/>
        <w:rPr>
          <w:rFonts w:hint="eastAsia" w:ascii="仿宋" w:hAnsi="仿宋" w:eastAsia="仿宋" w:cs="仿宋"/>
          <w:b/>
          <w:bCs/>
          <w:color w:val="000000"/>
          <w:sz w:val="28"/>
          <w:szCs w:val="28"/>
          <w:u w:val="single"/>
        </w:rPr>
      </w:pPr>
      <w:r>
        <w:rPr>
          <w:rFonts w:hint="eastAsia" w:ascii="仿宋" w:hAnsi="仿宋" w:eastAsia="仿宋" w:cs="仿宋"/>
          <w:b/>
          <w:bCs/>
          <w:color w:val="000000"/>
          <w:sz w:val="28"/>
          <w:szCs w:val="28"/>
        </w:rPr>
        <w:t>采购单位：</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eastAsia="zh-CN"/>
        </w:rPr>
        <w:t>陇南市武都区教育局</w:t>
      </w:r>
      <w:r>
        <w:rPr>
          <w:rFonts w:hint="eastAsia" w:ascii="仿宋" w:hAnsi="仿宋" w:eastAsia="仿宋" w:cs="仿宋"/>
          <w:b/>
          <w:bCs/>
          <w:color w:val="000000"/>
          <w:sz w:val="28"/>
          <w:szCs w:val="28"/>
          <w:u w:val="single"/>
          <w:lang w:val="en-US" w:eastAsia="zh-CN"/>
        </w:rPr>
        <w:t xml:space="preserve">      </w:t>
      </w:r>
      <w:r>
        <w:rPr>
          <w:rFonts w:hint="eastAsia" w:ascii="仿宋" w:hAnsi="仿宋" w:eastAsia="仿宋" w:cs="仿宋"/>
          <w:b/>
          <w:bCs/>
          <w:color w:val="000000"/>
          <w:sz w:val="28"/>
          <w:szCs w:val="28"/>
          <w:u w:val="single"/>
        </w:rPr>
        <w:t xml:space="preserve">  </w:t>
      </w: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供 应 商：</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rPr>
        <w:t xml:space="preserve">               </w:t>
      </w: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代理机构：</w:t>
      </w:r>
      <w:r>
        <w:rPr>
          <w:rFonts w:hint="eastAsia" w:ascii="仿宋" w:hAnsi="仿宋" w:eastAsia="仿宋" w:cs="仿宋"/>
          <w:b/>
          <w:bCs/>
          <w:color w:val="000000"/>
          <w:sz w:val="28"/>
          <w:szCs w:val="28"/>
          <w:u w:val="single"/>
        </w:rPr>
        <w:t xml:space="preserve">     甘肃省招标中心有限公司      </w:t>
      </w: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                    </w:t>
      </w:r>
    </w:p>
    <w:p>
      <w:pPr>
        <w:adjustRightInd w:val="0"/>
        <w:snapToGrid w:val="0"/>
        <w:spacing w:line="360" w:lineRule="auto"/>
        <w:ind w:firstLine="1687" w:firstLineChars="600"/>
        <w:rPr>
          <w:rFonts w:hint="eastAsia" w:ascii="仿宋" w:hAnsi="仿宋" w:eastAsia="仿宋" w:cs="仿宋"/>
          <w:b/>
          <w:bCs/>
          <w:color w:val="000000"/>
          <w:sz w:val="28"/>
          <w:szCs w:val="28"/>
        </w:rPr>
      </w:pPr>
    </w:p>
    <w:p>
      <w:pPr>
        <w:adjustRightInd w:val="0"/>
        <w:snapToGrid w:val="0"/>
        <w:spacing w:line="360" w:lineRule="auto"/>
        <w:ind w:firstLine="1687" w:firstLineChars="6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   </w:t>
      </w:r>
    </w:p>
    <w:p>
      <w:pPr>
        <w:pStyle w:val="2"/>
        <w:rPr>
          <w:rFonts w:hint="eastAsia" w:ascii="仿宋" w:hAnsi="仿宋" w:eastAsia="仿宋" w:cs="仿宋"/>
          <w:b/>
          <w:bCs/>
          <w:color w:val="000000"/>
          <w:sz w:val="28"/>
          <w:szCs w:val="28"/>
        </w:rPr>
      </w:pPr>
    </w:p>
    <w:p>
      <w:pPr>
        <w:pStyle w:val="2"/>
        <w:rPr>
          <w:rFonts w:hint="eastAsia" w:ascii="仿宋" w:hAnsi="仿宋" w:eastAsia="仿宋" w:cs="仿宋"/>
          <w:b/>
          <w:bCs/>
          <w:color w:val="000000"/>
          <w:sz w:val="28"/>
          <w:szCs w:val="28"/>
        </w:rPr>
      </w:pPr>
    </w:p>
    <w:p>
      <w:pPr>
        <w:adjustRightInd w:val="0"/>
        <w:snapToGrid w:val="0"/>
        <w:spacing w:line="600" w:lineRule="exact"/>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政 府 采 购 合 同</w:t>
      </w:r>
    </w:p>
    <w:p>
      <w:pPr>
        <w:adjustRightInd w:val="0"/>
        <w:snapToGrid w:val="0"/>
        <w:spacing w:line="60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（格 式）</w:t>
      </w:r>
    </w:p>
    <w:p>
      <w:pPr>
        <w:adjustRightInd w:val="0"/>
        <w:snapToGrid w:val="0"/>
        <w:spacing w:line="600" w:lineRule="exact"/>
        <w:jc w:val="center"/>
        <w:rPr>
          <w:rFonts w:hint="eastAsia" w:ascii="仿宋" w:hAnsi="仿宋" w:eastAsia="仿宋" w:cs="仿宋"/>
          <w:b/>
          <w:bCs/>
          <w:color w:val="000000"/>
          <w:sz w:val="32"/>
          <w:szCs w:val="32"/>
        </w:rPr>
      </w:pPr>
    </w:p>
    <w:p>
      <w:pPr>
        <w:adjustRightInd w:val="0"/>
        <w:snapToGrid w:val="0"/>
        <w:spacing w:line="480" w:lineRule="auto"/>
        <w:rPr>
          <w:rFonts w:hint="eastAsia" w:ascii="仿宋" w:hAnsi="仿宋" w:eastAsia="仿宋" w:cs="仿宋"/>
          <w:b/>
          <w:bCs/>
          <w:color w:val="000000"/>
          <w:sz w:val="24"/>
          <w:u w:val="single"/>
        </w:rPr>
      </w:pPr>
      <w:r>
        <w:rPr>
          <w:rFonts w:hint="eastAsia" w:ascii="仿宋" w:hAnsi="仿宋" w:eastAsia="仿宋" w:cs="仿宋"/>
          <w:b/>
          <w:bCs/>
          <w:color w:val="000000"/>
          <w:sz w:val="24"/>
        </w:rPr>
        <w:t>甲方（采购人）：</w:t>
      </w:r>
      <w:r>
        <w:rPr>
          <w:rFonts w:hint="eastAsia" w:ascii="仿宋" w:hAnsi="仿宋" w:eastAsia="仿宋" w:cs="仿宋"/>
          <w:b/>
          <w:bCs/>
          <w:color w:val="000000"/>
          <w:sz w:val="24"/>
          <w:u w:val="single"/>
          <w:lang w:eastAsia="zh-CN"/>
        </w:rPr>
        <w:t>陇南市武都区教育局</w:t>
      </w:r>
      <w:r>
        <w:rPr>
          <w:rFonts w:hint="eastAsia" w:ascii="仿宋" w:hAnsi="仿宋" w:eastAsia="仿宋" w:cs="仿宋"/>
          <w:b/>
          <w:bCs/>
          <w:color w:val="000000"/>
          <w:sz w:val="24"/>
          <w:u w:val="single"/>
        </w:rPr>
        <w:t xml:space="preserve">        </w:t>
      </w:r>
    </w:p>
    <w:p>
      <w:pPr>
        <w:adjustRightInd w:val="0"/>
        <w:snapToGrid w:val="0"/>
        <w:spacing w:line="480" w:lineRule="auto"/>
        <w:rPr>
          <w:rFonts w:hint="eastAsia" w:ascii="仿宋" w:hAnsi="仿宋" w:eastAsia="仿宋" w:cs="仿宋"/>
          <w:b/>
          <w:bCs/>
          <w:color w:val="000000"/>
          <w:sz w:val="24"/>
          <w:u w:val="single"/>
        </w:rPr>
      </w:pPr>
      <w:r>
        <w:rPr>
          <w:rFonts w:hint="eastAsia" w:ascii="仿宋" w:hAnsi="仿宋" w:eastAsia="仿宋" w:cs="仿宋"/>
          <w:b/>
          <w:bCs/>
          <w:color w:val="000000"/>
          <w:sz w:val="24"/>
        </w:rPr>
        <w:t>乙方（供应商）：</w:t>
      </w:r>
      <w:r>
        <w:rPr>
          <w:rFonts w:hint="eastAsia" w:ascii="仿宋" w:hAnsi="仿宋" w:eastAsia="仿宋" w:cs="仿宋"/>
          <w:b/>
          <w:bCs/>
          <w:color w:val="000000"/>
          <w:sz w:val="24"/>
          <w:u w:val="single"/>
        </w:rPr>
        <w:t xml:space="preserve">                            </w:t>
      </w:r>
    </w:p>
    <w:p>
      <w:pPr>
        <w:spacing w:line="360" w:lineRule="auto"/>
        <w:jc w:val="left"/>
        <w:rPr>
          <w:rFonts w:hint="eastAsia" w:ascii="仿宋" w:hAnsi="仿宋" w:eastAsia="仿宋" w:cs="仿宋"/>
          <w:b/>
          <w:bCs/>
          <w:sz w:val="24"/>
          <w:u w:val="single"/>
        </w:rPr>
      </w:pPr>
      <w:r>
        <w:rPr>
          <w:rFonts w:hint="eastAsia" w:ascii="仿宋" w:hAnsi="仿宋" w:eastAsia="仿宋" w:cs="仿宋"/>
          <w:b/>
          <w:bCs/>
          <w:color w:val="000000"/>
          <w:sz w:val="24"/>
        </w:rPr>
        <w:t xml:space="preserve">    根据</w:t>
      </w:r>
      <w:r>
        <w:rPr>
          <w:rFonts w:hint="eastAsia" w:ascii="仿宋" w:hAnsi="仿宋" w:eastAsia="仿宋" w:cs="仿宋"/>
          <w:b/>
          <w:bCs/>
          <w:color w:val="000000"/>
          <w:sz w:val="24"/>
          <w:u w:val="single"/>
        </w:rPr>
        <w:t>陇南市武都区教育局利用2019-2020年义务教育薄弱环节改善与能力提升结余资金采购多媒体教室设备项目</w:t>
      </w:r>
      <w:r>
        <w:rPr>
          <w:rFonts w:hint="eastAsia" w:ascii="仿宋" w:hAnsi="仿宋" w:eastAsia="仿宋" w:cs="仿宋"/>
          <w:b/>
          <w:bCs/>
          <w:color w:val="000000"/>
          <w:sz w:val="24"/>
        </w:rPr>
        <w:t>的采购结果，按照《中华人民共和国政府采购法》、《中华人民共和国合同法》的规定，</w:t>
      </w:r>
      <w:r>
        <w:rPr>
          <w:rFonts w:hint="eastAsia" w:ascii="仿宋" w:hAnsi="仿宋" w:eastAsia="仿宋" w:cs="仿宋"/>
          <w:b/>
          <w:bCs/>
          <w:color w:val="000000"/>
          <w:kern w:val="28"/>
          <w:sz w:val="24"/>
        </w:rPr>
        <w:t>经双方协商，</w:t>
      </w:r>
      <w:r>
        <w:rPr>
          <w:rFonts w:hint="eastAsia" w:ascii="仿宋" w:hAnsi="仿宋" w:eastAsia="仿宋" w:cs="仿宋"/>
          <w:b/>
          <w:bCs/>
          <w:color w:val="000000"/>
          <w:sz w:val="24"/>
        </w:rPr>
        <w:t>本着平等互利和诚实信用的原则，</w:t>
      </w:r>
      <w:r>
        <w:rPr>
          <w:rFonts w:hint="eastAsia" w:ascii="仿宋" w:hAnsi="仿宋" w:eastAsia="仿宋" w:cs="仿宋"/>
          <w:b/>
          <w:bCs/>
          <w:color w:val="000000"/>
          <w:kern w:val="28"/>
          <w:sz w:val="24"/>
        </w:rPr>
        <w:t>一致同意签订本合同如下。</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一、服务方案内容：</w:t>
      </w:r>
    </w:p>
    <w:p>
      <w:pPr>
        <w:adjustRightInd w:val="0"/>
        <w:snapToGrid w:val="0"/>
        <w:spacing w:line="600" w:lineRule="exact"/>
        <w:ind w:firstLine="116" w:firstLineChars="50"/>
        <w:rPr>
          <w:rFonts w:hint="eastAsia" w:ascii="仿宋" w:hAnsi="仿宋" w:eastAsia="仿宋" w:cs="仿宋"/>
          <w:b/>
          <w:bCs/>
          <w:color w:val="000000"/>
          <w:spacing w:val="-4"/>
          <w:sz w:val="24"/>
        </w:rPr>
      </w:pPr>
      <w:r>
        <w:rPr>
          <w:rFonts w:hint="eastAsia" w:ascii="仿宋" w:hAnsi="仿宋" w:eastAsia="仿宋" w:cs="仿宋"/>
          <w:b/>
          <w:bCs/>
          <w:color w:val="000000"/>
          <w:spacing w:val="-4"/>
          <w:sz w:val="24"/>
        </w:rPr>
        <w:t>合同总额包括完成采购范围内相关伴随服务等全过程的费用等。</w:t>
      </w:r>
    </w:p>
    <w:p>
      <w:pPr>
        <w:adjustRightInd w:val="0"/>
        <w:snapToGrid w:val="0"/>
        <w:spacing w:line="600" w:lineRule="exact"/>
        <w:ind w:firstLine="120" w:firstLineChars="50"/>
        <w:rPr>
          <w:rFonts w:hint="eastAsia" w:ascii="仿宋" w:hAnsi="仿宋" w:eastAsia="仿宋" w:cs="仿宋"/>
          <w:b/>
          <w:bCs/>
          <w:color w:val="000000"/>
          <w:spacing w:val="-4"/>
          <w:sz w:val="24"/>
        </w:rPr>
      </w:pPr>
      <w:r>
        <w:rPr>
          <w:rFonts w:hint="eastAsia" w:ascii="仿宋" w:hAnsi="仿宋" w:eastAsia="仿宋" w:cs="仿宋"/>
          <w:b/>
          <w:bCs/>
          <w:color w:val="000000"/>
          <w:sz w:val="24"/>
        </w:rPr>
        <w:t>注：货物名称内容必须与《招标文件》中货物名称内容一致。</w:t>
      </w:r>
    </w:p>
    <w:p>
      <w:pPr>
        <w:adjustRightInd w:val="0"/>
        <w:snapToGrid w:val="0"/>
        <w:spacing w:line="600" w:lineRule="exact"/>
        <w:rPr>
          <w:rFonts w:hint="eastAsia" w:ascii="仿宋" w:hAnsi="仿宋" w:eastAsia="仿宋" w:cs="仿宋"/>
          <w:b/>
          <w:bCs/>
          <w:color w:val="000000"/>
          <w:spacing w:val="-4"/>
          <w:sz w:val="24"/>
        </w:rPr>
      </w:pPr>
      <w:r>
        <w:rPr>
          <w:rFonts w:hint="eastAsia" w:ascii="仿宋" w:hAnsi="仿宋" w:eastAsia="仿宋" w:cs="仿宋"/>
          <w:b/>
          <w:bCs/>
          <w:color w:val="000000"/>
          <w:sz w:val="24"/>
        </w:rPr>
        <w:t>二、合同金额：</w:t>
      </w:r>
    </w:p>
    <w:p>
      <w:pPr>
        <w:pStyle w:val="9"/>
        <w:adjustRightInd w:val="0"/>
        <w:snapToGrid w:val="0"/>
        <w:spacing w:line="600" w:lineRule="exact"/>
        <w:ind w:left="479" w:leftChars="228"/>
        <w:rPr>
          <w:rFonts w:hint="eastAsia" w:ascii="仿宋" w:hAnsi="仿宋" w:eastAsia="仿宋" w:cs="仿宋"/>
          <w:b/>
          <w:bCs/>
          <w:color w:val="000000"/>
          <w:sz w:val="24"/>
        </w:rPr>
      </w:pPr>
      <w:r>
        <w:rPr>
          <w:rFonts w:hint="eastAsia" w:ascii="仿宋" w:hAnsi="仿宋" w:eastAsia="仿宋" w:cs="仿宋"/>
          <w:b/>
          <w:bCs/>
          <w:color w:val="000000"/>
          <w:sz w:val="24"/>
        </w:rPr>
        <w:t>合同金额为（大写）：</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元（¥</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）人民币。</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三、服务要求：</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所有服务项为磋商招标确定的方案为准。</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四、服务期及服务地点：</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服务期：合同生效</w:t>
      </w:r>
      <w:r>
        <w:rPr>
          <w:rFonts w:hint="eastAsia" w:ascii="仿宋" w:hAnsi="仿宋" w:eastAsia="仿宋" w:cs="仿宋"/>
          <w:b/>
          <w:bCs/>
          <w:sz w:val="24"/>
        </w:rPr>
        <w:t>后</w:t>
      </w:r>
      <w:r>
        <w:rPr>
          <w:rFonts w:hint="eastAsia" w:ascii="仿宋" w:hAnsi="仿宋" w:eastAsia="仿宋" w:cs="仿宋"/>
          <w:b/>
          <w:bCs/>
          <w:sz w:val="24"/>
          <w:u w:val="single"/>
        </w:rPr>
        <w:t xml:space="preserve">     </w:t>
      </w:r>
      <w:r>
        <w:rPr>
          <w:rFonts w:hint="eastAsia" w:ascii="仿宋" w:hAnsi="仿宋" w:eastAsia="仿宋" w:cs="仿宋"/>
          <w:b/>
          <w:bCs/>
          <w:sz w:val="24"/>
        </w:rPr>
        <w:t>日内</w:t>
      </w:r>
      <w:r>
        <w:rPr>
          <w:rFonts w:hint="eastAsia" w:ascii="仿宋" w:hAnsi="仿宋" w:eastAsia="仿宋" w:cs="仿宋"/>
          <w:b/>
          <w:bCs/>
          <w:color w:val="000000"/>
          <w:sz w:val="24"/>
        </w:rPr>
        <w:t>完成以及验收。</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服务方式：</w:t>
      </w:r>
      <w:r>
        <w:rPr>
          <w:rFonts w:hint="eastAsia" w:ascii="仿宋" w:hAnsi="仿宋" w:eastAsia="仿宋" w:cs="仿宋"/>
          <w:b/>
          <w:bCs/>
          <w:color w:val="000000"/>
          <w:sz w:val="24"/>
          <w:u w:val="single"/>
        </w:rPr>
        <w:t xml:space="preserve">                         </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服务地点：</w:t>
      </w:r>
      <w:r>
        <w:rPr>
          <w:rFonts w:hint="eastAsia" w:ascii="仿宋" w:hAnsi="仿宋" w:eastAsia="仿宋" w:cs="仿宋"/>
          <w:b/>
          <w:bCs/>
          <w:color w:val="000000"/>
          <w:sz w:val="24"/>
          <w:u w:val="single"/>
        </w:rPr>
        <w:t>甲方指定地点。</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五、付款方式：</w:t>
      </w:r>
    </w:p>
    <w:p>
      <w:pPr>
        <w:adjustRightInd w:val="0"/>
        <w:snapToGrid w:val="0"/>
        <w:spacing w:line="600" w:lineRule="exact"/>
        <w:ind w:left="105" w:leftChars="50" w:firstLine="361" w:firstLineChars="150"/>
        <w:jc w:val="left"/>
        <w:rPr>
          <w:rFonts w:hint="eastAsia" w:ascii="仿宋" w:hAnsi="仿宋" w:eastAsia="仿宋" w:cs="仿宋"/>
          <w:b/>
          <w:bCs/>
          <w:color w:val="000000"/>
          <w:sz w:val="24"/>
        </w:rPr>
      </w:pPr>
      <w:r>
        <w:rPr>
          <w:rFonts w:hint="eastAsia" w:ascii="仿宋" w:hAnsi="仿宋" w:eastAsia="仿宋" w:cs="仿宋"/>
          <w:b/>
          <w:bCs/>
          <w:color w:val="000000"/>
          <w:sz w:val="24"/>
        </w:rPr>
        <w:t>合同签订后</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日内甲方支付合同价款的</w:t>
      </w:r>
      <w:r>
        <w:rPr>
          <w:rFonts w:hint="eastAsia" w:ascii="仿宋" w:hAnsi="仿宋" w:eastAsia="仿宋" w:cs="仿宋"/>
          <w:b/>
          <w:bCs/>
          <w:color w:val="000000"/>
          <w:sz w:val="24"/>
          <w:u w:val="single"/>
        </w:rPr>
        <w:t xml:space="preserve">  % </w:t>
      </w:r>
      <w:r>
        <w:rPr>
          <w:rFonts w:hint="eastAsia" w:ascii="仿宋" w:hAnsi="仿宋" w:eastAsia="仿宋" w:cs="仿宋"/>
          <w:b/>
          <w:bCs/>
          <w:color w:val="000000"/>
          <w:sz w:val="24"/>
        </w:rPr>
        <w:t>，在验收完成，没有任何问题后</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日内甲方支付合同价款的</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%一次性付清。</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甲方仅负责在上述约定时间内完成申报手续，实际付款到账时间及金额以支付单位支付时间及金额为准。甲方不承担逾期付款的违约责任，并且此情况不能成为供货商逾期交货的理由；</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乙方向甲方开具的正式发票，并提供发票复印件，方可办理相关申报支付手续。</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六、服务期要求：</w:t>
      </w:r>
    </w:p>
    <w:p>
      <w:pPr>
        <w:adjustRightInd w:val="0"/>
        <w:snapToGrid w:val="0"/>
        <w:spacing w:line="600" w:lineRule="exact"/>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本合同的服务期为</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年，服务期内，如因非人为因素发现服务问题供应商应协商解决。服务期相应顺延。如停用时间累计超过</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天则服务期重新计算。</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七、验收：</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 xml:space="preserve">若有国家标准按照国家标准验收，若无国家标准按行业标准验收。 </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验收小组按国家有关规定、规范进行验收，必要时邀请相关的专业人员或机构参与验收。</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八、违约责任与赔偿损失：</w:t>
      </w:r>
    </w:p>
    <w:p>
      <w:pPr>
        <w:tabs>
          <w:tab w:val="left" w:pos="824"/>
        </w:tabs>
        <w:adjustRightInd w:val="0"/>
        <w:snapToGrid w:val="0"/>
        <w:spacing w:line="600" w:lineRule="exact"/>
        <w:ind w:firstLine="482" w:firstLineChars="200"/>
        <w:rPr>
          <w:rFonts w:hint="eastAsia" w:ascii="仿宋" w:hAnsi="仿宋" w:eastAsia="仿宋" w:cs="仿宋"/>
          <w:b/>
          <w:bCs/>
          <w:sz w:val="24"/>
        </w:rPr>
      </w:pPr>
      <w:r>
        <w:rPr>
          <w:rFonts w:hint="eastAsia" w:ascii="仿宋" w:hAnsi="仿宋" w:eastAsia="仿宋" w:cs="仿宋"/>
          <w:b/>
          <w:bCs/>
          <w:sz w:val="24"/>
        </w:rPr>
        <w:t>乙方交纳和退付的软件不符合《招标文件》、投标文件或本合同规定的，甲方有权拒收，并且乙方须向甲方支付本合同总价</w:t>
      </w:r>
      <w:r>
        <w:rPr>
          <w:rFonts w:hint="eastAsia" w:ascii="仿宋" w:hAnsi="仿宋" w:eastAsia="仿宋" w:cs="仿宋"/>
          <w:b/>
          <w:bCs/>
          <w:sz w:val="24"/>
          <w:u w:val="single"/>
        </w:rPr>
        <w:t xml:space="preserve">      </w:t>
      </w:r>
      <w:r>
        <w:rPr>
          <w:rFonts w:hint="eastAsia" w:ascii="仿宋" w:hAnsi="仿宋" w:eastAsia="仿宋" w:cs="仿宋"/>
          <w:b/>
          <w:bCs/>
          <w:sz w:val="24"/>
        </w:rPr>
        <w:t>%的违约金。</w:t>
      </w:r>
    </w:p>
    <w:p>
      <w:pPr>
        <w:tabs>
          <w:tab w:val="left" w:pos="824"/>
        </w:tabs>
        <w:adjustRightInd w:val="0"/>
        <w:snapToGrid w:val="0"/>
        <w:spacing w:line="600" w:lineRule="exact"/>
        <w:ind w:firstLine="482" w:firstLineChars="200"/>
        <w:rPr>
          <w:rFonts w:hint="eastAsia" w:ascii="仿宋" w:hAnsi="仿宋" w:eastAsia="仿宋" w:cs="仿宋"/>
          <w:b/>
          <w:bCs/>
          <w:sz w:val="24"/>
        </w:rPr>
      </w:pPr>
      <w:r>
        <w:rPr>
          <w:rFonts w:hint="eastAsia" w:ascii="仿宋" w:hAnsi="仿宋" w:eastAsia="仿宋" w:cs="仿宋"/>
          <w:b/>
          <w:bCs/>
          <w:sz w:val="24"/>
        </w:rPr>
        <w:t>乙方未能按本合同规定的服务时间交纳和退付货物的或提供服务的，从逾期之日起每日按本合同总价</w:t>
      </w:r>
      <w:r>
        <w:rPr>
          <w:rFonts w:hint="eastAsia" w:ascii="仿宋" w:hAnsi="仿宋" w:eastAsia="仿宋" w:cs="仿宋"/>
          <w:b/>
          <w:bCs/>
          <w:sz w:val="24"/>
          <w:u w:val="single"/>
        </w:rPr>
        <w:t xml:space="preserve">  </w:t>
      </w:r>
      <w:r>
        <w:rPr>
          <w:rFonts w:hint="eastAsia" w:ascii="仿宋" w:hAnsi="仿宋" w:eastAsia="仿宋" w:cs="仿宋"/>
          <w:b/>
          <w:bCs/>
          <w:sz w:val="24"/>
        </w:rPr>
        <w:t>‰的数额向甲方支付违约金；逾期半个月以上的，甲方有权终止合同，由此造成的甲方经济损失由乙方承担。</w:t>
      </w:r>
    </w:p>
    <w:p>
      <w:pPr>
        <w:tabs>
          <w:tab w:val="left" w:pos="824"/>
        </w:tabs>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sz w:val="24"/>
        </w:rPr>
        <w:t>甲方无正当理由拒收货物或服务，到期拒付货物或服务款项的，甲方向乙方偿付本合同总价</w:t>
      </w:r>
      <w:r>
        <w:rPr>
          <w:rFonts w:hint="eastAsia" w:ascii="仿宋" w:hAnsi="仿宋" w:eastAsia="仿宋" w:cs="仿宋"/>
          <w:b/>
          <w:bCs/>
          <w:sz w:val="24"/>
          <w:u w:val="single"/>
        </w:rPr>
        <w:t xml:space="preserve">      </w:t>
      </w:r>
      <w:r>
        <w:rPr>
          <w:rFonts w:hint="eastAsia" w:ascii="仿宋" w:hAnsi="仿宋" w:eastAsia="仿宋" w:cs="仿宋"/>
          <w:b/>
          <w:bCs/>
          <w:sz w:val="24"/>
        </w:rPr>
        <w:t>% 的违约金。甲方如逾期付款，则每日按本合</w:t>
      </w:r>
      <w:r>
        <w:rPr>
          <w:rFonts w:hint="eastAsia" w:ascii="仿宋" w:hAnsi="仿宋" w:eastAsia="仿宋" w:cs="仿宋"/>
          <w:b/>
          <w:bCs/>
          <w:color w:val="000000"/>
          <w:sz w:val="24"/>
        </w:rPr>
        <w:t>同总价的</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‰向乙方偿付违约金。</w:t>
      </w:r>
    </w:p>
    <w:p>
      <w:pPr>
        <w:tabs>
          <w:tab w:val="left" w:pos="824"/>
        </w:tabs>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其它违约责任按《中华人民共和国合同法》处理。</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九、争议的解决:</w:t>
      </w:r>
    </w:p>
    <w:p>
      <w:pPr>
        <w:tabs>
          <w:tab w:val="left" w:pos="824"/>
        </w:tabs>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合同执行过程中发生的任何争议，如双方不能通过友好协商解决，按相关法律法规处理。</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十、不可抗力：</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因合同一方迟延履行合同后发生不可抗力的，不能免除迟延履行方的相应责任。</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十一、税费：</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在中国境内、外发生的与本合同执行有关的一切税费均由乙方负担。</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十二、其它:</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本合同所有附件、《招标文件》（含补充通知、澄清、答疑会议纪要等）、投标文件（含澄清等）、中标通知书均为合同的有效组成部分，与本合同具有同等法律效力。</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在执行本合同的过程中，所有经双方签署确认的文件（包括会议纪要、补充协议、往来信函）即成为本合同的有效组成部分。</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 xml:space="preserve">如一方地址、电话、传真号码有变更，应在变更当日内书面通知对方，否则，应承担相应责任。 </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除甲方事先书面同意外，乙方不得部分或全部转让其应履行的合同项下的任何责任和义务。</w:t>
      </w:r>
    </w:p>
    <w:p>
      <w:pPr>
        <w:adjustRightInd w:val="0"/>
        <w:snapToGrid w:val="0"/>
        <w:spacing w:line="600" w:lineRule="exact"/>
        <w:rPr>
          <w:rFonts w:hint="eastAsia" w:ascii="仿宋" w:hAnsi="仿宋" w:eastAsia="仿宋" w:cs="仿宋"/>
          <w:b/>
          <w:bCs/>
          <w:color w:val="000000"/>
          <w:sz w:val="24"/>
        </w:rPr>
      </w:pPr>
      <w:r>
        <w:rPr>
          <w:rFonts w:hint="eastAsia" w:ascii="仿宋" w:hAnsi="仿宋" w:eastAsia="仿宋" w:cs="仿宋"/>
          <w:b/>
          <w:bCs/>
          <w:color w:val="000000"/>
          <w:sz w:val="24"/>
        </w:rPr>
        <w:t>十三、合同生效及其他：</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本合同在甲乙双方授权代表签字盖章后生效。</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如需修改合同内容，双方应签署书面修改或补充协议，该修改协议作为本合同的一个组成部分。</w:t>
      </w:r>
    </w:p>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本合同一式</w:t>
      </w:r>
      <w:r>
        <w:rPr>
          <w:rFonts w:hint="eastAsia" w:ascii="仿宋" w:hAnsi="仿宋" w:eastAsia="仿宋" w:cs="仿宋"/>
          <w:b/>
          <w:bCs/>
          <w:color w:val="000000"/>
          <w:sz w:val="24"/>
          <w:u w:val="single"/>
        </w:rPr>
        <w:t xml:space="preserve">   四  </w:t>
      </w:r>
      <w:r>
        <w:rPr>
          <w:rFonts w:hint="eastAsia" w:ascii="仿宋" w:hAnsi="仿宋" w:eastAsia="仿宋" w:cs="仿宋"/>
          <w:b/>
          <w:bCs/>
          <w:color w:val="000000"/>
          <w:sz w:val="24"/>
        </w:rPr>
        <w:t>份，具有同等法律效力。甲、乙双方各执</w:t>
      </w:r>
      <w:r>
        <w:rPr>
          <w:rFonts w:hint="eastAsia" w:ascii="仿宋" w:hAnsi="仿宋" w:eastAsia="仿宋" w:cs="仿宋"/>
          <w:b/>
          <w:bCs/>
          <w:color w:val="000000"/>
          <w:sz w:val="24"/>
          <w:u w:val="single"/>
        </w:rPr>
        <w:t xml:space="preserve">   壹  </w:t>
      </w:r>
      <w:r>
        <w:rPr>
          <w:rFonts w:hint="eastAsia" w:ascii="仿宋" w:hAnsi="仿宋" w:eastAsia="仿宋" w:cs="仿宋"/>
          <w:b/>
          <w:bCs/>
          <w:color w:val="000000"/>
          <w:sz w:val="24"/>
        </w:rPr>
        <w:t>份，陇南市公共资源交易中心</w:t>
      </w:r>
      <w:r>
        <w:rPr>
          <w:rFonts w:hint="eastAsia" w:ascii="仿宋" w:hAnsi="仿宋" w:eastAsia="仿宋" w:cs="仿宋"/>
          <w:b/>
          <w:bCs/>
          <w:color w:val="000000"/>
          <w:sz w:val="24"/>
          <w:u w:val="single"/>
        </w:rPr>
        <w:t xml:space="preserve">   壹  </w:t>
      </w:r>
      <w:r>
        <w:rPr>
          <w:rFonts w:hint="eastAsia" w:ascii="仿宋" w:hAnsi="仿宋" w:eastAsia="仿宋" w:cs="仿宋"/>
          <w:b/>
          <w:bCs/>
          <w:color w:val="000000"/>
          <w:sz w:val="24"/>
        </w:rPr>
        <w:t>份，陇南市政府采购办</w:t>
      </w:r>
      <w:r>
        <w:rPr>
          <w:rFonts w:hint="eastAsia" w:ascii="仿宋" w:hAnsi="仿宋" w:eastAsia="仿宋" w:cs="仿宋"/>
          <w:b/>
          <w:bCs/>
          <w:color w:val="000000"/>
          <w:sz w:val="24"/>
          <w:u w:val="single"/>
        </w:rPr>
        <w:t xml:space="preserve">   壹   </w:t>
      </w:r>
      <w:r>
        <w:rPr>
          <w:rFonts w:hint="eastAsia" w:ascii="仿宋" w:hAnsi="仿宋" w:eastAsia="仿宋" w:cs="仿宋"/>
          <w:b/>
          <w:bCs/>
          <w:color w:val="000000"/>
          <w:sz w:val="24"/>
        </w:rPr>
        <w:t>份。</w:t>
      </w:r>
    </w:p>
    <w:tbl>
      <w:tblPr>
        <w:tblStyle w:val="17"/>
        <w:tblpPr w:leftFromText="180" w:rightFromText="180" w:vertAnchor="text" w:horzAnchor="margin" w:tblpY="160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4524" w:type="dxa"/>
            <w:vAlign w:val="center"/>
          </w:tcPr>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甲方：</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盖章：</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地址：</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电话：</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传真：</w:t>
            </w:r>
          </w:p>
        </w:tc>
        <w:tc>
          <w:tcPr>
            <w:tcW w:w="4592" w:type="dxa"/>
            <w:vAlign w:val="center"/>
          </w:tcPr>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 xml:space="preserve">乙方： </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盖章：</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地址：</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 xml:space="preserve">电话： </w:t>
            </w:r>
          </w:p>
          <w:p>
            <w:pPr>
              <w:adjustRightInd w:val="0"/>
              <w:snapToGrid w:val="0"/>
              <w:spacing w:after="120" w:afterLines="50"/>
              <w:rPr>
                <w:rFonts w:hint="eastAsia" w:ascii="仿宋" w:hAnsi="仿宋" w:eastAsia="仿宋" w:cs="仿宋"/>
                <w:b/>
                <w:bCs/>
                <w:color w:val="000000"/>
                <w:szCs w:val="21"/>
              </w:rPr>
            </w:pPr>
            <w:r>
              <w:rPr>
                <w:rFonts w:hint="eastAsia" w:ascii="仿宋" w:hAnsi="仿宋" w:eastAsia="仿宋" w:cs="仿宋"/>
                <w:b/>
                <w:bCs/>
                <w:color w:val="00000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exact"/>
        </w:trPr>
        <w:tc>
          <w:tcPr>
            <w:tcW w:w="4524" w:type="dxa"/>
            <w:vAlign w:val="center"/>
          </w:tcPr>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法定代表人：</w:t>
            </w:r>
          </w:p>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被授权人：</w:t>
            </w:r>
          </w:p>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日    期：</w:t>
            </w:r>
          </w:p>
        </w:tc>
        <w:tc>
          <w:tcPr>
            <w:tcW w:w="4592" w:type="dxa"/>
            <w:vAlign w:val="center"/>
          </w:tcPr>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法定代表人：</w:t>
            </w:r>
          </w:p>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被授权人：</w:t>
            </w:r>
          </w:p>
          <w:p>
            <w:pPr>
              <w:adjustRightInd w:val="0"/>
              <w:snapToGrid w:val="0"/>
              <w:spacing w:after="120" w:afterLines="50" w:line="276" w:lineRule="auto"/>
              <w:rPr>
                <w:rFonts w:hint="eastAsia" w:ascii="仿宋" w:hAnsi="仿宋" w:eastAsia="仿宋" w:cs="仿宋"/>
                <w:b/>
                <w:bCs/>
                <w:color w:val="000000"/>
                <w:szCs w:val="21"/>
              </w:rPr>
            </w:pPr>
            <w:r>
              <w:rPr>
                <w:rFonts w:hint="eastAsia" w:ascii="仿宋" w:hAnsi="仿宋" w:eastAsia="仿宋" w:cs="仿宋"/>
                <w:b/>
                <w:bCs/>
                <w:color w:val="000000"/>
                <w:szCs w:val="21"/>
              </w:rPr>
              <w:t>日    期：</w:t>
            </w:r>
          </w:p>
        </w:tc>
      </w:tr>
    </w:tbl>
    <w:p>
      <w:pPr>
        <w:adjustRightInd w:val="0"/>
        <w:snapToGrid w:val="0"/>
        <w:spacing w:line="600" w:lineRule="exact"/>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注：本合同中主要条款必须全部响应，但格式仅作为参考文本，合同签订双方可根据项目的具体要求进行修订。</w:t>
      </w:r>
    </w:p>
    <w:p>
      <w:pPr>
        <w:pStyle w:val="16"/>
        <w:rPr>
          <w:rFonts w:hint="eastAsia" w:ascii="仿宋" w:hAnsi="仿宋" w:eastAsia="仿宋" w:cs="仿宋"/>
          <w:b/>
          <w:bCs/>
        </w:rPr>
      </w:pPr>
      <w:bookmarkStart w:id="271" w:name="_Toc397953710"/>
    </w:p>
    <w:p>
      <w:pPr>
        <w:pStyle w:val="16"/>
        <w:rPr>
          <w:rFonts w:hint="eastAsia" w:ascii="仿宋" w:hAnsi="仿宋" w:eastAsia="仿宋" w:cs="仿宋"/>
          <w:b/>
          <w:bCs/>
        </w:rPr>
      </w:pPr>
    </w:p>
    <w:p>
      <w:pPr>
        <w:pStyle w:val="16"/>
        <w:rPr>
          <w:rFonts w:hint="eastAsia" w:ascii="仿宋" w:hAnsi="仿宋" w:eastAsia="仿宋" w:cs="仿宋"/>
          <w:b/>
          <w:bCs/>
        </w:rPr>
      </w:pPr>
    </w:p>
    <w:p>
      <w:pPr>
        <w:pStyle w:val="16"/>
        <w:jc w:val="both"/>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pStyle w:val="16"/>
        <w:rPr>
          <w:rFonts w:hint="eastAsia" w:ascii="仿宋" w:hAnsi="仿宋" w:eastAsia="仿宋" w:cs="仿宋"/>
          <w:b/>
          <w:bCs/>
        </w:rPr>
      </w:pPr>
      <w:bookmarkStart w:id="272" w:name="_Toc13841"/>
      <w:r>
        <w:rPr>
          <w:rFonts w:hint="eastAsia" w:ascii="仿宋" w:hAnsi="仿宋" w:eastAsia="仿宋" w:cs="仿宋"/>
          <w:b/>
          <w:bCs/>
        </w:rPr>
        <w:t>第五章</w:t>
      </w:r>
      <w:bookmarkEnd w:id="270"/>
      <w:r>
        <w:rPr>
          <w:rFonts w:hint="eastAsia" w:ascii="仿宋" w:hAnsi="仿宋" w:eastAsia="仿宋" w:cs="仿宋"/>
          <w:b/>
          <w:bCs/>
        </w:rPr>
        <w:t xml:space="preserve">   竞争性磋商响应性文件格式</w:t>
      </w:r>
      <w:bookmarkEnd w:id="271"/>
      <w:bookmarkEnd w:id="272"/>
    </w:p>
    <w:p>
      <w:pPr>
        <w:pStyle w:val="3"/>
        <w:ind w:leftChars="0" w:right="210"/>
        <w:rPr>
          <w:rFonts w:hint="eastAsia" w:ascii="仿宋" w:hAnsi="仿宋" w:eastAsia="仿宋" w:cs="仿宋"/>
          <w:b/>
          <w:bCs/>
        </w:rPr>
      </w:pPr>
      <w:bookmarkStart w:id="273" w:name="_Toc397953711"/>
      <w:bookmarkStart w:id="274" w:name="_Toc274816744"/>
      <w:bookmarkStart w:id="275" w:name="_Toc3453"/>
      <w:bookmarkStart w:id="276" w:name="_Toc229198098"/>
      <w:r>
        <w:rPr>
          <w:rFonts w:hint="eastAsia" w:ascii="仿宋" w:hAnsi="仿宋" w:eastAsia="仿宋" w:cs="仿宋"/>
          <w:b/>
          <w:bCs/>
        </w:rPr>
        <w:t>（一） 投标函</w:t>
      </w:r>
      <w:bookmarkEnd w:id="273"/>
      <w:bookmarkEnd w:id="274"/>
      <w:bookmarkEnd w:id="275"/>
      <w:bookmarkEnd w:id="276"/>
    </w:p>
    <w:p>
      <w:pPr>
        <w:spacing w:line="36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致：</w:t>
      </w:r>
      <w:r>
        <w:rPr>
          <w:rFonts w:hint="eastAsia" w:ascii="仿宋" w:hAnsi="仿宋" w:eastAsia="仿宋" w:cs="仿宋"/>
          <w:b/>
          <w:bCs/>
          <w:color w:val="000000"/>
          <w:sz w:val="24"/>
          <w:u w:val="single"/>
        </w:rPr>
        <w:t>（采购人名称）</w:t>
      </w:r>
    </w:p>
    <w:p>
      <w:pPr>
        <w:spacing w:line="360" w:lineRule="auto"/>
        <w:rPr>
          <w:rFonts w:hint="eastAsia" w:ascii="仿宋" w:hAnsi="仿宋" w:eastAsia="仿宋" w:cs="仿宋"/>
          <w:b/>
          <w:bCs/>
          <w:sz w:val="28"/>
          <w:szCs w:val="28"/>
        </w:rPr>
      </w:pPr>
      <w:r>
        <w:rPr>
          <w:rFonts w:hint="eastAsia" w:ascii="仿宋" w:hAnsi="仿宋" w:eastAsia="仿宋" w:cs="仿宋"/>
          <w:b/>
          <w:bCs/>
          <w:color w:val="000000"/>
          <w:sz w:val="24"/>
        </w:rPr>
        <w:t xml:space="preserve">    我方全面研究了“</w:t>
      </w:r>
      <w:r>
        <w:rPr>
          <w:rFonts w:hint="eastAsia" w:ascii="仿宋" w:hAnsi="仿宋" w:eastAsia="仿宋" w:cs="仿宋"/>
          <w:b/>
          <w:bCs/>
          <w:color w:val="000000"/>
          <w:sz w:val="24"/>
          <w:u w:val="single"/>
          <w:lang w:val="en-US" w:eastAsia="zh-CN"/>
        </w:rPr>
        <w:t xml:space="preserve">           </w:t>
      </w:r>
      <w:r>
        <w:rPr>
          <w:rFonts w:hint="eastAsia" w:ascii="仿宋" w:hAnsi="仿宋" w:eastAsia="仿宋" w:cs="仿宋"/>
          <w:b/>
          <w:bCs/>
          <w:color w:val="000000"/>
          <w:sz w:val="24"/>
        </w:rPr>
        <w:t>”《竞争性磋商文件》（项目编号：</w:t>
      </w:r>
      <w:r>
        <w:rPr>
          <w:rFonts w:hint="eastAsia" w:ascii="仿宋" w:hAnsi="仿宋" w:eastAsia="仿宋" w:cs="仿宋"/>
          <w:b/>
          <w:bCs/>
          <w:color w:val="000000"/>
          <w:sz w:val="24"/>
          <w:u w:val="single"/>
          <w:lang w:eastAsia="zh-CN"/>
        </w:rPr>
        <w:t>GZ2020015-LNSWDQ</w:t>
      </w:r>
      <w:r>
        <w:rPr>
          <w:rFonts w:hint="eastAsia" w:ascii="仿宋" w:hAnsi="仿宋" w:eastAsia="仿宋" w:cs="仿宋"/>
          <w:b/>
          <w:bCs/>
          <w:sz w:val="24"/>
          <w:u w:val="single"/>
        </w:rPr>
        <w:t xml:space="preserve"> </w:t>
      </w:r>
      <w:r>
        <w:rPr>
          <w:rFonts w:hint="eastAsia" w:ascii="仿宋" w:hAnsi="仿宋" w:eastAsia="仿宋" w:cs="仿宋"/>
          <w:b/>
          <w:bCs/>
          <w:color w:val="000000"/>
          <w:sz w:val="24"/>
        </w:rPr>
        <w:t>），决定参加贵单位组织的本次招标。我方提交《竞争性磋商响应性文件》正本</w:t>
      </w:r>
      <w:r>
        <w:rPr>
          <w:rFonts w:hint="eastAsia" w:ascii="仿宋" w:hAnsi="仿宋" w:eastAsia="仿宋" w:cs="仿宋"/>
          <w:b/>
          <w:bCs/>
          <w:color w:val="000000"/>
          <w:sz w:val="24"/>
          <w:u w:val="single"/>
        </w:rPr>
        <w:t xml:space="preserve">  1  </w:t>
      </w:r>
      <w:r>
        <w:rPr>
          <w:rFonts w:hint="eastAsia" w:ascii="仿宋" w:hAnsi="仿宋" w:eastAsia="仿宋" w:cs="仿宋"/>
          <w:b/>
          <w:bCs/>
          <w:color w:val="000000"/>
          <w:sz w:val="24"/>
        </w:rPr>
        <w:t>份、副本</w:t>
      </w:r>
      <w:r>
        <w:rPr>
          <w:rFonts w:hint="eastAsia" w:ascii="仿宋" w:hAnsi="仿宋" w:eastAsia="仿宋" w:cs="仿宋"/>
          <w:b/>
          <w:bCs/>
          <w:color w:val="000000"/>
          <w:sz w:val="24"/>
          <w:u w:val="single"/>
        </w:rPr>
        <w:t xml:space="preserve">  3  </w:t>
      </w:r>
      <w:r>
        <w:rPr>
          <w:rFonts w:hint="eastAsia" w:ascii="仿宋" w:hAnsi="仿宋" w:eastAsia="仿宋" w:cs="仿宋"/>
          <w:b/>
          <w:bCs/>
          <w:color w:val="000000"/>
          <w:sz w:val="24"/>
        </w:rPr>
        <w:t>份并保证其真实性。并承诺，以下情况若未完全履行，愿无条件接受我方投标被拒绝的后果。</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1．我方完全接受《竞争性磋商文件》要求的内容，愿承担该项目的实施和售后服务任务，并将履行《竞争性磋商文件》对成交供应商的要求和应承担的责任及义务。</w:t>
      </w:r>
    </w:p>
    <w:p>
      <w:pPr>
        <w:spacing w:line="360" w:lineRule="auto"/>
        <w:ind w:firstLine="482" w:firstLineChars="200"/>
        <w:textAlignment w:val="baseline"/>
        <w:rPr>
          <w:rFonts w:hint="eastAsia" w:ascii="仿宋" w:hAnsi="仿宋" w:eastAsia="仿宋" w:cs="仿宋"/>
          <w:b/>
          <w:bCs/>
          <w:color w:val="000000"/>
          <w:sz w:val="24"/>
        </w:rPr>
      </w:pPr>
      <w:r>
        <w:rPr>
          <w:rFonts w:hint="eastAsia" w:ascii="仿宋" w:hAnsi="仿宋" w:eastAsia="仿宋" w:cs="仿宋"/>
          <w:b/>
          <w:bCs/>
          <w:color w:val="000000"/>
          <w:sz w:val="24"/>
        </w:rPr>
        <w:t>2．我方已全面研究了《竞争性磋商文件》的所有内容，包括修改文件、参考资料及有关附件，无其他不明事项。</w:t>
      </w:r>
    </w:p>
    <w:p>
      <w:pPr>
        <w:spacing w:line="360" w:lineRule="auto"/>
        <w:ind w:firstLine="482" w:firstLineChars="200"/>
        <w:textAlignment w:val="baseline"/>
        <w:rPr>
          <w:rFonts w:hint="eastAsia" w:ascii="仿宋" w:hAnsi="仿宋" w:eastAsia="仿宋" w:cs="仿宋"/>
          <w:b/>
          <w:bCs/>
          <w:color w:val="000000"/>
          <w:sz w:val="24"/>
        </w:rPr>
      </w:pPr>
      <w:r>
        <w:rPr>
          <w:rFonts w:hint="eastAsia" w:ascii="仿宋" w:hAnsi="仿宋" w:eastAsia="仿宋" w:cs="仿宋"/>
          <w:b/>
          <w:bCs/>
          <w:color w:val="000000"/>
          <w:sz w:val="24"/>
        </w:rPr>
        <w:t>3．我方接受提供贵方可能另外要求的与投标有关的任何证据或资料，并保证已提供和将要提供的文件资料是真实、准确的。</w:t>
      </w:r>
    </w:p>
    <w:p>
      <w:pPr>
        <w:spacing w:line="360" w:lineRule="auto"/>
        <w:ind w:firstLine="482" w:firstLineChars="200"/>
        <w:textAlignment w:val="baseline"/>
        <w:rPr>
          <w:rFonts w:hint="eastAsia" w:ascii="仿宋" w:hAnsi="仿宋" w:eastAsia="仿宋" w:cs="仿宋"/>
          <w:b/>
          <w:bCs/>
          <w:color w:val="000000"/>
          <w:sz w:val="24"/>
        </w:rPr>
      </w:pPr>
      <w:r>
        <w:rPr>
          <w:rFonts w:hint="eastAsia" w:ascii="仿宋" w:hAnsi="仿宋" w:eastAsia="仿宋" w:cs="仿宋"/>
          <w:b/>
          <w:bCs/>
          <w:color w:val="000000"/>
          <w:sz w:val="24"/>
        </w:rPr>
        <w:t>4. 我方接受90天的投标有效期（如成交，有效期将延至合同终止日为止），在此期间我方将受此约束；</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5. 投标有关的一切资金往来请使用以下账户：</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开户行：</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 xml:space="preserve">    户  名：</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u w:val="single"/>
        </w:rPr>
      </w:pPr>
      <w:r>
        <w:rPr>
          <w:rFonts w:hint="eastAsia" w:ascii="仿宋" w:hAnsi="仿宋" w:eastAsia="仿宋" w:cs="仿宋"/>
          <w:b/>
          <w:bCs/>
          <w:color w:val="000000"/>
          <w:sz w:val="24"/>
        </w:rPr>
        <w:t>账  号：</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供应商名称：</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（盖章）</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法定代表人或授权代表（签字）：</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通讯地址：</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邮政编码：</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联系电话：</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传    真：</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rPr>
      </w:pPr>
      <w:r>
        <w:rPr>
          <w:rFonts w:hint="eastAsia" w:ascii="仿宋" w:hAnsi="仿宋" w:eastAsia="仿宋" w:cs="仿宋"/>
          <w:b/>
          <w:bCs/>
          <w:color w:val="000000"/>
          <w:sz w:val="24"/>
        </w:rPr>
        <w:t>日    期：</w:t>
      </w:r>
      <w:r>
        <w:rPr>
          <w:rFonts w:hint="eastAsia" w:ascii="仿宋" w:hAnsi="仿宋" w:eastAsia="仿宋" w:cs="仿宋"/>
          <w:b/>
          <w:bCs/>
          <w:color w:val="000000"/>
          <w:sz w:val="24"/>
          <w:u w:val="single"/>
        </w:rPr>
        <w:t xml:space="preserve">                                         </w:t>
      </w:r>
    </w:p>
    <w:p>
      <w:pPr>
        <w:spacing w:line="360" w:lineRule="auto"/>
        <w:ind w:left="120" w:leftChars="57" w:firstLine="361" w:firstLineChars="150"/>
        <w:rPr>
          <w:rFonts w:hint="eastAsia" w:ascii="仿宋" w:hAnsi="仿宋" w:eastAsia="仿宋" w:cs="仿宋"/>
          <w:b/>
          <w:bCs/>
          <w:color w:val="000000"/>
          <w:sz w:val="24"/>
          <w:u w:val="single"/>
        </w:rPr>
      </w:pPr>
    </w:p>
    <w:p>
      <w:pPr>
        <w:spacing w:line="360" w:lineRule="auto"/>
        <w:ind w:firstLine="472" w:firstLineChars="196"/>
        <w:jc w:val="left"/>
        <w:rPr>
          <w:rFonts w:hint="eastAsia" w:ascii="仿宋" w:hAnsi="仿宋" w:eastAsia="仿宋" w:cs="仿宋"/>
          <w:b/>
          <w:bCs/>
          <w:color w:val="000000"/>
          <w:sz w:val="24"/>
        </w:rPr>
        <w:sectPr>
          <w:pgSz w:w="11907" w:h="16840"/>
          <w:pgMar w:top="1440" w:right="1803" w:bottom="1440" w:left="1803" w:header="851" w:footer="590" w:gutter="0"/>
          <w:pgNumType w:fmt="numberInDash"/>
          <w:cols w:space="0" w:num="1"/>
          <w:rtlGutter w:val="0"/>
          <w:docGrid w:linePitch="312" w:charSpace="0"/>
        </w:sectPr>
      </w:pPr>
    </w:p>
    <w:p>
      <w:pPr>
        <w:pStyle w:val="3"/>
        <w:ind w:left="210" w:right="210"/>
        <w:rPr>
          <w:rFonts w:ascii="仿宋" w:hAnsi="仿宋" w:eastAsia="仿宋" w:cs="仿宋"/>
          <w:highlight w:val="none"/>
        </w:rPr>
      </w:pPr>
      <w:bookmarkStart w:id="277" w:name="_Toc397953712"/>
      <w:bookmarkStart w:id="278" w:name="_Toc10015"/>
      <w:r>
        <w:rPr>
          <w:rFonts w:hint="eastAsia" w:ascii="仿宋" w:hAnsi="仿宋" w:eastAsia="仿宋" w:cs="仿宋"/>
          <w:b/>
          <w:bCs/>
          <w:highlight w:val="none"/>
        </w:rPr>
        <w:t>（二）</w:t>
      </w:r>
      <w:bookmarkEnd w:id="277"/>
      <w:bookmarkEnd w:id="278"/>
      <w:r>
        <w:rPr>
          <w:rFonts w:hint="eastAsia" w:ascii="仿宋" w:hAnsi="仿宋" w:eastAsia="仿宋" w:cs="仿宋"/>
          <w:highlight w:val="none"/>
        </w:rPr>
        <w:t>开标一览表</w:t>
      </w:r>
    </w:p>
    <w:p>
      <w:pPr>
        <w:spacing w:line="360" w:lineRule="auto"/>
        <w:rPr>
          <w:rFonts w:ascii="仿宋" w:hAnsi="仿宋" w:eastAsia="仿宋" w:cs="仿宋"/>
          <w:b/>
          <w:bCs/>
          <w:color w:val="000000"/>
          <w:sz w:val="24"/>
          <w:highlight w:val="none"/>
        </w:rPr>
      </w:pPr>
      <w:r>
        <w:rPr>
          <w:rFonts w:hint="eastAsia" w:ascii="仿宋" w:hAnsi="仿宋" w:eastAsia="仿宋" w:cs="仿宋"/>
          <w:b/>
          <w:bCs/>
          <w:color w:val="000000"/>
          <w:sz w:val="24"/>
          <w:highlight w:val="none"/>
        </w:rPr>
        <w:t>项目名称：</w:t>
      </w:r>
      <w:r>
        <w:rPr>
          <w:rFonts w:hint="eastAsia" w:ascii="仿宋" w:hAnsi="仿宋" w:eastAsia="仿宋" w:cs="仿宋"/>
          <w:b/>
          <w:bCs/>
          <w:color w:val="000000"/>
          <w:sz w:val="24"/>
          <w:highlight w:val="none"/>
          <w:u w:val="single"/>
          <w:lang w:val="en-US" w:eastAsia="zh-CN"/>
        </w:rPr>
        <w:t xml:space="preserve">           </w:t>
      </w:r>
      <w:r>
        <w:rPr>
          <w:rFonts w:hint="eastAsia" w:ascii="仿宋" w:hAnsi="仿宋" w:eastAsia="仿宋" w:cs="仿宋"/>
          <w:b/>
          <w:bCs/>
          <w:color w:val="000000"/>
          <w:sz w:val="24"/>
          <w:highlight w:val="none"/>
        </w:rPr>
        <w:t xml:space="preserve">                  </w:t>
      </w:r>
    </w:p>
    <w:p>
      <w:pPr>
        <w:spacing w:line="360" w:lineRule="auto"/>
        <w:ind w:firstLine="120" w:firstLineChars="50"/>
        <w:rPr>
          <w:rFonts w:ascii="仿宋" w:hAnsi="仿宋" w:eastAsia="仿宋" w:cs="仿宋"/>
          <w:b/>
          <w:bCs/>
          <w:sz w:val="24"/>
          <w:highlight w:val="none"/>
          <w:u w:val="single"/>
        </w:rPr>
      </w:pPr>
      <w:r>
        <w:rPr>
          <w:rFonts w:hint="eastAsia" w:ascii="仿宋" w:hAnsi="仿宋" w:eastAsia="仿宋" w:cs="仿宋"/>
          <w:b/>
          <w:bCs/>
          <w:color w:val="000000"/>
          <w:sz w:val="24"/>
          <w:highlight w:val="none"/>
        </w:rPr>
        <w:t>项目编号：</w:t>
      </w:r>
      <w:r>
        <w:rPr>
          <w:rFonts w:hint="eastAsia" w:ascii="仿宋" w:hAnsi="仿宋" w:eastAsia="仿宋" w:cs="仿宋"/>
          <w:b/>
          <w:bCs/>
          <w:color w:val="000000"/>
          <w:sz w:val="24"/>
          <w:highlight w:val="none"/>
          <w:u w:val="single"/>
          <w:lang w:eastAsia="zh-CN"/>
        </w:rPr>
        <w:t>GZ2020015-LNSWDQ</w:t>
      </w:r>
      <w:r>
        <w:rPr>
          <w:rFonts w:hint="eastAsia" w:ascii="仿宋" w:hAnsi="仿宋" w:eastAsia="仿宋" w:cs="仿宋"/>
          <w:b/>
          <w:bCs/>
          <w:color w:val="000000"/>
          <w:sz w:val="24"/>
          <w:highlight w:val="none"/>
        </w:rPr>
        <w:t xml:space="preserve">                                                               价格单位：人民币/元</w:t>
      </w:r>
    </w:p>
    <w:tbl>
      <w:tblPr>
        <w:tblStyle w:val="17"/>
        <w:tblW w:w="1267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661"/>
        <w:gridCol w:w="4464"/>
        <w:gridCol w:w="39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623" w:type="dxa"/>
            <w:noWrap w:val="0"/>
            <w:vAlign w:val="center"/>
          </w:tcPr>
          <w:p>
            <w:pPr>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序号</w:t>
            </w:r>
          </w:p>
        </w:tc>
        <w:tc>
          <w:tcPr>
            <w:tcW w:w="2661" w:type="dxa"/>
            <w:noWrap w:val="0"/>
            <w:vAlign w:val="center"/>
          </w:tcPr>
          <w:p>
            <w:pPr>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货物名称</w:t>
            </w:r>
          </w:p>
        </w:tc>
        <w:tc>
          <w:tcPr>
            <w:tcW w:w="4464" w:type="dxa"/>
            <w:noWrap w:val="0"/>
            <w:vAlign w:val="center"/>
          </w:tcPr>
          <w:p>
            <w:pPr>
              <w:jc w:val="center"/>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rPr>
              <w:t>投标</w:t>
            </w:r>
            <w:r>
              <w:rPr>
                <w:rFonts w:hint="eastAsia" w:ascii="宋体" w:hAnsi="宋体" w:eastAsia="宋体" w:cs="宋体"/>
                <w:b w:val="0"/>
                <w:bCs/>
                <w:color w:val="000000"/>
                <w:sz w:val="28"/>
                <w:szCs w:val="28"/>
                <w:highlight w:val="none"/>
                <w:lang w:eastAsia="zh-CN"/>
              </w:rPr>
              <w:t>报价</w:t>
            </w:r>
          </w:p>
        </w:tc>
        <w:tc>
          <w:tcPr>
            <w:tcW w:w="3929" w:type="dxa"/>
            <w:noWrap w:val="0"/>
            <w:vAlign w:val="center"/>
          </w:tcPr>
          <w:p>
            <w:pPr>
              <w:jc w:val="center"/>
              <w:rPr>
                <w:rFonts w:hint="eastAsia" w:ascii="宋体" w:hAnsi="宋体" w:eastAsia="宋体" w:cs="宋体"/>
                <w:b w:val="0"/>
                <w:bCs/>
                <w:color w:val="000000"/>
                <w:sz w:val="28"/>
                <w:szCs w:val="28"/>
                <w:highlight w:val="none"/>
                <w:lang w:eastAsia="zh-CN"/>
              </w:rPr>
            </w:pPr>
            <w:r>
              <w:rPr>
                <w:rFonts w:hint="eastAsia" w:ascii="宋体" w:hAnsi="宋体" w:eastAsia="宋体" w:cs="宋体"/>
                <w:b w:val="0"/>
                <w:bCs/>
                <w:color w:val="000000"/>
                <w:sz w:val="28"/>
                <w:szCs w:val="28"/>
                <w:highlight w:val="none"/>
                <w:lang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623" w:type="dxa"/>
            <w:noWrap w:val="0"/>
            <w:vAlign w:val="center"/>
          </w:tcPr>
          <w:p>
            <w:pPr>
              <w:spacing w:line="360" w:lineRule="auto"/>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1</w:t>
            </w:r>
          </w:p>
        </w:tc>
        <w:tc>
          <w:tcPr>
            <w:tcW w:w="2661" w:type="dxa"/>
            <w:noWrap w:val="0"/>
            <w:vAlign w:val="center"/>
          </w:tcPr>
          <w:p>
            <w:pPr>
              <w:spacing w:line="360" w:lineRule="auto"/>
              <w:jc w:val="center"/>
              <w:rPr>
                <w:rFonts w:hint="eastAsia" w:ascii="宋体" w:hAnsi="宋体" w:eastAsia="宋体" w:cs="宋体"/>
                <w:b w:val="0"/>
                <w:bCs/>
                <w:color w:val="000000"/>
                <w:sz w:val="28"/>
                <w:szCs w:val="28"/>
                <w:highlight w:val="none"/>
              </w:rPr>
            </w:pPr>
          </w:p>
        </w:tc>
        <w:tc>
          <w:tcPr>
            <w:tcW w:w="4464" w:type="dxa"/>
            <w:noWrap w:val="0"/>
            <w:vAlign w:val="center"/>
          </w:tcPr>
          <w:p>
            <w:pPr>
              <w:spacing w:line="360" w:lineRule="auto"/>
              <w:jc w:val="center"/>
              <w:rPr>
                <w:rFonts w:hint="eastAsia" w:ascii="宋体" w:hAnsi="宋体" w:eastAsia="宋体" w:cs="宋体"/>
                <w:b w:val="0"/>
                <w:bCs/>
                <w:color w:val="000000"/>
                <w:sz w:val="28"/>
                <w:szCs w:val="28"/>
                <w:highlight w:val="none"/>
              </w:rPr>
            </w:pPr>
          </w:p>
        </w:tc>
        <w:tc>
          <w:tcPr>
            <w:tcW w:w="3929" w:type="dxa"/>
            <w:noWrap w:val="0"/>
            <w:vAlign w:val="center"/>
          </w:tcPr>
          <w:p>
            <w:pPr>
              <w:spacing w:line="360" w:lineRule="auto"/>
              <w:jc w:val="center"/>
              <w:rPr>
                <w:rFonts w:hint="eastAsia" w:ascii="宋体" w:hAnsi="宋体" w:eastAsia="宋体" w:cs="宋体"/>
                <w:b w:val="0"/>
                <w:bCs/>
                <w:color w:val="00000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623" w:type="dxa"/>
            <w:noWrap w:val="0"/>
            <w:vAlign w:val="center"/>
          </w:tcPr>
          <w:p>
            <w:pPr>
              <w:spacing w:line="360" w:lineRule="auto"/>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2</w:t>
            </w:r>
          </w:p>
        </w:tc>
        <w:tc>
          <w:tcPr>
            <w:tcW w:w="2661" w:type="dxa"/>
            <w:noWrap w:val="0"/>
            <w:vAlign w:val="center"/>
          </w:tcPr>
          <w:p>
            <w:pPr>
              <w:pStyle w:val="2"/>
              <w:jc w:val="center"/>
              <w:rPr>
                <w:rFonts w:hint="eastAsia" w:ascii="宋体" w:hAnsi="宋体" w:eastAsia="宋体" w:cs="宋体"/>
                <w:b w:val="0"/>
                <w:bCs/>
                <w:color w:val="000000"/>
                <w:kern w:val="2"/>
                <w:sz w:val="28"/>
                <w:szCs w:val="28"/>
                <w:highlight w:val="none"/>
                <w:lang w:val="en-US" w:eastAsia="zh-CN" w:bidi="ar-SA"/>
              </w:rPr>
            </w:pPr>
          </w:p>
        </w:tc>
        <w:tc>
          <w:tcPr>
            <w:tcW w:w="4464" w:type="dxa"/>
            <w:noWrap w:val="0"/>
            <w:vAlign w:val="center"/>
          </w:tcPr>
          <w:p>
            <w:pPr>
              <w:spacing w:line="360" w:lineRule="auto"/>
              <w:jc w:val="center"/>
              <w:rPr>
                <w:rFonts w:hint="eastAsia" w:ascii="宋体" w:hAnsi="宋体" w:eastAsia="宋体" w:cs="宋体"/>
                <w:b w:val="0"/>
                <w:bCs/>
                <w:color w:val="000000"/>
                <w:sz w:val="28"/>
                <w:szCs w:val="28"/>
                <w:highlight w:val="none"/>
              </w:rPr>
            </w:pPr>
          </w:p>
        </w:tc>
        <w:tc>
          <w:tcPr>
            <w:tcW w:w="3929" w:type="dxa"/>
            <w:noWrap w:val="0"/>
            <w:vAlign w:val="center"/>
          </w:tcPr>
          <w:p>
            <w:pPr>
              <w:spacing w:line="360" w:lineRule="auto"/>
              <w:jc w:val="center"/>
              <w:rPr>
                <w:rFonts w:hint="eastAsia" w:ascii="宋体" w:hAnsi="宋体" w:eastAsia="宋体" w:cs="宋体"/>
                <w:b w:val="0"/>
                <w:bCs/>
                <w:color w:val="00000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623" w:type="dxa"/>
            <w:noWrap w:val="0"/>
            <w:vAlign w:val="center"/>
          </w:tcPr>
          <w:p>
            <w:pPr>
              <w:spacing w:line="360" w:lineRule="auto"/>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3</w:t>
            </w:r>
          </w:p>
        </w:tc>
        <w:tc>
          <w:tcPr>
            <w:tcW w:w="2661" w:type="dxa"/>
            <w:noWrap w:val="0"/>
            <w:vAlign w:val="center"/>
          </w:tcPr>
          <w:p>
            <w:pPr>
              <w:pStyle w:val="2"/>
              <w:jc w:val="center"/>
              <w:rPr>
                <w:rFonts w:hint="eastAsia" w:ascii="宋体" w:hAnsi="宋体" w:eastAsia="宋体" w:cs="宋体"/>
                <w:b w:val="0"/>
                <w:bCs/>
                <w:color w:val="000000"/>
                <w:kern w:val="2"/>
                <w:sz w:val="28"/>
                <w:szCs w:val="28"/>
                <w:highlight w:val="none"/>
                <w:lang w:val="en-US" w:eastAsia="zh-CN" w:bidi="ar-SA"/>
              </w:rPr>
            </w:pPr>
          </w:p>
        </w:tc>
        <w:tc>
          <w:tcPr>
            <w:tcW w:w="4464" w:type="dxa"/>
            <w:noWrap w:val="0"/>
            <w:vAlign w:val="center"/>
          </w:tcPr>
          <w:p>
            <w:pPr>
              <w:spacing w:line="360" w:lineRule="auto"/>
              <w:jc w:val="center"/>
              <w:rPr>
                <w:rFonts w:hint="eastAsia" w:ascii="宋体" w:hAnsi="宋体" w:eastAsia="宋体" w:cs="宋体"/>
                <w:b w:val="0"/>
                <w:bCs/>
                <w:color w:val="000000"/>
                <w:sz w:val="28"/>
                <w:szCs w:val="28"/>
                <w:highlight w:val="none"/>
              </w:rPr>
            </w:pPr>
          </w:p>
        </w:tc>
        <w:tc>
          <w:tcPr>
            <w:tcW w:w="3929" w:type="dxa"/>
            <w:noWrap w:val="0"/>
            <w:vAlign w:val="center"/>
          </w:tcPr>
          <w:p>
            <w:pPr>
              <w:spacing w:line="360" w:lineRule="auto"/>
              <w:jc w:val="center"/>
              <w:rPr>
                <w:rFonts w:hint="eastAsia" w:ascii="宋体" w:hAnsi="宋体" w:eastAsia="宋体" w:cs="宋体"/>
                <w:b w:val="0"/>
                <w:bCs/>
                <w:color w:val="00000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623" w:type="dxa"/>
            <w:noWrap w:val="0"/>
            <w:vAlign w:val="center"/>
          </w:tcPr>
          <w:p>
            <w:pPr>
              <w:spacing w:line="360" w:lineRule="auto"/>
              <w:jc w:val="center"/>
              <w:rPr>
                <w:rFonts w:hint="eastAsia" w:ascii="宋体" w:hAnsi="宋体" w:eastAsia="宋体" w:cs="宋体"/>
                <w:b w:val="0"/>
                <w:bCs/>
                <w:color w:val="000000"/>
                <w:sz w:val="28"/>
                <w:szCs w:val="28"/>
                <w:highlight w:val="none"/>
              </w:rPr>
            </w:pPr>
            <w:r>
              <w:rPr>
                <w:rFonts w:hint="eastAsia" w:ascii="宋体" w:hAnsi="宋体" w:eastAsia="宋体" w:cs="宋体"/>
                <w:b w:val="0"/>
                <w:bCs/>
                <w:color w:val="000000"/>
                <w:sz w:val="28"/>
                <w:szCs w:val="28"/>
                <w:highlight w:val="none"/>
              </w:rPr>
              <w:t>总报价</w:t>
            </w:r>
          </w:p>
        </w:tc>
        <w:tc>
          <w:tcPr>
            <w:tcW w:w="11054" w:type="dxa"/>
            <w:gridSpan w:val="3"/>
            <w:noWrap w:val="0"/>
            <w:vAlign w:val="center"/>
          </w:tcPr>
          <w:p>
            <w:pPr>
              <w:spacing w:line="360" w:lineRule="auto"/>
              <w:jc w:val="center"/>
              <w:rPr>
                <w:rFonts w:hint="eastAsia" w:ascii="宋体" w:hAnsi="宋体" w:eastAsia="宋体" w:cs="宋体"/>
                <w:b w:val="0"/>
                <w:bCs/>
                <w:color w:val="000000"/>
                <w:sz w:val="28"/>
                <w:szCs w:val="28"/>
                <w:highlight w:val="none"/>
              </w:rPr>
            </w:pPr>
          </w:p>
        </w:tc>
      </w:tr>
    </w:tbl>
    <w:p>
      <w:pPr>
        <w:spacing w:line="360" w:lineRule="auto"/>
        <w:ind w:left="15" w:leftChars="-50" w:hanging="120" w:hangingChars="50"/>
        <w:jc w:val="left"/>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   注：此表须密封单独提交一份（注明在××××年××月××日××时××分前不得启封）</w:t>
      </w:r>
    </w:p>
    <w:p>
      <w:pPr>
        <w:pStyle w:val="9"/>
        <w:spacing w:line="360" w:lineRule="auto"/>
        <w:rPr>
          <w:rFonts w:hint="eastAsia" w:ascii="仿宋" w:hAnsi="仿宋" w:eastAsia="仿宋" w:cs="仿宋"/>
          <w:b/>
          <w:bCs/>
          <w:color w:val="000000"/>
          <w:sz w:val="24"/>
          <w:highlight w:val="none"/>
          <w:u w:val="single"/>
        </w:rPr>
      </w:pPr>
      <w:r>
        <w:rPr>
          <w:rFonts w:hint="eastAsia" w:ascii="仿宋" w:hAnsi="仿宋" w:eastAsia="仿宋" w:cs="仿宋"/>
          <w:b/>
          <w:bCs/>
          <w:color w:val="000000"/>
          <w:sz w:val="24"/>
          <w:highlight w:val="none"/>
        </w:rPr>
        <w:t>供应商名称：</w:t>
      </w:r>
      <w:r>
        <w:rPr>
          <w:rFonts w:hint="eastAsia" w:ascii="仿宋" w:hAnsi="仿宋" w:eastAsia="仿宋" w:cs="仿宋"/>
          <w:b/>
          <w:bCs/>
          <w:color w:val="000000"/>
          <w:sz w:val="24"/>
          <w:highlight w:val="none"/>
          <w:u w:val="single"/>
        </w:rPr>
        <w:t xml:space="preserve">     （单位公章）   </w:t>
      </w:r>
    </w:p>
    <w:p>
      <w:pPr>
        <w:pStyle w:val="9"/>
        <w:spacing w:line="360" w:lineRule="auto"/>
        <w:rPr>
          <w:rFonts w:ascii="仿宋" w:hAnsi="仿宋" w:eastAsia="仿宋" w:cs="仿宋"/>
          <w:b/>
          <w:bCs/>
          <w:color w:val="000000"/>
          <w:sz w:val="24"/>
          <w:highlight w:val="none"/>
        </w:rPr>
      </w:pPr>
      <w:r>
        <w:rPr>
          <w:rFonts w:hint="eastAsia" w:ascii="仿宋" w:hAnsi="仿宋" w:eastAsia="仿宋" w:cs="仿宋"/>
          <w:b/>
          <w:bCs/>
          <w:color w:val="000000"/>
          <w:sz w:val="24"/>
          <w:highlight w:val="none"/>
        </w:rPr>
        <w:t>授权代表：</w:t>
      </w:r>
      <w:r>
        <w:rPr>
          <w:rFonts w:hint="eastAsia" w:ascii="仿宋" w:hAnsi="仿宋" w:eastAsia="仿宋" w:cs="仿宋"/>
          <w:b/>
          <w:bCs/>
          <w:color w:val="000000"/>
          <w:sz w:val="24"/>
          <w:highlight w:val="none"/>
          <w:u w:val="single"/>
        </w:rPr>
        <w:t xml:space="preserve">         （签字）    </w:t>
      </w:r>
    </w:p>
    <w:p>
      <w:pPr>
        <w:adjustRightInd w:val="0"/>
        <w:snapToGrid w:val="0"/>
        <w:spacing w:line="360" w:lineRule="auto"/>
        <w:jc w:val="left"/>
        <w:rPr>
          <w:rFonts w:ascii="仿宋" w:hAnsi="仿宋" w:eastAsia="仿宋" w:cs="仿宋"/>
          <w:b/>
          <w:bCs/>
          <w:color w:val="000000"/>
          <w:sz w:val="24"/>
          <w:highlight w:val="none"/>
          <w:u w:val="single"/>
        </w:rPr>
        <w:sectPr>
          <w:headerReference r:id="rId6" w:type="first"/>
          <w:footerReference r:id="rId8" w:type="first"/>
          <w:footerReference r:id="rId7" w:type="default"/>
          <w:pgSz w:w="16840" w:h="11907" w:orient="landscape"/>
          <w:pgMar w:top="1803" w:right="1440" w:bottom="1803" w:left="1440" w:header="851" w:footer="590" w:gutter="0"/>
          <w:pgNumType w:fmt="numberInDash"/>
          <w:cols w:space="0" w:num="1"/>
          <w:docGrid w:linePitch="312" w:charSpace="0"/>
        </w:sectPr>
      </w:pPr>
      <w:r>
        <w:rPr>
          <w:rFonts w:hint="eastAsia" w:ascii="仿宋" w:hAnsi="仿宋" w:eastAsia="仿宋" w:cs="仿宋"/>
          <w:b/>
          <w:bCs/>
          <w:color w:val="000000"/>
          <w:sz w:val="24"/>
          <w:highlight w:val="none"/>
        </w:rPr>
        <w:t>日    期：</w:t>
      </w:r>
      <w:r>
        <w:rPr>
          <w:rFonts w:hint="eastAsia" w:ascii="仿宋" w:hAnsi="仿宋" w:eastAsia="仿宋" w:cs="仿宋"/>
          <w:b/>
          <w:bCs/>
          <w:color w:val="000000"/>
          <w:sz w:val="24"/>
          <w:highlight w:val="none"/>
          <w:u w:val="single"/>
        </w:rPr>
        <w:t xml:space="preserve">        年   </w:t>
      </w:r>
      <w:r>
        <w:rPr>
          <w:rFonts w:hint="eastAsia" w:ascii="仿宋" w:hAnsi="仿宋" w:eastAsia="仿宋" w:cs="仿宋"/>
          <w:b/>
          <w:bCs/>
          <w:color w:val="000000"/>
          <w:sz w:val="24"/>
          <w:highlight w:val="none"/>
          <w:u w:val="single"/>
          <w:lang w:val="en-US" w:eastAsia="zh-CN"/>
        </w:rPr>
        <w:t xml:space="preserve"> </w:t>
      </w:r>
      <w:r>
        <w:rPr>
          <w:rFonts w:hint="eastAsia" w:ascii="仿宋" w:hAnsi="仿宋" w:eastAsia="仿宋" w:cs="仿宋"/>
          <w:b/>
          <w:bCs/>
          <w:color w:val="000000"/>
          <w:sz w:val="24"/>
          <w:highlight w:val="none"/>
          <w:u w:val="single"/>
        </w:rPr>
        <w:t xml:space="preserve">月    </w:t>
      </w:r>
    </w:p>
    <w:p>
      <w:pPr>
        <w:pStyle w:val="3"/>
        <w:keepNext w:val="0"/>
        <w:keepLines w:val="0"/>
        <w:numPr>
          <w:ilvl w:val="0"/>
          <w:numId w:val="5"/>
        </w:numPr>
        <w:ind w:left="210" w:right="210"/>
        <w:rPr>
          <w:rFonts w:hint="eastAsia" w:ascii="仿宋" w:hAnsi="仿宋" w:eastAsia="仿宋" w:cs="仿宋"/>
          <w:b/>
          <w:bCs/>
        </w:rPr>
      </w:pPr>
      <w:bookmarkStart w:id="279" w:name="_Toc26165"/>
      <w:bookmarkStart w:id="280" w:name="_Toc397953713"/>
      <w:r>
        <w:rPr>
          <w:rFonts w:hint="eastAsia" w:ascii="仿宋" w:hAnsi="仿宋" w:eastAsia="仿宋" w:cs="仿宋"/>
          <w:b/>
          <w:bCs/>
        </w:rPr>
        <w:t>投标报价明细表</w:t>
      </w:r>
      <w:bookmarkEnd w:id="279"/>
      <w:bookmarkEnd w:id="280"/>
    </w:p>
    <w:p>
      <w:pPr>
        <w:pStyle w:val="3"/>
        <w:keepNext w:val="0"/>
        <w:keepLines w:val="0"/>
        <w:numPr>
          <w:ilvl w:val="0"/>
          <w:numId w:val="0"/>
        </w:numPr>
        <w:ind w:right="210" w:rightChars="100"/>
        <w:jc w:val="both"/>
        <w:rPr>
          <w:rFonts w:hint="eastAsia" w:ascii="仿宋" w:hAnsi="仿宋" w:eastAsia="仿宋" w:cs="仿宋"/>
          <w:b/>
          <w:bCs/>
          <w:color w:val="000000"/>
          <w:sz w:val="24"/>
        </w:rPr>
      </w:pPr>
      <w:r>
        <w:rPr>
          <w:rFonts w:hint="eastAsia" w:ascii="仿宋" w:hAnsi="仿宋" w:eastAsia="仿宋" w:cs="仿宋"/>
          <w:b/>
          <w:bCs/>
          <w:color w:val="000000"/>
          <w:sz w:val="24"/>
        </w:rPr>
        <w:t>项目名称：</w:t>
      </w:r>
      <w:r>
        <w:rPr>
          <w:rFonts w:hint="eastAsia" w:ascii="仿宋" w:hAnsi="仿宋" w:eastAsia="仿宋" w:cs="仿宋"/>
          <w:b/>
          <w:bCs/>
          <w:sz w:val="24"/>
          <w:u w:val="single"/>
          <w:lang w:val="en-US" w:eastAsia="zh-CN"/>
        </w:rPr>
        <w:t xml:space="preserve">                         </w:t>
      </w:r>
      <w:r>
        <w:rPr>
          <w:rFonts w:hint="eastAsia" w:ascii="仿宋" w:hAnsi="仿宋" w:eastAsia="仿宋" w:cs="仿宋"/>
          <w:b/>
          <w:bCs/>
          <w:color w:val="000000"/>
          <w:sz w:val="24"/>
        </w:rPr>
        <w:t xml:space="preserve">                            </w:t>
      </w:r>
    </w:p>
    <w:p>
      <w:pPr>
        <w:spacing w:line="360" w:lineRule="auto"/>
        <w:rPr>
          <w:rFonts w:hint="eastAsia" w:ascii="仿宋" w:hAnsi="仿宋" w:eastAsia="仿宋" w:cs="仿宋"/>
          <w:b/>
          <w:bCs/>
          <w:sz w:val="24"/>
          <w:u w:val="single"/>
        </w:rPr>
      </w:pPr>
      <w:r>
        <w:rPr>
          <w:rFonts w:hint="eastAsia" w:ascii="仿宋" w:hAnsi="仿宋" w:eastAsia="仿宋" w:cs="仿宋"/>
          <w:b/>
          <w:bCs/>
          <w:color w:val="000000"/>
          <w:sz w:val="24"/>
        </w:rPr>
        <w:t>项目编号：</w:t>
      </w:r>
      <w:r>
        <w:rPr>
          <w:rFonts w:hint="eastAsia" w:ascii="仿宋" w:hAnsi="仿宋" w:eastAsia="仿宋" w:cs="仿宋"/>
          <w:b/>
          <w:bCs/>
          <w:color w:val="000000"/>
          <w:sz w:val="24"/>
          <w:u w:val="single"/>
          <w:lang w:eastAsia="zh-CN"/>
        </w:rPr>
        <w:t>GZ2020015-LNSWDQ</w:t>
      </w:r>
      <w:r>
        <w:rPr>
          <w:rFonts w:hint="eastAsia" w:ascii="仿宋" w:hAnsi="仿宋" w:eastAsia="仿宋" w:cs="仿宋"/>
          <w:b/>
          <w:bCs/>
          <w:color w:val="000000"/>
          <w:sz w:val="24"/>
        </w:rPr>
        <w:t xml:space="preserve">                                                                       价格单位：人民币/元                         </w:t>
      </w:r>
    </w:p>
    <w:tbl>
      <w:tblPr>
        <w:tblStyle w:val="17"/>
        <w:tblW w:w="139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4"/>
        <w:gridCol w:w="2331"/>
        <w:gridCol w:w="5906"/>
        <w:gridCol w:w="1276"/>
        <w:gridCol w:w="1329"/>
        <w:gridCol w:w="13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eastAsia="zh-CN"/>
              </w:rPr>
              <w:t>序号</w:t>
            </w:r>
          </w:p>
        </w:tc>
        <w:tc>
          <w:tcPr>
            <w:tcW w:w="23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eastAsia="zh-CN"/>
              </w:rPr>
              <w:t>货物名称</w:t>
            </w:r>
          </w:p>
        </w:tc>
        <w:tc>
          <w:tcPr>
            <w:tcW w:w="5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560" w:leftChars="0" w:hanging="560" w:hangingChars="200"/>
              <w:jc w:val="center"/>
              <w:outlineLvl w:val="9"/>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eastAsia="zh-CN"/>
              </w:rPr>
              <w:t>数量</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outlineLvl w:val="9"/>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eastAsia="zh-CN"/>
              </w:rPr>
              <w:t>单价</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outlineLvl w:val="9"/>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exac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1</w:t>
            </w:r>
          </w:p>
        </w:tc>
        <w:tc>
          <w:tcPr>
            <w:tcW w:w="2331" w:type="dxa"/>
            <w:tcBorders>
              <w:top w:val="single" w:color="auto" w:sz="4" w:space="0"/>
              <w:left w:val="single" w:color="auto" w:sz="4" w:space="0"/>
              <w:bottom w:val="single" w:color="auto" w:sz="4" w:space="0"/>
              <w:right w:val="single" w:color="auto" w:sz="4" w:space="0"/>
            </w:tcBorders>
            <w:noWrap w:val="0"/>
            <w:vAlign w:val="top"/>
          </w:tcPr>
          <w:p>
            <w:pPr>
              <w:pStyle w:val="2"/>
              <w:jc w:val="center"/>
              <w:outlineLvl w:val="9"/>
              <w:rPr>
                <w:rFonts w:hint="eastAsia" w:ascii="宋体" w:hAnsi="宋体" w:eastAsia="宋体" w:cs="宋体"/>
                <w:b w:val="0"/>
                <w:bCs/>
                <w:color w:val="000000"/>
                <w:sz w:val="28"/>
                <w:szCs w:val="28"/>
              </w:rPr>
            </w:pPr>
          </w:p>
        </w:tc>
        <w:tc>
          <w:tcPr>
            <w:tcW w:w="5906" w:type="dxa"/>
            <w:tcBorders>
              <w:top w:val="single" w:color="auto" w:sz="4" w:space="0"/>
              <w:left w:val="single" w:color="auto" w:sz="4" w:space="0"/>
              <w:bottom w:val="single" w:color="auto" w:sz="4" w:space="0"/>
              <w:right w:val="single" w:color="auto" w:sz="4" w:space="0"/>
            </w:tcBorders>
            <w:noWrap w:val="0"/>
            <w:vAlign w:val="top"/>
          </w:tcPr>
          <w:p>
            <w:pPr>
              <w:pStyle w:val="2"/>
              <w:jc w:val="center"/>
              <w:outlineLvl w:val="9"/>
              <w:rPr>
                <w:rFonts w:hint="eastAsia" w:ascii="宋体" w:hAnsi="宋体" w:eastAsia="宋体" w:cs="宋体"/>
                <w:b w:val="0"/>
                <w:bCs/>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2"/>
              <w:jc w:val="center"/>
              <w:outlineLvl w:val="9"/>
              <w:rPr>
                <w:rFonts w:hint="eastAsia" w:ascii="宋体" w:hAnsi="宋体" w:eastAsia="宋体" w:cs="宋体"/>
                <w:b w:val="0"/>
                <w:bCs/>
                <w:color w:val="000000"/>
                <w:sz w:val="28"/>
                <w:szCs w:val="28"/>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exac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2</w:t>
            </w:r>
          </w:p>
        </w:tc>
        <w:tc>
          <w:tcPr>
            <w:tcW w:w="2331" w:type="dxa"/>
            <w:tcBorders>
              <w:top w:val="single" w:color="auto" w:sz="4" w:space="0"/>
              <w:left w:val="single" w:color="auto" w:sz="4" w:space="0"/>
              <w:bottom w:val="single" w:color="auto" w:sz="4" w:space="0"/>
              <w:right w:val="single" w:color="auto" w:sz="4" w:space="0"/>
            </w:tcBorders>
            <w:noWrap w:val="0"/>
            <w:vAlign w:val="top"/>
          </w:tcPr>
          <w:p>
            <w:pPr>
              <w:pStyle w:val="2"/>
              <w:jc w:val="center"/>
              <w:outlineLvl w:val="9"/>
              <w:rPr>
                <w:rFonts w:hint="eastAsia" w:ascii="宋体" w:hAnsi="宋体" w:eastAsia="宋体" w:cs="宋体"/>
                <w:b w:val="0"/>
                <w:bCs/>
                <w:color w:val="000000"/>
                <w:sz w:val="28"/>
                <w:szCs w:val="28"/>
              </w:rPr>
            </w:pPr>
          </w:p>
        </w:tc>
        <w:tc>
          <w:tcPr>
            <w:tcW w:w="5906" w:type="dxa"/>
            <w:tcBorders>
              <w:top w:val="single" w:color="auto" w:sz="4" w:space="0"/>
              <w:left w:val="single" w:color="auto" w:sz="4" w:space="0"/>
              <w:bottom w:val="single" w:color="auto" w:sz="4" w:space="0"/>
              <w:right w:val="single" w:color="auto" w:sz="4" w:space="0"/>
            </w:tcBorders>
            <w:noWrap w:val="0"/>
            <w:vAlign w:val="top"/>
          </w:tcPr>
          <w:p>
            <w:pPr>
              <w:jc w:val="center"/>
              <w:outlineLvl w:val="9"/>
              <w:rPr>
                <w:rFonts w:hint="eastAsia" w:ascii="宋体" w:hAnsi="宋体" w:eastAsia="宋体" w:cs="宋体"/>
                <w:b w:val="0"/>
                <w:bCs/>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outlineLvl w:val="9"/>
              <w:rPr>
                <w:rFonts w:hint="eastAsia" w:ascii="宋体" w:hAnsi="宋体" w:eastAsia="宋体" w:cs="宋体"/>
                <w:b w:val="0"/>
                <w:bCs/>
                <w:color w:val="000000"/>
                <w:sz w:val="28"/>
                <w:szCs w:val="28"/>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exact"/>
          <w:jc w:val="center"/>
        </w:trPr>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3</w:t>
            </w:r>
          </w:p>
        </w:tc>
        <w:tc>
          <w:tcPr>
            <w:tcW w:w="2331" w:type="dxa"/>
            <w:tcBorders>
              <w:top w:val="single" w:color="auto" w:sz="4" w:space="0"/>
              <w:left w:val="single" w:color="auto" w:sz="4" w:space="0"/>
              <w:bottom w:val="single" w:color="auto" w:sz="4" w:space="0"/>
              <w:right w:val="single" w:color="auto" w:sz="4" w:space="0"/>
            </w:tcBorders>
            <w:noWrap w:val="0"/>
            <w:vAlign w:val="top"/>
          </w:tcPr>
          <w:p>
            <w:pPr>
              <w:pStyle w:val="2"/>
              <w:jc w:val="center"/>
              <w:outlineLvl w:val="9"/>
              <w:rPr>
                <w:rFonts w:hint="eastAsia" w:ascii="宋体" w:hAnsi="宋体" w:eastAsia="宋体" w:cs="宋体"/>
                <w:b w:val="0"/>
                <w:bCs/>
                <w:color w:val="000000"/>
                <w:sz w:val="28"/>
                <w:szCs w:val="28"/>
              </w:rPr>
            </w:pPr>
          </w:p>
        </w:tc>
        <w:tc>
          <w:tcPr>
            <w:tcW w:w="5906" w:type="dxa"/>
            <w:tcBorders>
              <w:top w:val="single" w:color="auto" w:sz="4" w:space="0"/>
              <w:left w:val="single" w:color="auto" w:sz="4" w:space="0"/>
              <w:bottom w:val="single" w:color="auto" w:sz="4" w:space="0"/>
              <w:right w:val="single" w:color="auto" w:sz="4" w:space="0"/>
            </w:tcBorders>
            <w:noWrap w:val="0"/>
            <w:vAlign w:val="top"/>
          </w:tcPr>
          <w:p>
            <w:pPr>
              <w:jc w:val="center"/>
              <w:outlineLvl w:val="9"/>
              <w:rPr>
                <w:rFonts w:hint="eastAsia" w:ascii="宋体" w:hAnsi="宋体" w:eastAsia="宋体" w:cs="宋体"/>
                <w:b w:val="0"/>
                <w:bCs/>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outlineLvl w:val="9"/>
              <w:rPr>
                <w:rFonts w:hint="eastAsia" w:ascii="宋体" w:hAnsi="宋体" w:eastAsia="宋体" w:cs="宋体"/>
                <w:b w:val="0"/>
                <w:bCs/>
                <w:color w:val="000000"/>
                <w:sz w:val="28"/>
                <w:szCs w:val="28"/>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总报价</w:t>
            </w:r>
          </w:p>
        </w:tc>
        <w:tc>
          <w:tcPr>
            <w:tcW w:w="98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outlineLvl w:val="9"/>
              <w:rPr>
                <w:rFonts w:hint="eastAsia" w:ascii="宋体" w:hAnsi="宋体" w:eastAsia="宋体" w:cs="宋体"/>
                <w:b w:val="0"/>
                <w:bCs/>
                <w:color w:val="000000"/>
                <w:sz w:val="28"/>
                <w:szCs w:val="28"/>
              </w:rPr>
            </w:pPr>
          </w:p>
        </w:tc>
      </w:tr>
    </w:tbl>
    <w:p>
      <w:pPr>
        <w:tabs>
          <w:tab w:val="left" w:pos="315"/>
        </w:tabs>
        <w:spacing w:line="360" w:lineRule="auto"/>
        <w:ind w:left="29" w:leftChars="14" w:firstLine="241" w:firstLineChars="100"/>
        <w:rPr>
          <w:rFonts w:hint="eastAsia" w:ascii="仿宋" w:hAnsi="仿宋" w:eastAsia="仿宋" w:cs="仿宋"/>
          <w:b/>
          <w:bCs/>
          <w:color w:val="000000"/>
          <w:sz w:val="24"/>
        </w:rPr>
      </w:pPr>
      <w:r>
        <w:rPr>
          <w:rFonts w:hint="eastAsia" w:ascii="仿宋" w:hAnsi="仿宋" w:eastAsia="仿宋" w:cs="仿宋"/>
          <w:b/>
          <w:bCs/>
          <w:color w:val="000000"/>
          <w:sz w:val="24"/>
        </w:rPr>
        <w:t>注： 1.如果按单价计算的结果与总价不一致，以单价为准修正总价。</w:t>
      </w:r>
    </w:p>
    <w:p>
      <w:pPr>
        <w:tabs>
          <w:tab w:val="left" w:pos="315"/>
          <w:tab w:val="left" w:pos="11685"/>
        </w:tabs>
        <w:spacing w:line="360" w:lineRule="auto"/>
        <w:ind w:left="30" w:leftChars="-43" w:hanging="120" w:hangingChars="50"/>
        <w:rPr>
          <w:rFonts w:hint="eastAsia" w:ascii="仿宋" w:hAnsi="仿宋" w:eastAsia="仿宋" w:cs="仿宋"/>
          <w:b/>
          <w:bCs/>
          <w:color w:val="000000"/>
          <w:sz w:val="24"/>
        </w:rPr>
      </w:pPr>
      <w:r>
        <w:rPr>
          <w:rFonts w:hint="eastAsia" w:ascii="仿宋" w:hAnsi="仿宋" w:eastAsia="仿宋" w:cs="仿宋"/>
          <w:b/>
          <w:bCs/>
          <w:color w:val="000000"/>
          <w:sz w:val="24"/>
        </w:rPr>
        <w:t xml:space="preserve">        2.如果不提供详细报价明细将视为没有实质性响应《竞争性磋商文件》。</w:t>
      </w:r>
      <w:r>
        <w:rPr>
          <w:rFonts w:hint="eastAsia" w:ascii="仿宋" w:hAnsi="仿宋" w:eastAsia="仿宋" w:cs="仿宋"/>
          <w:b/>
          <w:bCs/>
          <w:color w:val="000000"/>
          <w:sz w:val="24"/>
        </w:rPr>
        <w:tab/>
      </w:r>
    </w:p>
    <w:p>
      <w:pPr>
        <w:tabs>
          <w:tab w:val="left" w:pos="315"/>
        </w:tabs>
        <w:spacing w:line="360" w:lineRule="auto"/>
        <w:rPr>
          <w:rFonts w:hint="eastAsia" w:ascii="仿宋" w:hAnsi="仿宋" w:eastAsia="仿宋" w:cs="仿宋"/>
          <w:b/>
          <w:bCs/>
          <w:color w:val="000000"/>
          <w:sz w:val="24"/>
        </w:rPr>
      </w:pPr>
    </w:p>
    <w:p>
      <w:pPr>
        <w:pStyle w:val="9"/>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供应商名称：</w:t>
      </w:r>
      <w:r>
        <w:rPr>
          <w:rFonts w:hint="eastAsia" w:ascii="仿宋" w:hAnsi="仿宋" w:eastAsia="仿宋" w:cs="仿宋"/>
          <w:b/>
          <w:bCs/>
          <w:color w:val="000000"/>
          <w:sz w:val="24"/>
          <w:u w:val="single"/>
        </w:rPr>
        <w:t xml:space="preserve">     （单位公章）    </w:t>
      </w:r>
    </w:p>
    <w:p>
      <w:pPr>
        <w:pStyle w:val="9"/>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授权代表：</w:t>
      </w:r>
      <w:r>
        <w:rPr>
          <w:rFonts w:hint="eastAsia" w:ascii="仿宋" w:hAnsi="仿宋" w:eastAsia="仿宋" w:cs="仿宋"/>
          <w:b/>
          <w:bCs/>
          <w:color w:val="000000"/>
          <w:sz w:val="24"/>
          <w:u w:val="single"/>
        </w:rPr>
        <w:t xml:space="preserve">         （签字）      </w:t>
      </w:r>
    </w:p>
    <w:p>
      <w:pPr>
        <w:tabs>
          <w:tab w:val="left" w:pos="315"/>
        </w:tabs>
        <w:spacing w:line="360" w:lineRule="auto"/>
        <w:rPr>
          <w:rFonts w:hint="eastAsia" w:ascii="仿宋" w:hAnsi="仿宋" w:eastAsia="仿宋" w:cs="仿宋"/>
          <w:b/>
          <w:bCs/>
          <w:color w:val="000000"/>
          <w:sz w:val="24"/>
          <w:u w:val="single"/>
        </w:rPr>
        <w:sectPr>
          <w:headerReference r:id="rId9" w:type="first"/>
          <w:footerReference r:id="rId11" w:type="first"/>
          <w:footerReference r:id="rId10" w:type="default"/>
          <w:pgSz w:w="16840" w:h="11907" w:orient="landscape"/>
          <w:pgMar w:top="1803" w:right="1440" w:bottom="1803" w:left="1440" w:header="851" w:footer="590" w:gutter="0"/>
          <w:pgNumType w:fmt="numberInDash"/>
          <w:cols w:space="0" w:num="1"/>
          <w:rtlGutter w:val="0"/>
          <w:docGrid w:linePitch="312" w:charSpace="0"/>
        </w:sectPr>
      </w:pPr>
      <w:r>
        <w:rPr>
          <w:rFonts w:hint="eastAsia" w:ascii="仿宋" w:hAnsi="仿宋" w:eastAsia="仿宋" w:cs="仿宋"/>
          <w:b/>
          <w:bCs/>
          <w:color w:val="000000"/>
          <w:sz w:val="24"/>
        </w:rPr>
        <w:t>日    期：</w:t>
      </w:r>
      <w:r>
        <w:rPr>
          <w:rFonts w:hint="eastAsia" w:ascii="仿宋" w:hAnsi="仿宋" w:eastAsia="仿宋" w:cs="仿宋"/>
          <w:b/>
          <w:bCs/>
          <w:color w:val="000000"/>
          <w:sz w:val="24"/>
          <w:u w:val="single"/>
        </w:rPr>
        <w:t xml:space="preserve">       年     月    </w:t>
      </w:r>
    </w:p>
    <w:p>
      <w:pPr>
        <w:pStyle w:val="3"/>
        <w:ind w:left="0" w:leftChars="0" w:right="210" w:firstLine="0" w:firstLineChars="0"/>
        <w:jc w:val="center"/>
        <w:rPr>
          <w:rFonts w:hint="eastAsia" w:ascii="仿宋" w:hAnsi="仿宋" w:eastAsia="仿宋" w:cs="仿宋"/>
          <w:b/>
          <w:bCs/>
        </w:rPr>
      </w:pPr>
      <w:bookmarkStart w:id="281" w:name="_Toc394561795"/>
      <w:bookmarkStart w:id="282" w:name="_Toc499"/>
      <w:bookmarkStart w:id="283" w:name="_Toc392272779"/>
      <w:bookmarkStart w:id="284" w:name="_Toc392351549"/>
      <w:bookmarkStart w:id="285" w:name="_Toc397953714"/>
      <w:r>
        <w:rPr>
          <w:rFonts w:hint="eastAsia" w:ascii="仿宋" w:hAnsi="仿宋" w:eastAsia="仿宋" w:cs="仿宋"/>
          <w:b/>
          <w:bCs/>
        </w:rPr>
        <w:t>（四）投标保证金交纳和退付证明</w:t>
      </w:r>
      <w:bookmarkEnd w:id="281"/>
      <w:bookmarkEnd w:id="282"/>
      <w:bookmarkEnd w:id="283"/>
      <w:bookmarkEnd w:id="284"/>
      <w:bookmarkEnd w:id="285"/>
    </w:p>
    <w:p>
      <w:pPr>
        <w:rPr>
          <w:rFonts w:hint="eastAsia" w:ascii="仿宋" w:hAnsi="仿宋" w:eastAsia="仿宋" w:cs="仿宋"/>
          <w:b/>
          <w:bCs/>
        </w:rPr>
      </w:pPr>
    </w:p>
    <w:tbl>
      <w:tblPr>
        <w:tblStyle w:val="1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102"/>
        <w:gridCol w:w="2187"/>
        <w:gridCol w:w="1418"/>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2" w:type="dxa"/>
            <w:gridSpan w:val="2"/>
            <w:vAlign w:val="center"/>
          </w:tcPr>
          <w:p>
            <w:pPr>
              <w:jc w:val="center"/>
              <w:rPr>
                <w:rFonts w:hint="eastAsia" w:ascii="仿宋" w:hAnsi="仿宋" w:eastAsia="仿宋" w:cs="仿宋"/>
                <w:b/>
                <w:bCs/>
                <w:sz w:val="24"/>
              </w:rPr>
            </w:pPr>
            <w:r>
              <w:rPr>
                <w:rFonts w:hint="eastAsia" w:ascii="仿宋" w:hAnsi="仿宋" w:eastAsia="仿宋" w:cs="仿宋"/>
                <w:b/>
                <w:bCs/>
                <w:sz w:val="24"/>
              </w:rPr>
              <w:t>项目编号</w:t>
            </w:r>
          </w:p>
        </w:tc>
        <w:tc>
          <w:tcPr>
            <w:tcW w:w="6496" w:type="dxa"/>
            <w:gridSpan w:val="3"/>
            <w:vAlign w:val="center"/>
          </w:tcPr>
          <w:p>
            <w:pPr>
              <w:jc w:val="center"/>
              <w:rPr>
                <w:rFonts w:hint="eastAsia" w:ascii="仿宋" w:hAnsi="仿宋" w:eastAsia="仿宋" w:cs="仿宋"/>
                <w:b/>
                <w:bCs/>
                <w:sz w:val="24"/>
              </w:rPr>
            </w:pPr>
            <w:r>
              <w:rPr>
                <w:rFonts w:hint="eastAsia" w:ascii="仿宋" w:hAnsi="仿宋" w:eastAsia="仿宋" w:cs="仿宋"/>
                <w:b/>
                <w:bCs/>
                <w:sz w:val="24"/>
                <w:lang w:eastAsia="zh-CN"/>
              </w:rPr>
              <w:t>GZ2020015-LNSWDQ</w:t>
            </w:r>
            <w:r>
              <w:rPr>
                <w:rFonts w:hint="eastAsia" w:ascii="仿宋" w:hAnsi="仿宋" w:eastAsia="仿宋" w:cs="仿宋"/>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2" w:type="dxa"/>
            <w:gridSpan w:val="2"/>
            <w:vAlign w:val="center"/>
          </w:tcPr>
          <w:p>
            <w:pPr>
              <w:jc w:val="center"/>
              <w:rPr>
                <w:rFonts w:hint="eastAsia" w:ascii="仿宋" w:hAnsi="仿宋" w:eastAsia="仿宋" w:cs="仿宋"/>
                <w:b/>
                <w:bCs/>
                <w:sz w:val="24"/>
              </w:rPr>
            </w:pPr>
            <w:r>
              <w:rPr>
                <w:rFonts w:hint="eastAsia" w:ascii="仿宋" w:hAnsi="仿宋" w:eastAsia="仿宋" w:cs="仿宋"/>
                <w:b/>
                <w:bCs/>
                <w:sz w:val="24"/>
              </w:rPr>
              <w:t>项目名称</w:t>
            </w:r>
          </w:p>
        </w:tc>
        <w:tc>
          <w:tcPr>
            <w:tcW w:w="6496" w:type="dxa"/>
            <w:gridSpan w:val="3"/>
            <w:vAlign w:val="center"/>
          </w:tcPr>
          <w:p>
            <w:pPr>
              <w:spacing w:line="360" w:lineRule="auto"/>
              <w:jc w:val="center"/>
              <w:rPr>
                <w:rFonts w:hint="eastAsia" w:ascii="仿宋" w:hAnsi="仿宋" w:eastAsia="仿宋" w:cs="仿宋"/>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2" w:type="dxa"/>
            <w:gridSpan w:val="2"/>
            <w:vAlign w:val="center"/>
          </w:tcPr>
          <w:p>
            <w:pPr>
              <w:jc w:val="center"/>
              <w:rPr>
                <w:rFonts w:hint="eastAsia" w:ascii="仿宋" w:hAnsi="仿宋" w:eastAsia="仿宋" w:cs="仿宋"/>
                <w:b/>
                <w:bCs/>
                <w:sz w:val="24"/>
              </w:rPr>
            </w:pPr>
            <w:r>
              <w:rPr>
                <w:rFonts w:hint="eastAsia" w:ascii="仿宋" w:hAnsi="仿宋" w:eastAsia="仿宋" w:cs="仿宋"/>
                <w:b/>
                <w:bCs/>
                <w:sz w:val="24"/>
              </w:rPr>
              <w:t>投标单位名称</w:t>
            </w:r>
          </w:p>
        </w:tc>
        <w:tc>
          <w:tcPr>
            <w:tcW w:w="6496" w:type="dxa"/>
            <w:gridSpan w:val="3"/>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vMerge w:val="restart"/>
            <w:textDirection w:val="tbRlV"/>
            <w:vAlign w:val="center"/>
          </w:tcPr>
          <w:p>
            <w:pPr>
              <w:ind w:left="113" w:right="113"/>
              <w:jc w:val="center"/>
              <w:rPr>
                <w:rFonts w:hint="eastAsia" w:ascii="仿宋" w:hAnsi="仿宋" w:eastAsia="仿宋" w:cs="仿宋"/>
                <w:b/>
                <w:bCs/>
                <w:sz w:val="24"/>
              </w:rPr>
            </w:pPr>
            <w:r>
              <w:rPr>
                <w:rFonts w:hint="eastAsia" w:ascii="仿宋" w:hAnsi="仿宋" w:eastAsia="仿宋" w:cs="仿宋"/>
                <w:b/>
                <w:bCs/>
                <w:sz w:val="24"/>
              </w:rPr>
              <w:t>付款人</w:t>
            </w:r>
          </w:p>
        </w:tc>
        <w:tc>
          <w:tcPr>
            <w:tcW w:w="1102" w:type="dxa"/>
            <w:vAlign w:val="center"/>
          </w:tcPr>
          <w:p>
            <w:pPr>
              <w:jc w:val="center"/>
              <w:rPr>
                <w:rFonts w:hint="eastAsia" w:ascii="仿宋" w:hAnsi="仿宋" w:eastAsia="仿宋" w:cs="仿宋"/>
                <w:b/>
                <w:bCs/>
                <w:sz w:val="24"/>
              </w:rPr>
            </w:pPr>
            <w:r>
              <w:rPr>
                <w:rFonts w:hint="eastAsia" w:ascii="仿宋" w:hAnsi="仿宋" w:eastAsia="仿宋" w:cs="仿宋"/>
                <w:b/>
                <w:bCs/>
                <w:sz w:val="24"/>
              </w:rPr>
              <w:t>户名</w:t>
            </w:r>
          </w:p>
        </w:tc>
        <w:tc>
          <w:tcPr>
            <w:tcW w:w="6496" w:type="dxa"/>
            <w:gridSpan w:val="3"/>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vMerge w:val="continue"/>
            <w:vAlign w:val="center"/>
          </w:tcPr>
          <w:p>
            <w:pPr>
              <w:jc w:val="center"/>
              <w:rPr>
                <w:rFonts w:hint="eastAsia" w:ascii="仿宋" w:hAnsi="仿宋" w:eastAsia="仿宋" w:cs="仿宋"/>
                <w:b/>
                <w:bCs/>
                <w:sz w:val="24"/>
              </w:rPr>
            </w:pPr>
          </w:p>
        </w:tc>
        <w:tc>
          <w:tcPr>
            <w:tcW w:w="1102" w:type="dxa"/>
            <w:vAlign w:val="center"/>
          </w:tcPr>
          <w:p>
            <w:pPr>
              <w:jc w:val="center"/>
              <w:rPr>
                <w:rFonts w:hint="eastAsia" w:ascii="仿宋" w:hAnsi="仿宋" w:eastAsia="仿宋" w:cs="仿宋"/>
                <w:b/>
                <w:bCs/>
                <w:sz w:val="24"/>
              </w:rPr>
            </w:pPr>
            <w:r>
              <w:rPr>
                <w:rFonts w:hint="eastAsia" w:ascii="仿宋" w:hAnsi="仿宋" w:eastAsia="仿宋" w:cs="仿宋"/>
                <w:b/>
                <w:bCs/>
                <w:sz w:val="24"/>
              </w:rPr>
              <w:t>账号</w:t>
            </w:r>
          </w:p>
        </w:tc>
        <w:tc>
          <w:tcPr>
            <w:tcW w:w="6496" w:type="dxa"/>
            <w:gridSpan w:val="3"/>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0" w:type="dxa"/>
            <w:vMerge w:val="continue"/>
            <w:vAlign w:val="center"/>
          </w:tcPr>
          <w:p>
            <w:pPr>
              <w:jc w:val="center"/>
              <w:rPr>
                <w:rFonts w:hint="eastAsia" w:ascii="仿宋" w:hAnsi="仿宋" w:eastAsia="仿宋" w:cs="仿宋"/>
                <w:b/>
                <w:bCs/>
                <w:sz w:val="24"/>
              </w:rPr>
            </w:pPr>
          </w:p>
        </w:tc>
        <w:tc>
          <w:tcPr>
            <w:tcW w:w="1102" w:type="dxa"/>
            <w:vAlign w:val="center"/>
          </w:tcPr>
          <w:p>
            <w:pPr>
              <w:jc w:val="center"/>
              <w:rPr>
                <w:rFonts w:hint="eastAsia" w:ascii="仿宋" w:hAnsi="仿宋" w:eastAsia="仿宋" w:cs="仿宋"/>
                <w:b/>
                <w:bCs/>
                <w:sz w:val="24"/>
              </w:rPr>
            </w:pPr>
            <w:r>
              <w:rPr>
                <w:rFonts w:hint="eastAsia" w:ascii="仿宋" w:hAnsi="仿宋" w:eastAsia="仿宋" w:cs="仿宋"/>
                <w:b/>
                <w:bCs/>
                <w:sz w:val="24"/>
              </w:rPr>
              <w:t>开户行</w:t>
            </w:r>
          </w:p>
        </w:tc>
        <w:tc>
          <w:tcPr>
            <w:tcW w:w="6496" w:type="dxa"/>
            <w:gridSpan w:val="3"/>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2" w:type="dxa"/>
            <w:gridSpan w:val="2"/>
            <w:vAlign w:val="center"/>
          </w:tcPr>
          <w:p>
            <w:pPr>
              <w:jc w:val="center"/>
              <w:rPr>
                <w:rFonts w:hint="eastAsia" w:ascii="仿宋" w:hAnsi="仿宋" w:eastAsia="仿宋" w:cs="仿宋"/>
                <w:b/>
                <w:bCs/>
                <w:sz w:val="24"/>
              </w:rPr>
            </w:pPr>
            <w:r>
              <w:rPr>
                <w:rFonts w:hint="eastAsia" w:ascii="仿宋" w:hAnsi="仿宋" w:eastAsia="仿宋" w:cs="仿宋"/>
                <w:b/>
                <w:bCs/>
                <w:sz w:val="24"/>
              </w:rPr>
              <w:t>保证金金额</w:t>
            </w:r>
          </w:p>
        </w:tc>
        <w:tc>
          <w:tcPr>
            <w:tcW w:w="6496" w:type="dxa"/>
            <w:gridSpan w:val="3"/>
            <w:vAlign w:val="center"/>
          </w:tcPr>
          <w:p>
            <w:pPr>
              <w:rPr>
                <w:rFonts w:hint="eastAsia" w:ascii="仿宋" w:hAnsi="仿宋" w:eastAsia="仿宋" w:cs="仿宋"/>
                <w:b/>
                <w:bCs/>
                <w:sz w:val="24"/>
                <w:u w:val="single"/>
              </w:rPr>
            </w:pPr>
            <w:r>
              <w:rPr>
                <w:rFonts w:hint="eastAsia" w:ascii="仿宋" w:hAnsi="仿宋" w:eastAsia="仿宋" w:cs="仿宋"/>
                <w:b/>
                <w:bCs/>
                <w:sz w:val="24"/>
                <w:u w:val="single"/>
              </w:rPr>
              <w:t xml:space="preserve">                      </w:t>
            </w:r>
            <w:r>
              <w:rPr>
                <w:rFonts w:hint="eastAsia" w:ascii="仿宋" w:hAnsi="仿宋" w:eastAsia="仿宋" w:cs="仿宋"/>
                <w:b/>
                <w:bCs/>
                <w:sz w:val="24"/>
              </w:rPr>
              <w:t>（￥</w:t>
            </w:r>
            <w:r>
              <w:rPr>
                <w:rFonts w:hint="eastAsia" w:ascii="仿宋" w:hAnsi="仿宋" w:eastAsia="仿宋" w:cs="仿宋"/>
                <w:b/>
                <w:bCs/>
                <w:sz w:val="24"/>
                <w:u w:val="single"/>
              </w:rPr>
              <w:t xml:space="preserve">                    </w:t>
            </w:r>
            <w:r>
              <w:rPr>
                <w:rFonts w:hint="eastAsia" w:ascii="仿宋" w:hAnsi="仿宋" w:eastAsia="仿宋" w:cs="仿宋"/>
                <w:b/>
                <w:bCs/>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2" w:type="dxa"/>
            <w:gridSpan w:val="2"/>
            <w:vAlign w:val="center"/>
          </w:tcPr>
          <w:p>
            <w:pPr>
              <w:jc w:val="center"/>
              <w:rPr>
                <w:rFonts w:hint="eastAsia" w:ascii="仿宋" w:hAnsi="仿宋" w:eastAsia="仿宋" w:cs="仿宋"/>
                <w:b/>
                <w:bCs/>
                <w:sz w:val="24"/>
              </w:rPr>
            </w:pPr>
            <w:r>
              <w:rPr>
                <w:rFonts w:hint="eastAsia" w:ascii="仿宋" w:hAnsi="仿宋" w:eastAsia="仿宋" w:cs="仿宋"/>
                <w:b/>
                <w:bCs/>
                <w:sz w:val="24"/>
              </w:rPr>
              <w:t>联系人</w:t>
            </w:r>
          </w:p>
        </w:tc>
        <w:tc>
          <w:tcPr>
            <w:tcW w:w="2187" w:type="dxa"/>
            <w:vAlign w:val="center"/>
          </w:tcPr>
          <w:p>
            <w:pPr>
              <w:jc w:val="center"/>
              <w:rPr>
                <w:rFonts w:hint="eastAsia" w:ascii="仿宋" w:hAnsi="仿宋" w:eastAsia="仿宋" w:cs="仿宋"/>
                <w:b/>
                <w:bCs/>
                <w:sz w:val="24"/>
              </w:rPr>
            </w:pPr>
          </w:p>
        </w:tc>
        <w:tc>
          <w:tcPr>
            <w:tcW w:w="1418" w:type="dxa"/>
            <w:vAlign w:val="center"/>
          </w:tcPr>
          <w:p>
            <w:pPr>
              <w:jc w:val="center"/>
              <w:rPr>
                <w:rFonts w:hint="eastAsia" w:ascii="仿宋" w:hAnsi="仿宋" w:eastAsia="仿宋" w:cs="仿宋"/>
                <w:b/>
                <w:bCs/>
                <w:sz w:val="24"/>
              </w:rPr>
            </w:pPr>
            <w:r>
              <w:rPr>
                <w:rFonts w:hint="eastAsia" w:ascii="仿宋" w:hAnsi="仿宋" w:eastAsia="仿宋" w:cs="仿宋"/>
                <w:b/>
                <w:bCs/>
                <w:sz w:val="24"/>
              </w:rPr>
              <w:t>联系电话</w:t>
            </w:r>
          </w:p>
        </w:tc>
        <w:tc>
          <w:tcPr>
            <w:tcW w:w="2891" w:type="dxa"/>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2" w:hRule="atLeast"/>
          <w:jc w:val="center"/>
        </w:trPr>
        <w:tc>
          <w:tcPr>
            <w:tcW w:w="8528" w:type="dxa"/>
            <w:gridSpan w:val="5"/>
            <w:vAlign w:val="center"/>
          </w:tcPr>
          <w:p>
            <w:pPr>
              <w:jc w:val="center"/>
              <w:rPr>
                <w:rFonts w:hint="eastAsia" w:ascii="仿宋" w:hAnsi="仿宋" w:eastAsia="仿宋" w:cs="仿宋"/>
                <w:b/>
                <w:bCs/>
                <w:sz w:val="24"/>
              </w:rPr>
            </w:pPr>
            <w:r>
              <w:rPr>
                <w:rFonts w:hint="eastAsia" w:ascii="仿宋" w:hAnsi="仿宋" w:eastAsia="仿宋" w:cs="仿宋"/>
                <w:b/>
                <w:bCs/>
                <w:sz w:val="24"/>
              </w:rPr>
              <w:t>银行回执单复印件粘贴处（加盖骑缝公章）</w:t>
            </w:r>
          </w:p>
        </w:tc>
      </w:tr>
    </w:tbl>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特别说明：</w:t>
      </w:r>
    </w:p>
    <w:p>
      <w:pPr>
        <w:ind w:firstLine="482" w:firstLineChars="200"/>
        <w:rPr>
          <w:rFonts w:hint="eastAsia" w:ascii="仿宋" w:hAnsi="仿宋" w:eastAsia="仿宋" w:cs="仿宋"/>
          <w:b/>
          <w:bCs/>
          <w:sz w:val="24"/>
        </w:rPr>
      </w:pPr>
      <w:r>
        <w:rPr>
          <w:rFonts w:hint="eastAsia" w:ascii="仿宋" w:hAnsi="仿宋" w:eastAsia="仿宋" w:cs="仿宋"/>
          <w:b/>
          <w:bCs/>
          <w:sz w:val="24"/>
        </w:rPr>
        <w:t>1．付款人名称必须和投标单位名称完全一致，否则将视为无效保证金；</w:t>
      </w:r>
    </w:p>
    <w:p>
      <w:pPr>
        <w:ind w:firstLine="482" w:firstLineChars="200"/>
        <w:rPr>
          <w:rFonts w:hint="eastAsia" w:ascii="仿宋" w:hAnsi="仿宋" w:eastAsia="仿宋" w:cs="仿宋"/>
          <w:b/>
          <w:bCs/>
          <w:sz w:val="24"/>
        </w:rPr>
      </w:pPr>
      <w:r>
        <w:rPr>
          <w:rFonts w:hint="eastAsia" w:ascii="仿宋" w:hAnsi="仿宋" w:eastAsia="仿宋" w:cs="仿宋"/>
          <w:b/>
          <w:bCs/>
          <w:sz w:val="24"/>
        </w:rPr>
        <w:t>2．此证明作为保证金交纳和退付的唯一凭据，若因供应商提供的财务信息有误而导致保证金无法退付或退付错误的一切损失招标机构不负任何责任；</w:t>
      </w:r>
    </w:p>
    <w:p>
      <w:pPr>
        <w:ind w:firstLine="482" w:firstLineChars="200"/>
        <w:rPr>
          <w:rFonts w:hint="eastAsia" w:ascii="仿宋" w:hAnsi="仿宋" w:eastAsia="仿宋" w:cs="仿宋"/>
          <w:b/>
          <w:bCs/>
          <w:sz w:val="24"/>
        </w:rPr>
      </w:pPr>
      <w:r>
        <w:rPr>
          <w:rFonts w:hint="eastAsia" w:ascii="仿宋" w:hAnsi="仿宋" w:eastAsia="仿宋" w:cs="仿宋"/>
          <w:b/>
          <w:bCs/>
          <w:sz w:val="24"/>
        </w:rPr>
        <w:t>3、此证明只作为本项目投标保证金交纳和退付的证明。</w:t>
      </w:r>
      <w:bookmarkStart w:id="286" w:name="_Toc394561796"/>
    </w:p>
    <w:p>
      <w:pPr>
        <w:ind w:firstLine="422" w:firstLineChars="200"/>
        <w:rPr>
          <w:rFonts w:hint="eastAsia" w:ascii="仿宋" w:hAnsi="仿宋" w:eastAsia="仿宋" w:cs="仿宋"/>
          <w:b/>
          <w:bCs/>
        </w:rPr>
      </w:pPr>
    </w:p>
    <w:p>
      <w:pPr>
        <w:ind w:firstLine="482" w:firstLineChars="200"/>
        <w:rPr>
          <w:rFonts w:hint="eastAsia" w:ascii="仿宋" w:hAnsi="仿宋" w:eastAsia="仿宋" w:cs="仿宋"/>
          <w:b/>
          <w:bCs/>
          <w:sz w:val="24"/>
        </w:rPr>
      </w:pPr>
    </w:p>
    <w:p>
      <w:pPr>
        <w:ind w:firstLine="482" w:firstLineChars="200"/>
        <w:rPr>
          <w:rFonts w:hint="eastAsia" w:ascii="仿宋" w:hAnsi="仿宋" w:eastAsia="仿宋" w:cs="仿宋"/>
          <w:b/>
          <w:bCs/>
          <w:sz w:val="24"/>
        </w:rPr>
      </w:pPr>
    </w:p>
    <w:p>
      <w:pPr>
        <w:rPr>
          <w:rFonts w:hint="eastAsia" w:ascii="仿宋" w:hAnsi="仿宋" w:eastAsia="仿宋" w:cs="仿宋"/>
          <w:b/>
          <w:bCs/>
          <w:sz w:val="24"/>
        </w:rPr>
      </w:pPr>
    </w:p>
    <w:p>
      <w:pPr>
        <w:ind w:firstLine="482" w:firstLineChars="200"/>
        <w:rPr>
          <w:rFonts w:hint="eastAsia" w:ascii="仿宋" w:hAnsi="仿宋" w:eastAsia="仿宋" w:cs="仿宋"/>
          <w:b/>
          <w:bCs/>
          <w:sz w:val="24"/>
        </w:rPr>
      </w:pPr>
    </w:p>
    <w:p>
      <w:pPr>
        <w:spacing w:before="15"/>
        <w:ind w:left="0" w:right="149" w:firstLine="0"/>
        <w:jc w:val="center"/>
        <w:outlineLvl w:val="0"/>
        <w:rPr>
          <w:rFonts w:hint="eastAsia" w:ascii="宋体" w:hAnsi="宋体" w:eastAsia="宋体" w:cs="宋体"/>
          <w:b/>
          <w:i w:val="0"/>
          <w:iCs/>
          <w:sz w:val="32"/>
          <w:szCs w:val="32"/>
          <w:lang w:eastAsia="zh-CN"/>
        </w:rPr>
      </w:pPr>
      <w:bookmarkStart w:id="287" w:name="_Toc27880"/>
      <w:bookmarkStart w:id="288" w:name="_Toc397953715"/>
      <w:r>
        <w:rPr>
          <w:rFonts w:hint="eastAsia" w:ascii="仿宋" w:hAnsi="仿宋" w:eastAsia="仿宋" w:cs="仿宋"/>
          <w:b/>
          <w:bCs/>
          <w:sz w:val="32"/>
          <w:szCs w:val="32"/>
        </w:rPr>
        <w:t>（五）</w:t>
      </w:r>
      <w:bookmarkStart w:id="289" w:name="_Toc3976"/>
      <w:r>
        <w:rPr>
          <w:rFonts w:hint="eastAsia" w:ascii="宋体" w:hAnsi="宋体" w:eastAsia="宋体" w:cs="宋体"/>
          <w:b/>
          <w:i w:val="0"/>
          <w:iCs/>
          <w:sz w:val="32"/>
          <w:szCs w:val="32"/>
        </w:rPr>
        <w:t>法定代表人身</w:t>
      </w:r>
      <w:r>
        <w:rPr>
          <w:rFonts w:hint="eastAsia" w:ascii="宋体" w:hAnsi="宋体" w:eastAsia="宋体" w:cs="宋体"/>
          <w:b/>
          <w:i w:val="0"/>
          <w:iCs/>
          <w:sz w:val="32"/>
          <w:szCs w:val="32"/>
          <w:lang w:eastAsia="zh-CN"/>
        </w:rPr>
        <w:t>份</w:t>
      </w:r>
      <w:r>
        <w:rPr>
          <w:rFonts w:hint="eastAsia" w:ascii="宋体" w:hAnsi="宋体" w:eastAsia="宋体" w:cs="宋体"/>
          <w:b/>
          <w:i w:val="0"/>
          <w:iCs/>
          <w:sz w:val="32"/>
          <w:szCs w:val="32"/>
        </w:rPr>
        <w:t>证明</w:t>
      </w:r>
      <w:bookmarkEnd w:id="289"/>
      <w:r>
        <w:rPr>
          <w:rFonts w:hint="eastAsia" w:ascii="宋体" w:hAnsi="宋体" w:eastAsia="宋体" w:cs="宋体"/>
          <w:b/>
          <w:i w:val="0"/>
          <w:iCs/>
          <w:sz w:val="32"/>
          <w:szCs w:val="32"/>
          <w:lang w:eastAsia="zh-CN"/>
        </w:rPr>
        <w:t>书</w:t>
      </w:r>
    </w:p>
    <w:p>
      <w:pPr>
        <w:pStyle w:val="40"/>
        <w:spacing w:line="490" w:lineRule="exact"/>
        <w:outlineLvl w:val="9"/>
        <w:rPr>
          <w:rFonts w:hint="eastAsia" w:ascii="宋体" w:hAnsi="宋体" w:eastAsia="宋体" w:cs="宋体"/>
          <w:sz w:val="28"/>
          <w:szCs w:val="28"/>
        </w:rPr>
      </w:pPr>
    </w:p>
    <w:p>
      <w:pPr>
        <w:pStyle w:val="40"/>
        <w:spacing w:line="600" w:lineRule="exact"/>
        <w:ind w:firstLine="420" w:firstLineChars="150"/>
        <w:outlineLvl w:val="9"/>
        <w:rPr>
          <w:rFonts w:hint="eastAsia" w:ascii="宋体" w:hAnsi="宋体" w:eastAsia="宋体" w:cs="宋体"/>
          <w:sz w:val="28"/>
          <w:szCs w:val="28"/>
          <w:u w:val="single"/>
        </w:rPr>
      </w:pPr>
      <w:r>
        <w:rPr>
          <w:rFonts w:hint="eastAsia" w:ascii="宋体" w:hAnsi="宋体" w:eastAsia="宋体" w:cs="宋体"/>
          <w:sz w:val="28"/>
          <w:szCs w:val="28"/>
          <w:lang w:eastAsia="zh-CN"/>
        </w:rPr>
        <w:t>供应商</w:t>
      </w:r>
      <w:r>
        <w:rPr>
          <w:rFonts w:hint="eastAsia" w:ascii="宋体" w:hAnsi="宋体" w:eastAsia="宋体" w:cs="宋体"/>
          <w:sz w:val="28"/>
          <w:szCs w:val="28"/>
        </w:rPr>
        <w:t>名称：</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pStyle w:val="40"/>
        <w:spacing w:line="600" w:lineRule="exact"/>
        <w:ind w:firstLine="420" w:firstLineChars="150"/>
        <w:outlineLvl w:val="9"/>
        <w:rPr>
          <w:rFonts w:hint="eastAsia" w:ascii="宋体" w:hAnsi="宋体" w:eastAsia="宋体" w:cs="宋体"/>
          <w:sz w:val="28"/>
          <w:szCs w:val="28"/>
        </w:rPr>
      </w:pPr>
      <w:r>
        <w:rPr>
          <w:rFonts w:hint="eastAsia" w:ascii="宋体" w:hAnsi="宋体" w:eastAsia="宋体" w:cs="宋体"/>
          <w:sz w:val="28"/>
          <w:szCs w:val="28"/>
        </w:rPr>
        <w:t>注册号：</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40"/>
        <w:spacing w:line="600" w:lineRule="exact"/>
        <w:ind w:firstLine="420" w:firstLineChars="150"/>
        <w:outlineLvl w:val="9"/>
        <w:rPr>
          <w:rFonts w:hint="eastAsia" w:ascii="宋体" w:hAnsi="宋体" w:eastAsia="宋体" w:cs="宋体"/>
          <w:sz w:val="28"/>
          <w:szCs w:val="28"/>
        </w:rPr>
      </w:pPr>
      <w:r>
        <w:rPr>
          <w:rFonts w:hint="eastAsia" w:ascii="宋体" w:hAnsi="宋体" w:eastAsia="宋体" w:cs="宋体"/>
          <w:sz w:val="28"/>
          <w:szCs w:val="28"/>
        </w:rPr>
        <w:t>注册地址：</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40"/>
        <w:spacing w:line="600" w:lineRule="exact"/>
        <w:ind w:firstLine="420" w:firstLineChars="150"/>
        <w:outlineLvl w:val="9"/>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pStyle w:val="40"/>
        <w:spacing w:line="600" w:lineRule="exact"/>
        <w:ind w:firstLine="420" w:firstLineChars="150"/>
        <w:outlineLvl w:val="9"/>
        <w:rPr>
          <w:rFonts w:hint="eastAsia" w:ascii="宋体" w:hAnsi="宋体" w:eastAsia="宋体" w:cs="宋体"/>
          <w:sz w:val="28"/>
          <w:szCs w:val="28"/>
          <w:u w:val="single"/>
        </w:rPr>
      </w:pPr>
      <w:r>
        <w:rPr>
          <w:rFonts w:hint="eastAsia" w:ascii="宋体" w:hAnsi="宋体" w:eastAsia="宋体" w:cs="宋体"/>
          <w:sz w:val="28"/>
          <w:szCs w:val="28"/>
        </w:rPr>
        <w:t>经营期限：</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pStyle w:val="40"/>
        <w:spacing w:line="600" w:lineRule="exact"/>
        <w:ind w:firstLine="420" w:firstLineChars="150"/>
        <w:outlineLvl w:val="9"/>
        <w:rPr>
          <w:rFonts w:hint="eastAsia" w:ascii="宋体" w:hAnsi="宋体" w:eastAsia="宋体" w:cs="宋体"/>
          <w:sz w:val="28"/>
          <w:szCs w:val="28"/>
          <w:u w:val="single"/>
        </w:rPr>
      </w:pPr>
      <w:r>
        <w:rPr>
          <w:rFonts w:hint="eastAsia" w:ascii="宋体" w:hAnsi="宋体" w:eastAsia="宋体" w:cs="宋体"/>
          <w:sz w:val="28"/>
          <w:szCs w:val="28"/>
        </w:rPr>
        <w:t>经营范围：主营：</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；兼营：</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pStyle w:val="40"/>
        <w:spacing w:line="600" w:lineRule="exact"/>
        <w:ind w:firstLine="420" w:firstLineChars="150"/>
        <w:outlineLvl w:val="9"/>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性别：</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hAnsi="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供应商</w:t>
      </w:r>
      <w:r>
        <w:rPr>
          <w:rFonts w:hint="eastAsia" w:ascii="宋体" w:hAnsi="宋体" w:eastAsia="宋体" w:cs="宋体"/>
          <w:sz w:val="28"/>
          <w:szCs w:val="28"/>
        </w:rPr>
        <w:t>名称）的法定代表人。</w:t>
      </w:r>
    </w:p>
    <w:p>
      <w:pPr>
        <w:pStyle w:val="40"/>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15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特此证明。 </w:t>
      </w:r>
    </w:p>
    <w:p>
      <w:pPr>
        <w:pStyle w:val="40"/>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auto"/>
          <w:sz w:val="28"/>
          <w:szCs w:val="28"/>
        </w:rPr>
      </w:pPr>
    </w:p>
    <w:p>
      <w:pPr>
        <w:pStyle w:val="40"/>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宋体" w:hAnsi="宋体" w:eastAsia="宋体" w:cs="宋体"/>
          <w:color w:val="auto"/>
          <w:sz w:val="28"/>
          <w:szCs w:val="28"/>
          <w:u w:val="single"/>
        </w:rPr>
      </w:pP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名称（盖公章）：</w:t>
      </w:r>
      <w:r>
        <w:rPr>
          <w:rFonts w:hint="eastAsia" w:ascii="宋体" w:hAnsi="宋体" w:eastAsia="宋体" w:cs="宋体"/>
          <w:color w:val="auto"/>
          <w:sz w:val="28"/>
          <w:szCs w:val="28"/>
          <w:u w:val="single"/>
        </w:rPr>
        <w:t xml:space="preserve"> </w:t>
      </w:r>
      <w:r>
        <w:rPr>
          <w:rFonts w:hint="eastAsia" w:hAnsi="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p>
    <w:p>
      <w:pPr>
        <w:pStyle w:val="40"/>
        <w:spacing w:line="490" w:lineRule="exact"/>
        <w:outlineLvl w:val="9"/>
        <w:rPr>
          <w:rFonts w:hint="eastAsia" w:ascii="宋体" w:hAnsi="宋体" w:eastAsia="宋体" w:cs="宋体"/>
          <w:b w:val="0"/>
          <w:bCs w:val="0"/>
          <w:color w:val="auto"/>
          <w:sz w:val="28"/>
          <w:szCs w:val="28"/>
          <w:u w:val="single"/>
        </w:rPr>
      </w:pPr>
      <w:r>
        <w:rPr>
          <w:rFonts w:hint="eastAsia" w:ascii="宋体" w:hAnsi="宋体" w:eastAsia="宋体" w:cs="宋体"/>
          <w:color w:val="auto"/>
          <w:sz w:val="28"/>
          <w:szCs w:val="28"/>
        </w:rPr>
        <w:t>法定</w:t>
      </w:r>
      <w:r>
        <w:rPr>
          <w:rFonts w:hint="eastAsia" w:ascii="宋体" w:hAnsi="宋体" w:eastAsia="宋体" w:cs="宋体"/>
          <w:b w:val="0"/>
          <w:bCs w:val="0"/>
          <w:color w:val="auto"/>
          <w:sz w:val="28"/>
          <w:szCs w:val="28"/>
        </w:rPr>
        <w:t>代表人或其授权的代理人(签字)：</w:t>
      </w:r>
      <w:r>
        <w:rPr>
          <w:rFonts w:hint="eastAsia" w:ascii="宋体" w:hAnsi="宋体" w:eastAsia="宋体" w:cs="宋体"/>
          <w:b w:val="0"/>
          <w:bCs w:val="0"/>
          <w:color w:val="auto"/>
          <w:sz w:val="28"/>
          <w:szCs w:val="28"/>
          <w:u w:val="single"/>
        </w:rPr>
        <w:t xml:space="preserve">                 </w:t>
      </w:r>
    </w:p>
    <w:p>
      <w:pPr>
        <w:ind w:left="210" w:right="210"/>
        <w:outlineLvl w:val="9"/>
        <w:rPr>
          <w:rFonts w:hint="eastAsia" w:ascii="仿宋" w:hAnsi="仿宋" w:eastAsia="仿宋" w:cs="仿宋"/>
          <w:b/>
          <w:bCs/>
        </w:rPr>
      </w:pPr>
      <w:r>
        <w:rPr>
          <w:rFonts w:hint="eastAsia" w:ascii="宋体" w:hAnsi="宋体" w:eastAsia="宋体" w:cs="宋体"/>
          <w:b w:val="0"/>
          <w:bCs w:val="0"/>
          <w:color w:val="auto"/>
          <w:sz w:val="28"/>
          <w:szCs w:val="28"/>
        </w:rPr>
        <w:t>日期：</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 xml:space="preserve"> 年</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日</w:t>
      </w:r>
      <w:r>
        <w:rPr>
          <w:rFonts w:hint="eastAsia" w:ascii="仿宋" w:hAnsi="仿宋" w:eastAsia="仿宋" w:cs="仿宋"/>
          <w:b/>
          <w:bCs/>
        </w:rPr>
        <w:t xml:space="preserve"> </w:t>
      </w:r>
    </w:p>
    <w:p>
      <w:pPr>
        <w:pStyle w:val="3"/>
        <w:ind w:left="210" w:right="210"/>
        <w:rPr>
          <w:rFonts w:hint="eastAsia" w:ascii="仿宋" w:hAnsi="仿宋" w:eastAsia="仿宋" w:cs="仿宋"/>
          <w:b/>
          <w:bCs/>
          <w:lang w:eastAsia="zh-CN"/>
        </w:rPr>
      </w:pPr>
    </w:p>
    <w:p>
      <w:pPr>
        <w:pStyle w:val="3"/>
        <w:ind w:left="210" w:right="210"/>
        <w:rPr>
          <w:rFonts w:hint="eastAsia" w:ascii="仿宋" w:hAnsi="仿宋" w:eastAsia="仿宋" w:cs="仿宋"/>
          <w:b/>
          <w:bCs/>
          <w:lang w:eastAsia="zh-CN"/>
        </w:rPr>
      </w:pPr>
    </w:p>
    <w:p>
      <w:pPr>
        <w:pStyle w:val="3"/>
        <w:ind w:left="210" w:right="210"/>
        <w:rPr>
          <w:rFonts w:hint="eastAsia" w:ascii="仿宋" w:hAnsi="仿宋" w:eastAsia="仿宋" w:cs="仿宋"/>
          <w:b/>
          <w:bCs/>
          <w:lang w:eastAsia="zh-CN"/>
        </w:rPr>
      </w:pPr>
    </w:p>
    <w:p>
      <w:pPr>
        <w:rPr>
          <w:rFonts w:hint="eastAsia" w:ascii="仿宋" w:hAnsi="仿宋" w:eastAsia="仿宋" w:cs="仿宋"/>
          <w:b/>
          <w:bCs/>
          <w:lang w:eastAsia="zh-CN"/>
        </w:rPr>
      </w:pPr>
    </w:p>
    <w:p>
      <w:pPr>
        <w:pStyle w:val="6"/>
        <w:rPr>
          <w:rFonts w:hint="eastAsia" w:ascii="仿宋" w:hAnsi="仿宋" w:eastAsia="仿宋" w:cs="仿宋"/>
          <w:b/>
          <w:bCs/>
          <w:lang w:eastAsia="zh-CN"/>
        </w:rPr>
      </w:pPr>
    </w:p>
    <w:p>
      <w:pPr>
        <w:rPr>
          <w:rFonts w:hint="eastAsia" w:ascii="仿宋" w:hAnsi="仿宋" w:eastAsia="仿宋" w:cs="仿宋"/>
          <w:b/>
          <w:bCs/>
          <w:lang w:eastAsia="zh-CN"/>
        </w:rPr>
      </w:pPr>
    </w:p>
    <w:p>
      <w:pPr>
        <w:pStyle w:val="6"/>
        <w:rPr>
          <w:rFonts w:hint="eastAsia" w:ascii="仿宋" w:hAnsi="仿宋" w:eastAsia="仿宋" w:cs="仿宋"/>
          <w:b/>
          <w:bCs/>
          <w:lang w:eastAsia="zh-CN"/>
        </w:rPr>
      </w:pPr>
    </w:p>
    <w:p>
      <w:pPr>
        <w:rPr>
          <w:rFonts w:hint="eastAsia" w:ascii="仿宋" w:hAnsi="仿宋" w:eastAsia="仿宋" w:cs="仿宋"/>
          <w:b/>
          <w:bCs/>
          <w:lang w:eastAsia="zh-CN"/>
        </w:rPr>
      </w:pPr>
    </w:p>
    <w:p>
      <w:pPr>
        <w:pStyle w:val="6"/>
        <w:rPr>
          <w:rFonts w:hint="eastAsia" w:ascii="仿宋" w:hAnsi="仿宋" w:eastAsia="仿宋" w:cs="仿宋"/>
          <w:b/>
          <w:bCs/>
          <w:lang w:eastAsia="zh-CN"/>
        </w:rPr>
      </w:pPr>
    </w:p>
    <w:p>
      <w:pPr>
        <w:rPr>
          <w:rFonts w:hint="eastAsia" w:ascii="仿宋" w:hAnsi="仿宋" w:eastAsia="仿宋" w:cs="仿宋"/>
          <w:b/>
          <w:bCs/>
          <w:lang w:eastAsia="zh-CN"/>
        </w:rPr>
      </w:pPr>
    </w:p>
    <w:p>
      <w:pPr>
        <w:pStyle w:val="6"/>
        <w:rPr>
          <w:rFonts w:hint="eastAsia" w:ascii="仿宋" w:hAnsi="仿宋" w:eastAsia="仿宋" w:cs="仿宋"/>
          <w:b/>
          <w:bCs/>
          <w:lang w:eastAsia="zh-CN"/>
        </w:rPr>
      </w:pPr>
    </w:p>
    <w:p>
      <w:pPr>
        <w:rPr>
          <w:rFonts w:hint="eastAsia"/>
          <w:lang w:eastAsia="zh-CN"/>
        </w:rPr>
      </w:pPr>
    </w:p>
    <w:p>
      <w:pPr>
        <w:pStyle w:val="3"/>
        <w:ind w:left="210" w:right="210"/>
        <w:rPr>
          <w:rFonts w:hint="eastAsia" w:ascii="仿宋" w:hAnsi="仿宋" w:eastAsia="仿宋" w:cs="仿宋"/>
          <w:b/>
          <w:bCs/>
          <w:lang w:eastAsia="zh-CN"/>
        </w:rPr>
      </w:pPr>
    </w:p>
    <w:p>
      <w:pPr>
        <w:pStyle w:val="3"/>
        <w:ind w:left="210" w:right="210"/>
        <w:rPr>
          <w:rFonts w:hint="eastAsia" w:ascii="仿宋" w:hAnsi="仿宋" w:eastAsia="仿宋" w:cs="仿宋"/>
          <w:b/>
          <w:bCs/>
        </w:rPr>
      </w:pPr>
      <w:r>
        <w:rPr>
          <w:rFonts w:hint="eastAsia" w:ascii="仿宋" w:hAnsi="仿宋" w:eastAsia="仿宋" w:cs="仿宋"/>
          <w:b/>
          <w:bCs/>
          <w:lang w:eastAsia="zh-CN"/>
        </w:rPr>
        <w:t>（六）</w:t>
      </w:r>
      <w:r>
        <w:rPr>
          <w:rFonts w:hint="eastAsia" w:ascii="仿宋" w:hAnsi="仿宋" w:eastAsia="仿宋" w:cs="仿宋"/>
          <w:b/>
          <w:bCs/>
        </w:rPr>
        <w:t>法定代表人授权书</w:t>
      </w:r>
      <w:bookmarkEnd w:id="286"/>
      <w:bookmarkEnd w:id="287"/>
      <w:bookmarkEnd w:id="288"/>
    </w:p>
    <w:p>
      <w:pPr>
        <w:spacing w:line="500" w:lineRule="exact"/>
        <w:jc w:val="left"/>
        <w:rPr>
          <w:rFonts w:hint="eastAsia" w:ascii="仿宋" w:hAnsi="仿宋" w:eastAsia="仿宋" w:cs="仿宋"/>
          <w:b/>
          <w:bCs/>
        </w:rPr>
      </w:pPr>
    </w:p>
    <w:p>
      <w:pPr>
        <w:spacing w:line="500" w:lineRule="exact"/>
        <w:jc w:val="left"/>
        <w:rPr>
          <w:rFonts w:hint="eastAsia" w:ascii="仿宋" w:hAnsi="仿宋" w:eastAsia="仿宋" w:cs="仿宋"/>
          <w:b/>
          <w:bCs/>
        </w:rPr>
      </w:pPr>
    </w:p>
    <w:p>
      <w:pPr>
        <w:spacing w:line="50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本授权书声明：注册于</w:t>
      </w:r>
      <w:r>
        <w:rPr>
          <w:rFonts w:hint="eastAsia" w:ascii="仿宋" w:hAnsi="仿宋" w:eastAsia="仿宋" w:cs="仿宋"/>
          <w:b/>
          <w:bCs/>
          <w:sz w:val="28"/>
          <w:szCs w:val="28"/>
          <w:u w:val="single"/>
        </w:rPr>
        <w:t xml:space="preserve">   （国家或地区的名称）   </w:t>
      </w:r>
      <w:r>
        <w:rPr>
          <w:rFonts w:hint="eastAsia" w:ascii="仿宋" w:hAnsi="仿宋" w:eastAsia="仿宋" w:cs="仿宋"/>
          <w:b/>
          <w:bCs/>
          <w:sz w:val="28"/>
          <w:szCs w:val="28"/>
        </w:rPr>
        <w:t>的</w:t>
      </w:r>
      <w:r>
        <w:rPr>
          <w:rFonts w:hint="eastAsia" w:ascii="仿宋" w:hAnsi="仿宋" w:eastAsia="仿宋" w:cs="仿宋"/>
          <w:b/>
          <w:bCs/>
          <w:sz w:val="28"/>
          <w:szCs w:val="28"/>
          <w:u w:val="single"/>
        </w:rPr>
        <w:t xml:space="preserve">  （公司名称）  </w:t>
      </w:r>
      <w:r>
        <w:rPr>
          <w:rFonts w:hint="eastAsia" w:ascii="仿宋" w:hAnsi="仿宋" w:eastAsia="仿宋" w:cs="仿宋"/>
          <w:b/>
          <w:bCs/>
          <w:sz w:val="28"/>
          <w:szCs w:val="28"/>
        </w:rPr>
        <w:t xml:space="preserve">的在下面签字的法定代表人 </w:t>
      </w:r>
      <w:r>
        <w:rPr>
          <w:rFonts w:hint="eastAsia" w:ascii="仿宋" w:hAnsi="仿宋" w:eastAsia="仿宋" w:cs="仿宋"/>
          <w:b/>
          <w:bCs/>
          <w:sz w:val="28"/>
          <w:szCs w:val="28"/>
          <w:u w:val="single"/>
        </w:rPr>
        <w:t xml:space="preserve">   （职务、姓名）    </w:t>
      </w:r>
      <w:r>
        <w:rPr>
          <w:rFonts w:hint="eastAsia" w:ascii="仿宋" w:hAnsi="仿宋" w:eastAsia="仿宋" w:cs="仿宋"/>
          <w:b/>
          <w:bCs/>
          <w:sz w:val="28"/>
          <w:szCs w:val="28"/>
        </w:rPr>
        <w:t xml:space="preserve">代表本公司授权 </w:t>
      </w:r>
      <w:r>
        <w:rPr>
          <w:rFonts w:hint="eastAsia" w:ascii="仿宋" w:hAnsi="仿宋" w:eastAsia="仿宋" w:cs="仿宋"/>
          <w:b/>
          <w:bCs/>
          <w:sz w:val="28"/>
          <w:szCs w:val="28"/>
          <w:u w:val="single"/>
        </w:rPr>
        <w:t xml:space="preserve">   （公司名称）   </w:t>
      </w:r>
      <w:r>
        <w:rPr>
          <w:rFonts w:hint="eastAsia" w:ascii="仿宋" w:hAnsi="仿宋" w:eastAsia="仿宋" w:cs="仿宋"/>
          <w:b/>
          <w:bCs/>
          <w:sz w:val="28"/>
          <w:szCs w:val="28"/>
        </w:rPr>
        <w:t xml:space="preserve"> 的在下面签字的被授权人</w:t>
      </w:r>
      <w:r>
        <w:rPr>
          <w:rFonts w:hint="eastAsia" w:ascii="仿宋" w:hAnsi="仿宋" w:eastAsia="仿宋" w:cs="仿宋"/>
          <w:b/>
          <w:bCs/>
          <w:sz w:val="28"/>
          <w:szCs w:val="28"/>
          <w:u w:val="single"/>
        </w:rPr>
        <w:t xml:space="preserve">    （职务、姓名）    </w:t>
      </w:r>
      <w:r>
        <w:rPr>
          <w:rFonts w:hint="eastAsia" w:ascii="仿宋" w:hAnsi="仿宋" w:eastAsia="仿宋" w:cs="仿宋"/>
          <w:b/>
          <w:bCs/>
          <w:sz w:val="28"/>
          <w:szCs w:val="28"/>
        </w:rPr>
        <w:t>为本公司的合法代理人，就</w:t>
      </w:r>
      <w:r>
        <w:rPr>
          <w:rFonts w:hint="eastAsia" w:ascii="仿宋" w:hAnsi="仿宋" w:eastAsia="仿宋" w:cs="仿宋"/>
          <w:b/>
          <w:bCs/>
          <w:sz w:val="28"/>
          <w:szCs w:val="28"/>
          <w:u w:val="single"/>
        </w:rPr>
        <w:t xml:space="preserve">    （项目名称）     </w:t>
      </w:r>
      <w:r>
        <w:rPr>
          <w:rFonts w:hint="eastAsia" w:ascii="仿宋" w:hAnsi="仿宋" w:eastAsia="仿宋" w:cs="仿宋"/>
          <w:b/>
          <w:bCs/>
          <w:sz w:val="28"/>
          <w:szCs w:val="28"/>
        </w:rPr>
        <w:t>的</w:t>
      </w:r>
      <w:r>
        <w:rPr>
          <w:rFonts w:hint="eastAsia" w:ascii="仿宋" w:hAnsi="仿宋" w:eastAsia="仿宋" w:cs="仿宋"/>
          <w:b/>
          <w:bCs/>
          <w:sz w:val="28"/>
          <w:szCs w:val="28"/>
          <w:u w:val="single"/>
        </w:rPr>
        <w:t xml:space="preserve">    （内容）     </w:t>
      </w:r>
      <w:r>
        <w:rPr>
          <w:rFonts w:hint="eastAsia" w:ascii="仿宋" w:hAnsi="仿宋" w:eastAsia="仿宋" w:cs="仿宋"/>
          <w:b/>
          <w:bCs/>
          <w:sz w:val="28"/>
          <w:szCs w:val="28"/>
        </w:rPr>
        <w:t>磋商，以本公司名义处理一切与之有关的事务。</w:t>
      </w:r>
    </w:p>
    <w:p>
      <w:pPr>
        <w:spacing w:line="500" w:lineRule="exact"/>
        <w:ind w:firstLine="482" w:firstLineChars="200"/>
        <w:jc w:val="left"/>
        <w:rPr>
          <w:rFonts w:hint="eastAsia" w:ascii="仿宋" w:hAnsi="仿宋" w:eastAsia="仿宋" w:cs="仿宋"/>
          <w:b/>
          <w:bCs/>
          <w:sz w:val="24"/>
        </w:rPr>
      </w:pPr>
    </w:p>
    <w:p>
      <w:pPr>
        <w:spacing w:line="50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本授权书于</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年</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月</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日签字生效， 特此声明。</w:t>
      </w:r>
    </w:p>
    <w:p>
      <w:pPr>
        <w:spacing w:line="500" w:lineRule="exact"/>
        <w:rPr>
          <w:rFonts w:hint="eastAsia" w:ascii="仿宋" w:hAnsi="仿宋" w:eastAsia="仿宋" w:cs="仿宋"/>
          <w:b/>
          <w:bCs/>
          <w:sz w:val="28"/>
          <w:szCs w:val="28"/>
        </w:rPr>
      </w:pPr>
    </w:p>
    <w:p>
      <w:pPr>
        <w:spacing w:line="500" w:lineRule="exact"/>
        <w:ind w:firstLine="562" w:firstLineChars="200"/>
        <w:rPr>
          <w:rFonts w:hint="eastAsia" w:ascii="仿宋" w:hAnsi="仿宋" w:eastAsia="仿宋" w:cs="仿宋"/>
          <w:b/>
          <w:bCs/>
          <w:sz w:val="28"/>
          <w:szCs w:val="28"/>
        </w:rPr>
      </w:pPr>
    </w:p>
    <w:p>
      <w:pPr>
        <w:spacing w:line="500" w:lineRule="exact"/>
        <w:ind w:firstLine="562" w:firstLineChars="200"/>
        <w:rPr>
          <w:rFonts w:hint="eastAsia" w:ascii="仿宋" w:hAnsi="仿宋" w:eastAsia="仿宋" w:cs="仿宋"/>
          <w:b/>
          <w:bCs/>
          <w:sz w:val="28"/>
          <w:szCs w:val="28"/>
        </w:rPr>
      </w:pPr>
    </w:p>
    <w:p>
      <w:pPr>
        <w:spacing w:line="500" w:lineRule="exact"/>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法定代表人签字：</w:t>
      </w:r>
      <w:r>
        <w:rPr>
          <w:rFonts w:hint="eastAsia" w:ascii="仿宋" w:hAnsi="仿宋" w:eastAsia="仿宋" w:cs="仿宋"/>
          <w:b/>
          <w:bCs/>
          <w:sz w:val="28"/>
          <w:szCs w:val="28"/>
          <w:u w:val="single"/>
        </w:rPr>
        <w:t xml:space="preserve">                              </w:t>
      </w:r>
    </w:p>
    <w:p>
      <w:pPr>
        <w:spacing w:line="500" w:lineRule="exact"/>
        <w:ind w:firstLine="482" w:firstLineChars="200"/>
        <w:rPr>
          <w:rFonts w:hint="eastAsia" w:ascii="仿宋" w:hAnsi="仿宋" w:eastAsia="仿宋" w:cs="仿宋"/>
          <w:b/>
          <w:bCs/>
          <w:sz w:val="24"/>
        </w:rPr>
      </w:pPr>
    </w:p>
    <w:p>
      <w:pPr>
        <w:spacing w:line="500" w:lineRule="exact"/>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被授权人签字：</w:t>
      </w:r>
      <w:r>
        <w:rPr>
          <w:rFonts w:hint="eastAsia" w:ascii="仿宋" w:hAnsi="仿宋" w:eastAsia="仿宋" w:cs="仿宋"/>
          <w:b/>
          <w:bCs/>
          <w:sz w:val="28"/>
          <w:szCs w:val="28"/>
          <w:u w:val="single"/>
        </w:rPr>
        <w:t xml:space="preserve">                                </w:t>
      </w:r>
    </w:p>
    <w:p>
      <w:pPr>
        <w:spacing w:line="500" w:lineRule="exact"/>
        <w:ind w:firstLine="562" w:firstLineChars="200"/>
        <w:rPr>
          <w:rFonts w:hint="eastAsia" w:ascii="仿宋" w:hAnsi="仿宋" w:eastAsia="仿宋" w:cs="仿宋"/>
          <w:b/>
          <w:bCs/>
          <w:sz w:val="28"/>
          <w:szCs w:val="28"/>
        </w:rPr>
      </w:pPr>
    </w:p>
    <w:p>
      <w:pPr>
        <w:spacing w:line="500" w:lineRule="exact"/>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供应商签字（加盖公章）：</w:t>
      </w:r>
      <w:r>
        <w:rPr>
          <w:rFonts w:hint="eastAsia" w:ascii="仿宋" w:hAnsi="仿宋" w:eastAsia="仿宋" w:cs="仿宋"/>
          <w:b/>
          <w:bCs/>
          <w:sz w:val="28"/>
          <w:szCs w:val="28"/>
          <w:u w:val="single"/>
        </w:rPr>
        <w:t xml:space="preserve">                       </w:t>
      </w:r>
    </w:p>
    <w:p>
      <w:pPr>
        <w:spacing w:line="500" w:lineRule="exact"/>
        <w:ind w:firstLine="562" w:firstLineChars="200"/>
        <w:jc w:val="left"/>
        <w:rPr>
          <w:rFonts w:hint="eastAsia" w:ascii="仿宋" w:hAnsi="仿宋" w:eastAsia="仿宋" w:cs="仿宋"/>
          <w:b/>
          <w:bCs/>
          <w:snapToGrid w:val="0"/>
          <w:kern w:val="0"/>
          <w:sz w:val="28"/>
          <w:szCs w:val="28"/>
        </w:rPr>
      </w:pPr>
    </w:p>
    <w:p>
      <w:pPr>
        <w:spacing w:line="500" w:lineRule="exact"/>
        <w:ind w:firstLine="562" w:firstLineChars="200"/>
        <w:jc w:val="left"/>
        <w:rPr>
          <w:rFonts w:hint="eastAsia" w:ascii="仿宋" w:hAnsi="仿宋" w:eastAsia="仿宋" w:cs="仿宋"/>
          <w:b/>
          <w:bCs/>
          <w:snapToGrid w:val="0"/>
          <w:kern w:val="0"/>
          <w:sz w:val="28"/>
          <w:szCs w:val="28"/>
        </w:rPr>
      </w:pPr>
    </w:p>
    <w:p>
      <w:pPr>
        <w:spacing w:line="500" w:lineRule="exact"/>
        <w:jc w:val="left"/>
        <w:rPr>
          <w:rFonts w:hint="eastAsia" w:ascii="仿宋" w:hAnsi="仿宋" w:eastAsia="仿宋" w:cs="仿宋"/>
          <w:b/>
          <w:bCs/>
          <w:snapToGrid w:val="0"/>
          <w:kern w:val="0"/>
          <w:sz w:val="28"/>
          <w:szCs w:val="28"/>
        </w:rPr>
      </w:pPr>
    </w:p>
    <w:p>
      <w:pPr>
        <w:spacing w:line="500" w:lineRule="exact"/>
        <w:ind w:firstLine="562" w:firstLineChars="200"/>
        <w:jc w:val="left"/>
        <w:rPr>
          <w:rFonts w:hint="eastAsia" w:ascii="仿宋" w:hAnsi="仿宋" w:eastAsia="仿宋" w:cs="仿宋"/>
          <w:b/>
          <w:bCs/>
          <w:snapToGrid w:val="0"/>
          <w:kern w:val="0"/>
          <w:sz w:val="28"/>
          <w:szCs w:val="28"/>
        </w:rPr>
      </w:pPr>
    </w:p>
    <w:p>
      <w:pPr>
        <w:spacing w:line="500" w:lineRule="exact"/>
        <w:ind w:firstLine="562" w:firstLineChars="200"/>
        <w:jc w:val="left"/>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注：此法定代表人授权书须另提交一份，与投标函、投标保证金交纳和退付证明、投标文件电子版（U盘）装入同一单独密封袋，与开标前接受检查。</w:t>
      </w:r>
    </w:p>
    <w:p>
      <w:pPr>
        <w:pStyle w:val="3"/>
        <w:ind w:left="210" w:right="210"/>
        <w:rPr>
          <w:rFonts w:hint="eastAsia" w:ascii="仿宋" w:hAnsi="仿宋" w:eastAsia="仿宋" w:cs="仿宋"/>
          <w:b/>
          <w:bCs/>
        </w:rPr>
      </w:pPr>
      <w:bookmarkStart w:id="290" w:name="_Toc21997"/>
      <w:bookmarkStart w:id="291" w:name="_Toc397953716"/>
      <w:r>
        <w:rPr>
          <w:rFonts w:hint="eastAsia" w:ascii="仿宋" w:hAnsi="仿宋" w:eastAsia="仿宋" w:cs="仿宋"/>
          <w:b/>
          <w:bCs/>
        </w:rPr>
        <w:t>（六）商务条款偏离表</w:t>
      </w:r>
      <w:bookmarkEnd w:id="290"/>
      <w:bookmarkEnd w:id="291"/>
    </w:p>
    <w:p>
      <w:pPr>
        <w:spacing w:line="360" w:lineRule="auto"/>
        <w:ind w:left="235" w:leftChars="112"/>
        <w:jc w:val="left"/>
        <w:rPr>
          <w:rFonts w:hint="eastAsia" w:ascii="仿宋" w:hAnsi="仿宋" w:eastAsia="仿宋" w:cs="仿宋"/>
          <w:b/>
          <w:bCs/>
          <w:color w:val="000000"/>
          <w:sz w:val="24"/>
        </w:rPr>
      </w:pPr>
    </w:p>
    <w:p>
      <w:pPr>
        <w:spacing w:line="360" w:lineRule="auto"/>
        <w:ind w:left="1205" w:hanging="1205" w:hangingChars="500"/>
        <w:jc w:val="left"/>
        <w:rPr>
          <w:rFonts w:hint="eastAsia" w:ascii="仿宋" w:hAnsi="仿宋" w:eastAsia="仿宋" w:cs="仿宋"/>
          <w:b/>
          <w:bCs/>
          <w:color w:val="000000"/>
          <w:sz w:val="24"/>
        </w:rPr>
      </w:pPr>
      <w:r>
        <w:rPr>
          <w:rFonts w:hint="eastAsia" w:ascii="仿宋" w:hAnsi="仿宋" w:eastAsia="仿宋" w:cs="仿宋"/>
          <w:b/>
          <w:bCs/>
          <w:color w:val="000000"/>
          <w:sz w:val="24"/>
        </w:rPr>
        <w:t>项目名称：</w:t>
      </w:r>
      <w:r>
        <w:rPr>
          <w:rFonts w:hint="eastAsia" w:ascii="仿宋" w:hAnsi="仿宋" w:eastAsia="仿宋" w:cs="仿宋"/>
          <w:b/>
          <w:bCs/>
          <w:color w:val="000000"/>
          <w:sz w:val="24"/>
          <w:u w:val="single"/>
        </w:rPr>
        <w:t xml:space="preserve">陇南市武都区教育局利用2019-2020年义务教育薄弱环节改善与能力提升结余资金采购多媒体教室设备项目  </w:t>
      </w:r>
      <w:r>
        <w:rPr>
          <w:rFonts w:hint="eastAsia" w:ascii="仿宋" w:hAnsi="仿宋" w:eastAsia="仿宋" w:cs="仿宋"/>
          <w:b/>
          <w:bCs/>
          <w:color w:val="000000"/>
          <w:sz w:val="24"/>
        </w:rPr>
        <w:t xml:space="preserve">                                     </w:t>
      </w:r>
    </w:p>
    <w:p>
      <w:pPr>
        <w:spacing w:line="360" w:lineRule="auto"/>
        <w:jc w:val="left"/>
        <w:rPr>
          <w:rFonts w:hint="eastAsia" w:ascii="仿宋" w:hAnsi="仿宋" w:eastAsia="仿宋" w:cs="仿宋"/>
          <w:b/>
          <w:bCs/>
          <w:sz w:val="24"/>
          <w:u w:val="single"/>
        </w:rPr>
      </w:pPr>
      <w:r>
        <w:rPr>
          <w:rFonts w:hint="eastAsia" w:ascii="仿宋" w:hAnsi="仿宋" w:eastAsia="仿宋" w:cs="仿宋"/>
          <w:b/>
          <w:bCs/>
          <w:color w:val="000000"/>
          <w:sz w:val="24"/>
        </w:rPr>
        <w:t>项目编号：</w:t>
      </w:r>
      <w:r>
        <w:rPr>
          <w:rFonts w:hint="eastAsia" w:ascii="仿宋" w:hAnsi="仿宋" w:eastAsia="仿宋" w:cs="仿宋"/>
          <w:b/>
          <w:bCs/>
          <w:color w:val="000000"/>
          <w:sz w:val="24"/>
          <w:u w:val="single"/>
          <w:lang w:eastAsia="zh-CN"/>
        </w:rPr>
        <w:t>GZ2020015-LNSWDQ</w:t>
      </w:r>
      <w:r>
        <w:rPr>
          <w:rFonts w:hint="eastAsia" w:ascii="仿宋" w:hAnsi="仿宋" w:eastAsia="仿宋" w:cs="仿宋"/>
          <w:b/>
          <w:bCs/>
          <w:color w:val="000000"/>
          <w:sz w:val="24"/>
        </w:rPr>
        <w:t xml:space="preserve">                                 </w:t>
      </w:r>
    </w:p>
    <w:tbl>
      <w:tblPr>
        <w:tblStyle w:val="17"/>
        <w:tblW w:w="8829"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891"/>
        <w:gridCol w:w="2694"/>
        <w:gridCol w:w="3243"/>
        <w:gridCol w:w="2001"/>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vAlign w:val="center"/>
          </w:tcPr>
          <w:p>
            <w:pPr>
              <w:spacing w:before="120"/>
              <w:jc w:val="center"/>
              <w:rPr>
                <w:rFonts w:hint="eastAsia" w:ascii="仿宋" w:hAnsi="仿宋" w:eastAsia="仿宋" w:cs="仿宋"/>
                <w:b/>
                <w:bCs/>
                <w:color w:val="000000"/>
                <w:sz w:val="24"/>
              </w:rPr>
            </w:pPr>
            <w:r>
              <w:rPr>
                <w:rFonts w:hint="eastAsia" w:ascii="仿宋" w:hAnsi="仿宋" w:eastAsia="仿宋" w:cs="仿宋"/>
                <w:b/>
                <w:bCs/>
                <w:color w:val="000000"/>
                <w:sz w:val="24"/>
              </w:rPr>
              <w:t>序号</w:t>
            </w:r>
          </w:p>
        </w:tc>
        <w:tc>
          <w:tcPr>
            <w:tcW w:w="2694" w:type="dxa"/>
            <w:vAlign w:val="center"/>
          </w:tcPr>
          <w:p>
            <w:pPr>
              <w:spacing w:before="120"/>
              <w:jc w:val="center"/>
              <w:rPr>
                <w:rFonts w:hint="eastAsia" w:ascii="仿宋" w:hAnsi="仿宋" w:eastAsia="仿宋" w:cs="仿宋"/>
                <w:b/>
                <w:bCs/>
                <w:color w:val="000000"/>
                <w:sz w:val="24"/>
              </w:rPr>
            </w:pPr>
            <w:r>
              <w:rPr>
                <w:rFonts w:hint="eastAsia" w:ascii="仿宋" w:hAnsi="仿宋" w:eastAsia="仿宋" w:cs="仿宋"/>
                <w:b/>
                <w:bCs/>
                <w:color w:val="000000"/>
                <w:sz w:val="24"/>
              </w:rPr>
              <w:t>《竞争性磋商文件》的商务要求</w:t>
            </w:r>
          </w:p>
        </w:tc>
        <w:tc>
          <w:tcPr>
            <w:tcW w:w="3243" w:type="dxa"/>
            <w:vAlign w:val="center"/>
          </w:tcPr>
          <w:p>
            <w:pPr>
              <w:spacing w:before="120"/>
              <w:jc w:val="center"/>
              <w:rPr>
                <w:rFonts w:hint="eastAsia" w:ascii="仿宋" w:hAnsi="仿宋" w:eastAsia="仿宋" w:cs="仿宋"/>
                <w:b/>
                <w:bCs/>
                <w:color w:val="000000"/>
                <w:sz w:val="24"/>
              </w:rPr>
            </w:pPr>
            <w:r>
              <w:rPr>
                <w:rFonts w:hint="eastAsia" w:ascii="仿宋" w:hAnsi="仿宋" w:eastAsia="仿宋" w:cs="仿宋"/>
                <w:b/>
                <w:bCs/>
                <w:color w:val="000000"/>
                <w:sz w:val="24"/>
              </w:rPr>
              <w:t>《竞争性磋商响应性文件》的商务响应</w:t>
            </w:r>
          </w:p>
        </w:tc>
        <w:tc>
          <w:tcPr>
            <w:tcW w:w="2001" w:type="dxa"/>
            <w:vAlign w:val="center"/>
          </w:tcPr>
          <w:p>
            <w:pPr>
              <w:spacing w:before="120"/>
              <w:jc w:val="center"/>
              <w:rPr>
                <w:rFonts w:hint="eastAsia" w:ascii="仿宋" w:hAnsi="仿宋" w:eastAsia="仿宋" w:cs="仿宋"/>
                <w:b/>
                <w:bCs/>
                <w:color w:val="000000"/>
                <w:sz w:val="24"/>
              </w:rPr>
            </w:pPr>
            <w:r>
              <w:rPr>
                <w:rFonts w:hint="eastAsia" w:ascii="仿宋" w:hAnsi="仿宋" w:eastAsia="仿宋" w:cs="仿宋"/>
                <w:b/>
                <w:bCs/>
                <w:color w:val="000000"/>
                <w:sz w:val="24"/>
              </w:rPr>
              <w:t>偏离说明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891" w:type="dxa"/>
          </w:tcPr>
          <w:p>
            <w:pPr>
              <w:spacing w:line="360" w:lineRule="auto"/>
              <w:rPr>
                <w:rFonts w:hint="eastAsia" w:ascii="仿宋" w:hAnsi="仿宋" w:eastAsia="仿宋" w:cs="仿宋"/>
                <w:b/>
                <w:bCs/>
                <w:color w:val="000000"/>
                <w:sz w:val="24"/>
              </w:rPr>
            </w:pPr>
          </w:p>
        </w:tc>
        <w:tc>
          <w:tcPr>
            <w:tcW w:w="2694" w:type="dxa"/>
          </w:tcPr>
          <w:p>
            <w:pPr>
              <w:spacing w:line="360" w:lineRule="auto"/>
              <w:rPr>
                <w:rFonts w:hint="eastAsia" w:ascii="仿宋" w:hAnsi="仿宋" w:eastAsia="仿宋" w:cs="仿宋"/>
                <w:b/>
                <w:bCs/>
                <w:color w:val="000000"/>
                <w:sz w:val="24"/>
              </w:rPr>
            </w:pPr>
          </w:p>
        </w:tc>
        <w:tc>
          <w:tcPr>
            <w:tcW w:w="3243" w:type="dxa"/>
          </w:tcPr>
          <w:p>
            <w:pPr>
              <w:spacing w:line="360" w:lineRule="auto"/>
              <w:rPr>
                <w:rFonts w:hint="eastAsia" w:ascii="仿宋" w:hAnsi="仿宋" w:eastAsia="仿宋" w:cs="仿宋"/>
                <w:b/>
                <w:bCs/>
                <w:color w:val="000000"/>
                <w:sz w:val="24"/>
              </w:rPr>
            </w:pPr>
          </w:p>
        </w:tc>
        <w:tc>
          <w:tcPr>
            <w:tcW w:w="2001" w:type="dxa"/>
          </w:tcPr>
          <w:p>
            <w:pPr>
              <w:spacing w:line="360" w:lineRule="auto"/>
              <w:rPr>
                <w:rFonts w:hint="eastAsia" w:ascii="仿宋" w:hAnsi="仿宋" w:eastAsia="仿宋" w:cs="仿宋"/>
                <w:b/>
                <w:bCs/>
                <w:color w:val="000000"/>
                <w:sz w:val="24"/>
              </w:rPr>
            </w:pPr>
          </w:p>
        </w:tc>
      </w:tr>
    </w:tbl>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注：本表应包括合同条款的偏离说明。</w:t>
      </w:r>
    </w:p>
    <w:p>
      <w:pPr>
        <w:spacing w:line="360" w:lineRule="auto"/>
        <w:rPr>
          <w:rFonts w:hint="eastAsia" w:ascii="仿宋" w:hAnsi="仿宋" w:eastAsia="仿宋" w:cs="仿宋"/>
          <w:b/>
          <w:bCs/>
          <w:color w:val="000000"/>
          <w:sz w:val="24"/>
        </w:rPr>
      </w:pPr>
    </w:p>
    <w:p>
      <w:pPr>
        <w:pStyle w:val="9"/>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供应商名称：</w:t>
      </w:r>
      <w:r>
        <w:rPr>
          <w:rFonts w:hint="eastAsia" w:ascii="仿宋" w:hAnsi="仿宋" w:eastAsia="仿宋" w:cs="仿宋"/>
          <w:b/>
          <w:bCs/>
          <w:color w:val="000000"/>
          <w:sz w:val="24"/>
          <w:u w:val="single"/>
        </w:rPr>
        <w:t xml:space="preserve">     （单位公章）    </w:t>
      </w:r>
    </w:p>
    <w:p>
      <w:pPr>
        <w:pStyle w:val="9"/>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授权代表：</w:t>
      </w:r>
      <w:r>
        <w:rPr>
          <w:rFonts w:hint="eastAsia" w:ascii="仿宋" w:hAnsi="仿宋" w:eastAsia="仿宋" w:cs="仿宋"/>
          <w:b/>
          <w:bCs/>
          <w:color w:val="000000"/>
          <w:sz w:val="24"/>
          <w:u w:val="single"/>
        </w:rPr>
        <w:t xml:space="preserve">         （签字）      </w:t>
      </w:r>
    </w:p>
    <w:p>
      <w:pPr>
        <w:spacing w:line="360" w:lineRule="auto"/>
        <w:rPr>
          <w:rFonts w:hint="eastAsia" w:ascii="仿宋" w:hAnsi="仿宋" w:eastAsia="仿宋" w:cs="仿宋"/>
          <w:b/>
          <w:bCs/>
          <w:color w:val="000000"/>
          <w:sz w:val="24"/>
          <w:u w:val="single"/>
        </w:rPr>
      </w:pPr>
      <w:r>
        <w:rPr>
          <w:rFonts w:hint="eastAsia" w:ascii="仿宋" w:hAnsi="仿宋" w:eastAsia="仿宋" w:cs="仿宋"/>
          <w:b/>
          <w:bCs/>
          <w:color w:val="000000"/>
          <w:sz w:val="24"/>
        </w:rPr>
        <w:t>日期：</w:t>
      </w:r>
      <w:r>
        <w:rPr>
          <w:rFonts w:hint="eastAsia" w:ascii="仿宋" w:hAnsi="仿宋" w:eastAsia="仿宋" w:cs="仿宋"/>
          <w:b/>
          <w:bCs/>
          <w:color w:val="000000"/>
          <w:sz w:val="24"/>
          <w:u w:val="single"/>
        </w:rPr>
        <w:t xml:space="preserve">           年    月      日</w:t>
      </w:r>
    </w:p>
    <w:p>
      <w:pPr>
        <w:pStyle w:val="3"/>
        <w:ind w:left="210" w:right="210"/>
        <w:rPr>
          <w:rFonts w:hint="eastAsia" w:ascii="仿宋" w:hAnsi="仿宋" w:eastAsia="仿宋" w:cs="仿宋"/>
          <w:b/>
          <w:bCs/>
        </w:rPr>
      </w:pPr>
      <w:bookmarkStart w:id="292" w:name="_Toc12257"/>
      <w:bookmarkStart w:id="293" w:name="_Toc397953717"/>
      <w:bookmarkStart w:id="294" w:name="_Toc394561798"/>
      <w:r>
        <w:rPr>
          <w:rFonts w:hint="eastAsia" w:ascii="仿宋" w:hAnsi="仿宋" w:eastAsia="仿宋" w:cs="仿宋"/>
          <w:b/>
          <w:bCs/>
        </w:rPr>
        <w:t>（七）供应商资格声明</w:t>
      </w:r>
      <w:bookmarkEnd w:id="292"/>
      <w:bookmarkEnd w:id="293"/>
      <w:bookmarkEnd w:id="294"/>
    </w:p>
    <w:p>
      <w:pPr>
        <w:spacing w:line="500" w:lineRule="exact"/>
        <w:rPr>
          <w:rFonts w:hint="eastAsia" w:ascii="仿宋" w:hAnsi="仿宋" w:eastAsia="仿宋" w:cs="仿宋"/>
          <w:b/>
          <w:bCs/>
        </w:rPr>
      </w:pPr>
    </w:p>
    <w:tbl>
      <w:tblPr>
        <w:tblStyle w:val="17"/>
        <w:tblW w:w="92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29"/>
        <w:gridCol w:w="3255"/>
        <w:gridCol w:w="1365"/>
        <w:gridCol w:w="29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4"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供应商全称</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须附营业执照复印件</w:t>
            </w: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法定代表人</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注册地</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注册年份</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注册资金</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单位性质</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总部地址</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联系人</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电话</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传真</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常驻机构地址</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联系人</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电话</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传真</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57"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公司资质等级证书</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须附有关证书的复印件</w:t>
            </w: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质量保证</w:t>
            </w:r>
          </w:p>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体系认证</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类似项目工作经历年数</w:t>
            </w:r>
          </w:p>
        </w:tc>
        <w:tc>
          <w:tcPr>
            <w:tcW w:w="7590" w:type="dxa"/>
            <w:gridSpan w:val="3"/>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9219" w:type="dxa"/>
            <w:gridSpan w:val="4"/>
            <w:tcBorders>
              <w:bottom w:val="single" w:color="auto" w:sz="6" w:space="0"/>
            </w:tcBorders>
            <w:vAlign w:val="center"/>
          </w:tcPr>
          <w:p>
            <w:pPr>
              <w:spacing w:line="500" w:lineRule="exact"/>
              <w:ind w:left="105" w:leftChars="50"/>
              <w:jc w:val="left"/>
              <w:rPr>
                <w:rFonts w:hint="eastAsia" w:ascii="仿宋" w:hAnsi="仿宋" w:eastAsia="仿宋" w:cs="仿宋"/>
                <w:b/>
                <w:bCs/>
                <w:sz w:val="24"/>
              </w:rPr>
            </w:pPr>
            <w:r>
              <w:rPr>
                <w:rFonts w:hint="eastAsia" w:ascii="仿宋" w:hAnsi="仿宋" w:eastAsia="仿宋" w:cs="仿宋"/>
                <w:b/>
                <w:bCs/>
                <w:sz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32"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近三年</w:t>
            </w:r>
          </w:p>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营业额</w:t>
            </w:r>
          </w:p>
        </w:tc>
        <w:tc>
          <w:tcPr>
            <w:tcW w:w="3255" w:type="dxa"/>
            <w:tcBorders>
              <w:bottom w:val="single" w:color="auto" w:sz="6" w:space="0"/>
            </w:tcBorders>
            <w:vAlign w:val="center"/>
          </w:tcPr>
          <w:p>
            <w:pPr>
              <w:spacing w:line="500" w:lineRule="exact"/>
              <w:ind w:left="105" w:leftChars="50"/>
              <w:rPr>
                <w:rFonts w:hint="eastAsia" w:ascii="仿宋" w:hAnsi="仿宋" w:eastAsia="仿宋" w:cs="仿宋"/>
                <w:b/>
                <w:bCs/>
                <w:sz w:val="24"/>
                <w:u w:val="single"/>
              </w:rPr>
            </w:pPr>
            <w:r>
              <w:rPr>
                <w:rFonts w:hint="eastAsia" w:ascii="仿宋" w:hAnsi="仿宋" w:eastAsia="仿宋" w:cs="仿宋"/>
                <w:b/>
                <w:bCs/>
                <w:sz w:val="24"/>
                <w:u w:val="single"/>
              </w:rPr>
              <w:t>20</w:t>
            </w:r>
            <w:r>
              <w:rPr>
                <w:rFonts w:hint="eastAsia" w:ascii="仿宋" w:hAnsi="仿宋" w:eastAsia="仿宋" w:cs="仿宋"/>
                <w:b/>
                <w:bCs/>
                <w:sz w:val="24"/>
                <w:u w:val="single"/>
                <w:lang w:val="en-US" w:eastAsia="zh-CN"/>
              </w:rPr>
              <w:t>18</w:t>
            </w:r>
            <w:r>
              <w:rPr>
                <w:rFonts w:hint="eastAsia" w:ascii="仿宋" w:hAnsi="仿宋" w:eastAsia="仿宋" w:cs="仿宋"/>
                <w:b/>
                <w:bCs/>
                <w:sz w:val="24"/>
                <w:u w:val="single"/>
              </w:rPr>
              <w:t>年度：</w:t>
            </w:r>
          </w:p>
          <w:p>
            <w:pPr>
              <w:spacing w:line="500" w:lineRule="exact"/>
              <w:ind w:left="105" w:leftChars="50"/>
              <w:rPr>
                <w:rFonts w:hint="eastAsia" w:ascii="仿宋" w:hAnsi="仿宋" w:eastAsia="仿宋" w:cs="仿宋"/>
                <w:b/>
                <w:bCs/>
                <w:sz w:val="24"/>
                <w:u w:val="single"/>
              </w:rPr>
            </w:pPr>
            <w:r>
              <w:rPr>
                <w:rFonts w:hint="eastAsia" w:ascii="仿宋" w:hAnsi="仿宋" w:eastAsia="仿宋" w:cs="仿宋"/>
                <w:b/>
                <w:bCs/>
                <w:sz w:val="24"/>
                <w:u w:val="single"/>
              </w:rPr>
              <w:t>20</w:t>
            </w:r>
            <w:r>
              <w:rPr>
                <w:rFonts w:hint="eastAsia" w:ascii="仿宋" w:hAnsi="仿宋" w:eastAsia="仿宋" w:cs="仿宋"/>
                <w:b/>
                <w:bCs/>
                <w:sz w:val="24"/>
                <w:u w:val="single"/>
                <w:lang w:val="en-US" w:eastAsia="zh-CN"/>
              </w:rPr>
              <w:t>19</w:t>
            </w:r>
            <w:r>
              <w:rPr>
                <w:rFonts w:hint="eastAsia" w:ascii="仿宋" w:hAnsi="仿宋" w:eastAsia="仿宋" w:cs="仿宋"/>
                <w:b/>
                <w:bCs/>
                <w:sz w:val="24"/>
                <w:u w:val="single"/>
              </w:rPr>
              <w:t>年度：</w:t>
            </w:r>
          </w:p>
          <w:p>
            <w:pPr>
              <w:spacing w:line="500" w:lineRule="exact"/>
              <w:ind w:left="105" w:leftChars="50"/>
              <w:rPr>
                <w:rFonts w:hint="eastAsia" w:ascii="仿宋" w:hAnsi="仿宋" w:eastAsia="仿宋" w:cs="仿宋"/>
                <w:b/>
                <w:bCs/>
                <w:sz w:val="24"/>
                <w:u w:val="single"/>
              </w:rPr>
            </w:pPr>
            <w:r>
              <w:rPr>
                <w:rFonts w:hint="eastAsia" w:ascii="仿宋" w:hAnsi="仿宋" w:eastAsia="仿宋" w:cs="仿宋"/>
                <w:b/>
                <w:bCs/>
                <w:sz w:val="24"/>
                <w:u w:val="single"/>
              </w:rPr>
              <w:t>20</w:t>
            </w:r>
            <w:r>
              <w:rPr>
                <w:rFonts w:hint="eastAsia" w:ascii="仿宋" w:hAnsi="仿宋" w:eastAsia="仿宋" w:cs="仿宋"/>
                <w:b/>
                <w:bCs/>
                <w:sz w:val="24"/>
                <w:u w:val="single"/>
                <w:lang w:val="en-US" w:eastAsia="zh-CN"/>
              </w:rPr>
              <w:t>20</w:t>
            </w:r>
            <w:r>
              <w:rPr>
                <w:rFonts w:hint="eastAsia" w:ascii="仿宋" w:hAnsi="仿宋" w:eastAsia="仿宋" w:cs="仿宋"/>
                <w:b/>
                <w:bCs/>
                <w:sz w:val="24"/>
                <w:u w:val="single"/>
              </w:rPr>
              <w:t>年度：</w:t>
            </w: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财务状况</w:t>
            </w:r>
          </w:p>
        </w:tc>
        <w:tc>
          <w:tcPr>
            <w:tcW w:w="2970" w:type="dxa"/>
            <w:tcBorders>
              <w:bottom w:val="single" w:color="auto" w:sz="6" w:space="0"/>
            </w:tcBorders>
            <w:vAlign w:val="center"/>
          </w:tcPr>
          <w:p>
            <w:pPr>
              <w:spacing w:line="500" w:lineRule="exact"/>
              <w:ind w:left="105" w:leftChars="50"/>
              <w:rPr>
                <w:rFonts w:hint="eastAsia" w:ascii="仿宋" w:hAnsi="仿宋" w:eastAsia="仿宋" w:cs="仿宋"/>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22" w:hRule="atLeast"/>
          <w:jc w:val="center"/>
        </w:trPr>
        <w:tc>
          <w:tcPr>
            <w:tcW w:w="1629"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依法缴纳税收</w:t>
            </w:r>
          </w:p>
        </w:tc>
        <w:tc>
          <w:tcPr>
            <w:tcW w:w="325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须附凭证</w:t>
            </w:r>
          </w:p>
        </w:tc>
        <w:tc>
          <w:tcPr>
            <w:tcW w:w="1365"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依法缴纳社会保障资金</w:t>
            </w:r>
          </w:p>
        </w:tc>
        <w:tc>
          <w:tcPr>
            <w:tcW w:w="2970" w:type="dxa"/>
            <w:tcBorders>
              <w:bottom w:val="single" w:color="auto" w:sz="6" w:space="0"/>
            </w:tcBorders>
            <w:vAlign w:val="center"/>
          </w:tcPr>
          <w:p>
            <w:pPr>
              <w:spacing w:line="500" w:lineRule="exact"/>
              <w:ind w:left="105" w:leftChars="50"/>
              <w:jc w:val="center"/>
              <w:rPr>
                <w:rFonts w:hint="eastAsia" w:ascii="仿宋" w:hAnsi="仿宋" w:eastAsia="仿宋" w:cs="仿宋"/>
                <w:b/>
                <w:bCs/>
                <w:sz w:val="24"/>
              </w:rPr>
            </w:pPr>
            <w:r>
              <w:rPr>
                <w:rFonts w:hint="eastAsia" w:ascii="仿宋" w:hAnsi="仿宋" w:eastAsia="仿宋" w:cs="仿宋"/>
                <w:b/>
                <w:bCs/>
                <w:sz w:val="24"/>
              </w:rPr>
              <w:t>须附凭证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05" w:hRule="atLeast"/>
          <w:jc w:val="center"/>
        </w:trPr>
        <w:tc>
          <w:tcPr>
            <w:tcW w:w="9219" w:type="dxa"/>
            <w:gridSpan w:val="4"/>
            <w:vAlign w:val="center"/>
          </w:tcPr>
          <w:p>
            <w:pPr>
              <w:spacing w:line="500" w:lineRule="exact"/>
              <w:ind w:right="155"/>
              <w:jc w:val="center"/>
              <w:rPr>
                <w:rFonts w:hint="eastAsia" w:ascii="仿宋" w:hAnsi="仿宋" w:eastAsia="仿宋" w:cs="仿宋"/>
                <w:b/>
                <w:bCs/>
                <w:sz w:val="24"/>
              </w:rPr>
            </w:pPr>
            <w:r>
              <w:rPr>
                <w:rFonts w:hint="eastAsia" w:ascii="仿宋" w:hAnsi="仿宋" w:eastAsia="仿宋" w:cs="仿宋"/>
                <w:b/>
                <w:bCs/>
                <w:sz w:val="24"/>
              </w:rPr>
              <w:t>其他需要说明的情况</w:t>
            </w:r>
          </w:p>
        </w:tc>
      </w:tr>
    </w:tbl>
    <w:p>
      <w:pPr>
        <w:spacing w:line="500" w:lineRule="exact"/>
        <w:jc w:val="center"/>
        <w:rPr>
          <w:rFonts w:hint="eastAsia" w:ascii="仿宋" w:hAnsi="仿宋" w:eastAsia="仿宋" w:cs="仿宋"/>
          <w:b/>
          <w:bCs/>
          <w:sz w:val="24"/>
        </w:rPr>
      </w:pPr>
      <w:r>
        <w:rPr>
          <w:rFonts w:hint="eastAsia" w:ascii="仿宋" w:hAnsi="仿宋" w:eastAsia="仿宋" w:cs="仿宋"/>
          <w:b/>
          <w:bCs/>
          <w:sz w:val="24"/>
        </w:rPr>
        <w:sym w:font="Symbol" w:char="F020"/>
      </w:r>
    </w:p>
    <w:p>
      <w:pPr>
        <w:pStyle w:val="9"/>
        <w:spacing w:line="360" w:lineRule="auto"/>
        <w:rPr>
          <w:rFonts w:hint="eastAsia" w:ascii="仿宋" w:hAnsi="仿宋" w:eastAsia="仿宋" w:cs="仿宋"/>
          <w:b/>
          <w:bCs/>
          <w:color w:val="000000"/>
        </w:rPr>
      </w:pPr>
    </w:p>
    <w:p>
      <w:pPr>
        <w:pStyle w:val="9"/>
        <w:spacing w:line="360" w:lineRule="auto"/>
        <w:rPr>
          <w:rFonts w:hint="eastAsia" w:ascii="仿宋" w:hAnsi="仿宋" w:eastAsia="仿宋" w:cs="仿宋"/>
          <w:b/>
          <w:bCs/>
          <w:color w:val="000000"/>
        </w:rPr>
      </w:pPr>
    </w:p>
    <w:p>
      <w:pPr>
        <w:pStyle w:val="3"/>
        <w:ind w:left="210" w:right="210"/>
        <w:rPr>
          <w:rFonts w:hint="eastAsia" w:ascii="仿宋" w:hAnsi="仿宋" w:eastAsia="仿宋" w:cs="仿宋"/>
          <w:b/>
          <w:bCs/>
        </w:rPr>
      </w:pPr>
      <w:bookmarkStart w:id="295" w:name="_Toc397953718"/>
      <w:bookmarkStart w:id="296" w:name="_Toc27377"/>
      <w:r>
        <w:rPr>
          <w:rFonts w:hint="eastAsia" w:ascii="仿宋" w:hAnsi="仿宋" w:eastAsia="仿宋" w:cs="仿宋"/>
          <w:b/>
          <w:bCs/>
        </w:rPr>
        <w:t>（八）近三年已完成或在执行类似项目一览表</w:t>
      </w:r>
      <w:bookmarkEnd w:id="295"/>
      <w:bookmarkEnd w:id="296"/>
    </w:p>
    <w:p>
      <w:pPr>
        <w:spacing w:line="360" w:lineRule="auto"/>
        <w:jc w:val="left"/>
        <w:rPr>
          <w:rFonts w:hint="eastAsia" w:ascii="仿宋" w:hAnsi="仿宋" w:eastAsia="仿宋" w:cs="仿宋"/>
          <w:b/>
          <w:bCs/>
          <w:color w:val="000000"/>
          <w:sz w:val="24"/>
        </w:rPr>
      </w:pPr>
    </w:p>
    <w:p>
      <w:pPr>
        <w:spacing w:line="360" w:lineRule="auto"/>
        <w:ind w:left="1205" w:hanging="1205" w:hangingChars="500"/>
        <w:jc w:val="left"/>
        <w:rPr>
          <w:rFonts w:hint="eastAsia" w:ascii="仿宋" w:hAnsi="仿宋" w:eastAsia="仿宋" w:cs="仿宋"/>
          <w:b/>
          <w:bCs/>
          <w:color w:val="000000"/>
          <w:sz w:val="24"/>
        </w:rPr>
      </w:pPr>
      <w:r>
        <w:rPr>
          <w:rFonts w:hint="eastAsia" w:ascii="仿宋" w:hAnsi="仿宋" w:eastAsia="仿宋" w:cs="仿宋"/>
          <w:b/>
          <w:bCs/>
          <w:color w:val="000000"/>
          <w:sz w:val="24"/>
        </w:rPr>
        <w:t>项目名称：</w:t>
      </w:r>
      <w:r>
        <w:rPr>
          <w:rFonts w:hint="eastAsia" w:ascii="仿宋" w:hAnsi="仿宋" w:eastAsia="仿宋" w:cs="仿宋"/>
          <w:b/>
          <w:bCs/>
          <w:color w:val="000000"/>
          <w:sz w:val="24"/>
          <w:u w:val="single"/>
        </w:rPr>
        <w:t xml:space="preserve">陇南市武都区教育局利用2019-2020年义务教育薄弱环节改善与能力提升结余资金采购多媒体教室设备项目  </w:t>
      </w:r>
      <w:r>
        <w:rPr>
          <w:rFonts w:hint="eastAsia" w:ascii="仿宋" w:hAnsi="仿宋" w:eastAsia="仿宋" w:cs="仿宋"/>
          <w:b/>
          <w:bCs/>
          <w:color w:val="000000"/>
          <w:sz w:val="24"/>
        </w:rPr>
        <w:t xml:space="preserve">                                                 </w:t>
      </w:r>
    </w:p>
    <w:p>
      <w:pPr>
        <w:spacing w:line="360" w:lineRule="auto"/>
        <w:jc w:val="left"/>
        <w:rPr>
          <w:rFonts w:hint="eastAsia" w:ascii="仿宋" w:hAnsi="仿宋" w:eastAsia="仿宋" w:cs="仿宋"/>
          <w:b/>
          <w:bCs/>
          <w:sz w:val="24"/>
          <w:u w:val="single"/>
        </w:rPr>
      </w:pPr>
      <w:r>
        <w:rPr>
          <w:rFonts w:hint="eastAsia" w:ascii="仿宋" w:hAnsi="仿宋" w:eastAsia="仿宋" w:cs="仿宋"/>
          <w:b/>
          <w:bCs/>
          <w:color w:val="000000"/>
          <w:sz w:val="24"/>
        </w:rPr>
        <w:t>项目编号：</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u w:val="single"/>
          <w:lang w:eastAsia="zh-CN"/>
        </w:rPr>
        <w:t>GZ2020015-LNSWDQ</w:t>
      </w:r>
      <w:r>
        <w:rPr>
          <w:rFonts w:hint="eastAsia" w:ascii="仿宋" w:hAnsi="仿宋" w:eastAsia="仿宋" w:cs="仿宋"/>
          <w:b/>
          <w:bCs/>
          <w:sz w:val="24"/>
          <w:u w:val="single"/>
        </w:rPr>
        <w:t xml:space="preserve"> </w:t>
      </w:r>
      <w:r>
        <w:rPr>
          <w:rFonts w:hint="eastAsia" w:ascii="仿宋" w:hAnsi="仿宋" w:eastAsia="仿宋" w:cs="仿宋"/>
          <w:b/>
          <w:bCs/>
          <w:color w:val="000000"/>
          <w:sz w:val="24"/>
          <w:u w:val="single"/>
        </w:rPr>
        <w:t xml:space="preserve">              </w:t>
      </w:r>
      <w:r>
        <w:rPr>
          <w:rFonts w:hint="eastAsia" w:ascii="仿宋" w:hAnsi="仿宋" w:eastAsia="仿宋" w:cs="仿宋"/>
          <w:b/>
          <w:bCs/>
          <w:color w:val="000000"/>
          <w:sz w:val="24"/>
        </w:rPr>
        <w:t xml:space="preserve">                           </w:t>
      </w:r>
    </w:p>
    <w:p>
      <w:pPr>
        <w:spacing w:line="36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供应商名称：</w:t>
      </w:r>
      <w:r>
        <w:rPr>
          <w:rFonts w:hint="eastAsia" w:ascii="仿宋" w:hAnsi="仿宋" w:eastAsia="仿宋" w:cs="仿宋"/>
          <w:b/>
          <w:bCs/>
          <w:color w:val="000000"/>
          <w:sz w:val="24"/>
          <w:u w:val="single"/>
        </w:rPr>
        <w:t xml:space="preserve">                              </w:t>
      </w:r>
    </w:p>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 xml:space="preserve">                                               价格单位：人民币/万元</w:t>
      </w:r>
    </w:p>
    <w:tbl>
      <w:tblPr>
        <w:tblStyle w:val="17"/>
        <w:tblW w:w="98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9"/>
        <w:gridCol w:w="1082"/>
        <w:gridCol w:w="1501"/>
        <w:gridCol w:w="1388"/>
        <w:gridCol w:w="1635"/>
        <w:gridCol w:w="1490"/>
        <w:gridCol w:w="21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序号</w:t>
            </w:r>
          </w:p>
        </w:tc>
        <w:tc>
          <w:tcPr>
            <w:tcW w:w="1082"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项目名称</w:t>
            </w:r>
          </w:p>
        </w:tc>
        <w:tc>
          <w:tcPr>
            <w:tcW w:w="1501"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项目内容</w:t>
            </w:r>
          </w:p>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（类似项目）</w:t>
            </w: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合同金额</w:t>
            </w: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已结算金额</w:t>
            </w:r>
          </w:p>
        </w:tc>
        <w:tc>
          <w:tcPr>
            <w:tcW w:w="1490"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完成日期</w:t>
            </w:r>
          </w:p>
        </w:tc>
        <w:tc>
          <w:tcPr>
            <w:tcW w:w="2106"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ind w:left="120"/>
              <w:jc w:val="center"/>
              <w:rPr>
                <w:rFonts w:hint="eastAsia" w:ascii="仿宋" w:hAnsi="仿宋" w:eastAsia="仿宋" w:cs="仿宋"/>
                <w:b/>
                <w:bCs/>
                <w:color w:val="000000"/>
                <w:sz w:val="24"/>
              </w:rPr>
            </w:pPr>
            <w:r>
              <w:rPr>
                <w:rFonts w:hint="eastAsia" w:ascii="仿宋" w:hAnsi="仿宋" w:eastAsia="仿宋" w:cs="仿宋"/>
                <w:b/>
                <w:bCs/>
                <w:color w:val="000000"/>
                <w:sz w:val="24"/>
              </w:rPr>
              <w:t>1</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ind w:left="120"/>
              <w:jc w:val="center"/>
              <w:rPr>
                <w:rFonts w:hint="eastAsia" w:ascii="仿宋" w:hAnsi="仿宋" w:eastAsia="仿宋" w:cs="仿宋"/>
                <w:b/>
                <w:bCs/>
                <w:color w:val="000000"/>
                <w:sz w:val="24"/>
              </w:rPr>
            </w:pPr>
            <w:r>
              <w:rPr>
                <w:rFonts w:hint="eastAsia" w:ascii="仿宋" w:hAnsi="仿宋" w:eastAsia="仿宋" w:cs="仿宋"/>
                <w:b/>
                <w:bCs/>
                <w:color w:val="000000"/>
                <w:sz w:val="24"/>
              </w:rPr>
              <w:t>2</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ind w:left="120"/>
              <w:jc w:val="center"/>
              <w:rPr>
                <w:rFonts w:hint="eastAsia" w:ascii="仿宋" w:hAnsi="仿宋" w:eastAsia="仿宋" w:cs="仿宋"/>
                <w:b/>
                <w:bCs/>
                <w:color w:val="000000"/>
                <w:sz w:val="24"/>
              </w:rPr>
            </w:pPr>
            <w:r>
              <w:rPr>
                <w:rFonts w:hint="eastAsia" w:ascii="仿宋" w:hAnsi="仿宋" w:eastAsia="仿宋" w:cs="仿宋"/>
                <w:b/>
                <w:bCs/>
                <w:color w:val="000000"/>
                <w:sz w:val="24"/>
              </w:rPr>
              <w:t>3</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ind w:left="120"/>
              <w:jc w:val="center"/>
              <w:rPr>
                <w:rFonts w:hint="eastAsia" w:ascii="仿宋" w:hAnsi="仿宋" w:eastAsia="仿宋" w:cs="仿宋"/>
                <w:b/>
                <w:bCs/>
                <w:color w:val="000000"/>
                <w:sz w:val="24"/>
              </w:rPr>
            </w:pPr>
            <w:r>
              <w:rPr>
                <w:rFonts w:hint="eastAsia" w:ascii="仿宋" w:hAnsi="仿宋" w:eastAsia="仿宋" w:cs="仿宋"/>
                <w:b/>
                <w:bCs/>
                <w:color w:val="000000"/>
                <w:sz w:val="24"/>
              </w:rPr>
              <w:t>4</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ind w:left="120"/>
              <w:jc w:val="center"/>
              <w:rPr>
                <w:rFonts w:hint="eastAsia" w:ascii="仿宋" w:hAnsi="仿宋" w:eastAsia="仿宋" w:cs="仿宋"/>
                <w:b/>
                <w:bCs/>
                <w:color w:val="000000"/>
                <w:sz w:val="24"/>
              </w:rPr>
            </w:pPr>
            <w:r>
              <w:rPr>
                <w:rFonts w:hint="eastAsia" w:ascii="仿宋" w:hAnsi="仿宋" w:eastAsia="仿宋" w:cs="仿宋"/>
                <w:b/>
                <w:bCs/>
                <w:color w:val="000000"/>
                <w:sz w:val="24"/>
              </w:rPr>
              <w:t>5</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w:t>
            </w: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jc w:val="center"/>
              <w:rPr>
                <w:rFonts w:hint="eastAsia" w:ascii="仿宋" w:hAnsi="仿宋" w:eastAsia="仿宋" w:cs="仿宋"/>
                <w:b/>
                <w:bCs/>
                <w:color w:val="000000"/>
                <w:sz w:val="24"/>
              </w:rPr>
            </w:pP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jc w:val="center"/>
              <w:rPr>
                <w:rFonts w:hint="eastAsia" w:ascii="仿宋" w:hAnsi="仿宋" w:eastAsia="仿宋" w:cs="仿宋"/>
                <w:b/>
                <w:bCs/>
                <w:color w:val="000000"/>
                <w:sz w:val="24"/>
              </w:rPr>
            </w:pP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4" w:hRule="atLeast"/>
          <w:jc w:val="center"/>
        </w:trPr>
        <w:tc>
          <w:tcPr>
            <w:tcW w:w="619" w:type="dxa"/>
            <w:vAlign w:val="center"/>
          </w:tcPr>
          <w:p>
            <w:pPr>
              <w:spacing w:line="360" w:lineRule="auto"/>
              <w:jc w:val="center"/>
              <w:rPr>
                <w:rFonts w:hint="eastAsia" w:ascii="仿宋" w:hAnsi="仿宋" w:eastAsia="仿宋" w:cs="仿宋"/>
                <w:b/>
                <w:bCs/>
                <w:color w:val="000000"/>
                <w:sz w:val="24"/>
              </w:rPr>
            </w:pPr>
          </w:p>
        </w:tc>
        <w:tc>
          <w:tcPr>
            <w:tcW w:w="1082" w:type="dxa"/>
            <w:vAlign w:val="center"/>
          </w:tcPr>
          <w:p>
            <w:pPr>
              <w:spacing w:line="360" w:lineRule="auto"/>
              <w:jc w:val="center"/>
              <w:rPr>
                <w:rFonts w:hint="eastAsia" w:ascii="仿宋" w:hAnsi="仿宋" w:eastAsia="仿宋" w:cs="仿宋"/>
                <w:b/>
                <w:bCs/>
                <w:color w:val="000000"/>
                <w:sz w:val="24"/>
              </w:rPr>
            </w:pPr>
          </w:p>
        </w:tc>
        <w:tc>
          <w:tcPr>
            <w:tcW w:w="1501" w:type="dxa"/>
            <w:vAlign w:val="center"/>
          </w:tcPr>
          <w:p>
            <w:pPr>
              <w:spacing w:line="360" w:lineRule="auto"/>
              <w:jc w:val="center"/>
              <w:rPr>
                <w:rFonts w:hint="eastAsia" w:ascii="仿宋" w:hAnsi="仿宋" w:eastAsia="仿宋" w:cs="仿宋"/>
                <w:b/>
                <w:bCs/>
                <w:color w:val="000000"/>
                <w:sz w:val="24"/>
              </w:rPr>
            </w:pPr>
          </w:p>
        </w:tc>
        <w:tc>
          <w:tcPr>
            <w:tcW w:w="1388" w:type="dxa"/>
            <w:tcBorders>
              <w:left w:val="single" w:color="auto" w:sz="4" w:space="0"/>
              <w:right w:val="single" w:color="auto" w:sz="4" w:space="0"/>
            </w:tcBorders>
            <w:vAlign w:val="center"/>
          </w:tcPr>
          <w:p>
            <w:pPr>
              <w:spacing w:line="360" w:lineRule="auto"/>
              <w:jc w:val="center"/>
              <w:rPr>
                <w:rFonts w:hint="eastAsia" w:ascii="仿宋" w:hAnsi="仿宋" w:eastAsia="仿宋" w:cs="仿宋"/>
                <w:b/>
                <w:bCs/>
                <w:color w:val="000000"/>
                <w:sz w:val="24"/>
              </w:rPr>
            </w:pPr>
          </w:p>
        </w:tc>
        <w:tc>
          <w:tcPr>
            <w:tcW w:w="1635" w:type="dxa"/>
            <w:tcBorders>
              <w:left w:val="single" w:color="auto" w:sz="4" w:space="0"/>
            </w:tcBorders>
            <w:vAlign w:val="center"/>
          </w:tcPr>
          <w:p>
            <w:pPr>
              <w:spacing w:line="360" w:lineRule="auto"/>
              <w:jc w:val="center"/>
              <w:rPr>
                <w:rFonts w:hint="eastAsia" w:ascii="仿宋" w:hAnsi="仿宋" w:eastAsia="仿宋" w:cs="仿宋"/>
                <w:b/>
                <w:bCs/>
                <w:color w:val="000000"/>
                <w:sz w:val="24"/>
              </w:rPr>
            </w:pPr>
          </w:p>
        </w:tc>
        <w:tc>
          <w:tcPr>
            <w:tcW w:w="1490" w:type="dxa"/>
            <w:vAlign w:val="center"/>
          </w:tcPr>
          <w:p>
            <w:pPr>
              <w:spacing w:line="360" w:lineRule="auto"/>
              <w:jc w:val="center"/>
              <w:rPr>
                <w:rFonts w:hint="eastAsia" w:ascii="仿宋" w:hAnsi="仿宋" w:eastAsia="仿宋" w:cs="仿宋"/>
                <w:b/>
                <w:bCs/>
                <w:color w:val="000000"/>
                <w:sz w:val="24"/>
              </w:rPr>
            </w:pPr>
          </w:p>
        </w:tc>
        <w:tc>
          <w:tcPr>
            <w:tcW w:w="2106" w:type="dxa"/>
          </w:tcPr>
          <w:p>
            <w:pPr>
              <w:spacing w:line="360" w:lineRule="auto"/>
              <w:jc w:val="center"/>
              <w:rPr>
                <w:rFonts w:hint="eastAsia" w:ascii="仿宋" w:hAnsi="仿宋" w:eastAsia="仿宋" w:cs="仿宋"/>
                <w:b/>
                <w:bCs/>
                <w:color w:val="000000"/>
                <w:sz w:val="24"/>
              </w:rPr>
            </w:pPr>
          </w:p>
        </w:tc>
      </w:tr>
    </w:tbl>
    <w:p>
      <w:pPr>
        <w:snapToGrid w:val="0"/>
        <w:spacing w:before="120" w:line="360" w:lineRule="auto"/>
        <w:ind w:left="774" w:leftChars="-50" w:right="357" w:hanging="879" w:hangingChars="365"/>
        <w:rPr>
          <w:rFonts w:hint="eastAsia" w:ascii="仿宋" w:hAnsi="仿宋" w:eastAsia="仿宋" w:cs="仿宋"/>
          <w:b/>
          <w:bCs/>
          <w:color w:val="000000"/>
          <w:sz w:val="24"/>
        </w:rPr>
      </w:pPr>
      <w:r>
        <w:rPr>
          <w:rFonts w:hint="eastAsia" w:ascii="仿宋" w:hAnsi="仿宋" w:eastAsia="仿宋" w:cs="仿宋"/>
          <w:b/>
          <w:bCs/>
          <w:color w:val="000000"/>
          <w:sz w:val="24"/>
        </w:rPr>
        <w:t>注：1. 供应商应如实列出以上情况，如有隐瞒，一经查实将导致其投标申请被拒绝。</w:t>
      </w:r>
    </w:p>
    <w:p>
      <w:pPr>
        <w:snapToGrid w:val="0"/>
        <w:spacing w:before="120" w:line="360" w:lineRule="auto"/>
        <w:ind w:left="772" w:leftChars="178" w:right="357" w:hanging="398" w:hangingChars="165"/>
        <w:rPr>
          <w:rFonts w:hint="eastAsia" w:ascii="仿宋" w:hAnsi="仿宋" w:eastAsia="仿宋" w:cs="仿宋"/>
          <w:b/>
          <w:bCs/>
          <w:color w:val="000000"/>
          <w:sz w:val="24"/>
        </w:rPr>
      </w:pPr>
      <w:r>
        <w:rPr>
          <w:rFonts w:hint="eastAsia" w:ascii="仿宋" w:hAnsi="仿宋" w:eastAsia="仿宋" w:cs="仿宋"/>
          <w:b/>
          <w:bCs/>
          <w:color w:val="000000"/>
          <w:sz w:val="24"/>
        </w:rPr>
        <w:t>2. 对于已完项目，供应商应提供收到的中标/成交通知书或双方签订的合同或已签发的最终验收证书。</w:t>
      </w:r>
      <w:r>
        <w:rPr>
          <w:rFonts w:hint="eastAsia" w:ascii="仿宋" w:hAnsi="仿宋" w:eastAsia="仿宋" w:cs="仿宋"/>
          <w:b/>
          <w:bCs/>
          <w:color w:val="000000"/>
          <w:sz w:val="24"/>
        </w:rPr>
        <w:sym w:font="Symbol" w:char="F020"/>
      </w:r>
      <w:bookmarkStart w:id="297" w:name="_Toc394561800"/>
    </w:p>
    <w:p>
      <w:pPr>
        <w:pStyle w:val="3"/>
        <w:ind w:left="210" w:right="210"/>
        <w:rPr>
          <w:rFonts w:hint="eastAsia" w:ascii="仿宋" w:hAnsi="仿宋" w:eastAsia="仿宋" w:cs="仿宋"/>
          <w:b/>
          <w:bCs/>
        </w:rPr>
      </w:pPr>
      <w:bookmarkStart w:id="298" w:name="_Toc1834"/>
      <w:bookmarkStart w:id="299" w:name="_Toc397953719"/>
      <w:r>
        <w:rPr>
          <w:rFonts w:hint="eastAsia" w:ascii="仿宋" w:hAnsi="仿宋" w:eastAsia="仿宋" w:cs="仿宋"/>
          <w:b/>
          <w:bCs/>
        </w:rPr>
        <w:t>（九）</w:t>
      </w:r>
      <w:bookmarkEnd w:id="297"/>
      <w:bookmarkEnd w:id="298"/>
      <w:bookmarkEnd w:id="299"/>
      <w:bookmarkStart w:id="300" w:name="_Toc397953736"/>
      <w:bookmarkStart w:id="301" w:name="_Toc24985"/>
      <w:r>
        <w:rPr>
          <w:rFonts w:hint="eastAsia" w:ascii="仿宋" w:hAnsi="仿宋" w:eastAsia="仿宋" w:cs="仿宋"/>
          <w:b/>
          <w:bCs/>
        </w:rPr>
        <w:t>售后服务承诺</w:t>
      </w:r>
      <w:bookmarkEnd w:id="300"/>
      <w:bookmarkEnd w:id="301"/>
    </w:p>
    <w:p>
      <w:pPr>
        <w:spacing w:line="360" w:lineRule="auto"/>
        <w:ind w:firstLine="643" w:firstLineChars="200"/>
        <w:rPr>
          <w:rFonts w:hint="eastAsia" w:ascii="仿宋" w:hAnsi="仿宋" w:eastAsia="仿宋" w:cs="仿宋"/>
          <w:b/>
          <w:bCs/>
          <w:color w:val="000000"/>
          <w:sz w:val="32"/>
          <w:szCs w:val="32"/>
        </w:rPr>
      </w:pP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供应商应仔细说明售后服务保证内容，出现故障响应时间及售后服务人员情况，并填写下表：</w:t>
      </w:r>
    </w:p>
    <w:tbl>
      <w:tblPr>
        <w:tblStyle w:val="17"/>
        <w:tblW w:w="847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71" w:type="dxa"/>
          </w:tcPr>
          <w:p>
            <w:pPr>
              <w:spacing w:line="36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生产厂家（电话、地址、联系人）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8471" w:type="dxa"/>
          </w:tcPr>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现行售后服务的主要内容：</w:t>
            </w:r>
          </w:p>
          <w:p>
            <w:pPr>
              <w:spacing w:line="360" w:lineRule="auto"/>
              <w:ind w:firstLine="482" w:firstLineChars="200"/>
              <w:rPr>
                <w:rFonts w:hint="eastAsia" w:ascii="仿宋" w:hAnsi="仿宋" w:eastAsia="仿宋" w:cs="仿宋"/>
                <w:b/>
                <w:bCs/>
                <w:color w:val="000000"/>
                <w:sz w:val="24"/>
              </w:rPr>
            </w:pPr>
          </w:p>
          <w:p>
            <w:pPr>
              <w:spacing w:line="360" w:lineRule="auto"/>
              <w:ind w:firstLine="482" w:firstLineChars="200"/>
              <w:rPr>
                <w:rFonts w:hint="eastAsia" w:ascii="仿宋" w:hAnsi="仿宋" w:eastAsia="仿宋" w:cs="仿宋"/>
                <w:b/>
                <w:bCs/>
                <w:color w:val="000000"/>
                <w:sz w:val="24"/>
              </w:rPr>
            </w:pPr>
          </w:p>
          <w:p>
            <w:pPr>
              <w:spacing w:line="360" w:lineRule="auto"/>
              <w:ind w:firstLine="482" w:firstLineChars="200"/>
              <w:rPr>
                <w:rFonts w:hint="eastAsia" w:ascii="仿宋" w:hAnsi="仿宋" w:eastAsia="仿宋" w:cs="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471" w:type="dxa"/>
          </w:tcPr>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供应商（电话、地址、联系人）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8471" w:type="dxa"/>
          </w:tcPr>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现行售后服务的主要内容：</w:t>
            </w:r>
          </w:p>
          <w:p>
            <w:pPr>
              <w:spacing w:line="360" w:lineRule="auto"/>
              <w:ind w:firstLine="482" w:firstLineChars="200"/>
              <w:rPr>
                <w:rFonts w:hint="eastAsia" w:ascii="仿宋" w:hAnsi="仿宋" w:eastAsia="仿宋" w:cs="仿宋"/>
                <w:b/>
                <w:bCs/>
                <w:color w:val="000000"/>
                <w:sz w:val="24"/>
              </w:rPr>
            </w:pPr>
          </w:p>
          <w:p>
            <w:pPr>
              <w:spacing w:line="360" w:lineRule="auto"/>
              <w:ind w:firstLine="482" w:firstLineChars="200"/>
              <w:rPr>
                <w:rFonts w:hint="eastAsia" w:ascii="仿宋" w:hAnsi="仿宋" w:eastAsia="仿宋" w:cs="仿宋"/>
                <w:b/>
                <w:bCs/>
                <w:color w:val="000000"/>
                <w:sz w:val="24"/>
              </w:rPr>
            </w:pPr>
          </w:p>
          <w:p>
            <w:pPr>
              <w:spacing w:line="360" w:lineRule="auto"/>
              <w:ind w:firstLine="482" w:firstLineChars="200"/>
              <w:rPr>
                <w:rFonts w:hint="eastAsia" w:ascii="仿宋" w:hAnsi="仿宋" w:eastAsia="仿宋" w:cs="仿宋"/>
                <w:b/>
                <w:bCs/>
                <w:color w:val="000000"/>
                <w:sz w:val="24"/>
              </w:rPr>
            </w:pPr>
          </w:p>
          <w:p>
            <w:pPr>
              <w:spacing w:line="360" w:lineRule="auto"/>
              <w:rPr>
                <w:rFonts w:hint="eastAsia" w:ascii="仿宋" w:hAnsi="仿宋" w:eastAsia="仿宋" w:cs="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8471" w:type="dxa"/>
          </w:tcPr>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售后服务人员简历：（姓名、性别、年龄、身份证号、学历、专业、联系电话及相关项目的售后服务工作经历）</w:t>
            </w:r>
          </w:p>
        </w:tc>
      </w:tr>
    </w:tbl>
    <w:p>
      <w:pPr>
        <w:spacing w:line="360" w:lineRule="auto"/>
        <w:ind w:firstLine="964" w:firstLineChars="400"/>
        <w:rPr>
          <w:rFonts w:hint="eastAsia" w:ascii="仿宋" w:hAnsi="仿宋" w:eastAsia="仿宋" w:cs="仿宋"/>
          <w:b/>
          <w:bCs/>
          <w:color w:val="000000"/>
          <w:sz w:val="24"/>
        </w:rPr>
      </w:pPr>
      <w:r>
        <w:rPr>
          <w:rFonts w:hint="eastAsia" w:ascii="仿宋" w:hAnsi="仿宋" w:eastAsia="仿宋" w:cs="仿宋"/>
          <w:b/>
          <w:bCs/>
          <w:color w:val="000000"/>
          <w:sz w:val="24"/>
        </w:rPr>
        <w:t>特此承诺！</w:t>
      </w:r>
    </w:p>
    <w:p>
      <w:pPr>
        <w:spacing w:line="360" w:lineRule="auto"/>
        <w:ind w:firstLine="482" w:firstLineChars="200"/>
        <w:rPr>
          <w:rFonts w:hint="eastAsia" w:ascii="仿宋" w:hAnsi="仿宋" w:eastAsia="仿宋" w:cs="仿宋"/>
          <w:b/>
          <w:bCs/>
          <w:color w:val="000000"/>
          <w:sz w:val="24"/>
          <w:u w:val="single"/>
        </w:rPr>
      </w:pPr>
      <w:r>
        <w:rPr>
          <w:rFonts w:hint="eastAsia" w:ascii="仿宋" w:hAnsi="仿宋" w:eastAsia="仿宋" w:cs="仿宋"/>
          <w:b/>
          <w:bCs/>
          <w:color w:val="000000"/>
          <w:sz w:val="24"/>
        </w:rPr>
        <w:t>承诺方授权代表签字：</w:t>
      </w:r>
      <w:r>
        <w:rPr>
          <w:rFonts w:hint="eastAsia" w:ascii="仿宋" w:hAnsi="仿宋" w:eastAsia="仿宋" w:cs="仿宋"/>
          <w:b/>
          <w:bCs/>
          <w:color w:val="000000"/>
          <w:sz w:val="24"/>
          <w:u w:val="single"/>
        </w:rPr>
        <w:t xml:space="preserve">                                </w:t>
      </w:r>
    </w:p>
    <w:p>
      <w:pPr>
        <w:spacing w:line="360" w:lineRule="auto"/>
        <w:ind w:firstLine="482" w:firstLineChars="200"/>
        <w:rPr>
          <w:rFonts w:hint="eastAsia" w:ascii="仿宋" w:hAnsi="仿宋" w:eastAsia="仿宋" w:cs="仿宋"/>
          <w:b/>
          <w:bCs/>
          <w:color w:val="000000"/>
          <w:sz w:val="24"/>
          <w:u w:val="single"/>
        </w:rPr>
      </w:pPr>
      <w:r>
        <w:rPr>
          <w:rFonts w:hint="eastAsia" w:ascii="仿宋" w:hAnsi="仿宋" w:eastAsia="仿宋" w:cs="仿宋"/>
          <w:b/>
          <w:bCs/>
          <w:color w:val="000000"/>
          <w:sz w:val="24"/>
        </w:rPr>
        <w:t>职务：</w:t>
      </w:r>
      <w:r>
        <w:rPr>
          <w:rFonts w:hint="eastAsia" w:ascii="仿宋" w:hAnsi="仿宋" w:eastAsia="仿宋" w:cs="仿宋"/>
          <w:b/>
          <w:bCs/>
          <w:color w:val="000000"/>
          <w:sz w:val="24"/>
          <w:u w:val="single"/>
        </w:rPr>
        <w:t xml:space="preserve">                                               </w:t>
      </w:r>
    </w:p>
    <w:p>
      <w:pPr>
        <w:spacing w:line="360" w:lineRule="auto"/>
        <w:ind w:firstLine="482" w:firstLineChars="200"/>
        <w:rPr>
          <w:rFonts w:hint="eastAsia" w:ascii="仿宋" w:hAnsi="仿宋" w:eastAsia="仿宋" w:cs="仿宋"/>
          <w:b/>
          <w:bCs/>
          <w:color w:val="000000"/>
          <w:sz w:val="24"/>
          <w:u w:val="single"/>
        </w:rPr>
      </w:pPr>
      <w:r>
        <w:rPr>
          <w:rFonts w:hint="eastAsia" w:ascii="仿宋" w:hAnsi="仿宋" w:eastAsia="仿宋" w:cs="仿宋"/>
          <w:b/>
          <w:bCs/>
          <w:color w:val="000000"/>
          <w:sz w:val="24"/>
        </w:rPr>
        <w:t>承诺方名称（公章）：</w:t>
      </w:r>
      <w:r>
        <w:rPr>
          <w:rFonts w:hint="eastAsia" w:ascii="仿宋" w:hAnsi="仿宋" w:eastAsia="仿宋" w:cs="仿宋"/>
          <w:b/>
          <w:bCs/>
          <w:color w:val="000000"/>
          <w:sz w:val="24"/>
          <w:u w:val="single"/>
        </w:rPr>
        <w:t xml:space="preserve">                                  </w:t>
      </w:r>
    </w:p>
    <w:p>
      <w:pPr>
        <w:spacing w:line="360" w:lineRule="auto"/>
        <w:ind w:firstLine="5060" w:firstLineChars="2100"/>
        <w:rPr>
          <w:rFonts w:hint="eastAsia" w:ascii="仿宋" w:hAnsi="仿宋" w:eastAsia="仿宋" w:cs="仿宋"/>
          <w:b/>
          <w:bCs/>
          <w:color w:val="000000"/>
          <w:sz w:val="24"/>
        </w:rPr>
      </w:pPr>
    </w:p>
    <w:p>
      <w:pPr>
        <w:spacing w:line="360" w:lineRule="auto"/>
        <w:ind w:firstLine="5060" w:firstLineChars="2100"/>
        <w:rPr>
          <w:rFonts w:hint="eastAsia" w:ascii="仿宋" w:hAnsi="仿宋" w:eastAsia="仿宋" w:cs="仿宋"/>
          <w:b/>
          <w:bCs/>
          <w:color w:val="000000"/>
          <w:sz w:val="24"/>
        </w:rPr>
      </w:pPr>
      <w:r>
        <w:rPr>
          <w:rFonts w:hint="eastAsia" w:ascii="仿宋" w:hAnsi="仿宋" w:eastAsia="仿宋" w:cs="仿宋"/>
          <w:b/>
          <w:bCs/>
          <w:color w:val="000000"/>
          <w:sz w:val="24"/>
        </w:rPr>
        <w:t>日期：</w:t>
      </w:r>
      <w:r>
        <w:rPr>
          <w:rFonts w:hint="eastAsia" w:ascii="仿宋" w:hAnsi="仿宋" w:eastAsia="仿宋" w:cs="仿宋"/>
          <w:b/>
          <w:bCs/>
          <w:color w:val="000000"/>
          <w:sz w:val="24"/>
          <w:u w:val="single"/>
        </w:rPr>
        <w:t xml:space="preserve">       年   月   日</w:t>
      </w:r>
    </w:p>
    <w:p>
      <w:pPr>
        <w:rPr>
          <w:rFonts w:hint="eastAsia" w:ascii="仿宋" w:hAnsi="仿宋" w:eastAsia="仿宋" w:cs="仿宋"/>
          <w:b/>
          <w:bCs/>
        </w:rPr>
      </w:pPr>
    </w:p>
    <w:p>
      <w:pPr>
        <w:pStyle w:val="3"/>
        <w:ind w:left="210" w:right="210"/>
        <w:rPr>
          <w:rFonts w:hint="eastAsia" w:ascii="仿宋" w:hAnsi="仿宋" w:eastAsia="仿宋" w:cs="仿宋"/>
          <w:b/>
          <w:bCs/>
        </w:rPr>
      </w:pPr>
      <w:bookmarkStart w:id="302" w:name="_Toc397953738"/>
      <w:bookmarkStart w:id="303" w:name="_Toc3414"/>
      <w:r>
        <w:rPr>
          <w:rFonts w:hint="eastAsia" w:ascii="仿宋" w:hAnsi="仿宋" w:eastAsia="仿宋" w:cs="仿宋"/>
          <w:b/>
          <w:bCs/>
        </w:rPr>
        <w:t>（十）技术条款偏离表</w:t>
      </w:r>
      <w:bookmarkEnd w:id="302"/>
      <w:bookmarkEnd w:id="303"/>
    </w:p>
    <w:p>
      <w:pPr>
        <w:pStyle w:val="3"/>
        <w:ind w:left="210" w:right="210"/>
        <w:jc w:val="both"/>
        <w:rPr>
          <w:rFonts w:hint="default" w:ascii="仿宋" w:hAnsi="仿宋" w:eastAsia="仿宋" w:cs="仿宋"/>
          <w:b/>
          <w:bCs/>
          <w:sz w:val="24"/>
          <w:szCs w:val="24"/>
          <w:u w:val="single"/>
          <w:lang w:val="en-US"/>
        </w:rPr>
      </w:pPr>
      <w:bookmarkStart w:id="304" w:name="_Toc15447"/>
      <w:r>
        <w:rPr>
          <w:rFonts w:hint="eastAsia" w:ascii="仿宋" w:hAnsi="仿宋" w:eastAsia="仿宋" w:cs="仿宋"/>
          <w:b/>
          <w:bCs/>
          <w:kern w:val="2"/>
          <w:sz w:val="24"/>
          <w:szCs w:val="24"/>
        </w:rPr>
        <w:t>项目名称：</w:t>
      </w:r>
      <w:bookmarkEnd w:id="304"/>
      <w:r>
        <w:rPr>
          <w:rFonts w:hint="eastAsia" w:ascii="仿宋" w:hAnsi="仿宋" w:eastAsia="仿宋" w:cs="仿宋"/>
          <w:b/>
          <w:bCs/>
          <w:sz w:val="24"/>
          <w:szCs w:val="24"/>
          <w:u w:val="single"/>
          <w:lang w:val="en-US" w:eastAsia="zh-CN"/>
        </w:rPr>
        <w:t xml:space="preserve">                   </w:t>
      </w:r>
    </w:p>
    <w:p>
      <w:pPr>
        <w:pStyle w:val="3"/>
        <w:ind w:left="210" w:right="210"/>
        <w:jc w:val="both"/>
        <w:rPr>
          <w:rFonts w:hint="eastAsia" w:ascii="仿宋" w:hAnsi="仿宋" w:eastAsia="仿宋" w:cs="仿宋"/>
          <w:b/>
          <w:bCs/>
          <w:sz w:val="30"/>
          <w:szCs w:val="30"/>
        </w:rPr>
      </w:pPr>
      <w:bookmarkStart w:id="305" w:name="_Toc18697"/>
      <w:r>
        <w:rPr>
          <w:rFonts w:hint="eastAsia" w:ascii="仿宋" w:hAnsi="仿宋" w:eastAsia="仿宋" w:cs="仿宋"/>
          <w:b/>
          <w:bCs/>
          <w:kern w:val="2"/>
          <w:sz w:val="24"/>
          <w:szCs w:val="24"/>
        </w:rPr>
        <w:t xml:space="preserve">项目编号： </w:t>
      </w:r>
      <w:bookmarkEnd w:id="305"/>
      <w:r>
        <w:rPr>
          <w:rFonts w:hint="eastAsia" w:ascii="仿宋" w:hAnsi="仿宋" w:eastAsia="仿宋" w:cs="仿宋"/>
          <w:b/>
          <w:bCs/>
          <w:kern w:val="2"/>
          <w:sz w:val="24"/>
          <w:szCs w:val="24"/>
          <w:u w:val="single"/>
          <w:lang w:eastAsia="zh-CN"/>
        </w:rPr>
        <w:t>GZ2020015-LNSWDQ</w:t>
      </w:r>
      <w:r>
        <w:rPr>
          <w:rFonts w:hint="eastAsia" w:ascii="仿宋" w:hAnsi="仿宋" w:eastAsia="仿宋" w:cs="仿宋"/>
          <w:b/>
          <w:bCs/>
        </w:rPr>
        <w:t xml:space="preserve">   </w:t>
      </w:r>
    </w:p>
    <w:tbl>
      <w:tblPr>
        <w:tblStyle w:val="17"/>
        <w:tblW w:w="9009" w:type="dxa"/>
        <w:tblInd w:w="-10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11"/>
        <w:gridCol w:w="2552"/>
        <w:gridCol w:w="2410"/>
        <w:gridCol w:w="21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vAlign w:val="center"/>
          </w:tcPr>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序号</w:t>
            </w:r>
          </w:p>
        </w:tc>
        <w:tc>
          <w:tcPr>
            <w:tcW w:w="2552" w:type="dxa"/>
          </w:tcPr>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《竞争性磋商文件》技术要求内容与数值</w:t>
            </w:r>
          </w:p>
        </w:tc>
        <w:tc>
          <w:tcPr>
            <w:tcW w:w="2410" w:type="dxa"/>
          </w:tcPr>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供应商的技术响应</w:t>
            </w:r>
          </w:p>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内容与数值</w:t>
            </w:r>
          </w:p>
        </w:tc>
        <w:tc>
          <w:tcPr>
            <w:tcW w:w="2136" w:type="dxa"/>
          </w:tcPr>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备注</w:t>
            </w:r>
          </w:p>
          <w:p>
            <w:pPr>
              <w:pStyle w:val="9"/>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24"/>
              </w:rPr>
            </w:pPr>
          </w:p>
        </w:tc>
        <w:tc>
          <w:tcPr>
            <w:tcW w:w="2552" w:type="dxa"/>
          </w:tcPr>
          <w:p>
            <w:pPr>
              <w:pStyle w:val="9"/>
              <w:spacing w:line="360" w:lineRule="auto"/>
              <w:rPr>
                <w:rFonts w:hint="eastAsia" w:ascii="仿宋" w:hAnsi="仿宋" w:eastAsia="仿宋" w:cs="仿宋"/>
                <w:b/>
                <w:bCs/>
                <w:color w:val="000000"/>
                <w:sz w:val="24"/>
              </w:rPr>
            </w:pPr>
          </w:p>
        </w:tc>
        <w:tc>
          <w:tcPr>
            <w:tcW w:w="2410" w:type="dxa"/>
          </w:tcPr>
          <w:p>
            <w:pPr>
              <w:pStyle w:val="9"/>
              <w:spacing w:line="360" w:lineRule="auto"/>
              <w:rPr>
                <w:rFonts w:hint="eastAsia" w:ascii="仿宋" w:hAnsi="仿宋" w:eastAsia="仿宋" w:cs="仿宋"/>
                <w:b/>
                <w:bCs/>
                <w:color w:val="000000"/>
                <w:sz w:val="24"/>
              </w:rPr>
            </w:pPr>
          </w:p>
        </w:tc>
        <w:tc>
          <w:tcPr>
            <w:tcW w:w="2136" w:type="dxa"/>
          </w:tcPr>
          <w:p>
            <w:pPr>
              <w:pStyle w:val="9"/>
              <w:spacing w:line="360" w:lineRule="auto"/>
              <w:rPr>
                <w:rFonts w:hint="eastAsia" w:ascii="仿宋" w:hAnsi="仿宋" w:eastAsia="仿宋" w:cs="仿宋"/>
                <w:b/>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trPr>
        <w:tc>
          <w:tcPr>
            <w:tcW w:w="1911" w:type="dxa"/>
          </w:tcPr>
          <w:p>
            <w:pPr>
              <w:pStyle w:val="9"/>
              <w:spacing w:line="360" w:lineRule="auto"/>
              <w:rPr>
                <w:rFonts w:hint="eastAsia" w:ascii="仿宋" w:hAnsi="仿宋" w:eastAsia="仿宋" w:cs="仿宋"/>
                <w:b/>
                <w:bCs/>
                <w:color w:val="000000"/>
                <w:sz w:val="18"/>
              </w:rPr>
            </w:pPr>
          </w:p>
        </w:tc>
        <w:tc>
          <w:tcPr>
            <w:tcW w:w="2552" w:type="dxa"/>
          </w:tcPr>
          <w:p>
            <w:pPr>
              <w:pStyle w:val="9"/>
              <w:spacing w:line="360" w:lineRule="auto"/>
              <w:rPr>
                <w:rFonts w:hint="eastAsia" w:ascii="仿宋" w:hAnsi="仿宋" w:eastAsia="仿宋" w:cs="仿宋"/>
                <w:b/>
                <w:bCs/>
                <w:color w:val="000000"/>
                <w:sz w:val="18"/>
              </w:rPr>
            </w:pPr>
          </w:p>
        </w:tc>
        <w:tc>
          <w:tcPr>
            <w:tcW w:w="2410" w:type="dxa"/>
          </w:tcPr>
          <w:p>
            <w:pPr>
              <w:pStyle w:val="9"/>
              <w:spacing w:line="360" w:lineRule="auto"/>
              <w:rPr>
                <w:rFonts w:hint="eastAsia" w:ascii="仿宋" w:hAnsi="仿宋" w:eastAsia="仿宋" w:cs="仿宋"/>
                <w:b/>
                <w:bCs/>
                <w:color w:val="000000"/>
                <w:sz w:val="18"/>
              </w:rPr>
            </w:pPr>
          </w:p>
        </w:tc>
        <w:tc>
          <w:tcPr>
            <w:tcW w:w="2136" w:type="dxa"/>
          </w:tcPr>
          <w:p>
            <w:pPr>
              <w:pStyle w:val="9"/>
              <w:spacing w:line="360" w:lineRule="auto"/>
              <w:rPr>
                <w:rFonts w:hint="eastAsia" w:ascii="仿宋" w:hAnsi="仿宋" w:eastAsia="仿宋" w:cs="仿宋"/>
                <w:b/>
                <w:bCs/>
                <w:color w:val="000000"/>
                <w:sz w:val="18"/>
              </w:rPr>
            </w:pPr>
          </w:p>
        </w:tc>
      </w:tr>
    </w:tbl>
    <w:p>
      <w:pPr>
        <w:pStyle w:val="13"/>
        <w:spacing w:line="360" w:lineRule="auto"/>
        <w:ind w:left="183" w:leftChars="87"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注：供应商应对《竞争性磋商文件》第四章采购内容的内容给予逐条响应，以自己投标产品和服务所能达到的内容予以填写，而不应复制《竞争性磋商文件》的技术要求作为响应内容。</w:t>
      </w:r>
    </w:p>
    <w:p>
      <w:pPr>
        <w:pStyle w:val="13"/>
        <w:spacing w:line="360" w:lineRule="auto"/>
        <w:ind w:left="183" w:leftChars="87" w:firstLine="482" w:firstLineChars="200"/>
        <w:rPr>
          <w:rFonts w:hint="eastAsia" w:ascii="仿宋" w:hAnsi="仿宋" w:eastAsia="仿宋" w:cs="仿宋"/>
          <w:b/>
          <w:bCs/>
          <w:color w:val="000000"/>
          <w:sz w:val="24"/>
          <w:u w:val="single"/>
        </w:rPr>
      </w:pPr>
      <w:r>
        <w:rPr>
          <w:rFonts w:hint="eastAsia" w:ascii="仿宋" w:hAnsi="仿宋" w:eastAsia="仿宋" w:cs="仿宋"/>
          <w:b/>
          <w:bCs/>
          <w:color w:val="000000"/>
          <w:sz w:val="24"/>
        </w:rPr>
        <w:t>供应商名称：</w:t>
      </w:r>
      <w:r>
        <w:rPr>
          <w:rFonts w:hint="eastAsia" w:ascii="仿宋" w:hAnsi="仿宋" w:eastAsia="仿宋" w:cs="仿宋"/>
          <w:b/>
          <w:bCs/>
          <w:color w:val="000000"/>
          <w:sz w:val="24"/>
          <w:u w:val="single"/>
        </w:rPr>
        <w:t xml:space="preserve">     （单位公章）    </w:t>
      </w:r>
    </w:p>
    <w:p>
      <w:pPr>
        <w:pStyle w:val="13"/>
        <w:spacing w:line="360" w:lineRule="auto"/>
        <w:ind w:left="183" w:leftChars="87" w:firstLine="482" w:firstLineChars="200"/>
        <w:rPr>
          <w:rFonts w:hint="eastAsia" w:ascii="仿宋" w:hAnsi="仿宋" w:eastAsia="仿宋" w:cs="仿宋"/>
          <w:b/>
          <w:bCs/>
          <w:color w:val="000000"/>
          <w:sz w:val="24"/>
          <w:u w:val="single"/>
        </w:rPr>
      </w:pPr>
      <w:r>
        <w:rPr>
          <w:rFonts w:hint="eastAsia" w:ascii="仿宋" w:hAnsi="仿宋" w:eastAsia="仿宋" w:cs="仿宋"/>
          <w:b/>
          <w:bCs/>
          <w:color w:val="000000"/>
          <w:sz w:val="24"/>
        </w:rPr>
        <w:t>授权代表：</w:t>
      </w:r>
      <w:r>
        <w:rPr>
          <w:rFonts w:hint="eastAsia" w:ascii="仿宋" w:hAnsi="仿宋" w:eastAsia="仿宋" w:cs="仿宋"/>
          <w:b/>
          <w:bCs/>
          <w:color w:val="000000"/>
          <w:sz w:val="24"/>
          <w:u w:val="single"/>
        </w:rPr>
        <w:t xml:space="preserve">         （签字）      </w:t>
      </w:r>
    </w:p>
    <w:p>
      <w:pPr>
        <w:pStyle w:val="13"/>
        <w:spacing w:line="360" w:lineRule="auto"/>
        <w:ind w:left="183" w:leftChars="87" w:firstLine="482" w:firstLineChars="200"/>
        <w:rPr>
          <w:rFonts w:hint="eastAsia" w:ascii="仿宋" w:hAnsi="仿宋" w:eastAsia="仿宋" w:cs="仿宋"/>
          <w:b/>
          <w:bCs/>
          <w:color w:val="000000"/>
          <w:sz w:val="24"/>
        </w:rPr>
        <w:sectPr>
          <w:footerReference r:id="rId14" w:type="first"/>
          <w:footerReference r:id="rId12" w:type="default"/>
          <w:footerReference r:id="rId13" w:type="even"/>
          <w:pgSz w:w="11907" w:h="16840"/>
          <w:pgMar w:top="1440" w:right="1803" w:bottom="1440" w:left="1803" w:header="851" w:footer="590" w:gutter="0"/>
          <w:pgNumType w:fmt="numberInDash"/>
          <w:cols w:space="0" w:num="1"/>
          <w:rtlGutter w:val="0"/>
          <w:docGrid w:linePitch="312" w:charSpace="0"/>
        </w:sectPr>
      </w:pPr>
      <w:r>
        <w:rPr>
          <w:rFonts w:hint="eastAsia" w:ascii="仿宋" w:hAnsi="仿宋" w:eastAsia="仿宋" w:cs="仿宋"/>
          <w:b/>
          <w:bCs/>
          <w:color w:val="000000"/>
          <w:sz w:val="24"/>
        </w:rPr>
        <w:t>日期：</w:t>
      </w:r>
      <w:r>
        <w:rPr>
          <w:rFonts w:hint="eastAsia" w:ascii="仿宋" w:hAnsi="仿宋" w:eastAsia="仿宋" w:cs="仿宋"/>
          <w:b/>
          <w:bCs/>
          <w:color w:val="000000"/>
          <w:sz w:val="24"/>
          <w:u w:val="single"/>
        </w:rPr>
        <w:t xml:space="preserve">          年      月 </w:t>
      </w:r>
    </w:p>
    <w:p>
      <w:pPr>
        <w:pStyle w:val="2"/>
        <w:rPr>
          <w:rFonts w:hint="eastAsia"/>
        </w:rPr>
      </w:pPr>
    </w:p>
    <w:sectPr>
      <w:pgSz w:w="11907" w:h="16840"/>
      <w:pgMar w:top="1440" w:right="1803" w:bottom="1440" w:left="1803" w:header="851" w:footer="590"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p>
    <w:pPr>
      <w:pStyle w:val="1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71787LAQAAl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kpPLgP+w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u9e/O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X2ibLAQAAl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Wl9om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- 42 -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2OMsrLAQAAl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E1GKg/+/SFiC7mzhDpCTcVwXpnbtFtpIf72c9bz/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tjjLK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- 42 -</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end"/>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- 40 -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j/mCPKAQAAl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pORyoO/2UdsIXeWUEeoqRjOK3ObdistxFM/Zz3+T+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Dj/mCPKAQAAlwMAAA4AAAAAAAAAAQAgAAAAIgEAAGRycy9l&#10;Mm9Eb2MueG1sUEsFBgAAAAAGAAYAWQEAAF4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- 40 -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z w:val="21"/>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56E3F"/>
    <w:multiLevelType w:val="singleLevel"/>
    <w:tmpl w:val="9B956E3F"/>
    <w:lvl w:ilvl="0" w:tentative="0">
      <w:start w:val="1"/>
      <w:numFmt w:val="decimal"/>
      <w:suff w:val="nothing"/>
      <w:lvlText w:val="%1、"/>
      <w:lvlJc w:val="left"/>
    </w:lvl>
  </w:abstractNum>
  <w:abstractNum w:abstractNumId="1">
    <w:nsid w:val="FC982836"/>
    <w:multiLevelType w:val="singleLevel"/>
    <w:tmpl w:val="FC982836"/>
    <w:lvl w:ilvl="0" w:tentative="0">
      <w:start w:val="3"/>
      <w:numFmt w:val="chineseCounting"/>
      <w:suff w:val="space"/>
      <w:lvlText w:val="（%1）"/>
      <w:lvlJc w:val="left"/>
      <w:rPr>
        <w:rFonts w:hint="eastAsia"/>
      </w:rPr>
    </w:lvl>
  </w:abstractNum>
  <w:abstractNum w:abstractNumId="2">
    <w:nsid w:val="00000003"/>
    <w:multiLevelType w:val="multilevel"/>
    <w:tmpl w:val="00000003"/>
    <w:lvl w:ilvl="0" w:tentative="0">
      <w:start w:val="1"/>
      <w:numFmt w:val="decimalEnclosedCircle"/>
      <w:lvlText w:val="%1"/>
      <w:lvlJc w:val="left"/>
      <w:pPr>
        <w:ind w:left="420" w:hanging="420"/>
      </w:pPr>
      <w:rPr>
        <w:rFonts w:hint="default"/>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EE81AF1"/>
    <w:multiLevelType w:val="multilevel"/>
    <w:tmpl w:val="6EE81AF1"/>
    <w:lvl w:ilvl="0" w:tentative="0">
      <w:start w:val="1"/>
      <w:numFmt w:val="decimal"/>
      <w:lvlText w:val="(%1)"/>
      <w:lvlJc w:val="left"/>
      <w:pPr>
        <w:ind w:left="900" w:hanging="420"/>
      </w:pPr>
      <w:rPr>
        <w:rFonts w:hint="default" w:ascii="宋体" w:hAnsi="宋体" w:eastAsia="宋体"/>
        <w:b w:val="0"/>
        <w:i w:val="0"/>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8608F49"/>
    <w:multiLevelType w:val="singleLevel"/>
    <w:tmpl w:val="78608F49"/>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20698"/>
    <w:rsid w:val="001370F7"/>
    <w:rsid w:val="001574D6"/>
    <w:rsid w:val="00191EFC"/>
    <w:rsid w:val="002A561D"/>
    <w:rsid w:val="003D49F1"/>
    <w:rsid w:val="003E30B1"/>
    <w:rsid w:val="004468B7"/>
    <w:rsid w:val="004D5241"/>
    <w:rsid w:val="004F6EEC"/>
    <w:rsid w:val="00501400"/>
    <w:rsid w:val="005572E1"/>
    <w:rsid w:val="005871C9"/>
    <w:rsid w:val="007D0654"/>
    <w:rsid w:val="00817E8A"/>
    <w:rsid w:val="009D5C43"/>
    <w:rsid w:val="00A3346C"/>
    <w:rsid w:val="00F30C97"/>
    <w:rsid w:val="00FC79D3"/>
    <w:rsid w:val="022006BE"/>
    <w:rsid w:val="03020698"/>
    <w:rsid w:val="03DA30BA"/>
    <w:rsid w:val="05D616ED"/>
    <w:rsid w:val="063262E9"/>
    <w:rsid w:val="08264CE2"/>
    <w:rsid w:val="0A5217AE"/>
    <w:rsid w:val="0B106CED"/>
    <w:rsid w:val="0BF97F41"/>
    <w:rsid w:val="0CB30493"/>
    <w:rsid w:val="0DBC2267"/>
    <w:rsid w:val="0F5B6027"/>
    <w:rsid w:val="10064211"/>
    <w:rsid w:val="10D620A4"/>
    <w:rsid w:val="10EA0922"/>
    <w:rsid w:val="1170169A"/>
    <w:rsid w:val="11815C83"/>
    <w:rsid w:val="11EE3C95"/>
    <w:rsid w:val="124A35B6"/>
    <w:rsid w:val="12E145AF"/>
    <w:rsid w:val="13AB1C2F"/>
    <w:rsid w:val="1493380F"/>
    <w:rsid w:val="15955100"/>
    <w:rsid w:val="15F50B38"/>
    <w:rsid w:val="16503EDC"/>
    <w:rsid w:val="16DC53BC"/>
    <w:rsid w:val="1A1F776F"/>
    <w:rsid w:val="1A3665AD"/>
    <w:rsid w:val="1BD72461"/>
    <w:rsid w:val="1DA6317B"/>
    <w:rsid w:val="1E18552B"/>
    <w:rsid w:val="1E1D6470"/>
    <w:rsid w:val="1FD31735"/>
    <w:rsid w:val="203106D3"/>
    <w:rsid w:val="206D0567"/>
    <w:rsid w:val="212D0427"/>
    <w:rsid w:val="216439A9"/>
    <w:rsid w:val="256E1153"/>
    <w:rsid w:val="26603E6C"/>
    <w:rsid w:val="2AFF67E4"/>
    <w:rsid w:val="2BCF623C"/>
    <w:rsid w:val="2BFF5300"/>
    <w:rsid w:val="2D274285"/>
    <w:rsid w:val="2D7D0C66"/>
    <w:rsid w:val="2DFA07B6"/>
    <w:rsid w:val="2F041C05"/>
    <w:rsid w:val="309342D3"/>
    <w:rsid w:val="30F67F32"/>
    <w:rsid w:val="31002AD1"/>
    <w:rsid w:val="315440F4"/>
    <w:rsid w:val="32C60801"/>
    <w:rsid w:val="33DC7BB6"/>
    <w:rsid w:val="3760663E"/>
    <w:rsid w:val="38FB6077"/>
    <w:rsid w:val="3AA01B33"/>
    <w:rsid w:val="3C016327"/>
    <w:rsid w:val="3E725214"/>
    <w:rsid w:val="3FB85629"/>
    <w:rsid w:val="426D1D66"/>
    <w:rsid w:val="43234826"/>
    <w:rsid w:val="46270F6D"/>
    <w:rsid w:val="46AC1D05"/>
    <w:rsid w:val="4AC2335D"/>
    <w:rsid w:val="4B7F2AD4"/>
    <w:rsid w:val="4D252A5E"/>
    <w:rsid w:val="4D512CF2"/>
    <w:rsid w:val="4DAE20DF"/>
    <w:rsid w:val="4DBE72BC"/>
    <w:rsid w:val="4DCF08B0"/>
    <w:rsid w:val="4DDC33F5"/>
    <w:rsid w:val="4E0240A6"/>
    <w:rsid w:val="4EBA0EBB"/>
    <w:rsid w:val="5016728C"/>
    <w:rsid w:val="501A4B80"/>
    <w:rsid w:val="504D1872"/>
    <w:rsid w:val="509B16CF"/>
    <w:rsid w:val="50B91828"/>
    <w:rsid w:val="538C2882"/>
    <w:rsid w:val="55054EC1"/>
    <w:rsid w:val="55177475"/>
    <w:rsid w:val="55AB7575"/>
    <w:rsid w:val="55E6433E"/>
    <w:rsid w:val="56283524"/>
    <w:rsid w:val="57A15242"/>
    <w:rsid w:val="57B56ECA"/>
    <w:rsid w:val="57D1505F"/>
    <w:rsid w:val="5DA07A9D"/>
    <w:rsid w:val="5DF74D94"/>
    <w:rsid w:val="5E870020"/>
    <w:rsid w:val="5EE85A29"/>
    <w:rsid w:val="60315334"/>
    <w:rsid w:val="60475933"/>
    <w:rsid w:val="60815153"/>
    <w:rsid w:val="618A5B9B"/>
    <w:rsid w:val="61AE4B38"/>
    <w:rsid w:val="643901FB"/>
    <w:rsid w:val="64AC61EC"/>
    <w:rsid w:val="64E211FD"/>
    <w:rsid w:val="65CD24E5"/>
    <w:rsid w:val="65D36B1C"/>
    <w:rsid w:val="6696725D"/>
    <w:rsid w:val="66DD6AF5"/>
    <w:rsid w:val="68754912"/>
    <w:rsid w:val="69A26A07"/>
    <w:rsid w:val="69B86294"/>
    <w:rsid w:val="6B0434C1"/>
    <w:rsid w:val="6B6F4471"/>
    <w:rsid w:val="6C010724"/>
    <w:rsid w:val="6D755132"/>
    <w:rsid w:val="6EB05523"/>
    <w:rsid w:val="6F9C0572"/>
    <w:rsid w:val="722A394A"/>
    <w:rsid w:val="72AF5299"/>
    <w:rsid w:val="74303064"/>
    <w:rsid w:val="74E102D2"/>
    <w:rsid w:val="758C4042"/>
    <w:rsid w:val="75DB4181"/>
    <w:rsid w:val="760055DB"/>
    <w:rsid w:val="761A320C"/>
    <w:rsid w:val="789B165D"/>
    <w:rsid w:val="78B12C23"/>
    <w:rsid w:val="792B4CBD"/>
    <w:rsid w:val="79430ED1"/>
    <w:rsid w:val="7C9127CF"/>
    <w:rsid w:val="7E64093E"/>
    <w:rsid w:val="7EBF69E8"/>
    <w:rsid w:val="7F4E0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ind w:left="100" w:leftChars="100" w:right="100" w:rightChars="100"/>
      <w:jc w:val="center"/>
      <w:outlineLvl w:val="0"/>
    </w:pPr>
    <w:rPr>
      <w:b/>
      <w:bCs/>
      <w:kern w:val="44"/>
      <w:sz w:val="32"/>
      <w:szCs w:val="44"/>
    </w:rPr>
  </w:style>
  <w:style w:type="paragraph" w:styleId="4">
    <w:name w:val="heading 2"/>
    <w:basedOn w:val="1"/>
    <w:next w:val="1"/>
    <w:semiHidden/>
    <w:unhideWhenUsed/>
    <w:qFormat/>
    <w:uiPriority w:val="0"/>
    <w:pPr>
      <w:jc w:val="left"/>
      <w:outlineLvl w:val="1"/>
    </w:pPr>
    <w:rPr>
      <w:rFonts w:hint="eastAsia" w:ascii="宋体" w:hAnsi="宋体"/>
      <w:kern w:val="0"/>
      <w:sz w:val="24"/>
    </w:rPr>
  </w:style>
  <w:style w:type="paragraph" w:styleId="5">
    <w:name w:val="heading 3"/>
    <w:basedOn w:val="1"/>
    <w:next w:val="1"/>
    <w:qFormat/>
    <w:uiPriority w:val="0"/>
    <w:pPr>
      <w:keepNext/>
      <w:keepLines/>
      <w:adjustRightInd w:val="0"/>
      <w:jc w:val="left"/>
      <w:textAlignment w:val="baseline"/>
      <w:outlineLvl w:val="2"/>
    </w:pPr>
    <w:rPr>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6">
    <w:name w:val="table of authorities"/>
    <w:basedOn w:val="1"/>
    <w:next w:val="1"/>
    <w:qFormat/>
    <w:uiPriority w:val="99"/>
    <w:pPr>
      <w:ind w:left="420" w:leftChars="200"/>
    </w:pPr>
  </w:style>
  <w:style w:type="paragraph" w:styleId="7">
    <w:name w:val="Body Text"/>
    <w:basedOn w:val="1"/>
    <w:qFormat/>
    <w:uiPriority w:val="0"/>
    <w:rPr>
      <w:rFonts w:ascii="楷体_GB2312" w:hAnsi="Arial" w:eastAsia="楷体_GB2312"/>
      <w:sz w:val="28"/>
      <w:szCs w:val="20"/>
    </w:rPr>
  </w:style>
  <w:style w:type="paragraph" w:styleId="8">
    <w:name w:val="toc 3"/>
    <w:basedOn w:val="1"/>
    <w:next w:val="1"/>
    <w:qFormat/>
    <w:uiPriority w:val="39"/>
    <w:pPr>
      <w:ind w:left="420"/>
      <w:jc w:val="left"/>
    </w:pPr>
    <w:rPr>
      <w:rFonts w:ascii="Calibri" w:hAnsi="Calibri"/>
      <w:i/>
      <w:iCs/>
      <w:sz w:val="20"/>
      <w:szCs w:val="20"/>
    </w:rPr>
  </w:style>
  <w:style w:type="paragraph" w:styleId="9">
    <w:name w:val="Plain Text"/>
    <w:basedOn w:val="1"/>
    <w:qFormat/>
    <w:uiPriority w:val="0"/>
    <w:rPr>
      <w:rFonts w:ascii="宋体" w:hAnsi="Courier New"/>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ascii="Calibri" w:hAnsi="Calibri"/>
      <w:b/>
      <w:bCs/>
      <w:caps/>
      <w:sz w:val="20"/>
      <w:szCs w:val="20"/>
    </w:rPr>
  </w:style>
  <w:style w:type="paragraph" w:styleId="13">
    <w:name w:val="Body Text Indent 3"/>
    <w:basedOn w:val="1"/>
    <w:qFormat/>
    <w:uiPriority w:val="0"/>
    <w:pPr>
      <w:spacing w:after="120"/>
      <w:ind w:left="420" w:leftChars="200"/>
    </w:pPr>
    <w:rPr>
      <w:sz w:val="16"/>
      <w:szCs w:val="16"/>
    </w:rPr>
  </w:style>
  <w:style w:type="paragraph" w:styleId="14">
    <w:name w:val="toc 2"/>
    <w:basedOn w:val="1"/>
    <w:next w:val="1"/>
    <w:qFormat/>
    <w:uiPriority w:val="39"/>
    <w:pPr>
      <w:ind w:left="210"/>
      <w:jc w:val="left"/>
    </w:pPr>
    <w:rPr>
      <w:rFonts w:ascii="Calibri" w:hAnsi="Calibri"/>
      <w:smallCaps/>
      <w:sz w:val="20"/>
      <w:szCs w:val="20"/>
    </w:rPr>
  </w:style>
  <w:style w:type="paragraph" w:styleId="15">
    <w:name w:val="Normal (Web)"/>
    <w:basedOn w:val="1"/>
    <w:qFormat/>
    <w:uiPriority w:val="0"/>
    <w:pPr>
      <w:widowControl/>
      <w:spacing w:before="100" w:beforeAutospacing="1" w:after="100" w:afterAutospacing="1"/>
      <w:jc w:val="left"/>
    </w:pPr>
    <w:rPr>
      <w:rFonts w:ascii="宋体" w:hAnsi="宋体" w:cs="宋体"/>
      <w:sz w:val="24"/>
    </w:rPr>
  </w:style>
  <w:style w:type="paragraph" w:styleId="16">
    <w:name w:val="Title"/>
    <w:basedOn w:val="1"/>
    <w:next w:val="1"/>
    <w:qFormat/>
    <w:uiPriority w:val="0"/>
    <w:pPr>
      <w:spacing w:before="240" w:after="60"/>
      <w:jc w:val="center"/>
      <w:outlineLvl w:val="0"/>
    </w:pPr>
    <w:rPr>
      <w:rFonts w:ascii="Cambria" w:hAnsi="Cambria"/>
      <w:b/>
      <w:bCs/>
      <w:sz w:val="44"/>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qFormat/>
    <w:uiPriority w:val="0"/>
    <w:rPr>
      <w:color w:val="555555"/>
      <w:u w:val="non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555555"/>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ascii="monospace" w:hAnsi="monospace" w:eastAsia="monospace" w:cs="monospace"/>
      <w:sz w:val="20"/>
    </w:rPr>
  </w:style>
  <w:style w:type="character" w:styleId="32">
    <w:name w:val="HTML Sample"/>
    <w:basedOn w:val="19"/>
    <w:qFormat/>
    <w:uiPriority w:val="0"/>
    <w:rPr>
      <w:rFonts w:hint="default" w:ascii="monospace" w:hAnsi="monospace" w:eastAsia="monospace" w:cs="monospace"/>
    </w:rPr>
  </w:style>
  <w:style w:type="paragraph" w:customStyle="1" w:styleId="33">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34">
    <w:name w:val="Table Paragraph"/>
    <w:basedOn w:val="1"/>
    <w:qFormat/>
    <w:uiPriority w:val="1"/>
    <w:rPr>
      <w:rFonts w:ascii="微软雅黑" w:hAnsi="微软雅黑" w:eastAsia="微软雅黑" w:cs="微软雅黑"/>
      <w:lang w:val="zh-CN" w:eastAsia="zh-CN" w:bidi="zh-CN"/>
    </w:rPr>
  </w:style>
  <w:style w:type="character" w:customStyle="1" w:styleId="35">
    <w:name w:val="pass"/>
    <w:basedOn w:val="19"/>
    <w:qFormat/>
    <w:uiPriority w:val="0"/>
    <w:rPr>
      <w:color w:val="D50512"/>
    </w:rPr>
  </w:style>
  <w:style w:type="character" w:customStyle="1" w:styleId="36">
    <w:name w:val="datatime56"/>
    <w:basedOn w:val="19"/>
    <w:qFormat/>
    <w:uiPriority w:val="0"/>
    <w:rPr>
      <w:color w:val="969696"/>
    </w:rPr>
  </w:style>
  <w:style w:type="character" w:customStyle="1" w:styleId="37">
    <w:name w:val="datatime57"/>
    <w:basedOn w:val="19"/>
    <w:qFormat/>
    <w:uiPriority w:val="0"/>
    <w:rPr>
      <w:color w:val="969696"/>
    </w:rPr>
  </w:style>
  <w:style w:type="character" w:customStyle="1" w:styleId="38">
    <w:name w:val="datatime58"/>
    <w:basedOn w:val="19"/>
    <w:qFormat/>
    <w:uiPriority w:val="0"/>
    <w:rPr>
      <w:color w:val="969696"/>
    </w:rPr>
  </w:style>
  <w:style w:type="character" w:customStyle="1" w:styleId="39">
    <w:name w:val="clear"/>
    <w:basedOn w:val="19"/>
    <w:qFormat/>
    <w:uiPriority w:val="0"/>
    <w:rPr>
      <w:sz w:val="0"/>
      <w:szCs w:val="0"/>
    </w:rPr>
  </w:style>
  <w:style w:type="paragraph" w:customStyle="1" w:styleId="4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1">
    <w:name w:val="列出段落1"/>
    <w:basedOn w:val="1"/>
    <w:qFormat/>
    <w:uiPriority w:val="34"/>
    <w:pPr>
      <w:widowControl/>
      <w:topLinePunct/>
      <w:adjustRightInd w:val="0"/>
      <w:snapToGrid w:val="0"/>
      <w:spacing w:before="160" w:after="160" w:line="240" w:lineRule="atLeast"/>
      <w:ind w:left="1701" w:firstLine="420" w:firstLineChars="200"/>
      <w:jc w:val="left"/>
    </w:pPr>
    <w:rPr>
      <w:kern w:val="0"/>
      <w:sz w:val="20"/>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3597</Words>
  <Characters>20506</Characters>
  <Lines>170</Lines>
  <Paragraphs>48</Paragraphs>
  <TotalTime>4</TotalTime>
  <ScaleCrop>false</ScaleCrop>
  <LinksUpToDate>false</LinksUpToDate>
  <CharactersWithSpaces>24055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2019-03-18T03:07:00Z</dcterms:created>
  <dc:creator>szy</dc:creator>
  <cp:lastModifiedBy>娇哥的ID</cp:lastModifiedBy>
  <cp:lastPrinted>2019-03-19T04:52:00Z</cp:lastPrinted>
  <dcterms:modified xsi:type="dcterms:W3CDTF">2021-01-12T04:02:50Z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