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bookmarkStart w:id="133" w:name="_GoBack"/>
      <w:bookmarkEnd w:id="133"/>
      <w:r>
        <w:rPr>
          <w:rFonts w:hint="eastAsia" w:ascii="宋体" w:hAnsi="宋体" w:eastAsia="宋体" w:cs="宋体"/>
          <w:color w:val="000000" w:themeColor="text1"/>
          <w:sz w:val="21"/>
          <w:szCs w:val="21"/>
          <w:highlight w:val="none"/>
          <w14:textFill>
            <w14:solidFill>
              <w14:schemeClr w14:val="tx1"/>
            </w14:solidFill>
          </w14:textFill>
        </w:rPr>
        <w:drawing>
          <wp:inline distT="0" distB="0" distL="0" distR="0">
            <wp:extent cx="2956560" cy="540385"/>
            <wp:effectExtent l="0" t="0" r="15240" b="12065"/>
            <wp:docPr id="4" name="图片 4" descr="H:\勿动\中远天成\资料\图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勿动\中远天成\资料\图标3.jpg"/>
                    <pic:cNvPicPr>
                      <a:picLocks noChangeAspect="1" noChangeArrowheads="1"/>
                    </pic:cNvPicPr>
                  </pic:nvPicPr>
                  <pic:blipFill>
                    <a:blip r:embed="rId16" cstate="print"/>
                    <a:srcRect/>
                    <a:stretch>
                      <a:fillRect/>
                    </a:stretch>
                  </pic:blipFill>
                  <pic:spPr>
                    <a:xfrm>
                      <a:off x="0" y="0"/>
                      <a:ext cx="2963917" cy="536028"/>
                    </a:xfrm>
                    <a:prstGeom prst="rect">
                      <a:avLst/>
                    </a:prstGeom>
                    <a:noFill/>
                    <a:ln w="9525">
                      <a:noFill/>
                      <a:miter lim="800000"/>
                      <a:headEnd/>
                      <a:tailEnd/>
                    </a:ln>
                  </pic:spPr>
                </pic:pic>
              </a:graphicData>
            </a:graphic>
          </wp:inline>
        </w:drawing>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50"/>
          <w:szCs w:val="50"/>
          <w:highlight w:val="none"/>
          <w:lang w:eastAsia="zh-CN"/>
          <w14:textFill>
            <w14:solidFill>
              <w14:schemeClr w14:val="tx1"/>
            </w14:solidFill>
          </w14:textFill>
        </w:rPr>
      </w:pPr>
      <w:r>
        <w:rPr>
          <w:rFonts w:hint="eastAsia" w:ascii="宋体" w:hAnsi="宋体" w:eastAsia="宋体" w:cs="宋体"/>
          <w:b/>
          <w:bCs/>
          <w:color w:val="000000" w:themeColor="text1"/>
          <w:sz w:val="50"/>
          <w:szCs w:val="50"/>
          <w:highlight w:val="none"/>
          <w:lang w:eastAsia="zh-CN"/>
          <w14:textFill>
            <w14:solidFill>
              <w14:schemeClr w14:val="tx1"/>
            </w14:solidFill>
          </w14:textFill>
        </w:rPr>
        <w:t>甘肃省康复中心PCR标准化实验室</w:t>
      </w: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color w:val="000000" w:themeColor="text1"/>
          <w:sz w:val="50"/>
          <w:szCs w:val="50"/>
          <w:highlight w:val="none"/>
          <w14:textFill>
            <w14:solidFill>
              <w14:schemeClr w14:val="tx1"/>
            </w14:solidFill>
          </w14:textFill>
        </w:rPr>
      </w:pPr>
      <w:r>
        <w:rPr>
          <w:rFonts w:hint="eastAsia" w:ascii="宋体" w:hAnsi="宋体" w:eastAsia="宋体" w:cs="宋体"/>
          <w:b/>
          <w:bCs/>
          <w:color w:val="000000" w:themeColor="text1"/>
          <w:sz w:val="50"/>
          <w:szCs w:val="50"/>
          <w:highlight w:val="none"/>
          <w:lang w:eastAsia="zh-CN"/>
          <w14:textFill>
            <w14:solidFill>
              <w14:schemeClr w14:val="tx1"/>
            </w14:solidFill>
          </w14:textFill>
        </w:rPr>
        <w:t>建设项目</w:t>
      </w: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48"/>
        <w:pageBreakBefore w:val="0"/>
        <w:kinsoku/>
        <w:topLinePunct w:val="0"/>
        <w:bidi w:val="0"/>
        <w:spacing w:line="360" w:lineRule="auto"/>
        <w:textAlignment w:val="auto"/>
        <w:rPr>
          <w:rFonts w:hint="eastAsia" w:ascii="宋体" w:hAnsi="宋体" w:eastAsia="宋体" w:cs="宋体"/>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sz w:val="30"/>
          <w:szCs w:val="30"/>
          <w:lang w:eastAsia="zh-CN"/>
        </w:rPr>
        <w:drawing>
          <wp:inline distT="0" distB="0" distL="114300" distR="114300">
            <wp:extent cx="1645285" cy="1727200"/>
            <wp:effectExtent l="0" t="0" r="12065" b="6350"/>
            <wp:docPr id="2" name="图片 1" descr="BEE66014DBB4ED0D1A2EC0D1AAA37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BEE66014DBB4ED0D1A2EC0D1AAA37DDB"/>
                    <pic:cNvPicPr>
                      <a:picLocks noChangeAspect="1"/>
                    </pic:cNvPicPr>
                  </pic:nvPicPr>
                  <pic:blipFill>
                    <a:blip r:embed="rId17"/>
                    <a:stretch>
                      <a:fillRect/>
                    </a:stretch>
                  </pic:blipFill>
                  <pic:spPr>
                    <a:xfrm>
                      <a:off x="0" y="0"/>
                      <a:ext cx="1645285" cy="1727200"/>
                    </a:xfrm>
                    <a:prstGeom prst="rect">
                      <a:avLst/>
                    </a:prstGeom>
                    <a:noFill/>
                    <a:ln>
                      <a:noFill/>
                    </a:ln>
                  </pic:spPr>
                </pic:pic>
              </a:graphicData>
            </a:graphic>
          </wp:inline>
        </w:drawing>
      </w: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72"/>
          <w:szCs w:val="72"/>
          <w:highlight w:val="none"/>
          <w:lang w:val="en-US"/>
          <w14:textFill>
            <w14:solidFill>
              <w14:schemeClr w14:val="tx1"/>
            </w14:solidFill>
          </w14:textFill>
        </w:rPr>
      </w:pPr>
      <w:r>
        <w:rPr>
          <w:rFonts w:hint="eastAsia" w:ascii="宋体" w:hAnsi="宋体" w:eastAsia="宋体" w:cs="宋体"/>
          <w:b/>
          <w:bCs/>
          <w:color w:val="000000" w:themeColor="text1"/>
          <w:sz w:val="72"/>
          <w:szCs w:val="72"/>
          <w:highlight w:val="none"/>
          <w14:textFill>
            <w14:solidFill>
              <w14:schemeClr w14:val="tx1"/>
            </w14:solidFill>
          </w14:textFill>
        </w:rPr>
        <w:t>招  标  文  件</w:t>
      </w: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ind w:firstLine="640" w:firstLineChars="200"/>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 xml:space="preserve">招标编号: </w:t>
      </w:r>
      <w:r>
        <w:rPr>
          <w:rFonts w:hint="eastAsia" w:ascii="宋体" w:hAnsi="宋体" w:eastAsia="宋体" w:cs="宋体"/>
          <w:color w:val="000000" w:themeColor="text1"/>
          <w:sz w:val="32"/>
          <w:szCs w:val="32"/>
          <w:highlight w:val="none"/>
          <w:lang w:eastAsia="zh-CN"/>
          <w14:textFill>
            <w14:solidFill>
              <w14:schemeClr w14:val="tx1"/>
            </w14:solidFill>
          </w14:textFill>
        </w:rPr>
        <w:t>GSZYTC-ZX-200</w:t>
      </w:r>
      <w:r>
        <w:rPr>
          <w:rFonts w:hint="eastAsia" w:ascii="宋体" w:hAnsi="宋体" w:eastAsia="宋体" w:cs="宋体"/>
          <w:color w:val="000000" w:themeColor="text1"/>
          <w:sz w:val="32"/>
          <w:szCs w:val="32"/>
          <w:highlight w:val="none"/>
          <w:lang w:val="en-US" w:eastAsia="zh-CN"/>
          <w14:textFill>
            <w14:solidFill>
              <w14:schemeClr w14:val="tx1"/>
            </w14:solidFill>
          </w14:textFill>
        </w:rPr>
        <w:t>60</w:t>
      </w:r>
    </w:p>
    <w:p>
      <w:pPr>
        <w:keepNext w:val="0"/>
        <w:keepLines w:val="0"/>
        <w:pageBreakBefore w:val="0"/>
        <w:kinsoku/>
        <w:topLinePunct w:val="0"/>
        <w:autoSpaceDE/>
        <w:autoSpaceDN/>
        <w:bidi w:val="0"/>
        <w:spacing w:line="360" w:lineRule="auto"/>
        <w:ind w:firstLine="640" w:firstLineChars="200"/>
        <w:textAlignment w:val="auto"/>
        <w:rPr>
          <w:rFonts w:hint="eastAsia" w:ascii="宋体" w:hAnsi="宋体" w:eastAsia="宋体" w:cs="宋体"/>
          <w:color w:val="000000" w:themeColor="text1"/>
          <w:sz w:val="32"/>
          <w:szCs w:val="32"/>
          <w:highlight w:val="none"/>
          <w:lang w:eastAsia="zh-CN"/>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招 标 人：</w:t>
      </w:r>
      <w:r>
        <w:rPr>
          <w:rFonts w:hint="eastAsia" w:ascii="宋体" w:hAnsi="宋体" w:eastAsia="宋体" w:cs="宋体"/>
          <w:color w:val="000000" w:themeColor="text1"/>
          <w:sz w:val="32"/>
          <w:szCs w:val="32"/>
          <w:highlight w:val="none"/>
          <w:lang w:eastAsia="zh-CN"/>
          <w14:textFill>
            <w14:solidFill>
              <w14:schemeClr w14:val="tx1"/>
            </w14:solidFill>
          </w14:textFill>
        </w:rPr>
        <w:t>甘肃省康复中心</w:t>
      </w:r>
    </w:p>
    <w:p>
      <w:pPr>
        <w:keepNext w:val="0"/>
        <w:keepLines w:val="0"/>
        <w:pageBreakBefore w:val="0"/>
        <w:kinsoku/>
        <w:topLinePunct w:val="0"/>
        <w:autoSpaceDE/>
        <w:autoSpaceDN/>
        <w:bidi w:val="0"/>
        <w:spacing w:line="360" w:lineRule="auto"/>
        <w:ind w:firstLine="640" w:firstLineChars="200"/>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招标代理：甘肃中远天成项目管理咨询有限公司</w:t>
      </w:r>
      <w:bookmarkStart w:id="0" w:name="_Toc432437621"/>
      <w:bookmarkStart w:id="1" w:name="_Toc465152700"/>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二〇二零年六</w:t>
      </w:r>
      <w:r>
        <w:rPr>
          <w:rFonts w:hint="eastAsia" w:ascii="宋体" w:hAnsi="宋体" w:eastAsia="宋体" w:cs="宋体"/>
          <w:color w:val="000000" w:themeColor="text1"/>
          <w:sz w:val="32"/>
          <w:szCs w:val="32"/>
          <w:highlight w:val="none"/>
          <w14:textFill>
            <w14:solidFill>
              <w14:schemeClr w14:val="tx1"/>
            </w14:solidFill>
          </w14:textFill>
        </w:rPr>
        <w:t>月</w:t>
      </w: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sectPr>
          <w:headerReference r:id="rId4" w:type="first"/>
          <w:footerReference r:id="rId6" w:type="first"/>
          <w:headerReference r:id="rId3" w:type="default"/>
          <w:footerReference r:id="rId5" w:type="default"/>
          <w:pgSz w:w="11907" w:h="16839"/>
          <w:pgMar w:top="1440" w:right="1800" w:bottom="1440" w:left="1800" w:header="850" w:footer="992" w:gutter="0"/>
          <w:pgNumType w:fmt="numberInDash" w:start="1"/>
          <w:cols w:space="720" w:num="1"/>
          <w:titlePg/>
          <w:docGrid w:linePitch="360" w:charSpace="0"/>
        </w:sectPr>
      </w:pPr>
      <w:bookmarkStart w:id="2" w:name="_Toc480203879"/>
      <w:bookmarkStart w:id="3" w:name="_Toc361769627"/>
      <w:bookmarkStart w:id="4" w:name="_Toc505270683"/>
      <w:bookmarkStart w:id="5" w:name="_Toc361769761"/>
      <w:bookmarkStart w:id="6" w:name="_Toc511205933"/>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目   录</w:t>
      </w:r>
      <w:bookmarkEnd w:id="0"/>
      <w:bookmarkEnd w:id="1"/>
      <w:bookmarkEnd w:id="2"/>
      <w:bookmarkEnd w:id="3"/>
      <w:bookmarkEnd w:id="4"/>
      <w:bookmarkEnd w:id="5"/>
      <w:bookmarkEnd w:id="6"/>
      <w:bookmarkStart w:id="7" w:name="_Toc361769762"/>
      <w:bookmarkStart w:id="8" w:name="_Toc361769628"/>
    </w:p>
    <w:p>
      <w:pPr>
        <w:keepNext w:val="0"/>
        <w:keepLines w:val="0"/>
        <w:pageBreakBefore w:val="0"/>
        <w:kinsoku/>
        <w:topLinePunct w:val="0"/>
        <w:autoSpaceDE/>
        <w:autoSpaceDN/>
        <w:bidi w:val="0"/>
        <w:spacing w:line="360" w:lineRule="auto"/>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TOC \o "1-3" \h \z \u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p>
    <w:p>
      <w:pPr>
        <w:keepNext w:val="0"/>
        <w:keepLines w:val="0"/>
        <w:pageBreakBefore w:val="0"/>
        <w:kinsoku/>
        <w:topLinePunct w:val="0"/>
        <w:autoSpaceDE/>
        <w:autoSpaceDN/>
        <w:bidi w:val="0"/>
        <w:spacing w:line="360" w:lineRule="auto"/>
        <w:jc w:val="distribute"/>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"_Toc511205934"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第一部分  招标公告……………………………………………………………</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_Toc511205934 \h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- 1 -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jc w:val="distribute"/>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"_Toc511205935"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第二部分  投标人须知…………………………………………………………</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_Toc511205935 \h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- 5 -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ind w:firstLine="480" w:firstLineChars="200"/>
        <w:jc w:val="distribute"/>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"_Toc511205936"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一、投标人须知前附表……………………………………………………</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_Toc511205936 \h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- 6 -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ind w:firstLine="480" w:firstLineChars="200"/>
        <w:jc w:val="distribute"/>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"_Toc511205937"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二、投标人须知……………………………………………………………</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_Toc511205937 \h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- 10 -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ind w:firstLine="480" w:firstLineChars="200"/>
        <w:jc w:val="distribute"/>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"_Toc511205938"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三、投标保证金收取与退还说明…………………………………………</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_Toc511205938 \h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- 26 -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jc w:val="distribute"/>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"_Toc511205939"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第三部分  招标要求及技术参数要求………………………………………</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_Toc511205939 \h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- 28 -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jc w:val="distribute"/>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"_Toc511205940"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第四部分  评标办法…………………………………………………………</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_Toc511205940 \h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- 104 -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jc w:val="distribute"/>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"_Toc511205941"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第五部分  投标文件格式……………………………………………………</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_Toc511205941 \h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- 112 -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jc w:val="distribute"/>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"_Toc511205942"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第六部分  合同文件…………………………………………………………</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_Toc511205942 \h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- 154 -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fldChar w:fldCharType="end"/>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sectPr>
          <w:footerReference r:id="rId8" w:type="first"/>
          <w:footerReference r:id="rId7" w:type="default"/>
          <w:pgSz w:w="11907" w:h="16839"/>
          <w:pgMar w:top="1440" w:right="1800" w:bottom="1440" w:left="1800" w:header="850" w:footer="992" w:gutter="0"/>
          <w:pgNumType w:fmt="numberInDash" w:start="1"/>
          <w:cols w:space="720" w:num="1"/>
          <w:titlePg/>
          <w:docGrid w:linePitch="360" w:charSpace="0"/>
        </w:sect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lang w:eastAsia="zh-CN"/>
          <w14:textFill>
            <w14:solidFill>
              <w14:schemeClr w14:val="tx1"/>
            </w14:solidFill>
          </w14:textFill>
        </w:rPr>
      </w:pPr>
      <w:bookmarkStart w:id="9" w:name="_Toc511205934"/>
      <w:bookmarkStart w:id="10" w:name="_Toc480203880"/>
      <w:bookmarkStart w:id="11" w:name="_Toc505270684"/>
      <w:r>
        <w:rPr>
          <w:rFonts w:hint="eastAsia" w:ascii="宋体" w:hAnsi="宋体" w:eastAsia="宋体" w:cs="宋体"/>
          <w:b/>
          <w:bCs/>
          <w:color w:val="000000" w:themeColor="text1"/>
          <w:sz w:val="36"/>
          <w:szCs w:val="36"/>
          <w:highlight w:val="none"/>
          <w14:textFill>
            <w14:solidFill>
              <w14:schemeClr w14:val="tx1"/>
            </w14:solidFill>
          </w14:textFill>
        </w:rPr>
        <w:t xml:space="preserve">第一部分  </w:t>
      </w:r>
      <w:bookmarkEnd w:id="7"/>
      <w:bookmarkEnd w:id="8"/>
      <w:bookmarkEnd w:id="9"/>
      <w:bookmarkEnd w:id="10"/>
      <w:bookmarkEnd w:id="11"/>
      <w:r>
        <w:rPr>
          <w:rFonts w:hint="eastAsia" w:ascii="宋体" w:hAnsi="宋体" w:eastAsia="宋体" w:cs="宋体"/>
          <w:b/>
          <w:bCs/>
          <w:color w:val="000000" w:themeColor="text1"/>
          <w:sz w:val="36"/>
          <w:szCs w:val="36"/>
          <w:highlight w:val="none"/>
          <w:lang w:val="en-US" w:eastAsia="zh-CN"/>
          <w14:textFill>
            <w14:solidFill>
              <w14:schemeClr w14:val="tx1"/>
            </w14:solidFill>
          </w14:textFill>
        </w:rPr>
        <w:t>招</w:t>
      </w:r>
      <w:r>
        <w:rPr>
          <w:rFonts w:hint="eastAsia" w:ascii="宋体" w:hAnsi="宋体" w:eastAsia="宋体" w:cs="宋体"/>
          <w:b/>
          <w:bCs/>
          <w:color w:val="000000" w:themeColor="text1"/>
          <w:sz w:val="36"/>
          <w:szCs w:val="36"/>
          <w:highlight w:val="none"/>
          <w14:textFill>
            <w14:solidFill>
              <w14:schemeClr w14:val="tx1"/>
            </w14:solidFill>
          </w14:textFill>
        </w:rPr>
        <w:t>标</w:t>
      </w:r>
      <w:r>
        <w:rPr>
          <w:rFonts w:hint="eastAsia" w:ascii="宋体" w:hAnsi="宋体" w:eastAsia="宋体" w:cs="宋体"/>
          <w:b/>
          <w:bCs/>
          <w:color w:val="000000" w:themeColor="text1"/>
          <w:sz w:val="36"/>
          <w:szCs w:val="36"/>
          <w:highlight w:val="none"/>
          <w:lang w:val="en-US" w:eastAsia="zh-CN"/>
          <w14:textFill>
            <w14:solidFill>
              <w14:schemeClr w14:val="tx1"/>
            </w14:solidFill>
          </w14:textFill>
        </w:rPr>
        <w:t>公告</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bookmarkStart w:id="12" w:name="_Toc361769763"/>
      <w:bookmarkStart w:id="13" w:name="_Toc361769629"/>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甘肃省康复中心PCR标准化实验室建设项目</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themeColor="text1"/>
          <w:sz w:val="32"/>
          <w:szCs w:val="32"/>
          <w:highlight w:val="none"/>
          <w:lang w:val="en-US"/>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公开招标公告</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甘肃中远天成项目管理咨询有限公司受</w:t>
      </w:r>
      <w:r>
        <w:rPr>
          <w:rFonts w:hint="eastAsia" w:ascii="宋体" w:hAnsi="宋体" w:eastAsia="宋体" w:cs="宋体"/>
          <w:color w:val="000000" w:themeColor="text1"/>
          <w:sz w:val="24"/>
          <w:szCs w:val="24"/>
          <w:highlight w:val="none"/>
          <w:lang w:eastAsia="zh-CN"/>
          <w14:textFill>
            <w14:solidFill>
              <w14:schemeClr w14:val="tx1"/>
            </w14:solidFill>
          </w14:textFill>
        </w:rPr>
        <w:t>甘肃省康复中心</w:t>
      </w:r>
      <w:r>
        <w:rPr>
          <w:rFonts w:hint="eastAsia" w:ascii="宋体" w:hAnsi="宋体" w:eastAsia="宋体" w:cs="宋体"/>
          <w:color w:val="000000"/>
          <w:sz w:val="24"/>
          <w:szCs w:val="24"/>
          <w:highlight w:val="none"/>
        </w:rPr>
        <w:t>的委托,对</w:t>
      </w:r>
      <w:r>
        <w:rPr>
          <w:rFonts w:hint="eastAsia" w:ascii="宋体" w:hAnsi="宋体" w:eastAsia="宋体" w:cs="宋体"/>
          <w:color w:val="000000"/>
          <w:sz w:val="24"/>
          <w:szCs w:val="24"/>
          <w:highlight w:val="none"/>
          <w:lang w:eastAsia="zh-CN"/>
        </w:rPr>
        <w:t>甘肃省康复中心PCR标准化实验室建设项目</w:t>
      </w:r>
      <w:r>
        <w:rPr>
          <w:rFonts w:hint="eastAsia" w:ascii="宋体" w:hAnsi="宋体" w:eastAsia="宋体" w:cs="宋体"/>
          <w:color w:val="000000"/>
          <w:sz w:val="24"/>
          <w:szCs w:val="24"/>
          <w:highlight w:val="none"/>
        </w:rPr>
        <w:t>以公开招标方式进行采购，欢迎符合资格条件的供应商前来参加。</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000000"/>
          <w:sz w:val="24"/>
          <w:szCs w:val="24"/>
          <w:highlight w:val="none"/>
          <w:lang w:val="en-US" w:eastAsia="zh-CN"/>
        </w:rPr>
        <w:t>一、</w:t>
      </w:r>
      <w:r>
        <w:rPr>
          <w:rFonts w:hint="eastAsia" w:ascii="宋体" w:hAnsi="宋体" w:eastAsia="宋体" w:cs="宋体"/>
          <w:b/>
          <w:bCs/>
          <w:color w:val="000000"/>
          <w:sz w:val="24"/>
          <w:szCs w:val="24"/>
          <w:highlight w:val="none"/>
        </w:rPr>
        <w:t>招标文件编号</w:t>
      </w:r>
      <w:r>
        <w:rPr>
          <w:rFonts w:hint="eastAsia" w:ascii="宋体" w:hAnsi="宋体" w:eastAsia="宋体" w:cs="宋体"/>
          <w:b/>
          <w:bCs/>
          <w:color w:val="auto"/>
          <w:sz w:val="24"/>
          <w:szCs w:val="24"/>
          <w:highlight w:val="none"/>
        </w:rPr>
        <w:t>：</w:t>
      </w:r>
      <w:r>
        <w:rPr>
          <w:rFonts w:hint="eastAsia" w:ascii="宋体" w:hAnsi="宋体" w:eastAsia="宋体" w:cs="宋体"/>
          <w:b w:val="0"/>
          <w:bCs w:val="0"/>
          <w:color w:val="auto"/>
          <w:sz w:val="24"/>
          <w:szCs w:val="24"/>
          <w:highlight w:val="none"/>
          <w:lang w:eastAsia="zh-CN"/>
        </w:rPr>
        <w:t>GSZYTC-ZX-200</w:t>
      </w:r>
      <w:r>
        <w:rPr>
          <w:rFonts w:hint="eastAsia" w:ascii="宋体" w:hAnsi="宋体" w:eastAsia="宋体" w:cs="宋体"/>
          <w:b w:val="0"/>
          <w:bCs w:val="0"/>
          <w:color w:val="auto"/>
          <w:sz w:val="24"/>
          <w:szCs w:val="24"/>
          <w:highlight w:val="none"/>
          <w:lang w:val="en-US" w:eastAsia="zh-CN"/>
        </w:rPr>
        <w:t>60</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rPr>
        <w:t>二、项目总预算：</w:t>
      </w:r>
      <w:r>
        <w:rPr>
          <w:rFonts w:hint="eastAsia" w:ascii="宋体" w:hAnsi="宋体" w:eastAsia="宋体" w:cs="宋体"/>
          <w:b w:val="0"/>
          <w:bCs w:val="0"/>
          <w:color w:val="auto"/>
          <w:sz w:val="24"/>
          <w:szCs w:val="24"/>
          <w:highlight w:val="none"/>
          <w:lang w:val="en-US" w:eastAsia="zh-CN"/>
        </w:rPr>
        <w:t>250</w:t>
      </w:r>
      <w:r>
        <w:rPr>
          <w:rFonts w:hint="eastAsia" w:ascii="宋体" w:hAnsi="宋体" w:eastAsia="宋体" w:cs="宋体"/>
          <w:b w:val="0"/>
          <w:bCs w:val="0"/>
          <w:color w:val="000000"/>
          <w:sz w:val="24"/>
          <w:szCs w:val="24"/>
          <w:highlight w:val="none"/>
        </w:rPr>
        <w:t>万元</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本项目共两个包，第一包预算160万元；第二包预算90万元。</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、招标内容：</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sz w:val="24"/>
          <w:szCs w:val="24"/>
          <w:highlight w:val="none"/>
          <w:lang w:val="en-US" w:eastAsia="zh-CN"/>
        </w:rPr>
        <w:t>第一包：</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PCR标准化实验室设备；</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第二包：</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PCR标准化实验室建设。</w:t>
      </w:r>
    </w:p>
    <w:p>
      <w:pPr>
        <w:keepNext w:val="0"/>
        <w:keepLines w:val="0"/>
        <w:pageBreakBefore w:val="0"/>
        <w:numPr>
          <w:ilvl w:val="0"/>
          <w:numId w:val="57"/>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供应商资格要求：</w:t>
      </w:r>
    </w:p>
    <w:p>
      <w:pPr>
        <w:pStyle w:val="58"/>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第一包：</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（一）符合《中华人民共和国政府采购法》第二十二条的规定，并提供《中华人民共和国政府采购法实施条例》第十七条所要求的材料：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bidi="ar-SA"/>
        </w:rPr>
        <w:t xml:space="preserve">（二）供应商须具有医疗器械生产或经营许可证（备案证）； </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bidi="ar-SA"/>
        </w:rPr>
        <w:t xml:space="preserve">（三）供应商须具有所投产品的医疗器械注册证（备案证）； </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w:t>
      </w:r>
      <w:r>
        <w:rPr>
          <w:rFonts w:hint="eastAsia" w:ascii="宋体" w:hAnsi="宋体" w:eastAsia="宋体" w:cs="宋体"/>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 xml:space="preserve">）本项目不接受联合体投标 </w:t>
      </w:r>
      <w:r>
        <w:rPr>
          <w:rFonts w:hint="eastAsia" w:ascii="宋体" w:hAnsi="宋体" w:eastAsia="宋体" w:cs="宋体"/>
          <w:color w:val="auto"/>
          <w:sz w:val="24"/>
          <w:szCs w:val="24"/>
          <w:highlight w:val="none"/>
          <w:lang w:eastAsia="zh-CN"/>
        </w:rPr>
        <w:t>。</w:t>
      </w:r>
    </w:p>
    <w:p>
      <w:pPr>
        <w:pStyle w:val="58"/>
        <w:keepNext w:val="0"/>
        <w:keepLines w:val="0"/>
        <w:pageBreakBefore w:val="0"/>
        <w:widowControl/>
        <w:kinsoku/>
        <w:wordWrap/>
        <w:overflowPunct/>
        <w:topLinePunct w:val="0"/>
        <w:autoSpaceDE/>
        <w:autoSpaceDN/>
        <w:bidi w:val="0"/>
        <w:adjustRightInd/>
        <w:snapToGrid/>
        <w:spacing w:after="0" w:line="360" w:lineRule="auto"/>
        <w:ind w:left="0" w:lef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第二包：</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（一）符合《中华人民共和国政府采购法》第二十二条的规定，并提供《中华人民共和国政府采购法实施条例》第十七条所要求的材料：</w:t>
      </w:r>
    </w:p>
    <w:p>
      <w:pPr>
        <w:pStyle w:val="48"/>
        <w:keepNext w:val="0"/>
        <w:keepLines w:val="0"/>
        <w:pageBreakBefore w:val="0"/>
        <w:widowControl/>
        <w:kinsoku/>
        <w:wordWrap/>
        <w:overflowPunct/>
        <w:topLinePunct w:val="0"/>
        <w:autoSpaceDE/>
        <w:autoSpaceDN/>
        <w:bidi w:val="0"/>
        <w:adjustRightInd/>
        <w:snapToGrid/>
        <w:spacing w:before="0" w:line="360" w:lineRule="auto"/>
        <w:ind w:left="0" w:firstLine="480" w:firstLineChars="200"/>
        <w:textAlignment w:val="auto"/>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bidi="ar-SA"/>
        </w:rPr>
        <w:t>（二）供应商有施工能力且具有有效的安全生产许可证；</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w:t>
      </w:r>
      <w:r>
        <w:rPr>
          <w:rFonts w:hint="eastAsia" w:ascii="宋体" w:hAnsi="宋体" w:eastAsia="宋体" w:cs="宋体"/>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 xml:space="preserve">）本项目不接受联合体投标 </w:t>
      </w:r>
      <w:r>
        <w:rPr>
          <w:rFonts w:hint="eastAsia" w:ascii="宋体" w:hAnsi="宋体" w:eastAsia="宋体" w:cs="宋体"/>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、项目需要落实的政府采购政策: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（一）甘肃省财政厅甘肃省监察厅甘肃省审计厅关于印发《甘肃省应急项目政府采购管理暂行办法》的通知。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（二）财政部办公厅关于疫情防控采购便利化的通知。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auto"/>
          <w:sz w:val="24"/>
          <w:szCs w:val="24"/>
          <w:highlight w:val="none"/>
          <w:lang w:val="en-US" w:eastAsia="zh-CN"/>
        </w:rPr>
        <w:t>（三）甘肃省卫生健康委员会关于做好医疗机构常态化</w:t>
      </w:r>
      <w:r>
        <w:rPr>
          <w:rFonts w:hint="eastAsia" w:ascii="宋体" w:hAnsi="宋体" w:eastAsia="宋体" w:cs="宋体"/>
          <w:color w:val="000000"/>
          <w:sz w:val="24"/>
          <w:szCs w:val="24"/>
          <w:highlight w:val="none"/>
          <w:lang w:val="en-US" w:eastAsia="zh-CN"/>
        </w:rPr>
        <w:t>疫情防控有关工作的通知。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（四）根据财政部发布的《政府采购促进中小企业发展暂行办法》规定，本项目对小型和微型企业产品的价格给予 6%的扣除。</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（五）根据财政部发布的《关于政府采购支持监狱企业发展有关问题的通知》规定，本项目对监狱企业产品的价格给予 6%的扣除。</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（六）根据财政部、民政部、中国残疾人联合会发布的《关于促进残疾人就业政府采购 政策的通知》规定，本项目对残疾人福利性单位产品的价格给予 6%的扣除。</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（七）政府采购属于节能清单和环境标志清单中的产品时，在技术、服务等指标同等条件下，应当优先采购节能清单和环境标志清单所列的节能和环境标志产品。</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六</w:t>
      </w:r>
      <w:r>
        <w:rPr>
          <w:rFonts w:hint="eastAsia" w:ascii="宋体" w:hAnsi="宋体" w:eastAsia="宋体" w:cs="宋体"/>
          <w:b/>
          <w:bCs/>
          <w:color w:val="000000"/>
          <w:sz w:val="24"/>
          <w:szCs w:val="24"/>
          <w:highlight w:val="none"/>
        </w:rPr>
        <w:t xml:space="preserve">、获取招标文件的时间期限、地点、方式及招标文件售价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（一）招标文件获取时间：2020年06月25日至 2020 年06月27日，上午9:00-12:00，下午2:00-5:00。</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获取文件时，请提供以下资料：供应商资格要求的资料、法人身份证复印件、授权委托函（原件）、被授权人身份证复印件及联系方式，所有资料复印件加盖公章扫描发送至招标代理机构邮箱（邮箱号：</w:t>
      </w:r>
      <w:r>
        <w:rPr>
          <w:rFonts w:hint="eastAsia" w:ascii="宋体" w:hAnsi="宋体" w:eastAsia="宋体" w:cs="宋体"/>
          <w:color w:val="000000"/>
          <w:sz w:val="24"/>
          <w:szCs w:val="24"/>
          <w:highlight w:val="none"/>
          <w:lang w:val="en-US" w:eastAsia="zh-CN"/>
        </w:rPr>
        <w:fldChar w:fldCharType="begin"/>
      </w:r>
      <w:r>
        <w:rPr>
          <w:rFonts w:hint="eastAsia" w:ascii="宋体" w:hAnsi="宋体" w:eastAsia="宋体" w:cs="宋体"/>
          <w:color w:val="000000"/>
          <w:sz w:val="24"/>
          <w:szCs w:val="24"/>
          <w:highlight w:val="none"/>
          <w:lang w:val="en-US" w:eastAsia="zh-CN"/>
        </w:rPr>
        <w:instrText xml:space="preserve"> HYPERLINK "mailto:1483026529@qq.com）。" </w:instrText>
      </w:r>
      <w:r>
        <w:rPr>
          <w:rFonts w:hint="eastAsia" w:ascii="宋体" w:hAnsi="宋体" w:eastAsia="宋体" w:cs="宋体"/>
          <w:color w:val="000000"/>
          <w:sz w:val="24"/>
          <w:szCs w:val="24"/>
          <w:highlight w:val="none"/>
          <w:lang w:val="en-US" w:eastAsia="zh-CN"/>
        </w:rPr>
        <w:fldChar w:fldCharType="separate"/>
      </w:r>
      <w:r>
        <w:rPr>
          <w:rStyle w:val="74"/>
          <w:rFonts w:hint="eastAsia" w:ascii="宋体" w:hAnsi="宋体" w:eastAsia="宋体" w:cs="宋体"/>
          <w:color w:val="000000"/>
          <w:sz w:val="24"/>
          <w:szCs w:val="24"/>
          <w:highlight w:val="none"/>
          <w:lang w:val="en-US" w:eastAsia="zh-CN"/>
        </w:rPr>
        <w:fldChar w:fldCharType="begin"/>
      </w:r>
      <w:r>
        <w:rPr>
          <w:rStyle w:val="74"/>
          <w:rFonts w:hint="eastAsia" w:ascii="宋体" w:hAnsi="宋体" w:eastAsia="宋体" w:cs="宋体"/>
          <w:color w:val="000000"/>
          <w:sz w:val="24"/>
          <w:szCs w:val="24"/>
          <w:highlight w:val="none"/>
          <w:lang w:val="en-US" w:eastAsia="zh-CN"/>
        </w:rPr>
        <w:instrText xml:space="preserve"> HYPERLINK "mailto:gansuzytc@163.com" </w:instrText>
      </w:r>
      <w:r>
        <w:rPr>
          <w:rStyle w:val="74"/>
          <w:rFonts w:hint="eastAsia" w:ascii="宋体" w:hAnsi="宋体" w:eastAsia="宋体" w:cs="宋体"/>
          <w:color w:val="000000"/>
          <w:sz w:val="24"/>
          <w:szCs w:val="24"/>
          <w:highlight w:val="none"/>
          <w:lang w:val="en-US" w:eastAsia="zh-CN"/>
        </w:rPr>
        <w:fldChar w:fldCharType="separate"/>
      </w:r>
      <w:r>
        <w:rPr>
          <w:rStyle w:val="74"/>
          <w:rFonts w:hint="eastAsia" w:ascii="宋体" w:hAnsi="宋体" w:eastAsia="宋体" w:cs="宋体"/>
          <w:color w:val="000000"/>
          <w:sz w:val="24"/>
          <w:szCs w:val="24"/>
          <w:highlight w:val="none"/>
          <w:lang w:val="en-US" w:eastAsia="zh-CN"/>
        </w:rPr>
        <w:t>gansuzytc@163.com</w:t>
      </w:r>
      <w:r>
        <w:rPr>
          <w:rStyle w:val="74"/>
          <w:rFonts w:hint="eastAsia" w:ascii="宋体" w:hAnsi="宋体" w:eastAsia="宋体" w:cs="宋体"/>
          <w:color w:val="000000"/>
          <w:sz w:val="24"/>
          <w:szCs w:val="24"/>
          <w:highlight w:val="none"/>
          <w:lang w:val="en-US" w:eastAsia="zh-CN"/>
        </w:rPr>
        <w:fldChar w:fldCharType="end"/>
      </w:r>
      <w:r>
        <w:rPr>
          <w:rStyle w:val="74"/>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lang w:val="en-US" w:eastAsia="zh-CN"/>
        </w:rPr>
        <w:fldChar w:fldCharType="end"/>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（三）招标文件售价：免费</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lang w:val="en-US" w:eastAsia="zh-CN"/>
        </w:rPr>
        <w:t>七</w:t>
      </w:r>
      <w:r>
        <w:rPr>
          <w:rFonts w:hint="eastAsia" w:ascii="宋体" w:hAnsi="宋体" w:eastAsia="宋体" w:cs="宋体"/>
          <w:b/>
          <w:bCs/>
          <w:color w:val="000000"/>
          <w:sz w:val="24"/>
          <w:szCs w:val="24"/>
          <w:highlight w:val="none"/>
        </w:rPr>
        <w:t>、公告期限：</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 xml:space="preserve">日。 </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lang w:val="en-US" w:eastAsia="zh-CN"/>
        </w:rPr>
        <w:t>八</w:t>
      </w:r>
      <w:r>
        <w:rPr>
          <w:rFonts w:hint="eastAsia" w:ascii="宋体" w:hAnsi="宋体" w:eastAsia="宋体" w:cs="宋体"/>
          <w:b/>
          <w:bCs/>
          <w:color w:val="000000"/>
          <w:sz w:val="24"/>
          <w:szCs w:val="24"/>
          <w:highlight w:val="none"/>
        </w:rPr>
        <w:t>、投标截止时间、开标时间及地点</w:t>
      </w:r>
      <w:r>
        <w:rPr>
          <w:rFonts w:hint="eastAsia" w:ascii="宋体" w:hAnsi="宋体" w:eastAsia="宋体" w:cs="宋体"/>
          <w:color w:val="000000"/>
          <w:sz w:val="24"/>
          <w:szCs w:val="24"/>
          <w:highlight w:val="none"/>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auto"/>
          <w:sz w:val="24"/>
          <w:szCs w:val="24"/>
          <w:highlight w:val="none"/>
        </w:rPr>
        <w:t>一）投标截止时间：</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07</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03</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0分</w:t>
      </w:r>
      <w:r>
        <w:rPr>
          <w:rFonts w:hint="eastAsia" w:ascii="宋体" w:hAnsi="宋体" w:eastAsia="宋体" w:cs="宋体"/>
          <w:color w:val="auto"/>
          <w:sz w:val="24"/>
          <w:szCs w:val="24"/>
          <w:highlight w:val="none"/>
        </w:rPr>
        <w:t xml:space="preserve">（北京时间）。 </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（二）投标文件递交地点：甘肃中远天成项目管理咨询有限公司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兰州市城关区盐场路陇能家园B区17号楼写字楼东单元16楼）。</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（三）开标时间：</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07</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03</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0分</w:t>
      </w:r>
      <w:r>
        <w:rPr>
          <w:rFonts w:hint="eastAsia" w:ascii="宋体" w:hAnsi="宋体" w:eastAsia="宋体" w:cs="宋体"/>
          <w:color w:val="auto"/>
          <w:sz w:val="24"/>
          <w:szCs w:val="24"/>
          <w:highlight w:val="none"/>
        </w:rPr>
        <w:t xml:space="preserve">（北京时间）。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（四）开标地点：甘肃中远天成项目管理咨询有限公司</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兰州市城关区盐场路陇能家园B区17号楼写字楼东单元16楼）。</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注：根据省、市疫情防控要求，为切实做好疫情防控工作：投标供应商需自行委托在兰人员为委托代理人。递交投标（响应）文件时，委托代理人必须到场并携带本人身份证、授权委托书（原件）及未接触疫区人员健康承诺书（投标企业出具）。开标期间，投标供应商只能委派一人参加（即委托代理人）。</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九</w:t>
      </w:r>
      <w:r>
        <w:rPr>
          <w:rFonts w:hint="eastAsia" w:ascii="宋体" w:hAnsi="宋体" w:eastAsia="宋体" w:cs="宋体"/>
          <w:b/>
          <w:bCs/>
          <w:color w:val="000000"/>
          <w:sz w:val="24"/>
          <w:szCs w:val="24"/>
          <w:highlight w:val="none"/>
        </w:rPr>
        <w:t xml:space="preserve">、联系方式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 购 人：</w:t>
      </w:r>
      <w:r>
        <w:rPr>
          <w:rFonts w:hint="eastAsia" w:ascii="宋体" w:hAnsi="宋体" w:eastAsia="宋体" w:cs="宋体"/>
          <w:color w:val="000000"/>
          <w:sz w:val="24"/>
          <w:szCs w:val="24"/>
          <w:highlight w:val="none"/>
          <w:lang w:eastAsia="zh-CN"/>
        </w:rPr>
        <w:t>甘肃省康复中心</w:t>
      </w:r>
      <w:r>
        <w:rPr>
          <w:rFonts w:hint="eastAsia" w:ascii="宋体" w:hAnsi="宋体" w:eastAsia="宋体" w:cs="宋体"/>
          <w:color w:val="000000"/>
          <w:sz w:val="24"/>
          <w:szCs w:val="24"/>
          <w:highlight w:val="none"/>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地    址：</w:t>
      </w:r>
      <w:r>
        <w:rPr>
          <w:rFonts w:hint="eastAsia" w:ascii="宋体" w:hAnsi="宋体" w:eastAsia="宋体" w:cs="宋体"/>
          <w:color w:val="000000"/>
          <w:sz w:val="24"/>
          <w:szCs w:val="24"/>
          <w:highlight w:val="none"/>
          <w:lang w:val="en-US" w:eastAsia="zh-CN"/>
        </w:rPr>
        <w:t>甘肃省兰州市城关区定西路53号</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联 系 人：</w:t>
      </w:r>
      <w:r>
        <w:rPr>
          <w:rFonts w:hint="eastAsia" w:ascii="宋体" w:hAnsi="宋体" w:eastAsia="宋体" w:cs="宋体"/>
          <w:color w:val="000000"/>
          <w:sz w:val="24"/>
          <w:szCs w:val="24"/>
          <w:highlight w:val="none"/>
          <w:lang w:val="en-US" w:eastAsia="zh-CN"/>
        </w:rPr>
        <w:t>梁颖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联系电话：</w:t>
      </w:r>
      <w:r>
        <w:rPr>
          <w:rFonts w:hint="eastAsia" w:ascii="宋体" w:hAnsi="宋体" w:eastAsia="宋体" w:cs="宋体"/>
          <w:color w:val="000000"/>
          <w:sz w:val="24"/>
          <w:szCs w:val="24"/>
          <w:highlight w:val="none"/>
          <w:lang w:val="en-US" w:eastAsia="zh-CN"/>
        </w:rPr>
        <w:t>0931-7849112</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招标代理机构：甘肃中远天成项目管理咨询有限公司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地    址：兰州市城关区盐场路陇能家园B区17号楼（写字楼）东单元16层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邮    编：730030 </w:t>
      </w:r>
      <w:r>
        <w:rPr>
          <w:rFonts w:hint="eastAsia" w:ascii="宋体" w:hAnsi="宋体" w:eastAsia="宋体" w:cs="宋体"/>
          <w:color w:val="000000"/>
          <w:sz w:val="24"/>
          <w:szCs w:val="24"/>
          <w:highlight w:val="none"/>
        </w:rPr>
        <w:tab/>
      </w:r>
      <w:r>
        <w:rPr>
          <w:rFonts w:hint="eastAsia" w:ascii="宋体" w:hAnsi="宋体" w:eastAsia="宋体" w:cs="宋体"/>
          <w:color w:val="000000"/>
          <w:sz w:val="24"/>
          <w:szCs w:val="24"/>
          <w:highlight w:val="none"/>
        </w:rPr>
        <w:tab/>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联 系 人：</w:t>
      </w:r>
      <w:r>
        <w:rPr>
          <w:rFonts w:hint="eastAsia" w:ascii="宋体" w:hAnsi="宋体" w:eastAsia="宋体" w:cs="宋体"/>
          <w:color w:val="000000"/>
          <w:sz w:val="24"/>
          <w:szCs w:val="24"/>
          <w:highlight w:val="none"/>
          <w:lang w:val="en-US" w:eastAsia="zh-CN"/>
        </w:rPr>
        <w:t>张成梅</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毕蕊</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联系电话：</w:t>
      </w:r>
      <w:r>
        <w:rPr>
          <w:rFonts w:hint="eastAsia" w:ascii="宋体" w:hAnsi="宋体" w:eastAsia="宋体" w:cs="宋体"/>
          <w:color w:val="000000"/>
          <w:sz w:val="24"/>
          <w:szCs w:val="24"/>
          <w:highlight w:val="none"/>
          <w:lang w:val="en-US" w:eastAsia="zh-CN"/>
        </w:rPr>
        <w:t>18153650265、13109356158</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E - Mail:</w:t>
      </w:r>
      <w:r>
        <w:rPr>
          <w:rFonts w:hint="eastAsia" w:ascii="宋体" w:hAnsi="宋体" w:eastAsia="宋体" w:cs="宋体"/>
          <w:color w:val="000000"/>
          <w:sz w:val="24"/>
          <w:szCs w:val="24"/>
          <w:highlight w:val="none"/>
        </w:rPr>
        <w:fldChar w:fldCharType="begin"/>
      </w:r>
      <w:r>
        <w:rPr>
          <w:rFonts w:hint="eastAsia" w:ascii="宋体" w:hAnsi="宋体" w:eastAsia="宋体" w:cs="宋体"/>
          <w:color w:val="000000"/>
          <w:sz w:val="24"/>
          <w:szCs w:val="24"/>
          <w:highlight w:val="none"/>
        </w:rPr>
        <w:instrText xml:space="preserve"> HYPERLINK "mailto:gansuzytc@163.com" </w:instrText>
      </w:r>
      <w:r>
        <w:rPr>
          <w:rFonts w:hint="eastAsia" w:ascii="宋体" w:hAnsi="宋体" w:eastAsia="宋体" w:cs="宋体"/>
          <w:color w:val="000000"/>
          <w:sz w:val="24"/>
          <w:szCs w:val="24"/>
          <w:highlight w:val="none"/>
        </w:rPr>
        <w:fldChar w:fldCharType="separate"/>
      </w:r>
      <w:r>
        <w:rPr>
          <w:rFonts w:hint="eastAsia" w:ascii="宋体" w:hAnsi="宋体" w:eastAsia="宋体" w:cs="宋体"/>
          <w:color w:val="000000"/>
          <w:sz w:val="24"/>
          <w:szCs w:val="24"/>
          <w:highlight w:val="none"/>
        </w:rPr>
        <w:t>gansuzytc@163.com</w:t>
      </w:r>
      <w:r>
        <w:rPr>
          <w:rFonts w:hint="eastAsia" w:ascii="宋体" w:hAnsi="宋体" w:eastAsia="宋体" w:cs="宋体"/>
          <w:color w:val="000000"/>
          <w:sz w:val="24"/>
          <w:szCs w:val="24"/>
          <w:highlight w:val="none"/>
        </w:rPr>
        <w:fldChar w:fldCharType="end"/>
      </w:r>
      <w:r>
        <w:rPr>
          <w:rFonts w:hint="eastAsia" w:ascii="宋体" w:hAnsi="宋体" w:eastAsia="宋体" w:cs="宋体"/>
          <w:color w:val="000000"/>
          <w:sz w:val="24"/>
          <w:szCs w:val="24"/>
          <w:highlight w:val="none"/>
        </w:rPr>
        <w:t xml:space="preserve"> </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十、投标保证金提交专用账户：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保证金交款单位：甘肃中远天成项目管理咨询有限公司</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保证金缴纳账户：6205 0138 0048 0000 0225</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开户银行：中国建设银行股份有限公司兰州陇能家园支行</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十</w:t>
      </w:r>
      <w:r>
        <w:rPr>
          <w:rFonts w:hint="eastAsia" w:ascii="宋体" w:hAnsi="宋体" w:eastAsia="宋体" w:cs="宋体"/>
          <w:b/>
          <w:bCs/>
          <w:color w:val="000000"/>
          <w:sz w:val="24"/>
          <w:szCs w:val="24"/>
          <w:highlight w:val="none"/>
          <w:lang w:val="en-US" w:eastAsia="zh-CN"/>
        </w:rPr>
        <w:t>一</w:t>
      </w:r>
      <w:r>
        <w:rPr>
          <w:rFonts w:hint="eastAsia" w:ascii="宋体" w:hAnsi="宋体" w:eastAsia="宋体" w:cs="宋体"/>
          <w:b/>
          <w:bCs/>
          <w:color w:val="000000"/>
          <w:sz w:val="24"/>
          <w:szCs w:val="24"/>
          <w:highlight w:val="none"/>
        </w:rPr>
        <w:t>、公告发布媒体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本次公告在甘肃经济信息网发布。</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甘肃中远天成项目管理咨询有限公司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FF"/>
          <w:sz w:val="24"/>
          <w:szCs w:val="24"/>
        </w:rPr>
      </w:pP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FF"/>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06</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日</w:t>
      </w: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bookmarkStart w:id="14" w:name="_Toc505270685"/>
      <w:bookmarkStart w:id="15" w:name="_Toc511205935"/>
      <w:bookmarkStart w:id="16" w:name="_Toc480203881"/>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第二部分  投标人须知</w:t>
      </w:r>
      <w:bookmarkEnd w:id="12"/>
      <w:bookmarkEnd w:id="13"/>
      <w:bookmarkEnd w:id="14"/>
      <w:bookmarkEnd w:id="15"/>
      <w:bookmarkEnd w:id="16"/>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bookmarkStart w:id="17" w:name="_Toc361769764"/>
      <w:bookmarkStart w:id="18" w:name="_Toc361769630"/>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p>
    <w:p>
      <w:pPr>
        <w:keepNext w:val="0"/>
        <w:keepLines w:val="0"/>
        <w:pageBreakBefore w:val="0"/>
        <w:widowControl/>
        <w:kinsoku/>
        <w:wordWrap/>
        <w:overflowPunct/>
        <w:topLinePunct w:val="0"/>
        <w:autoSpaceDE/>
        <w:autoSpaceDN/>
        <w:bidi w:val="0"/>
        <w:adjustRightInd/>
        <w:spacing w:line="360" w:lineRule="auto"/>
        <w:ind w:firstLine="562" w:firstLineChars="200"/>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bookmarkStart w:id="19" w:name="_Toc480203882"/>
      <w:bookmarkStart w:id="20" w:name="_Toc505270686"/>
      <w:bookmarkStart w:id="21" w:name="_Toc511205936"/>
      <w:r>
        <w:rPr>
          <w:rFonts w:hint="eastAsia" w:ascii="宋体" w:hAnsi="宋体" w:eastAsia="宋体" w:cs="宋体"/>
          <w:b/>
          <w:bCs/>
          <w:color w:val="000000" w:themeColor="text1"/>
          <w:sz w:val="28"/>
          <w:szCs w:val="28"/>
          <w:highlight w:val="none"/>
          <w14:textFill>
            <w14:solidFill>
              <w14:schemeClr w14:val="tx1"/>
            </w14:solidFill>
          </w14:textFill>
        </w:rPr>
        <w:t>一、投标人须知前附表</w:t>
      </w:r>
      <w:bookmarkEnd w:id="17"/>
      <w:bookmarkEnd w:id="18"/>
      <w:bookmarkEnd w:id="19"/>
      <w:bookmarkEnd w:id="20"/>
      <w:bookmarkEnd w:id="21"/>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本表关于所需采购的具体资料是对投标人须知的具体补充和修改，如有矛盾，以本前附表为准。</w:t>
      </w:r>
    </w:p>
    <w:tbl>
      <w:tblPr>
        <w:tblStyle w:val="59"/>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497"/>
        <w:gridCol w:w="6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2" w:name="_Toc361769765"/>
            <w:bookmarkStart w:id="23" w:name="_Toc361769631"/>
            <w:r>
              <w:rPr>
                <w:rFonts w:hint="eastAsia" w:ascii="宋体" w:hAnsi="宋体" w:eastAsia="宋体" w:cs="宋体"/>
                <w:color w:val="000000" w:themeColor="text1"/>
                <w:sz w:val="24"/>
                <w:szCs w:val="24"/>
                <w:highlight w:val="none"/>
                <w14:textFill>
                  <w14:solidFill>
                    <w14:schemeClr w14:val="tx1"/>
                  </w14:solidFill>
                </w14:textFill>
              </w:rPr>
              <w:t>序号</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条款名称</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sz w:val="24"/>
                <w:szCs w:val="24"/>
                <w:highlight w:val="none"/>
                <w:lang w:eastAsia="zh-CN"/>
              </w:rPr>
              <w:t>甘肃省康复中心PCR标准化实验室建设项目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采购内容</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PCR标准化实验室建设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项目预算</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项目总预算：</w:t>
            </w:r>
            <w:r>
              <w:rPr>
                <w:rFonts w:hint="eastAsia" w:ascii="宋体" w:hAnsi="宋体" w:eastAsia="宋体" w:cs="宋体"/>
                <w:color w:val="000000"/>
                <w:sz w:val="24"/>
                <w:szCs w:val="24"/>
                <w:highlight w:val="none"/>
                <w:lang w:val="en-US" w:eastAsia="zh-CN"/>
              </w:rPr>
              <w:t>250</w:t>
            </w:r>
            <w:r>
              <w:rPr>
                <w:rFonts w:hint="eastAsia" w:ascii="宋体" w:hAnsi="宋体" w:eastAsia="宋体" w:cs="宋体"/>
                <w:color w:val="000000"/>
                <w:sz w:val="24"/>
                <w:szCs w:val="24"/>
                <w:highlight w:val="none"/>
                <w:lang w:eastAsia="zh-CN"/>
              </w:rPr>
              <w:t>万元</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第一包预算：160万元</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sz w:val="24"/>
                <w:szCs w:val="24"/>
                <w:highlight w:val="none"/>
                <w:lang w:val="en-US" w:eastAsia="zh-CN"/>
              </w:rPr>
              <w:t>第二包预算：90万元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投标人资格</w:t>
            </w:r>
          </w:p>
        </w:tc>
        <w:tc>
          <w:tcPr>
            <w:tcW w:w="6473" w:type="dxa"/>
            <w:vAlign w:val="center"/>
          </w:tcPr>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第一包：</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（一）符合《中华人民共和国政府采购法》第二十二条的规定，并提供《中华人民共和国政府采购法实施条例》第十七条所要求的材料：</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（二）供应商须具有医疗器械生产或经营许可证（备案证）； </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（三）供应商须具有所投产品的医疗器械注册证（备案证）； </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w:t>
            </w:r>
            <w:r>
              <w:rPr>
                <w:rFonts w:hint="eastAsia" w:ascii="宋体" w:hAnsi="宋体" w:eastAsia="宋体" w:cs="宋体"/>
                <w:color w:val="auto"/>
                <w:sz w:val="24"/>
                <w:szCs w:val="24"/>
                <w:highlight w:val="none"/>
                <w:lang w:eastAsia="zh-CN"/>
              </w:rPr>
              <w:t>；</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 xml:space="preserve">）本项目不接受联合体投标 </w:t>
            </w:r>
            <w:r>
              <w:rPr>
                <w:rFonts w:hint="eastAsia" w:ascii="宋体" w:hAnsi="宋体" w:eastAsia="宋体" w:cs="宋体"/>
                <w:color w:val="auto"/>
                <w:sz w:val="24"/>
                <w:szCs w:val="24"/>
                <w:highlight w:val="none"/>
                <w:lang w:eastAsia="zh-CN"/>
              </w:rPr>
              <w:t>。</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第二包：</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（一）符合《中华人民共和国政府采购法》第二十二条的规定，并提供《中华人民共和国政府采购法实施条例》第十七条所要求的材料：</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（二）供应商有施工能力且具有有效的安全生产许可证；</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w:t>
            </w:r>
            <w:r>
              <w:rPr>
                <w:rFonts w:hint="eastAsia" w:ascii="宋体" w:hAnsi="宋体" w:eastAsia="宋体" w:cs="宋体"/>
                <w:color w:val="auto"/>
                <w:sz w:val="24"/>
                <w:szCs w:val="24"/>
                <w:highlight w:val="none"/>
                <w:lang w:eastAsia="zh-CN"/>
              </w:rPr>
              <w:t>；</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 xml:space="preserve">）本项目不接受联合体投标 </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投标有效期</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开标后 90 日历天（从投标截止之日起）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投标文件及电子版要求</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纸质文件份数：正本一套、副本二套；</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电子版文件要求：电子版两份：U盘、光盘各一份，分别密封（单独提交，提交不退）；U盘为Word文件和PDF文件，光盘为PDF文件（PDF文件内容：逐页电子扫描制成要与纸质版文件正本完全一致）；</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投标人必须按照招标文件的规定和要求签字、盖章（法人代表的签字可用具有法定效力的签字章）,未按规定签字盖章的，按无效投标处理。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w:t>
            </w:r>
          </w:p>
        </w:tc>
        <w:tc>
          <w:tcPr>
            <w:tcW w:w="6473" w:type="dxa"/>
            <w:vAlign w:val="center"/>
          </w:tcPr>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第一包：</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贰</w:t>
            </w:r>
            <w:r>
              <w:rPr>
                <w:rFonts w:hint="eastAsia" w:ascii="宋体" w:hAnsi="宋体" w:eastAsia="宋体" w:cs="宋体"/>
                <w:color w:val="000000" w:themeColor="text1"/>
                <w:sz w:val="24"/>
                <w:szCs w:val="24"/>
                <w:highlight w:val="none"/>
                <w14:textFill>
                  <w14:solidFill>
                    <w14:schemeClr w14:val="tx1"/>
                  </w14:solidFill>
                </w14:textFill>
              </w:rPr>
              <w:t>万</w:t>
            </w:r>
            <w:r>
              <w:rPr>
                <w:rFonts w:hint="eastAsia" w:ascii="宋体" w:hAnsi="宋体" w:eastAsia="宋体" w:cs="宋体"/>
                <w:color w:val="000000" w:themeColor="text1"/>
                <w:sz w:val="24"/>
                <w:szCs w:val="24"/>
                <w:highlight w:val="none"/>
                <w:lang w:val="en-US" w:eastAsia="zh-CN"/>
                <w14:textFill>
                  <w14:solidFill>
                    <w14:schemeClr w14:val="tx1"/>
                  </w14:solidFill>
                </w14:textFill>
              </w:rPr>
              <w:t>元整</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000.00）</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第二包：</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壹</w:t>
            </w:r>
            <w:r>
              <w:rPr>
                <w:rFonts w:hint="eastAsia" w:ascii="宋体" w:hAnsi="宋体" w:eastAsia="宋体" w:cs="宋体"/>
                <w:color w:val="000000" w:themeColor="text1"/>
                <w:sz w:val="24"/>
                <w:szCs w:val="24"/>
                <w:highlight w:val="none"/>
                <w14:textFill>
                  <w14:solidFill>
                    <w14:schemeClr w14:val="tx1"/>
                  </w14:solidFill>
                </w14:textFill>
              </w:rPr>
              <w:t>万</w:t>
            </w:r>
            <w:r>
              <w:rPr>
                <w:rFonts w:hint="eastAsia" w:ascii="宋体" w:hAnsi="宋体" w:eastAsia="宋体" w:cs="宋体"/>
                <w:color w:val="000000" w:themeColor="text1"/>
                <w:sz w:val="24"/>
                <w:szCs w:val="24"/>
                <w:highlight w:val="none"/>
                <w:lang w:val="en-US" w:eastAsia="zh-CN"/>
                <w14:textFill>
                  <w14:solidFill>
                    <w14:schemeClr w14:val="tx1"/>
                  </w14:solidFill>
                </w14:textFill>
              </w:rPr>
              <w:t>元整</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000.00）</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保证金提交及退还细则详见须知附后的“投标保证金收取与退还说明”。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递交投标文件地点、时间</w:t>
            </w:r>
          </w:p>
          <w:p>
            <w:pPr>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000000" w:themeColor="text1"/>
                <w:sz w:val="24"/>
                <w:szCs w:val="24"/>
                <w:highlight w:val="none"/>
                <w14:textFill>
                  <w14:solidFill>
                    <w14:schemeClr w14:val="tx1"/>
                  </w14:solidFill>
                </w14:textFill>
              </w:rPr>
              <w:t>递交投标文件的地点：</w:t>
            </w:r>
            <w:r>
              <w:rPr>
                <w:rFonts w:hint="eastAsia" w:ascii="宋体" w:hAnsi="宋体" w:eastAsia="宋体" w:cs="宋体"/>
                <w:color w:val="000000" w:themeColor="text1"/>
                <w:sz w:val="24"/>
                <w:szCs w:val="24"/>
                <w:highlight w:val="none"/>
                <w:lang w:eastAsia="zh-CN"/>
                <w14:textFill>
                  <w14:solidFill>
                    <w14:schemeClr w14:val="tx1"/>
                  </w14:solidFill>
                </w14:textFill>
              </w:rPr>
              <w:t>甘肃中远天成项目管理咨询有限公司。（兰州市城关区盐场路陇能家园B区17号楼写字楼东单元16楼）。</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FF"/>
                <w:sz w:val="24"/>
                <w:szCs w:val="24"/>
                <w:highlight w:val="none"/>
              </w:rPr>
            </w:pPr>
            <w:r>
              <w:rPr>
                <w:rFonts w:hint="eastAsia" w:ascii="宋体" w:hAnsi="宋体" w:eastAsia="宋体" w:cs="宋体"/>
                <w:color w:val="auto"/>
                <w:sz w:val="24"/>
                <w:szCs w:val="24"/>
                <w:highlight w:val="none"/>
              </w:rPr>
              <w:t>递交投标文件时间：</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07</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03</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0分</w:t>
            </w:r>
            <w:r>
              <w:rPr>
                <w:rFonts w:hint="eastAsia" w:ascii="宋体" w:hAnsi="宋体" w:eastAsia="宋体" w:cs="宋体"/>
                <w:color w:val="auto"/>
                <w:sz w:val="24"/>
                <w:szCs w:val="24"/>
                <w:highlight w:val="none"/>
              </w:rPr>
              <w:t>之前。</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必须在此时间前将投标文件、开标一览表、</w:t>
            </w:r>
            <w:r>
              <w:rPr>
                <w:rFonts w:hint="eastAsia" w:ascii="宋体" w:hAnsi="宋体" w:eastAsia="宋体" w:cs="宋体"/>
                <w:color w:val="000000" w:themeColor="text1"/>
                <w:sz w:val="24"/>
                <w:szCs w:val="24"/>
                <w:highlight w:val="none"/>
                <w14:textFill>
                  <w14:solidFill>
                    <w14:schemeClr w14:val="tx1"/>
                  </w14:solidFill>
                </w14:textFill>
              </w:rPr>
              <w:t>电子文档等</w:t>
            </w:r>
            <w:r>
              <w:rPr>
                <w:rFonts w:hint="eastAsia" w:ascii="宋体" w:hAnsi="宋体" w:eastAsia="宋体" w:cs="宋体"/>
                <w:color w:val="000000" w:themeColor="text1"/>
                <w:sz w:val="24"/>
                <w:szCs w:val="24"/>
                <w:highlight w:val="none"/>
                <w:lang w:val="zh-CN"/>
                <w14:textFill>
                  <w14:solidFill>
                    <w14:schemeClr w14:val="tx1"/>
                  </w14:solidFill>
                </w14:textFill>
              </w:rPr>
              <w:t>文件按招标文件规定密封后送达开标地点，对迟于该时间递交的上述文件将不予接收，本次招标不接受邮寄的投标文件。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开标时间及地点</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07</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03</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0分</w:t>
            </w:r>
            <w:r>
              <w:rPr>
                <w:rFonts w:hint="eastAsia" w:ascii="宋体" w:hAnsi="宋体" w:eastAsia="宋体" w:cs="宋体"/>
                <w:color w:val="auto"/>
                <w:sz w:val="24"/>
                <w:szCs w:val="24"/>
                <w:highlight w:val="none"/>
              </w:rPr>
              <w:t>。</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甘肃中远天成项目管理咨询有限公司。（兰州市城关区盐场路陇能家园B区17号楼写字楼东单元16楼）。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招标文件及澄清</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各投标人于</w:t>
            </w:r>
            <w:r>
              <w:rPr>
                <w:rFonts w:hint="eastAsia" w:ascii="宋体" w:hAnsi="宋体" w:eastAsia="宋体" w:cs="宋体"/>
                <w:color w:val="auto"/>
                <w:sz w:val="24"/>
                <w:szCs w:val="24"/>
                <w:highlight w:val="none"/>
                <w:lang w:val="en-US" w:eastAsia="zh-CN"/>
              </w:rPr>
              <w:t>2020</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06</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日下午17时00分之前将招标文件有关问题以书面形式发至代理机构邮箱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同时递交纸质版至甘肃中远天成项目管理咨询有限公司。</w:t>
            </w:r>
            <w:r>
              <w:rPr>
                <w:rFonts w:hint="eastAsia" w:ascii="宋体" w:hAnsi="宋体" w:eastAsia="宋体" w:cs="宋体"/>
                <w:color w:val="auto"/>
                <w:sz w:val="24"/>
                <w:szCs w:val="24"/>
                <w:highlight w:val="none"/>
              </w:rPr>
              <w:t>统一答复. 逾期不再受理。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邮箱地址：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"mailto:gansuzytc@163.com"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gansuzytc@163.com</w:t>
            </w:r>
            <w:r>
              <w:rPr>
                <w:rFonts w:hint="eastAsia" w:ascii="宋体" w:hAnsi="宋体" w:eastAsia="宋体" w:cs="宋体"/>
                <w:color w:val="auto"/>
                <w:sz w:val="24"/>
                <w:szCs w:val="24"/>
                <w:highlight w:val="none"/>
              </w:rPr>
              <w:fldChar w:fldCharType="end"/>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被告知、收到上述公告、通知或答疑书后，应立即向代理机构回函确认。未确认情况应当视为对招标文件修改的知晓，也将视为对修改内容接受的默认。对于未在投标文件中对修改内容做实质性响应的，对其产生的不利因 素由未确认者自行承担。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资格审查</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项目投标人的资格条件在评标时进行审查。供应商应在投标文件中按招标文件的规定和要求附上所有的资格证明文件，要求提供的复印件必须加盖单位鲜章，并在必要时提供原件备查。若提供的资格证明文件不全或不实，将导致其投标或中标资格被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投标截止时间</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07</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03</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0分</w:t>
            </w:r>
            <w:r>
              <w:rPr>
                <w:rFonts w:hint="eastAsia" w:ascii="宋体" w:hAnsi="宋体" w:eastAsia="宋体" w:cs="宋体"/>
                <w:color w:val="auto"/>
                <w:sz w:val="24"/>
                <w:szCs w:val="24"/>
                <w:highlight w:val="none"/>
                <w:lang w:val="zh-CN"/>
              </w:rPr>
              <w:t>。</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必须在此时间前将投标文件、开标一览表、电子文档等文件按</w:t>
            </w:r>
            <w:r>
              <w:rPr>
                <w:rFonts w:hint="eastAsia" w:ascii="宋体" w:hAnsi="宋体" w:eastAsia="宋体" w:cs="宋体"/>
                <w:color w:val="000000" w:themeColor="text1"/>
                <w:sz w:val="24"/>
                <w:szCs w:val="24"/>
                <w:highlight w:val="none"/>
                <w14:textFill>
                  <w14:solidFill>
                    <w14:schemeClr w14:val="tx1"/>
                  </w14:solidFill>
                </w14:textFill>
              </w:rPr>
              <w:t>招标文件</w:t>
            </w:r>
            <w:r>
              <w:rPr>
                <w:rFonts w:hint="eastAsia" w:ascii="宋体" w:hAnsi="宋体" w:eastAsia="宋体" w:cs="宋体"/>
                <w:color w:val="000000" w:themeColor="text1"/>
                <w:sz w:val="24"/>
                <w:szCs w:val="24"/>
                <w:highlight w:val="none"/>
                <w:lang w:val="zh-CN"/>
                <w14:textFill>
                  <w14:solidFill>
                    <w14:schemeClr w14:val="tx1"/>
                  </w14:solidFill>
                </w14:textFill>
              </w:rPr>
              <w:t>规定密封后送达开标地点，对迟于该时间递交的上述文件将不予接收。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交货期</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合同签订后</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交货地点</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甘肃省康复中心</w:t>
            </w:r>
            <w:r>
              <w:rPr>
                <w:rFonts w:hint="eastAsia" w:ascii="宋体" w:hAnsi="宋体" w:eastAsia="宋体" w:cs="宋体"/>
                <w:color w:val="auto"/>
                <w:sz w:val="24"/>
                <w:szCs w:val="24"/>
                <w:highlight w:val="none"/>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付款方式</w:t>
            </w:r>
          </w:p>
        </w:tc>
        <w:tc>
          <w:tcPr>
            <w:tcW w:w="6473" w:type="dxa"/>
            <w:vAlign w:val="center"/>
          </w:tcPr>
          <w:p>
            <w:pPr>
              <w:pStyle w:val="21"/>
              <w:pageBreakBefore w:val="0"/>
              <w:kinsoku/>
              <w:topLinePunct w:val="0"/>
              <w:bidi w:val="0"/>
              <w:spacing w:line="360" w:lineRule="auto"/>
              <w:textAlignment w:val="auto"/>
              <w:rPr>
                <w:rFonts w:hint="eastAsia"/>
                <w:color w:val="auto"/>
                <w:lang w:val="en-US" w:eastAsia="zh-CN"/>
              </w:rPr>
            </w:pPr>
            <w:r>
              <w:rPr>
                <w:rFonts w:hint="eastAsia"/>
                <w:color w:val="auto"/>
                <w:lang w:val="en-US" w:eastAsia="zh-CN"/>
              </w:rPr>
              <w:t>第一包：付款方式及质量保证金：货物安装调试完毕、验收合格并签署《验收报告单》后，凭验收报告单及按合同总价开具的发票（完税价），采购人支付合同总价款的70%，6个月后无质量问题支付合同总价款的20%，剩余的10%作为质量保证金（中标供应商的质量保证金不计利息）；待设备正常运行二年（24个月）无任何质量问题后，买方支付剩余的合同货款。</w:t>
            </w:r>
          </w:p>
          <w:p>
            <w:pPr>
              <w:ind w:firstLine="480" w:firstLineChars="200"/>
              <w:rPr>
                <w:rFonts w:hint="default"/>
                <w:color w:val="auto"/>
                <w:lang w:val="en-US" w:eastAsia="zh-CN"/>
              </w:rPr>
            </w:pPr>
            <w:r>
              <w:rPr>
                <w:rFonts w:hint="eastAsia"/>
                <w:color w:val="auto"/>
                <w:lang w:val="en-US" w:eastAsia="zh-CN"/>
              </w:rPr>
              <w:t>第二包：以实际造价审核结果为准，付实际结算款的97%，留3%作为质量保证金，质保期结束后付清。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16</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质保期</w:t>
            </w:r>
          </w:p>
        </w:tc>
        <w:tc>
          <w:tcPr>
            <w:tcW w:w="6473" w:type="dxa"/>
            <w:vAlign w:val="center"/>
          </w:tcPr>
          <w:p>
            <w:pPr>
              <w:ind w:firstLine="480" w:firstLineChars="200"/>
              <w:rPr>
                <w:rFonts w:hint="default"/>
                <w:color w:val="auto"/>
                <w:lang w:val="en-US" w:eastAsia="zh-CN"/>
              </w:rPr>
            </w:pPr>
            <w:r>
              <w:rPr>
                <w:rFonts w:hint="eastAsia"/>
                <w:color w:val="auto"/>
                <w:lang w:val="en-US" w:eastAsia="zh-CN"/>
              </w:rPr>
              <w:t>第一包：整体2年；第二包：整体装修2年，防水部分5年。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7</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8</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建设地点</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甘肃省康复中心鱼池口分院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68"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19</w:t>
            </w:r>
          </w:p>
        </w:tc>
        <w:tc>
          <w:tcPr>
            <w:tcW w:w="1497" w:type="dxa"/>
            <w:vAlign w:val="center"/>
          </w:tcPr>
          <w:p>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完工期</w:t>
            </w:r>
          </w:p>
        </w:tc>
        <w:tc>
          <w:tcPr>
            <w:tcW w:w="6473" w:type="dxa"/>
            <w:vAlign w:val="center"/>
          </w:tcPr>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合同签订后20日</w:t>
            </w:r>
          </w:p>
        </w:tc>
      </w:tr>
    </w:tbl>
    <w:p>
      <w:pPr>
        <w:keepNext w:val="0"/>
        <w:keepLines w:val="0"/>
        <w:pageBreakBefore w:val="0"/>
        <w:widowControl/>
        <w:kinsoku/>
        <w:wordWrap/>
        <w:overflowPunct/>
        <w:topLinePunct w:val="0"/>
        <w:autoSpaceDE/>
        <w:autoSpaceDN/>
        <w:bidi w:val="0"/>
        <w:adjustRightInd/>
        <w:spacing w:line="360" w:lineRule="auto"/>
        <w:ind w:firstLine="560" w:firstLineChars="200"/>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bookmarkStart w:id="24" w:name="_Toc511205937"/>
      <w:bookmarkStart w:id="25" w:name="_Toc505270687"/>
      <w:r>
        <w:rPr>
          <w:rFonts w:hint="eastAsia" w:ascii="宋体" w:hAnsi="宋体" w:eastAsia="宋体" w:cs="宋体"/>
          <w:b/>
          <w:bCs/>
          <w:color w:val="000000" w:themeColor="text1"/>
          <w:sz w:val="28"/>
          <w:szCs w:val="28"/>
          <w:highlight w:val="none"/>
          <w14:textFill>
            <w14:solidFill>
              <w14:schemeClr w14:val="tx1"/>
            </w14:solidFill>
          </w14:textFill>
        </w:rPr>
        <w:t>二、投标人须知</w:t>
      </w:r>
      <w:bookmarkEnd w:id="22"/>
      <w:bookmarkEnd w:id="23"/>
      <w:bookmarkEnd w:id="24"/>
      <w:bookmarkEnd w:id="25"/>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1.说明</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 适用范围</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本招标文件仅适用于本招标文件招标公告中所叙述的投标范围。</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 定义</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1.2.1“采购人、买方”系指</w:t>
      </w:r>
      <w:r>
        <w:rPr>
          <w:rFonts w:hint="eastAsia" w:ascii="宋体" w:hAnsi="宋体" w:eastAsia="宋体" w:cs="宋体"/>
          <w:color w:val="000000" w:themeColor="text1"/>
          <w:sz w:val="24"/>
          <w:szCs w:val="24"/>
          <w:highlight w:val="none"/>
          <w:lang w:eastAsia="zh-CN"/>
          <w14:textFill>
            <w14:solidFill>
              <w14:schemeClr w14:val="tx1"/>
            </w14:solidFill>
          </w14:textFill>
        </w:rPr>
        <w:t>甘肃省康复中心</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1.2.2“招标代理机构”系指甘肃中远天成项目管理咨询有限公司 ，本项目的代理机构，招标文件最终解释权归代理机构所有。</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1.2.3“招标采购单位”系指采购人和招标代理机构。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1.2.4“投标人”系指向招标代理机构提交投标文件并参与投标的法人。</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1.2.5“卖方”指中标的投标人，合同一方的当事人。</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1.2.6“货物”指供应商按招标文件和招标内容的规定，须向采购人提供的一切软硬件、工具、手册及有关技术资料和其他材料等。</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1.2.7“服务”指招标文件和招标内容规定供应商须承担的附加工作（运输、安装、试验、调试、技术、协助、校准、培训及其他类似义务）。</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 合格的投标人的基本条件：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1.3.1供应商须符合《中华人民共和国政府采购法》第二十二条、《中华人民共和国政府采购法实施条例》第十七条及《中华人民共和国招标投标法实施条例》第三十四条规定；</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1.3.2供应商有施工能力且具有有效的安全生产许可证；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1.3.3供应商须具有医疗器械生产或经营许可证（备案证）； </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1.3.4供应商须具有所投产品的医疗器械注册证（备案证）； </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1.3.5</w:t>
      </w:r>
      <w:r>
        <w:rPr>
          <w:rFonts w:hint="eastAsia" w:ascii="宋体" w:hAnsi="宋体" w:eastAsia="宋体" w:cs="宋体"/>
          <w:color w:val="000000" w:themeColor="text1"/>
          <w:sz w:val="24"/>
          <w:szCs w:val="24"/>
          <w:highlight w:val="none"/>
          <w14:textFill>
            <w14:solidFill>
              <w14:schemeClr w14:val="tx1"/>
            </w14:solidFill>
          </w14:textFill>
        </w:rP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1.3.6</w:t>
      </w:r>
      <w:r>
        <w:rPr>
          <w:rFonts w:hint="eastAsia" w:ascii="宋体" w:hAnsi="宋体" w:eastAsia="宋体" w:cs="宋体"/>
          <w:color w:val="000000" w:themeColor="text1"/>
          <w:sz w:val="24"/>
          <w:szCs w:val="24"/>
          <w:highlight w:val="none"/>
          <w14:textFill>
            <w14:solidFill>
              <w14:schemeClr w14:val="tx1"/>
            </w14:solidFill>
          </w14:textFill>
        </w:rPr>
        <w:t xml:space="preserve">本项目不接受联合体投标 </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对失信被执行人参与公共资源交易活动的，由评标委员会取消其投标资格或直接废标。 </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招标代理机构将在开标前一天至投标截止后一小时期间查询投标人的信用记录，存在不良信用记录的投标人，其投标将被作为无效投标被拒绝。</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不良信用记录指：投标人在“信用中国”网（www.creditchina.gov.cn）被列入失信 被执行人和重大税收违法案件当事人名单或存在《中华人民共和国政府采购法实施条例》第十九条规定的行政处罚记录（三万元以上（含三万）罚款金额视为较大数额罚款），或在中国政府采购网（www.ccgp.gov.cn）被列入政府采购严重违法失信行为记录名单。</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联合体投标的，联合体成员存在以上不良信用记录的，视同联合体存在不良信用记录。</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查询及记录方式：招标采购单位经办人将查询网页打印、签字并存档备查。</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投标人不良信用记录以招标采购单位查询结果为准，招标采购单位查询之后，网站信息发生的任何更改均不再作为评标依据，投标人自行提供的与网站信息不一致的其他证明材料亦不作为评标依据。</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遵守国家有关的法律、法规和条例。</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招标文件和法律、行政法规规定的其他条件。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1.4合格的货物和服务</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1.4.1合同中提供的所有货物及其有关服务的原产地，均应来自“投标资料表”规定的货物和服务的合格来源，本合同的支付也仅限于这些货物和服务。</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1.4.2本款所述的“原产地”是指货物设计、生产和提供有关服务的来源地。 所述的“货物”是指生产、加工或实质上装配了主要部件而形成的货物， 商业上公认的产品是指在基本特征、性能或功能上与部件有着实质性区别的产品。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1.4.3就本招标文件而言，供应商在合同项下需要提供安装、集成、包括与信息处理和交流有关的硬件、软件，以及所有有关的文件，统称“货物”； 由供应商提供的有关运输、保险、安装、集成、调试、培训、技术支持、维护和维修以及其它使货物正常运转所必需的服务，统称“服务”。</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1.4.4“节能产品”是指财政部发布的《节能产品政府采购清单》中列明的产品；“环保标志产品”是指财政部发布的《环境标志产品政府采购清单》 中列明的产品。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1.4.5 “进口产品”是指通过中国海关报关验放进入中国境内且产自关境外的产品，详见《关于政府采购进口产品管理有关问题的通知》（财库【2007】119号）。</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1.4.6通过签署投标函，供应商应确认其为所供硬件和软件的知识产权的合法所有人，或已经从其所有人那里得到了适当的授权。在此方面恶意地提供错误事实，将导致采购代理机构和采购人拒绝有关投标。</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 招标的费用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1.5.1 报价不含招标代理服务费，中标供应商在领取中标通知书时（或之前）向代理机构缴纳招标代理服务费；</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1.5.2中标供应商参照国家计委颁发的《招标代理服务收费管理暂行办法》（计价格[2002]1980号）和《国家发展改革委办公厅关于招标代理服务收费有关问题的通知》（发改办价格[2003]857号）文件规定，按照招标文件中的具体规定向甘肃中远天成项目管理咨询有限公司缴纳招标代理服务费。</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中标服务费缴纳账户：</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收 款 人：甘肃中远天成项目管理咨询有限公司</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    户：102592000074685</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开户银行：兰州银行股份有限公司硅谷支行</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财务电话：0931-8362129</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E - Mail:</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"mailto:gansuzytc@163.com"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gansuzytc@163.com</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2.招标文件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 招标文件的组成</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2.1.1招标公告</w:t>
      </w:r>
      <w:r>
        <w:rPr>
          <w:rFonts w:hint="eastAsia" w:ascii="宋体" w:hAnsi="宋体" w:eastAsia="宋体" w:cs="宋体"/>
          <w:color w:val="000000" w:themeColor="text1"/>
          <w:sz w:val="24"/>
          <w:szCs w:val="24"/>
          <w:highlight w:val="none"/>
          <w14:textFill>
            <w14:solidFill>
              <w14:schemeClr w14:val="tx1"/>
            </w14:solidFill>
          </w14:textFill>
        </w:rPr>
        <w:tab/>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2.1.2投标人须知</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2.1.3招标要求及技术参数要求</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2.1.4评审办法</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2.1.5投标文件格式</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2.1.6拟签订的合同文件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 招标文件的澄清</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投标人要求对招标文件进行澄清质疑的，均应按照《中华人民共和国政府采购法》、《中华人民共和国政府采购法实施条例》、《政府采购货物和服务招标投标管理办法》（财政部令第87号）文件中要求的以书面形式通知采购人或招标代理机构。未按要求提供者均属无效质疑，采购人或招标代理机构有权不予答复。</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2.2.2投标人应在其获得招标文件之日起7个工作日内对招标文件的内容提出质疑，采购人或招标代理机构按规定时间答复，超过时间的质疑将不予接受。如果澄清发出的时间距投标截止时间不足十五日，并且修改内容影响投标文件编制的，相应延长投标截止时间。</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 招标文件的补充和修改</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2.3.1投标人在投标文件递交截止时间前应主动登录甘肃政府采购网以便及时了解相关招标信息和补充信息。如因未主动登录网站而未获取相关信息，对其产生不利因素由投标人自行承担。</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2.3.2更正公告或变更公告的内容为招标文件的必要组成部分，对所有投标人均具有约束作用。</w:t>
      </w:r>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3.投标和招标总则</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 投标文件的编写</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3.1.1投标人应仔细阅读招标文件的所有内容，并按照招标文件的“投标文件格式”规定及要求的内容和格式，提交完整的投标文件。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3.1.2知识产权</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（2）采购人享有本项目实施过程中产生的知识成果及知识产权。</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（4）如采用投标人所不拥有的知识产权，则在投标报价中必须包括合法获取该知识产权的相关费用。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3.1.3投标语言和计量单位</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投标文件和来往函件用中文书写，计量单位应使用国际单位。（除非招标文件中另有规定）</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3.1.4投标人应按投标范围进行投标。</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3.1.5投标人应用人民币投标。若由单价计算出的总价与投标总价不一致，以单价计算出的总价作为投标总价。若中文文字形式表示的数值与数字形式表示的数值不一致，以中文文字形式表示的数值为准。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 投标文件的组成</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3.2.1报价部分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（1）投标函；</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（2）开标一览表；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（3）投标报价明细表；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本次招标报价要求：</w:t>
      </w:r>
    </w:p>
    <w:p>
      <w:pPr>
        <w:pStyle w:val="2"/>
        <w:keepNext w:val="0"/>
        <w:keepLines w:val="0"/>
        <w:pageBreakBefore w:val="0"/>
        <w:widowControl/>
        <w:kinsoku/>
        <w:wordWrap/>
        <w:overflowPunct/>
        <w:topLinePunct w:val="0"/>
        <w:autoSpaceDE/>
        <w:autoSpaceDN/>
        <w:bidi w:val="0"/>
        <w:adjustRightInd/>
        <w:spacing w:line="360" w:lineRule="auto"/>
        <w:ind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投标人的报价应是响应招标项目要求的全部工作内容的价格体现，包括完成本项目所需的一切费用。总报价包括了项目要求的合同项下投标人提供技术、设计、制造、采购、交货、安装、技术服务、培训服务、调试、试行和验收等的全部责任和义务，未单独列明的分项价将视同该项目的费用已包含在其它分项中，合同执行中不予另行支付。</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②投标人每种设备及服务只允许有一个报价，并且在合同履行过程中是固定不变的，任何有选择或可调整的报价将不予接受，并按无效投标处理。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（4）货物说明一览表。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3.2.2 技术部分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投标人按照招标文件要求做出的技术应答，主要是针对招标项目的技术指标、参数和技术要求做出的实质性响应和满足。技术应答应包括下列内容：</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（1）技术偏离表；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（2）技术说明文件；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（3）投标人认为需要提供的其他文件和资料；</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3.2.3商务部分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（1）商务偏离表；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（2）投标人本项目管理、技术人员情况；</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（3）类似业绩证明材料；</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（4）优惠、培训、售后服务承诺；</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售后服务与培训计划投标人按照招标文件中售后服务要求作出的积极响应和承诺。包括以下内容：</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①售后服务机构、服务电话和维修人员名单（加盖公章）；</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②说明投标产品及软件服务系统的保修时间、保修期内的保修内容与范围、维修响应时间等；提供投标人的服务承诺和保障措施；</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③培训措施：说明培训内容及时间、地点、目标、培训人数、收费标准和办法；</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④投标人承诺提供不低于一年原厂免费质保并出具承诺函。（原件装订于投标文件正本中）</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（5）资格证明文件；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（6）投标人认为需要提供的其他资料。</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3.2.4其他部分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（1）投标保证金交付收据复印件；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（2）同意招标文件条款声明；</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（3）虚假应标承担责任声明；</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（4）投标保证金特别情况延长退还时间承诺函；</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（5）招标文件代理服务费确认书格式；</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（6）投标人可在满足“招标要求及技术参数要求”中对项目的整体要求的前提下，对项目实施提出合理化建议。</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3.3投标</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3.3.1 投标人投标时间提交的全部材料必须密封，具体包括：</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（1）投标文件一式三份（正本1份，副本2份）。1份正本单独密封，2份副本可选择单独或一起密封；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（2）开标信封（内放开标一览表，提交时须单独密封）；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（3）投标文件电子版U盘一份、电子光盘一份（提交时须单独密封）；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（4）电子光盘文档为加盖电子印章的PDF格式，且保证电子文档能正常读取，否则造成的一切后果由投标人自行承担。</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正本、副本的内容应当一致，如果正本与副本不符，以正本为准。投标文件应由投标人的法定代表人或经正式授权并对投标人有约束力的代表在投标文件上签字。被授权代表需将以书面形式出具的“法人授权书”附在投标文件中。</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任何行间插字、涂改和增删，必须由投标文件签字人在旁边签字才有效。</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3.3.2 每本投标文件的内容应装订成册。</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3.3.3 投标人应对投标内容提供完整的详细的技术说明，如果投标人对指定的技术要求建议做任何改动，应在投标文件中清楚的说明。投标人投标的内容与招标文件的技术、商务要求有偏离时，无论这种偏离是否有利于采购人，投标人都应该按照附件的格式如实填写技术偏离表和商务条款偏离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3.3.4 投标人应按照要求提交资格文件，并对这些资格文件的真实性负责。</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3.3.5 投标文件的密封和标注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投标人需将开标一览表及电子版单独密封并在信封上标明“开标一览表”、“电子光盘、U盘”字样。在封口处加盖单位印章后单独递交。 </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所有投标文件必须装入密封的信封或封套，投标人应将投标文件的开标一览表、投标电子文档（U盘及光盘）和纸质文件（正本及副本）单独密封，在封口处加盖印章后递交。</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3.3.6 招标代理机构对因投标文件未装订成册而造成的招标文件的损坏、丢失不承担任何责任。</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3.3.7 招标代理机构对不可抗力的事件造成的招标文件的损坏、丢失不承担任何责任。</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3.4开标</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时，招标代理机构请投标人代表或现场监督人员对投标文件的密封情况进行检查。经确认无误后，由招标工作人员将投标人单独递交的“开标一览表”当众拆封，并由唱标人员按照招标文件规定的内容进行宣读。</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3.5投标的有效期</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截止日期起，投标有效期为90天。在特殊情况下，招标代理机构可于投标有效期满之前要求投标人同意延长有效期，要求与答复均以书面形式。投标人可以拒绝上述要求而其投标保证金不被没收，同意延期的投标人在原投标有效期内应享有的权利及责任也相应延续。</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3.6投标文件的修改</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在规定的时间内，投标人可以修改其投标文件的内容，但必须以书面形式通知招标代理机构。在招标规定的修改截止时间后，投标人不可以修改其投标文件的内容。</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 投标的撤回</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在投标截止时间前投标人可以撤回其投标，但在投标截止后不允许撤回投标。</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3.8招标过程及评审</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3.8.1招标代理机构将在招标公告中规定的时间和地点接受投标。</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3.8.2资格审查</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项目投标人的资格条件在评标时进行审查，投标人应在投标文件中按招标文件的规定和要求附上所有的资格证明文件，要求提供的复印件必须加盖单位鲜章，并在必要时提供原件备查。若提供的资格证明文件不全或不实，将导致其投标或中标资格被取消。</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论基于何种原因，各项本应作拒绝投标和无效投标处理的情形，即便未被及时发现而使该投标人进入初审、详细评审或其它后续程序，包括已经签约的情形，一旦被发现存在上述情形，导致此前评议结果被取消，其相关的一切损失均由该投标人承担。</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3.8.3评标委员会只对确定为实质上响应招标文件要求的投标进行评审。</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3.8.4招标采购中，出现下列情形之一的，予以废标：</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（1）符合专业条件的投标人或者对招标文件作出实质响应的投标人不足三家的；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（2）出现影响采购公正的违法、违规行为的；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（3）投标人的报价均超过了采购预算，采购人不能支付的；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 xml:space="preserve">（4）因重大变故，采购任务取消的。 </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废标后，招标代理机构应在甘肃政府采购网和公共资源交易网上公告。</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3.8.5实质上没有响应招标文件要求的投标文件将视为无效投标</w:t>
      </w:r>
      <w:r>
        <w:rPr>
          <w:rFonts w:hint="eastAsia" w:ascii="宋体" w:hAnsi="宋体" w:eastAsia="宋体" w:cs="宋体"/>
          <w:color w:val="000000" w:themeColor="text1"/>
          <w:sz w:val="24"/>
          <w:szCs w:val="24"/>
          <w:highlight w:val="none"/>
          <w14:textFill>
            <w14:solidFill>
              <w14:schemeClr w14:val="tx1"/>
            </w14:solidFill>
          </w14:textFill>
        </w:rPr>
        <w:t>。出现但不限于下列情况之一的，其投标也将视为无效投标：</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（1）投标文件不完整的；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（2）未按照招标文件规定和要求密封、签署、盖章的；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（3）未按招标文件格式要求制作；</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（4）投标文件要求签字盖章的，投标文件无法人代表签字、或签字人未被法人授权的；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（5）开标一览表及招标文件中要求须签字盖章的，无签字盖章的；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（6）不具备招标文件中规定的资格要求的；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（7）投标有效期不足的；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（8）投标文件附有招标方不能接受条件的；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（9）所提供的证明文件及材料复印件不清晰、无法辨认或内容不符合规定的。 </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3.8.6有下列情形之一的，视为投标人串通投标，其投标无效：</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（1）不同投标人的投标文件由同一单位或者个人编制；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（2）不同投标人委托同一单位或者个人办理投标事宜；</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（3）不同投标人的投标文件载明的项目管理成员或者联系人员为同人；</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（4）不同投标人的投标文件异常一致或者投标报价呈规律性差异；</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（5）不同投标人的投标文件相互混装；</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（6）不同投标人的投标保证金从同一单位或者个人的账户转出。</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3.8.7 评标委员会将按已定的原则及方法进行评审，详见评审办法。</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3.8.8 评标委员会在评标时有权根据采购的需要、实际情况及匹配性，在征得投标人同意的前提下，对投标人所报个别货物的品牌/和型号/和数量进行调整或替换。</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3.8.9 评标委员会在确定中标候选人以前有权按照有关法规拒绝任何或全部投标，对此造成对投标人的影响不负任何责任，不做任何解释。</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3.8.10确定中标供应商后，由招标代理机构发出中标通知书。</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（1）中标通知书为签订政府采购合同的依据，是合同的有效组成部分。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（2）中标通知书对采购人和中标供应商均具有法律效力。中标通知书发出后，采购人改变中标结果，或者中标供应商无正当理由放弃中标的，应当承担相应的法律责任。</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3.8.11招标代理机构没有义务向未中标的投标人解释不中标的理由。</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3.9招标、评标过程的保密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3.9.1接受投标后，直至中标供应商与采购人签订合同后止，凡与招标、审查、澄清、评价、比较、授标意见有关的内容，任何人均不得向投标人及与评审无关的其他人透露。</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3.9.2从投标截止日起到确定中标供应商止，投标人不得与参加招标、评审的有关人员私下接触。在评审过程中，如果投标人试图在投标文件审查、澄清、比较及推荐中标供应商方面参与评审的有关人员和采购人施加任何影响，其投标将被拒绝。</w:t>
      </w:r>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4.合同的签约</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4.1中标供应商须向招标代理机构按照招标文件中的规定缴纳中标服务费后，方可领取中标通知书。</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 中标供应商接到中标通知书后应在15日内与采购人签定合同。</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供应商在收到招标代理机构发出的《中标通知书》后，应在招标文件规定的时间内与采购人签订采购合同。由于中标供应商的原因拒绝与采购人签订采购合同的，将视为放弃中标，取消其中标资格并将按相关规定追究其法律责任。采购人可以按照评标结果推荐的中标候选人名单排序，确定下一候选人为中标供应商，也可以重新开展政府采购活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采购人不得向中标供应商提出任何不合理的要求，作为签订合同的条件，不得与中标供应商私下订立背离合同实质性内容的任何协议，所签订的合同不得对招标文件和中标供应商投标文件作实质性修改。</w:t>
      </w:r>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bookmarkStart w:id="26" w:name="_Toc361769766"/>
      <w:bookmarkStart w:id="27" w:name="_Toc505270688"/>
      <w:bookmarkStart w:id="28" w:name="_Toc361769632"/>
      <w:bookmarkStart w:id="29" w:name="_Toc480203883"/>
      <w:r>
        <w:rPr>
          <w:rFonts w:hint="eastAsia" w:ascii="宋体" w:hAnsi="宋体" w:eastAsia="宋体" w:cs="宋体"/>
          <w:b/>
          <w:color w:val="000000" w:themeColor="text1"/>
          <w:sz w:val="24"/>
          <w:szCs w:val="24"/>
          <w:highlight w:val="none"/>
          <w14:textFill>
            <w14:solidFill>
              <w14:schemeClr w14:val="tx1"/>
            </w14:solidFill>
          </w14:textFill>
        </w:rPr>
        <w:t>5.询问、质疑</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5.1 综合说明 </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5.1.1供应商对政府采购活动事项有疑问的，可以向被质疑人提出询问或质疑，被质疑人应当及时予以答复，但答复的内容不得涉及商业秘密。供应商询问和质疑实行实名制。供应商询问和质疑应当有事实根据，不得进行虚假、恶意询问或质疑，干扰政府采购正常的工作秩序。</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5.1.2 供应商提起质疑应当符合下列条件：必须是参与被质疑项目的供应商（对招标文件的质疑可以是潜在供应商）；必须在规定的质疑有效期内提起质疑；政府采购监督管理部门规定的其他条件。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5.1.3 质疑人提出质疑时，应当提交书面质疑书，质疑书应当包括下列主要内容：被质疑人的名称、地址、电话；采购项目名称、项目编号；具体质疑事项、请求和主张；提起质疑的供应商名称、地址及联系方式质疑日期。</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5.1.4 质疑书递交地点： 甘肃中远天成项目管理咨询有限公司。</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 询问</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采购人或招标代理机构应当在3个工作日内日对供应商提出的询问作出答复。</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 质疑与答复</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5.3.1 供应商认为招标文件、招标过程和中标、成交结果使自己权益受到损害的，可以在知道或者应当知道其权益受到损害之日起7个工作日内，由质疑方的法定代表人或授权代理人（必须为法定代表人授权进行该项目投标的被授权人）以书面形式向采购人（或招标代理机构）提出质疑。质疑书须有法定代表人亲笔签字并加盖单位公章。质疑书除应说明需要质疑的内容外，还应提供能够证明质疑内容的相关书面证据。质疑书应内容真实，证据充分，不得进行恶意质疑。由法定代表人递交质疑书时，提供法定代表人身份证复印件；由授权代理人递交质疑书时，还须提供法定代表人授权委托书原件及授权代理人的身份证复印件，身份证复印件须正反面清晰、有效，并要求由该身份证持有人在复印件正反面，非空白位置注明“该复印件用于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项目（招标编号：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质疑使用”字样，并由身份证持有人签字确认。上述资料均须加盖公章。</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5.3.2 采购人（或招标代理机构） 收到供应商的书面质疑后 7 个工作日内根据质疑书的具体内容相应作出答复，并以书面形式通知质疑供应商和其他有关供应商，但答复内容不得涉及商业秘密。递交质疑书的供应商和其他有关供应商在收到质疑答复书后，应立即向采购人（或招标代理机构）回函确认。未确认情况应当视为对质疑答复的知晓，也将视为对质疑答复内容接受的默认。</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 补充</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5.4.1 第 5.3.1 条规定的供应商应知其权益受到损害之日，是指：</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a.对可以质疑的采购文件提出质疑的，为收到采购文件之日或者采购文件公告期限届满之日；</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b.对采购过程提出质疑的，为各采购程序环节结束之日；</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c.对中标或者成交结果提出质疑的，为中标或者成交结果公告期限届满之日。</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5.4.2 供应商代表对开标过程和开标记录有疑义的，以及认为采购人、招标代理机构相关工作人员需要回避的情形的，应当场提出询问或申请回避。采购人、招标代理机构对供应商代表提出的询问或者回避申请应当及时处理。</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投诉按照采购人所属预算级次，由本级财政部门处理。跨区域联合采购项目的投诉，采购人所属预算级次相同的，由采购文件事先约定的财政部门负责处理，事先未约定的，由最先收到投诉的财政部门负责处理；采购人所属预算级次不同的，由预算级次最高的财政部门负责处理。具体程序和要求见《政府采购质疑和投诉办法》（财政部第94号令）。</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5.5质疑投诉相关规定</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5.5.1 对本项目中标结果存在质疑的投标人，可以在公示期内采用书面形式列举具体理由，</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同时提交有效证据向代理机构提出质疑。</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5.5.2 投标人行使质疑权时，须坚持“谁主张谁举证”，遵守“实事求是”和“谨慎性”原则，</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承担使用虚假材料或恶意方式质疑的法律责任，采购人将遵循“谁过错谁负担”的原则，在过错方提交的投标保证金中扣除相关的调查论证费用。</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5.5.3 无论是质疑或被质疑，投标人均须主动配合代理机构或采购人寻找相关证据，并承诺同意延长投标保证金的退还时间。对于代理机构要求补充的证据材料，投标人不能无故推脱或者不予配合，否则，代理机构有权暂不退还其投标保证金。详见《政府采购法》、《中华人民共和国政府采购法实施条例》、《政府采购质疑和投诉办法》、《财政部关于加强政府采购供应商投诉受理审查工作的通知》等文件。</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5.6质疑不予受理的情况</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5.6.1 有下列情形之一的，属于无效质疑，被质疑人不予受理，由此产生的影响由质疑人自行承担：</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a.不是参与该政府采购项目活动供应商的；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b. 所有质疑事项超过质疑有效期的；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 以具有法律效力的文书送达之外方式提出的；</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d. 其它不符合受理条件的情形。</w:t>
      </w:r>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6.政府采购政策</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 采购进口产品政策</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6.1.1 政府采购应当采购本国产品，确需采购进口产品的，实行审核管理。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6.1.2 设区的市、自治州以上人民政府财政部门应当依法开展政府采购进口产品审核活动，并实施监督管理。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6.1.3 采购人采购进口产品时，除需要向设区的市、自治州以上人民政府财政部门出具专家论证意见外，还要同时出具进口产品所属行业设区的市、自治州以上主管部门的意见。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6.1.4 招标文件规定采购进口产品的，如果因信息不对称等原因，仍有满足需求的国内产品要求参与采购竞争的，采购人及其委托的采购代理机构不得对其加以限制，应当按照公平竞争原则实施采购。</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6.1.5 关于政府采购进口产品的其他规定详见《政府采购进口产品管理办法》（财库【2007】119号） 和《关于政府采购进口产品管理有关问题的通知》 （财办库【2008】248号）。</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 政府采购政策支持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6.2.1 根据财库【2011】181号文件规定，对于非专门面向中小型企业的采购项目，对小型和微型企业产品的价格给予 6%-10%的扣除（具体比例见评标办法），用扣除后的价格参与评审（其投标报价不变）。</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6.2.2 根据财库财库【2014】68号文件规定，在政府采购活动中，监狱企业视同小型、微型企业，享受预留份额、评审中价格扣除等政府采购促进中小企业发展的政府采购政策。向监狱企业采购的金额，计入面向中小企业采购的统计数据。监狱企业参加政府采购活动时，应当提供由省级以上监狱管理局、戒毒管理局（含新疆生产建设兵团）出具的属于监狱企业的证明文件。本项目对监狱企业提供的自产产品或提供的其他监狱企业生产的产品投标报价给予价格扣除，用扣除后的价格作为评标价参与评审（其投标报价不变），具体扣除比例见评标办法。</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6.2.3 节能产品和环保标志产品优惠政策：</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6.2.3.1 产品符合政府采购强制采购政策的，实行强制采购；符合政府采购优先采购政策的，产品只能享受节能产品、环境标志产品等产品优惠中的一项(由供应商在投标文件中列出产品所在清单的文号、页码，并复印该页附后，评审时进行价格扣除（扣除比例见评标办法）)；供应商享受支持中小企业发展政策优惠的，可以与同时享受节能产品、环境标志产品等产品优惠中的一项累加扣除。省级以上财政部门关于政府采购强制采购、 优先采购的政策规定可在中国政府采购网(www.ccgp.gov.cn/)和甘肃政府采购网（www.gszfcg.gansu.gov.cn/） 查询。</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6.2.3.2 同一项目中部分产品属于优先采购政策的，评审时只对该部分产品的报价实行价格扣除。</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6.2.3.3 为推进政府采购诚信体系建设，供应商在签署相关承诺，提供相关信息前，应认真阅读省级以上财政部门相关政策规定。符合本条第6.1.1 款、 6.1.2款、 6.1.3 款规定的，应提供相关证明材料。</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6.2.4 “节能产品”、“环境标志产品”证明材料：</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（1）供应商提供的产品属于下列情形，应按规定提供相关证明材料(清单或目录所在页复印件)，并在《报价明细表》中提供相应数据。</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(a)符合政府采购强制采购政策的(《节能产品政府采购清单》中标记★符号节能产品及其他强制采购产品)；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(b)符合政府采购优先采购政策的(《节能产品政府采购清单》中非标记★符号节能产品，《环境标志产品政府采购清单》中环境标志产品)。</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（2）未按上述要求提供、填写的，评审时不予以考虑。</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6.2.5根据财政部、民政部、中国残疾人联合会发布的《关于促进残疾人就业政府采购政策的通知》（财库【2017】141号）规定，在政府采购活动中，残疾人福利性单位视同小型、微型企业，享受评审中价格扣除等促进中小企业发展的政府采购政策。本项目对残疾人福利性单位提供的自产产品或提供其他残疾人福利性单位制造的货物的价格给予扣除，用扣除后的价格作为评标价参与评审（其投标报价不变）。本项目对残疾人福利性单位产品的价格扣除比例详见评标办法。符合条件的残疾人福利性单位在参加政府采购活动时，应当提供《残疾人福利性单位声明函》（见第五章附件），并对声明的真实性负责。任何单位或者个人在政府采购活动中均不得要求残疾人福利性单位提供其他证明声明函内容的材料。中标、成交供应商为残疾人福利性单位的，采购人或者其委托的采购代理机构应当随中标、成交结果同时公告其《残疾人福利性单位声明函》，接受社会监督。供应商提供的《残疾人福利性单位声明函》与事实不符的，依照《政府采购法》第七十七条第一款的规定追究法律责任。</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6.2.6甘肃省财政厅甘肃省监察厅甘肃省审计厅关于印发《甘肃省应急项目政府采购管理暂行办法》的通知</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6.2.7财政部办公厅关于疫情防控采购便利化的通知。</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6.2.8甘肃省卫生健康委员会关于做好医疗机构常态化疫情防控有关工作的通知。</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6.3相同品牌投标产品有效供应商的认定：</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6.3.1 采用最低评标价法的采购项目，提供相同品牌产品的不同供应商参加同一合同项下投标的，以其中通过资格审查、符合性审查且报价最低的参加评标；报价相同的，由采购人或者采购人委托评标委员会按照招标文件规定的方式确定一个参加评标的供应商，招标文件未规定的采取随机抽取方式确定，其他投标无效。</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000000" w:themeColor="text1"/>
          <w:sz w:val="24"/>
          <w:szCs w:val="24"/>
          <w:highlight w:val="none"/>
          <w14:textFill>
            <w14:solidFill>
              <w14:schemeClr w14:val="tx1"/>
            </w14:solidFill>
          </w14:textFill>
        </w:rPr>
        <w:t>6.3.2 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标委员会按照招标文件规定的方式确定一个供应商获得中标供应商推荐资格，招标文件未规定的采取随机抽取方式确定，其他同品牌供应商不作为中标候选人。</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6.3.3 非单一产品采购项目，采购人应当根据采购项目技术构成、产品价格比重等合理确定核心产品，并在招标文件中载明。多家供应商提供的核心产品品牌相同的，按前两款规定处理。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6.4变更事项</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6.4.1 供应商在项目投标截止时间之前应随时关注相关网站以便能够及时获取项目变更事项。</w:t>
      </w:r>
    </w:p>
    <w:p>
      <w:pPr>
        <w:keepNext w:val="0"/>
        <w:keepLines w:val="0"/>
        <w:pageBreakBefore w:val="0"/>
        <w:widowControl/>
        <w:kinsoku/>
        <w:wordWrap/>
        <w:overflowPunct/>
        <w:topLinePunct w:val="0"/>
        <w:autoSpaceDE/>
        <w:autoSpaceDN/>
        <w:bidi w:val="0"/>
        <w:adjustRightInd/>
        <w:spacing w:line="360" w:lineRule="auto"/>
        <w:ind w:firstLine="560" w:firstLineChars="20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br w:type="page"/>
      </w:r>
      <w:bookmarkStart w:id="30" w:name="_Toc511205938"/>
      <w:r>
        <w:rPr>
          <w:rFonts w:hint="eastAsia" w:ascii="宋体" w:hAnsi="宋体" w:eastAsia="宋体" w:cs="宋体"/>
          <w:b/>
          <w:bCs/>
          <w:color w:val="auto"/>
          <w:sz w:val="28"/>
          <w:szCs w:val="28"/>
          <w:highlight w:val="none"/>
        </w:rPr>
        <w:t>三、投标保证金收取与退还说明</w:t>
      </w:r>
      <w:bookmarkEnd w:id="26"/>
      <w:bookmarkEnd w:id="27"/>
      <w:bookmarkEnd w:id="28"/>
      <w:bookmarkEnd w:id="29"/>
      <w:bookmarkEnd w:id="30"/>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1.投标保证金的收取</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1.1投标供应商应提交投标保证金：</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第一包：</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贰</w:t>
      </w:r>
      <w:r>
        <w:rPr>
          <w:rFonts w:hint="eastAsia" w:ascii="宋体" w:hAnsi="宋体" w:eastAsia="宋体" w:cs="宋体"/>
          <w:color w:val="000000" w:themeColor="text1"/>
          <w:sz w:val="24"/>
          <w:szCs w:val="24"/>
          <w:highlight w:val="none"/>
          <w14:textFill>
            <w14:solidFill>
              <w14:schemeClr w14:val="tx1"/>
            </w14:solidFill>
          </w14:textFill>
        </w:rPr>
        <w:t>万</w:t>
      </w:r>
      <w:r>
        <w:rPr>
          <w:rFonts w:hint="eastAsia" w:ascii="宋体" w:hAnsi="宋体" w:eastAsia="宋体" w:cs="宋体"/>
          <w:color w:val="000000" w:themeColor="text1"/>
          <w:sz w:val="24"/>
          <w:szCs w:val="24"/>
          <w:highlight w:val="none"/>
          <w:lang w:val="en-US" w:eastAsia="zh-CN"/>
          <w14:textFill>
            <w14:solidFill>
              <w14:schemeClr w14:val="tx1"/>
            </w14:solidFill>
          </w14:textFill>
        </w:rPr>
        <w:t>元整</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000.00）</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第二包：</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壹</w:t>
      </w:r>
      <w:r>
        <w:rPr>
          <w:rFonts w:hint="eastAsia" w:ascii="宋体" w:hAnsi="宋体" w:eastAsia="宋体" w:cs="宋体"/>
          <w:color w:val="000000" w:themeColor="text1"/>
          <w:sz w:val="24"/>
          <w:szCs w:val="24"/>
          <w:highlight w:val="none"/>
          <w14:textFill>
            <w14:solidFill>
              <w14:schemeClr w14:val="tx1"/>
            </w14:solidFill>
          </w14:textFill>
        </w:rPr>
        <w:t>万</w:t>
      </w:r>
      <w:r>
        <w:rPr>
          <w:rFonts w:hint="eastAsia" w:ascii="宋体" w:hAnsi="宋体" w:eastAsia="宋体" w:cs="宋体"/>
          <w:color w:val="000000" w:themeColor="text1"/>
          <w:sz w:val="24"/>
          <w:szCs w:val="24"/>
          <w:highlight w:val="none"/>
          <w:lang w:val="en-US" w:eastAsia="zh-CN"/>
          <w14:textFill>
            <w14:solidFill>
              <w14:schemeClr w14:val="tx1"/>
            </w14:solidFill>
          </w14:textFill>
        </w:rPr>
        <w:t>元整</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000.00）</w:t>
      </w:r>
    </w:p>
    <w:p>
      <w:pPr>
        <w:pStyle w:val="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（投标保证金，作为其投标的一部分）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1.2投标保证金的提交方式为电汇</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网上银行转账，并务必在投标截止日之前提交（以银行到账时间为准），逾期不予受理。</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1.3投标保证金须汇入</w:t>
      </w:r>
      <w:r>
        <w:rPr>
          <w:rFonts w:hint="eastAsia" w:ascii="宋体" w:hAnsi="宋体" w:eastAsia="宋体" w:cs="宋体"/>
          <w:color w:val="auto"/>
          <w:sz w:val="24"/>
          <w:szCs w:val="24"/>
          <w:highlight w:val="none"/>
          <w:lang w:val="en-US" w:eastAsia="zh-CN"/>
        </w:rPr>
        <w:t>甘肃中远天成项目管理咨询有限公司</w:t>
      </w:r>
      <w:r>
        <w:rPr>
          <w:rFonts w:hint="eastAsia" w:ascii="宋体" w:hAnsi="宋体" w:eastAsia="宋体" w:cs="宋体"/>
          <w:color w:val="auto"/>
          <w:sz w:val="24"/>
          <w:szCs w:val="24"/>
          <w:highlight w:val="none"/>
        </w:rPr>
        <w:t>投标保证金专用账户：</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保证金交款单位：甘肃中远天成项目管理咨询有限公司</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保证金缴纳账户：6205 0138 0048 0000 0225</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开户银行：中国建设银行股份有限公司兰州陇能家园支行</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投标保证金到账截止时间：以招标文件要求的投标截止时间为准。 </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为保证开标现场对投标保证金到账情况进行核对，提醒投标人要充分考虑汇款及到账所需时间以及发现问题后采取补救措施所需时间，以确保投标保证金在规定时间前到账。因不能在投标截止时间前到达指定账户的，导致投标无效的后果由投标人自行承担。 </w:t>
      </w:r>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2.投标保证金的退还</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对中标供应商的投标保证金，须由中标供应商向招标代理机构缴纳足额中标服务费后，领取中标通知书。中标供应商携中标通知书与招标人签订合同，招标代理机构统一在行政监管部门办理合同备案后，由招标代理机构向中标供应商原账户电汇退回投标保证金及同期银行存款利息。</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2.2对未中标供应商的投标保证金，由招标代理机构5日内，向未中标供应商原账户电汇退回投标保证金及同期银行存款利息。</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招标项目有投诉质疑的，在调查处理期间，投标保证金暂不退还，待行业监管部门或行业监察部门作出明确处理意见后，按规定处理。</w:t>
      </w:r>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3.投标保证金不予退回的情况</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3.1如果投标供应商在投标截止后撤回其投标；或被通知签约后拒绝签约；或未能提交履约及质量保证金；或提交的履约及质量保证金金额不足；或未能执行交纳中标服务费的规定，则不予退还投标保证金。</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3.2根据法律法规及招标文件规定不予退还投标保证金的，其投标保证金将不予退还。</w:t>
      </w:r>
    </w:p>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.注意事项</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（1）投标保证金提交方式：电汇</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网上银行转账，不接受其他方式的投标保证金。</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（2）投标供应商必须从基本账户以电汇</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网上银行转账方式提交保证金，且投标保证金单位名称必须与投标供应商登记的单位名称一致，不得以分公司、办事处或其他机构名义交纳。</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注：投标供应商投两个及以上标段或包号的，应该按每个标段或包号分别交纳投标保证金。</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bookmarkStart w:id="31" w:name="_Toc361769634"/>
      <w:bookmarkStart w:id="32" w:name="_Toc361769768"/>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auto"/>
          <w:sz w:val="36"/>
          <w:szCs w:val="36"/>
          <w:highlight w:val="none"/>
        </w:rPr>
      </w:pPr>
      <w:bookmarkStart w:id="33" w:name="_Toc480203888"/>
      <w:bookmarkStart w:id="34" w:name="_Toc505270690"/>
      <w:bookmarkStart w:id="35" w:name="_Toc511205939"/>
      <w:r>
        <w:rPr>
          <w:rFonts w:hint="eastAsia" w:ascii="宋体" w:hAnsi="宋体" w:eastAsia="宋体" w:cs="宋体"/>
          <w:b/>
          <w:bCs/>
          <w:color w:val="auto"/>
          <w:sz w:val="36"/>
          <w:szCs w:val="36"/>
          <w:highlight w:val="none"/>
        </w:rPr>
        <w:t>第三部分  招标要求及技术参数要求</w:t>
      </w:r>
      <w:bookmarkEnd w:id="31"/>
      <w:bookmarkEnd w:id="32"/>
      <w:bookmarkEnd w:id="33"/>
      <w:bookmarkEnd w:id="34"/>
      <w:bookmarkEnd w:id="35"/>
      <w:bookmarkStart w:id="36" w:name="_Toc361769769"/>
      <w:bookmarkStart w:id="37" w:name="_Toc361769635"/>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auto"/>
          <w:sz w:val="21"/>
          <w:szCs w:val="21"/>
          <w:highlight w:val="none"/>
        </w:rPr>
        <w:sectPr>
          <w:headerReference r:id="rId9" w:type="first"/>
          <w:footerReference r:id="rId11" w:type="first"/>
          <w:footerReference r:id="rId10" w:type="default"/>
          <w:pgSz w:w="11906" w:h="16838"/>
          <w:pgMar w:top="1440" w:right="1800" w:bottom="1440" w:left="1800" w:header="851" w:footer="992" w:gutter="0"/>
          <w:pgNumType w:fmt="numberInDash" w:start="1"/>
          <w:cols w:space="720" w:num="1"/>
          <w:titlePg/>
          <w:docGrid w:linePitch="286" w:charSpace="0"/>
        </w:sectPr>
      </w:pPr>
      <w:r>
        <w:rPr>
          <w:rFonts w:hint="eastAsia" w:ascii="宋体" w:hAnsi="宋体" w:eastAsia="宋体" w:cs="宋体"/>
          <w:color w:val="auto"/>
          <w:sz w:val="21"/>
          <w:szCs w:val="21"/>
          <w:highlight w:val="none"/>
        </w:rPr>
        <w:br w:type="page"/>
      </w: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auto"/>
          <w:sz w:val="28"/>
          <w:szCs w:val="28"/>
          <w:highlight w:val="none"/>
          <w:lang w:val="en-US" w:eastAsia="zh-CN"/>
        </w:rPr>
        <w:t>第一包</w:t>
      </w:r>
      <w:r>
        <w:rPr>
          <w:rFonts w:hint="eastAsia" w:ascii="宋体" w:hAnsi="宋体" w:eastAsia="宋体" w:cs="宋体"/>
          <w:color w:val="000000" w:themeColor="text1"/>
          <w:sz w:val="21"/>
          <w:szCs w:val="21"/>
          <w:highlight w:val="none"/>
          <w:lang w:eastAsia="zh-CN"/>
          <w14:textFill>
            <w14:solidFill>
              <w14:schemeClr w14:val="tx1"/>
            </w14:solidFill>
          </w14:textFill>
        </w:rPr>
        <w:t>：</w:t>
      </w:r>
    </w:p>
    <w:tbl>
      <w:tblPr>
        <w:tblStyle w:val="60"/>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3257"/>
        <w:gridCol w:w="1484"/>
        <w:gridCol w:w="1386"/>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序号</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产品名称</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数量</w:t>
            </w:r>
          </w:p>
        </w:tc>
        <w:tc>
          <w:tcPr>
            <w:tcW w:w="1386" w:type="dxa"/>
            <w:vAlign w:val="center"/>
          </w:tcPr>
          <w:p>
            <w:pPr>
              <w:widowControl w:val="0"/>
              <w:jc w:val="center"/>
              <w:rPr>
                <w:rFonts w:hint="default" w:eastAsiaTheme="minorEastAsia"/>
                <w:vertAlign w:val="baseline"/>
                <w:lang w:val="en-US" w:eastAsia="zh-CN"/>
              </w:rPr>
            </w:pPr>
            <w:r>
              <w:rPr>
                <w:rFonts w:hint="eastAsia"/>
                <w:vertAlign w:val="baseline"/>
                <w:lang w:val="en-US" w:eastAsia="zh-CN"/>
              </w:rPr>
              <w:t>单位</w:t>
            </w:r>
          </w:p>
        </w:tc>
        <w:tc>
          <w:tcPr>
            <w:tcW w:w="1900" w:type="dxa"/>
            <w:vAlign w:val="center"/>
          </w:tcPr>
          <w:p>
            <w:pPr>
              <w:widowControl w:val="0"/>
              <w:jc w:val="center"/>
              <w:rPr>
                <w:rFonts w:hint="eastAsia" w:eastAsiaTheme="minorEastAsia"/>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全自动医用PCR分析系统</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rFonts w:hint="eastAsia" w:eastAsiaTheme="minorEastAsia"/>
                <w:vertAlign w:val="baseline"/>
                <w:lang w:val="en-US" w:eastAsia="zh-CN"/>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2</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PCR荧光定量仪</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rFonts w:hint="default" w:eastAsiaTheme="minorEastAsia"/>
                <w:vertAlign w:val="baseline"/>
                <w:lang w:val="en-US" w:eastAsia="zh-CN"/>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3</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全自动核酸提取仪</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2</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4</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生物安全柜</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5</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生物安全柜</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6</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洁净工作台</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471" w:type="dxa"/>
            <w:vAlign w:val="center"/>
          </w:tcPr>
          <w:p>
            <w:pPr>
              <w:widowControl w:val="0"/>
              <w:jc w:val="center"/>
              <w:rPr>
                <w:rFonts w:hint="default" w:ascii="宋体" w:hAnsi="宋体" w:eastAsia="宋体" w:cs="宋体"/>
                <w:kern w:val="2"/>
                <w:sz w:val="21"/>
                <w:szCs w:val="21"/>
                <w:lang w:val="en-US" w:eastAsia="zh-CN" w:bidi="ar-SA"/>
              </w:rPr>
            </w:pPr>
            <w:r>
              <w:rPr>
                <w:rFonts w:hint="default" w:ascii="宋体" w:hAnsi="宋体" w:eastAsia="宋体" w:cs="宋体"/>
                <w:szCs w:val="21"/>
                <w:lang w:val="en-US"/>
              </w:rPr>
              <w:t>7</w:t>
            </w:r>
          </w:p>
        </w:tc>
        <w:tc>
          <w:tcPr>
            <w:tcW w:w="3257" w:type="dxa"/>
            <w:vAlign w:val="center"/>
          </w:tcPr>
          <w:p>
            <w:pPr>
              <w:widowControl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单道移液器一套9</w:t>
            </w:r>
          </w:p>
        </w:tc>
        <w:tc>
          <w:tcPr>
            <w:tcW w:w="1484" w:type="dxa"/>
            <w:vAlign w:val="center"/>
          </w:tcPr>
          <w:p>
            <w:pPr>
              <w:widowControl w:val="0"/>
              <w:jc w:val="center"/>
              <w:rPr>
                <w:rFonts w:hint="default" w:ascii="宋体" w:hAnsi="宋体" w:eastAsia="宋体" w:cs="宋体"/>
                <w:kern w:val="2"/>
                <w:sz w:val="21"/>
                <w:szCs w:val="21"/>
                <w:lang w:val="en-US" w:eastAsia="zh-CN" w:bidi="ar-SA"/>
              </w:rPr>
            </w:pPr>
            <w:r>
              <w:rPr>
                <w:rFonts w:hint="default" w:ascii="宋体" w:hAnsi="宋体" w:eastAsia="宋体" w:cs="宋体"/>
                <w:szCs w:val="21"/>
                <w:lang w:val="en-US"/>
              </w:rPr>
              <w:t>7</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8</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BYC系列医用冷藏箱</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9</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rPr>
              <w:t>迷你离心机</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2台</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10</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rPr>
              <w:t>台式高速离心机</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11</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rPr>
              <w:t>台式冷冻离心机</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12</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安全运输箱</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2</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13</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电热恒温水箱</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14</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恒温混匀仪</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15</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立式灭菌器</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16</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涡旋混匀器</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2</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17</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微生物恒温培养箱</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18</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微生物恒温培养箱</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19</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医用低温保存箱-25°</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20</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医用低温保存箱-40°</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21</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紫外线空气消毒器</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4</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22</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0.5吨PCR实验室污水处理系统</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471"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23</w:t>
            </w:r>
          </w:p>
        </w:tc>
        <w:tc>
          <w:tcPr>
            <w:tcW w:w="3257"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全自动医用纯水机</w:t>
            </w:r>
          </w:p>
        </w:tc>
        <w:tc>
          <w:tcPr>
            <w:tcW w:w="1484" w:type="dxa"/>
            <w:vAlign w:val="center"/>
          </w:tcPr>
          <w:p>
            <w:pPr>
              <w:widowControl w:val="0"/>
              <w:jc w:val="center"/>
              <w:rPr>
                <w:rFonts w:ascii="宋体" w:hAnsi="宋体" w:eastAsia="宋体" w:cs="宋体"/>
                <w:kern w:val="2"/>
                <w:sz w:val="21"/>
                <w:szCs w:val="21"/>
                <w:lang w:val="en-US" w:eastAsia="zh-CN" w:bidi="ar-SA"/>
              </w:rPr>
            </w:pPr>
            <w:r>
              <w:rPr>
                <w:rFonts w:hint="eastAsia" w:ascii="宋体" w:hAnsi="宋体" w:eastAsia="宋体" w:cs="宋体"/>
                <w:szCs w:val="21"/>
              </w:rPr>
              <w:t>1</w:t>
            </w:r>
          </w:p>
        </w:tc>
        <w:tc>
          <w:tcPr>
            <w:tcW w:w="1386" w:type="dxa"/>
          </w:tcPr>
          <w:p>
            <w:pPr>
              <w:widowControl w:val="0"/>
              <w:jc w:val="center"/>
              <w:rPr>
                <w:vertAlign w:val="baseline"/>
              </w:rPr>
            </w:pPr>
            <w:r>
              <w:rPr>
                <w:rFonts w:hint="eastAsia"/>
                <w:vertAlign w:val="baseline"/>
                <w:lang w:val="en-US" w:eastAsia="zh-CN"/>
              </w:rPr>
              <w:t>台/套</w:t>
            </w:r>
          </w:p>
        </w:tc>
        <w:tc>
          <w:tcPr>
            <w:tcW w:w="1900" w:type="dxa"/>
          </w:tcPr>
          <w:p>
            <w:pPr>
              <w:widowControl w:val="0"/>
              <w:jc w:val="center"/>
              <w:rPr>
                <w:vertAlign w:val="baseline"/>
              </w:rPr>
            </w:pPr>
          </w:p>
        </w:tc>
      </w:tr>
    </w:tbl>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p>
    <w:tbl>
      <w:tblPr>
        <w:tblStyle w:val="59"/>
        <w:tblW w:w="9166" w:type="dxa"/>
        <w:tblInd w:w="-480" w:type="dxa"/>
        <w:tblLayout w:type="fixed"/>
        <w:tblCellMar>
          <w:top w:w="0" w:type="dxa"/>
          <w:left w:w="30" w:type="dxa"/>
          <w:bottom w:w="0" w:type="dxa"/>
          <w:right w:w="30" w:type="dxa"/>
        </w:tblCellMar>
      </w:tblPr>
      <w:tblGrid>
        <w:gridCol w:w="3093"/>
        <w:gridCol w:w="3033"/>
        <w:gridCol w:w="1260"/>
        <w:gridCol w:w="1780"/>
      </w:tblGrid>
      <w:tr>
        <w:tblPrEx>
          <w:tblCellMar>
            <w:top w:w="0" w:type="dxa"/>
            <w:left w:w="30" w:type="dxa"/>
            <w:bottom w:w="0" w:type="dxa"/>
            <w:right w:w="30" w:type="dxa"/>
          </w:tblCellMar>
        </w:tblPrEx>
        <w:trPr>
          <w:trHeight w:val="724" w:hRule="atLeast"/>
        </w:trPr>
        <w:tc>
          <w:tcPr>
            <w:tcW w:w="9166"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783" w:hRule="atLeast"/>
        </w:trPr>
        <w:tc>
          <w:tcPr>
            <w:tcW w:w="309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3033" w:type="dxa"/>
            <w:tcBorders>
              <w:top w:val="single" w:color="auto" w:sz="6" w:space="0"/>
              <w:left w:val="single" w:color="auto" w:sz="6" w:space="0"/>
              <w:bottom w:val="single" w:color="auto" w:sz="6" w:space="0"/>
              <w:right w:val="nil"/>
            </w:tcBorders>
            <w:vAlign w:val="center"/>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全自动医用PCR分析系统</w:t>
            </w:r>
          </w:p>
        </w:tc>
        <w:tc>
          <w:tcPr>
            <w:tcW w:w="126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hint="default" w:asciiTheme="minorEastAsia" w:hAnsiTheme="minorEastAsia" w:eastAsiaTheme="minorEastAsia" w:cstheme="minorEastAsia"/>
                <w:color w:val="000000"/>
                <w:sz w:val="21"/>
                <w:szCs w:val="21"/>
                <w:lang w:val="en-US"/>
              </w:rPr>
            </w:pPr>
          </w:p>
        </w:tc>
      </w:tr>
      <w:tr>
        <w:tblPrEx>
          <w:tblCellMar>
            <w:top w:w="0" w:type="dxa"/>
            <w:left w:w="30" w:type="dxa"/>
            <w:bottom w:w="0" w:type="dxa"/>
            <w:right w:w="30" w:type="dxa"/>
          </w:tblCellMar>
        </w:tblPrEx>
        <w:trPr>
          <w:trHeight w:val="90" w:hRule="atLeast"/>
        </w:trPr>
        <w:tc>
          <w:tcPr>
            <w:tcW w:w="9166"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widowControl w:val="0"/>
              <w:adjustRightInd/>
              <w:snapToGrid/>
              <w:spacing w:line="360" w:lineRule="auto"/>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bCs/>
                <w:sz w:val="21"/>
                <w:szCs w:val="21"/>
              </w:rPr>
              <w:t>资</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质要求：</w:t>
            </w:r>
          </w:p>
          <w:p>
            <w:pPr>
              <w:widowControl w:val="0"/>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1、</w:t>
            </w: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产品获有CE认证</w:t>
            </w:r>
          </w:p>
          <w:p>
            <w:pPr>
              <w:widowControl w:val="0"/>
              <w:numPr>
                <w:ilvl w:val="0"/>
                <w:numId w:val="58"/>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产品获有CFDA三类医疗器械注册证</w:t>
            </w:r>
          </w:p>
          <w:p>
            <w:pPr>
              <w:widowControl w:val="0"/>
              <w:numPr>
                <w:ilvl w:val="0"/>
                <w:numId w:val="58"/>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荧光检测技术说明、检测报告</w:t>
            </w:r>
          </w:p>
          <w:p>
            <w:pPr>
              <w:widowControl w:val="0"/>
              <w:adjustRightInd/>
              <w:snapToGrid/>
              <w:spacing w:line="360" w:lineRule="auto"/>
              <w:rPr>
                <w:rFonts w:asciiTheme="minorEastAsia" w:hAnsiTheme="minorEastAsia" w:eastAsiaTheme="minorEastAsia" w:cstheme="minorEastAsia"/>
                <w:b/>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
                <w:color w:val="000000" w:themeColor="text1"/>
                <w:spacing w:val="-17"/>
                <w:sz w:val="21"/>
                <w:szCs w:val="21"/>
                <w14:textFill>
                  <w14:solidFill>
                    <w14:schemeClr w14:val="tx1"/>
                  </w14:solidFill>
                </w14:textFill>
              </w:rPr>
              <w:t>产品技术参数</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检测孔数：</w:t>
            </w: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96孔板</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适用耗材：8x0.2ml联管，0.2ml标准薄壁管和96x0.2ml反应板（国产管适用）</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激发光源：单色LED（终身免修）</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检测器：高分辨率科学级CCD"</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检测动力学范围：10</w:t>
            </w:r>
            <w:r>
              <w:rPr>
                <w:rFonts w:hint="eastAsia" w:asciiTheme="minorEastAsia" w:hAnsiTheme="minorEastAsia" w:eastAsiaTheme="minorEastAsia" w:cstheme="minorEastAsia"/>
                <w:color w:val="000000" w:themeColor="text1"/>
                <w:spacing w:val="-17"/>
                <w:sz w:val="21"/>
                <w:szCs w:val="21"/>
                <w:vertAlign w:val="superscript"/>
                <w14:textFill>
                  <w14:solidFill>
                    <w14:schemeClr w14:val="tx1"/>
                  </w14:solidFill>
                </w14:textFill>
              </w:rPr>
              <w:t>0</w:t>
            </w: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-10</w:t>
            </w:r>
            <w:r>
              <w:rPr>
                <w:rFonts w:hint="eastAsia" w:asciiTheme="minorEastAsia" w:hAnsiTheme="minorEastAsia" w:eastAsiaTheme="minorEastAsia" w:cstheme="minorEastAsia"/>
                <w:color w:val="000000" w:themeColor="text1"/>
                <w:spacing w:val="-17"/>
                <w:sz w:val="21"/>
                <w:szCs w:val="21"/>
                <w:vertAlign w:val="superscript"/>
                <w14:textFill>
                  <w14:solidFill>
                    <w14:schemeClr w14:val="tx1"/>
                  </w14:solidFill>
                </w14:textFill>
              </w:rPr>
              <w:t>10</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最小检测模板：单个拷贝</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反应容积：15-100ul</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荧光激发波长（nm）：通道1：470通道2：525通道3：585通道4：625</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荧光检测波长（nm）：通道1：520通道2：570通道3：620通道4：675</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检测荧光素及染料：通道1：FAM/SYBR通道2：VIC/JOE/HEX/TET/TAMRA/CY3通道3：ROX/Texas red  通道4：CY5等（市场开放通用染料）</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检测通道数：≥4(可扩至5通道）无需crosstalk校正</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加热/制冷模块：半导体热电模块</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温度控制区域数量：6区独立温控</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温度准确性：±0.1°C</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温度均匀性：95</w:t>
            </w: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°C恒定10s:±0.4°C,5</w:t>
            </w: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5</w:t>
            </w: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°C恒定10s:±0.2°C</w:t>
            </w:r>
          </w:p>
          <w:p>
            <w:pPr>
              <w:widowControl w:val="0"/>
              <w:numPr>
                <w:ilvl w:val="0"/>
                <w:numId w:val="59"/>
              </w:numPr>
              <w:adjustRightInd/>
              <w:snapToGrid/>
              <w:spacing w:line="360" w:lineRule="auto"/>
              <w:rPr>
                <w:rFonts w:asciiTheme="minorEastAsia" w:hAnsiTheme="minorEastAsia" w:eastAsiaTheme="minorEastAsia" w:cstheme="minorEastAsia"/>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最大升降温速率：≥5°C</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梯度范围：</w:t>
            </w: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30-99.9℃</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17"/>
                <w:sz w:val="21"/>
                <w:szCs w:val="21"/>
                <w14:textFill>
                  <w14:solidFill>
                    <w14:schemeClr w14:val="tx1"/>
                  </w14:solidFill>
                </w14:textFill>
              </w:rPr>
              <w:t>PC机操作系统：WimdowsXP/VISTA/Wimdows7/Wimdows8/Wimdows10等</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操作系统：linux</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处理器：A8处理器</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网络连接：LAN、WIFI</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一机多控：支持</w:t>
            </w:r>
          </w:p>
          <w:p>
            <w:pPr>
              <w:widowControl w:val="0"/>
              <w:numPr>
                <w:ilvl w:val="0"/>
                <w:numId w:val="59"/>
              </w:numPr>
              <w:adjustRightInd/>
              <w:snapToGrid/>
              <w:spacing w:line="360" w:lineRule="auto"/>
              <w:rPr>
                <w:rFonts w:asciiTheme="minorEastAsia" w:hAnsiTheme="minorEastAsia" w:eastAsiaTheme="minorEastAsia" w:cstheme="minorEastAsia"/>
                <w:bCs/>
                <w:color w:val="000000" w:themeColor="text1"/>
                <w:spacing w:val="-17"/>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17"/>
                <w:sz w:val="21"/>
                <w:szCs w:val="21"/>
                <w14:textFill>
                  <w14:solidFill>
                    <w14:schemeClr w14:val="tx1"/>
                  </w14:solidFill>
                </w14:textFill>
              </w:rPr>
              <w:t>温控编程：最大支持999个循环数</w:t>
            </w:r>
          </w:p>
          <w:p>
            <w:pPr>
              <w:widowControl w:val="0"/>
              <w:adjustRightInd/>
              <w:snapToGrid/>
              <w:spacing w:line="360" w:lineRule="auto"/>
              <w:rPr>
                <w:rFonts w:asciiTheme="minorEastAsia" w:hAnsiTheme="minorEastAsia" w:eastAsiaTheme="minorEastAsia" w:cstheme="minorEastAsia"/>
                <w:b/>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b/>
                <w:color w:val="000000" w:themeColor="text1"/>
                <w:spacing w:val="-20"/>
                <w:sz w:val="21"/>
                <w:szCs w:val="21"/>
                <w14:textFill>
                  <w14:solidFill>
                    <w14:schemeClr w14:val="tx1"/>
                  </w14:solidFill>
                </w14:textFill>
              </w:rPr>
              <w:t>技术特性：</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20"/>
                <w:sz w:val="21"/>
                <w:szCs w:val="21"/>
                <w14:textFill>
                  <w14:solidFill>
                    <w14:schemeClr w14:val="tx1"/>
                  </w14:solidFill>
                </w14:textFill>
              </w:rPr>
              <w:t>1、4个靶基因</w:t>
            </w: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荧光检测，（可增至5个</w:t>
            </w:r>
            <w:r>
              <w:rPr>
                <w:rFonts w:hint="eastAsia" w:asciiTheme="minorEastAsia" w:hAnsiTheme="minorEastAsia" w:eastAsiaTheme="minorEastAsia" w:cstheme="minorEastAsia"/>
                <w:bCs/>
                <w:color w:val="000000" w:themeColor="text1"/>
                <w:spacing w:val="-20"/>
                <w:sz w:val="21"/>
                <w:szCs w:val="21"/>
                <w14:textFill>
                  <w14:solidFill>
                    <w14:schemeClr w14:val="tx1"/>
                  </w14:solidFill>
                </w14:textFill>
              </w:rPr>
              <w:t>靶基因</w:t>
            </w: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 xml:space="preserve">荧光检测）精巧的滤光片组合设计，保证通道之间无交叉干扰：无需crosstalk校正； </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2、采用超强亮度单色LED光源，具有宽广的激发波长，可通用市场上常见的荧光染料；</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★3、侧底部双光纤导光，无干扰，96孔样品同一时刻采集荧光信号，确保荧光采集的一致性和准确性，检测时间短，效率高</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4、基于Linux的操作系统，配备A8处理器，保证机器运行的流畅性和体验感；</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5、主机整体开模，机身采用1.5mm铝合金；结实耐用，美观；</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6、全封闭样品座设计，能有效避免样品挥发，保证测试样品的安全；</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7、加热冷却方式采用最先进的半导体技术，确保扩增速率，扩增结果的准确性；</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8、六区独立温控标配96孔镀金模块，</w:t>
            </w:r>
            <w:r>
              <w:rPr>
                <w:rFonts w:hint="eastAsia" w:asciiTheme="minorEastAsia" w:hAnsiTheme="minorEastAsia" w:eastAsiaTheme="minorEastAsia" w:cstheme="minorEastAsia"/>
                <w:color w:val="000000" w:themeColor="text1"/>
                <w:spacing w:val="-20"/>
                <w:sz w:val="21"/>
                <w:szCs w:val="21"/>
                <w:shd w:val="clear" w:color="auto" w:fill="FFFFFF"/>
                <w14:textFill>
                  <w14:solidFill>
                    <w14:schemeClr w14:val="tx1"/>
                  </w14:solidFill>
                </w14:textFill>
              </w:rPr>
              <w:t>最大</w:t>
            </w: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升降温速度高达5℃/s，可大大节省用户的时间；</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9、具有两种温度控制模式，即模块温控和模拟管控，保证检测的灵活性；</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10、温控范围为0-99.9℃，温控均一性为±0.2℃（45℃-75℃时），确保各孔之间低拷贝样品数据的准确测试；</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11、全中文向导式操作界面，直观、清晰、功能全面；同时可方便、快捷进行中英文切换；</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12、涵盖多种分析模式：相对定量、绝对定量、终点定量、溶解曲线分析等；</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13、内置统计分析工具和自定义公式编辑工具，数据无需导出，直接在仪器软件中分析完成；</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★14、具有梯度设置功能，梯度范围为30-100℃，具有touch down PCR、long PCR、具有温度/时间，递增/递减等高级编程功能，有利于优化实验条件；</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15、电脑通过WIFI、LAN连接主机，更方便使用；</w:t>
            </w:r>
          </w:p>
          <w:p>
            <w:pPr>
              <w:widowControl w:val="0"/>
              <w:adjustRightInd/>
              <w:snapToGrid/>
              <w:spacing w:line="360" w:lineRule="auto"/>
              <w:rPr>
                <w:rFonts w:asciiTheme="minorEastAsia" w:hAnsiTheme="minorEastAsia" w:eastAsiaTheme="minorEastAsia" w:cstheme="minorEastAsia"/>
                <w:color w:val="000000" w:themeColor="text1"/>
                <w:spacing w:val="-2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★16、特有的滑动轨道式热盖设计，配备热盖保护技术，防止样品蒸发、浓缩，减少非特异PCR产物；</w:t>
            </w:r>
          </w:p>
          <w:p>
            <w:pPr>
              <w:widowControl w:val="0"/>
              <w:adjustRightInd/>
              <w:snapToGrid/>
              <w:spacing w:line="360" w:lineRule="auto"/>
              <w:rPr>
                <w:rFonts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17、支持单节升降温速率可设和梯度设置，提高工作效率；</w:t>
            </w:r>
          </w:p>
          <w:p>
            <w:pPr>
              <w:widowControl w:val="0"/>
              <w:adjustRightInd/>
              <w:snapToGrid/>
              <w:spacing w:line="360" w:lineRule="auto"/>
              <w:rPr>
                <w:rFonts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18、支持程序运行后实时修改功能，确保珍贵样品的利用效率；</w:t>
            </w:r>
          </w:p>
          <w:p>
            <w:pPr>
              <w:widowControl w:val="0"/>
              <w:adjustRightInd/>
              <w:snapToGrid/>
              <w:spacing w:line="360" w:lineRule="auto"/>
              <w:rPr>
                <w:rFonts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19、生产企业需为高新技术企业，质量性能有保障；</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pacing w:val="-20"/>
                <w:sz w:val="21"/>
                <w:szCs w:val="21"/>
              </w:rPr>
              <w:t>20、售后：产品自安装合格之日起计算保修期，质保两年，终身维修。当地配备厂家专职售后工程师（提供厂家工程师证明）</w:t>
            </w:r>
          </w:p>
        </w:tc>
      </w:tr>
      <w:tr>
        <w:tblPrEx>
          <w:tblCellMar>
            <w:top w:w="0" w:type="dxa"/>
            <w:left w:w="30" w:type="dxa"/>
            <w:bottom w:w="0" w:type="dxa"/>
            <w:right w:w="30" w:type="dxa"/>
          </w:tblCellMar>
        </w:tblPrEx>
        <w:trPr>
          <w:trHeight w:val="561" w:hRule="atLeast"/>
        </w:trPr>
        <w:tc>
          <w:tcPr>
            <w:tcW w:w="309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303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26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83" w:hRule="atLeast"/>
        </w:trPr>
        <w:tc>
          <w:tcPr>
            <w:tcW w:w="309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303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26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rPr>
          <w:trHeight w:val="561" w:hRule="atLeast"/>
        </w:trPr>
        <w:tc>
          <w:tcPr>
            <w:tcW w:w="309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303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26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9134" w:type="dxa"/>
        <w:tblInd w:w="-464" w:type="dxa"/>
        <w:tblLayout w:type="fixed"/>
        <w:tblCellMar>
          <w:top w:w="0" w:type="dxa"/>
          <w:left w:w="30" w:type="dxa"/>
          <w:bottom w:w="0" w:type="dxa"/>
          <w:right w:w="30" w:type="dxa"/>
        </w:tblCellMar>
      </w:tblPr>
      <w:tblGrid>
        <w:gridCol w:w="3077"/>
        <w:gridCol w:w="2076"/>
        <w:gridCol w:w="2217"/>
        <w:gridCol w:w="1764"/>
      </w:tblGrid>
      <w:tr>
        <w:tblPrEx>
          <w:tblCellMar>
            <w:top w:w="0" w:type="dxa"/>
            <w:left w:w="30" w:type="dxa"/>
            <w:bottom w:w="0" w:type="dxa"/>
            <w:right w:w="30" w:type="dxa"/>
          </w:tblCellMar>
        </w:tblPrEx>
        <w:trPr>
          <w:trHeight w:val="807" w:hRule="atLeast"/>
        </w:trPr>
        <w:tc>
          <w:tcPr>
            <w:tcW w:w="9134"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659" w:hRule="atLeast"/>
        </w:trPr>
        <w:tc>
          <w:tcPr>
            <w:tcW w:w="30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vAlign w:val="center"/>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PCR荧光定量仪</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4"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10629" w:hRule="atLeast"/>
        </w:trPr>
        <w:tc>
          <w:tcPr>
            <w:tcW w:w="9134"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numPr>
                <w:ilvl w:val="0"/>
                <w:numId w:val="60"/>
              </w:num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检测通量：96</w:t>
            </w:r>
          </w:p>
          <w:p>
            <w:pPr>
              <w:numPr>
                <w:ilvl w:val="0"/>
                <w:numId w:val="60"/>
              </w:num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适用耗材：8x0.2ml联管，0.2ml标准薄壁管和96x0.2ml反应板（国产管适用）</w:t>
            </w:r>
          </w:p>
          <w:p>
            <w:pPr>
              <w:numPr>
                <w:ilvl w:val="0"/>
                <w:numId w:val="60"/>
              </w:num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反应体系：10-120ul 支持快速反应模式体系</w:t>
            </w:r>
          </w:p>
          <w:p>
            <w:pPr>
              <w:numPr>
                <w:ilvl w:val="0"/>
                <w:numId w:val="60"/>
              </w:num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加热/制冷模块：半导体热电模块</w:t>
            </w:r>
          </w:p>
          <w:p>
            <w:pPr>
              <w:numPr>
                <w:ilvl w:val="0"/>
                <w:numId w:val="60"/>
              </w:num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温度控制范围：4-99℃</w:t>
            </w:r>
          </w:p>
          <w:p>
            <w:pPr>
              <w:numPr>
                <w:ilvl w:val="0"/>
                <w:numId w:val="60"/>
              </w:num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温度控制区域数量：6区独立温控</w:t>
            </w:r>
          </w:p>
          <w:p>
            <w:pPr>
              <w:numPr>
                <w:ilvl w:val="0"/>
                <w:numId w:val="60"/>
              </w:num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模块控温精度：≤0.08℃</w:t>
            </w:r>
          </w:p>
          <w:p>
            <w:pPr>
              <w:numPr>
                <w:ilvl w:val="0"/>
                <w:numId w:val="60"/>
              </w:num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温度准确度：≤0.1℃</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9、最大降温速率：＞3.0℃/s</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10、最大升温速率：＞3.0℃/s</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11、温度均匀性：±0.1°C</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12、温度持续时间准确度：≤1%</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13、激发光源：全波长免维护卤钨灯(质保五年)</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14、激发光波长范围：380 nm -780 nm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15、检测组件：-20℃ CCD</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16、检测光波长范围：380 nm -780 nm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17、检测通道数：≥5(可扩展至8通道）</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18、激发检测通道传播介质：196根耐高温光纤</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19、适用 染料：FAM/SYBRGreen/EvaGreen/VIC/JOE/HEX/TET/ROX/TexasRed  Cy5/Cy5.5/Quasar 705等</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20、置 信 度：可进行500和1000个拷贝的有效区分，置信度达99.7%</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21、软件功能：软件功能丰富,可通过染料及探针实现绝对定量、相对定量、基因分型、扩增效率计算、熔解曲线等</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22、远程监控：可与实验室信息管理系统联网</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23、数据输出形式：用户设置</w:t>
            </w:r>
          </w:p>
        </w:tc>
      </w:tr>
      <w:tr>
        <w:tblPrEx>
          <w:tblCellMar>
            <w:top w:w="0" w:type="dxa"/>
            <w:left w:w="30" w:type="dxa"/>
            <w:bottom w:w="0" w:type="dxa"/>
            <w:right w:w="30" w:type="dxa"/>
          </w:tblCellMar>
        </w:tblPrEx>
        <w:trPr>
          <w:trHeight w:val="478" w:hRule="atLeast"/>
        </w:trPr>
        <w:tc>
          <w:tcPr>
            <w:tcW w:w="30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4"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86" w:hRule="atLeast"/>
        </w:trPr>
        <w:tc>
          <w:tcPr>
            <w:tcW w:w="30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4"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30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4"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9067" w:type="dxa"/>
        <w:tblInd w:w="-336" w:type="dxa"/>
        <w:tblLayout w:type="fixed"/>
        <w:tblCellMar>
          <w:top w:w="0" w:type="dxa"/>
          <w:left w:w="30" w:type="dxa"/>
          <w:bottom w:w="0" w:type="dxa"/>
          <w:right w:w="30" w:type="dxa"/>
        </w:tblCellMar>
      </w:tblPr>
      <w:tblGrid>
        <w:gridCol w:w="2949"/>
        <w:gridCol w:w="2076"/>
        <w:gridCol w:w="2217"/>
        <w:gridCol w:w="1825"/>
      </w:tblGrid>
      <w:tr>
        <w:tblPrEx>
          <w:tblCellMar>
            <w:top w:w="0" w:type="dxa"/>
            <w:left w:w="30" w:type="dxa"/>
            <w:bottom w:w="0" w:type="dxa"/>
            <w:right w:w="30" w:type="dxa"/>
          </w:tblCellMar>
        </w:tblPrEx>
        <w:trPr>
          <w:trHeight w:val="779" w:hRule="atLeast"/>
        </w:trPr>
        <w:tc>
          <w:tcPr>
            <w:tcW w:w="9067"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727" w:hRule="atLeast"/>
        </w:trPr>
        <w:tc>
          <w:tcPr>
            <w:tcW w:w="294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vAlign w:val="center"/>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全自动核酸提取仪</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25"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498" w:hRule="atLeast"/>
        </w:trPr>
        <w:tc>
          <w:tcPr>
            <w:tcW w:w="9067"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textAlignment w:val="baseline"/>
              <w:rPr>
                <w:rStyle w:val="1026"/>
                <w:rFonts w:asciiTheme="minorEastAsia" w:hAnsiTheme="minorEastAsia" w:eastAsiaTheme="minorEastAsia" w:cstheme="minorEastAsia"/>
                <w:color w:val="000000"/>
                <w:sz w:val="21"/>
                <w:szCs w:val="21"/>
              </w:rPr>
            </w:pPr>
            <w:r>
              <w:rPr>
                <w:rStyle w:val="1026"/>
                <w:rFonts w:hint="eastAsia" w:asciiTheme="minorEastAsia" w:hAnsiTheme="minorEastAsia" w:eastAsiaTheme="minorEastAsia" w:cstheme="minorEastAsia"/>
                <w:color w:val="000000"/>
                <w:sz w:val="21"/>
                <w:szCs w:val="21"/>
              </w:rPr>
              <w:t>1、列表方式、快捷方式、查看方式等多方式运行</w:t>
            </w:r>
          </w:p>
          <w:p>
            <w:pPr>
              <w:spacing w:line="360" w:lineRule="auto"/>
              <w:textAlignment w:val="baseline"/>
              <w:rPr>
                <w:rStyle w:val="1026"/>
                <w:rFonts w:asciiTheme="minorEastAsia" w:hAnsiTheme="minorEastAsia" w:eastAsiaTheme="minorEastAsia" w:cstheme="minorEastAsia"/>
                <w:color w:val="000000"/>
                <w:sz w:val="21"/>
                <w:szCs w:val="21"/>
              </w:rPr>
            </w:pPr>
            <w:r>
              <w:rPr>
                <w:rStyle w:val="1026"/>
                <w:rFonts w:hint="eastAsia" w:asciiTheme="minorEastAsia" w:hAnsiTheme="minorEastAsia" w:eastAsiaTheme="minorEastAsia" w:cstheme="minorEastAsia"/>
                <w:color w:val="000000"/>
                <w:sz w:val="21"/>
                <w:szCs w:val="21"/>
              </w:rPr>
              <w:t xml:space="preserve"> 2、具有温度调节功能，可根据需求自定义裂解、洗脱温度，温度可在室温~115℃自由调节。</w:t>
            </w:r>
          </w:p>
          <w:p>
            <w:pPr>
              <w:spacing w:line="360" w:lineRule="auto"/>
              <w:textAlignment w:val="baseline"/>
              <w:rPr>
                <w:rStyle w:val="1026"/>
                <w:rFonts w:asciiTheme="minorEastAsia" w:hAnsiTheme="minorEastAsia" w:eastAsiaTheme="minorEastAsia" w:cstheme="minorEastAsia"/>
                <w:color w:val="000000"/>
                <w:sz w:val="21"/>
                <w:szCs w:val="21"/>
              </w:rPr>
            </w:pPr>
            <w:r>
              <w:rPr>
                <w:rStyle w:val="1026"/>
                <w:rFonts w:hint="eastAsia" w:asciiTheme="minorEastAsia" w:hAnsiTheme="minorEastAsia" w:eastAsiaTheme="minorEastAsia" w:cstheme="minorEastAsia"/>
                <w:color w:val="000000"/>
                <w:sz w:val="21"/>
                <w:szCs w:val="21"/>
              </w:rPr>
              <w:t>★3、自由编程设计，强大的程序编辑功能，可满足不同试剂需求</w:t>
            </w:r>
          </w:p>
          <w:p>
            <w:pPr>
              <w:spacing w:line="360" w:lineRule="auto"/>
              <w:textAlignment w:val="baseline"/>
              <w:rPr>
                <w:rStyle w:val="1026"/>
                <w:rFonts w:asciiTheme="minorEastAsia" w:hAnsiTheme="minorEastAsia" w:eastAsiaTheme="minorEastAsia" w:cstheme="minorEastAsia"/>
                <w:color w:val="000000"/>
                <w:sz w:val="21"/>
                <w:szCs w:val="21"/>
              </w:rPr>
            </w:pPr>
            <w:r>
              <w:rPr>
                <w:rStyle w:val="1026"/>
                <w:rFonts w:hint="eastAsia" w:asciiTheme="minorEastAsia" w:hAnsiTheme="minorEastAsia" w:eastAsiaTheme="minorEastAsia" w:cstheme="minorEastAsia"/>
                <w:color w:val="000000"/>
                <w:sz w:val="21"/>
                <w:szCs w:val="21"/>
              </w:rPr>
              <w:t xml:space="preserve">4、操作时间短，30-60 分钟（与试剂有关），通量大，可以同时提取 32 份样品 </w:t>
            </w:r>
          </w:p>
          <w:p>
            <w:pPr>
              <w:numPr>
                <w:ilvl w:val="0"/>
                <w:numId w:val="61"/>
              </w:numPr>
              <w:spacing w:line="360" w:lineRule="auto"/>
              <w:rPr>
                <w:rStyle w:val="1026"/>
                <w:rFonts w:asciiTheme="minorEastAsia" w:hAnsiTheme="minorEastAsia" w:eastAsiaTheme="minorEastAsia" w:cstheme="minorEastAsia"/>
                <w:color w:val="000000"/>
                <w:sz w:val="21"/>
                <w:szCs w:val="21"/>
              </w:rPr>
            </w:pPr>
            <w:r>
              <w:rPr>
                <w:rStyle w:val="1026"/>
                <w:rFonts w:hint="eastAsia" w:asciiTheme="minorEastAsia" w:hAnsiTheme="minorEastAsia" w:eastAsiaTheme="minorEastAsia" w:cstheme="minorEastAsia"/>
                <w:color w:val="000000"/>
                <w:sz w:val="21"/>
                <w:szCs w:val="21"/>
              </w:rPr>
              <w:t>可全程自动化完成，无需人工操作。</w:t>
            </w:r>
          </w:p>
          <w:p>
            <w:pPr>
              <w:numPr>
                <w:ilvl w:val="0"/>
                <w:numId w:val="61"/>
              </w:numPr>
              <w:spacing w:line="360" w:lineRule="auto"/>
              <w:rPr>
                <w:rStyle w:val="1026"/>
                <w:rFonts w:asciiTheme="minorEastAsia" w:hAnsiTheme="minorEastAsia" w:eastAsiaTheme="minorEastAsia" w:cstheme="minorEastAsia"/>
                <w:color w:val="000000"/>
                <w:sz w:val="21"/>
                <w:szCs w:val="21"/>
              </w:rPr>
            </w:pPr>
            <w:r>
              <w:rPr>
                <w:rStyle w:val="1026"/>
                <w:rFonts w:hint="eastAsia" w:asciiTheme="minorEastAsia" w:hAnsiTheme="minorEastAsia" w:eastAsiaTheme="minorEastAsia" w:cstheme="minorEastAsia"/>
                <w:color w:val="000000"/>
                <w:sz w:val="21"/>
                <w:szCs w:val="21"/>
              </w:rPr>
              <w:t>需内置紫外消毒功能，可定时消毒，杜绝交叉污染 。</w:t>
            </w:r>
          </w:p>
          <w:p>
            <w:pPr>
              <w:spacing w:line="360" w:lineRule="auto"/>
              <w:textAlignment w:val="baseline"/>
              <w:rPr>
                <w:rStyle w:val="1026"/>
                <w:rFonts w:asciiTheme="minorEastAsia" w:hAnsiTheme="minorEastAsia" w:eastAsiaTheme="minorEastAsia" w:cstheme="minorEastAsia"/>
                <w:kern w:val="2"/>
                <w:sz w:val="21"/>
                <w:szCs w:val="21"/>
              </w:rPr>
            </w:pPr>
            <w:r>
              <w:rPr>
                <w:rStyle w:val="1026"/>
                <w:rFonts w:hint="eastAsia" w:asciiTheme="minorEastAsia" w:hAnsiTheme="minorEastAsia" w:eastAsiaTheme="minorEastAsia" w:cstheme="minorEastAsia"/>
                <w:color w:val="000000"/>
                <w:sz w:val="21"/>
                <w:szCs w:val="21"/>
              </w:rPr>
              <w:t>7、具有安全防护功能，可实现安全门打开后自动暂停程序运行，安全门关闭后可继续运行程序，避免伤害人体。</w:t>
            </w:r>
          </w:p>
          <w:p>
            <w:pPr>
              <w:spacing w:line="360" w:lineRule="auto"/>
              <w:textAlignment w:val="baseline"/>
              <w:rPr>
                <w:rStyle w:val="1026"/>
                <w:rFonts w:asciiTheme="minorEastAsia" w:hAnsiTheme="minorEastAsia" w:eastAsiaTheme="minorEastAsia" w:cstheme="minorEastAsia"/>
                <w:kern w:val="2"/>
                <w:sz w:val="21"/>
                <w:szCs w:val="21"/>
              </w:rPr>
            </w:pPr>
            <w:r>
              <w:rPr>
                <w:rStyle w:val="1026"/>
                <w:rFonts w:hint="eastAsia" w:asciiTheme="minorEastAsia" w:hAnsiTheme="minorEastAsia" w:eastAsiaTheme="minorEastAsia" w:cstheme="minorEastAsia"/>
                <w:color w:val="000000"/>
                <w:sz w:val="21"/>
                <w:szCs w:val="21"/>
              </w:rPr>
              <w:t>★8、试剂平台开放，可使用各种磁珠法核酸提取试剂。</w:t>
            </w:r>
          </w:p>
          <w:p>
            <w:pPr>
              <w:spacing w:line="360" w:lineRule="auto"/>
              <w:textAlignment w:val="baseline"/>
              <w:rPr>
                <w:rStyle w:val="1026"/>
                <w:rFonts w:asciiTheme="minorEastAsia" w:hAnsiTheme="minorEastAsia" w:eastAsiaTheme="minorEastAsia" w:cstheme="minorEastAsia"/>
                <w:color w:val="000000"/>
                <w:sz w:val="21"/>
                <w:szCs w:val="21"/>
              </w:rPr>
            </w:pPr>
            <w:r>
              <w:rPr>
                <w:rStyle w:val="1026"/>
                <w:rFonts w:hint="eastAsia" w:asciiTheme="minorEastAsia" w:hAnsiTheme="minorEastAsia" w:eastAsiaTheme="minorEastAsia" w:cstheme="minorEastAsia"/>
                <w:color w:val="000000"/>
                <w:sz w:val="21"/>
                <w:szCs w:val="21"/>
              </w:rPr>
              <w:t xml:space="preserve">★9、仪器体积小，不大于 400mm×400mm×450mm，可以放置在生物安全柜内进行操作。 </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Style w:val="1026"/>
                <w:rFonts w:hint="eastAsia" w:asciiTheme="minorEastAsia" w:hAnsiTheme="minorEastAsia" w:eastAsiaTheme="minorEastAsia" w:cstheme="minorEastAsia"/>
                <w:color w:val="000000"/>
                <w:sz w:val="21"/>
                <w:szCs w:val="21"/>
              </w:rPr>
              <w:t>10、储存量大，可同时储存＞500 组程序数据。</w:t>
            </w:r>
          </w:p>
        </w:tc>
      </w:tr>
      <w:tr>
        <w:tblPrEx>
          <w:tblCellMar>
            <w:top w:w="0" w:type="dxa"/>
            <w:left w:w="30" w:type="dxa"/>
            <w:bottom w:w="0" w:type="dxa"/>
            <w:right w:w="30" w:type="dxa"/>
          </w:tblCellMar>
        </w:tblPrEx>
        <w:trPr>
          <w:trHeight w:val="561" w:hRule="atLeast"/>
        </w:trPr>
        <w:tc>
          <w:tcPr>
            <w:tcW w:w="294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25"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94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25"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94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25"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967" w:type="dxa"/>
        <w:tblInd w:w="-214" w:type="dxa"/>
        <w:tblLayout w:type="fixed"/>
        <w:tblCellMar>
          <w:top w:w="0" w:type="dxa"/>
          <w:left w:w="30" w:type="dxa"/>
          <w:bottom w:w="0" w:type="dxa"/>
          <w:right w:w="30" w:type="dxa"/>
        </w:tblCellMar>
      </w:tblPr>
      <w:tblGrid>
        <w:gridCol w:w="2827"/>
        <w:gridCol w:w="2076"/>
        <w:gridCol w:w="2217"/>
        <w:gridCol w:w="1847"/>
      </w:tblGrid>
      <w:tr>
        <w:tblPrEx>
          <w:tblCellMar>
            <w:top w:w="0" w:type="dxa"/>
            <w:left w:w="30" w:type="dxa"/>
            <w:bottom w:w="0" w:type="dxa"/>
            <w:right w:w="30" w:type="dxa"/>
          </w:tblCellMar>
        </w:tblPrEx>
        <w:trPr>
          <w:trHeight w:val="767" w:hRule="atLeast"/>
        </w:trPr>
        <w:tc>
          <w:tcPr>
            <w:tcW w:w="8967"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50" w:hRule="atLeast"/>
        </w:trPr>
        <w:tc>
          <w:tcPr>
            <w:tcW w:w="28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vAlign w:val="center"/>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生物安全柜</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4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98" w:hRule="atLeast"/>
        </w:trPr>
        <w:tc>
          <w:tcPr>
            <w:tcW w:w="8967"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widowControl w:val="0"/>
              <w:adjustRightInd/>
              <w:snapToGrid/>
              <w:spacing w:line="360" w:lineRule="auto"/>
              <w:rPr>
                <w:rFonts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一、资质要求：</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1.生产企业通过TÜV机构颁布的ISO13485:2003认证和ISO9001:2008认证</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2.产品通过SFDA医疗器械注册证</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3.产品</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同时执行中国YY0569、欧盟EN12469-GS和美国NSF49标准</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4.第三方检测报告，相关进口证明</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5.针对此项目该产品厂家授权书</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二、技术指标：</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1.型别：Ⅱ级B2垂直层流负压机型,气幕式隔离设计,防止内外交叉感染;气流模式：100%外排</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2.内部操作尺寸:≤长1250mm</w:t>
            </w:r>
          </w:p>
          <w:p>
            <w:pPr>
              <w:widowControl w:val="0"/>
              <w:adjustRightInd/>
              <w:snapToGrid/>
              <w:spacing w:line="360" w:lineRule="auto"/>
              <w:ind w:firstLine="420" w:firstLineChars="20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整体高度（含支架）≤2130mm（最低可调至2030mm）</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3.流入气流平均风速0.53±0.025m/s，下降气流平均风速0.30±0.025m/s</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★4.进口超高效ULPA空气过滤器，针对颗粒直径0.12um，过滤效率≥99.9995%，提供进口证明文件，如报关单；</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5.洁净度10级（美联邦209E）</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6.安全柜出厂前使用ATI泄露扫描仪进行不少于2次的过滤器完整性测试</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★7.在线实时监测并条形码显示高效过滤器的使用寿命，具有过滤器失效声光报警功能，保证实验的安全性，提供国家权威机构出具的证明文件；</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★8.进口自感应风机，单风机技术，同步控制进风及排风，风速可自动调节，故障率低，噪音小，与风速传感器联动，提供证明报关单，可拆箱验收</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★9.采用蓝布风道技术，确保风速、风量、风压持续保持稳定抗干扰状态。可拆箱验收</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10.工作区和外排出风口处各配备一个实时动态自动校准微风速传感器，非压差传感器，真实、实时检测风速，提供实物图片证明；</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11.LCD液晶屏显示，可显示工作区温度、气流流速、时间、过滤膜使用寿命等系统参数，实时监测与显示下降风速，吸入口风速。机组运行时间累计与显示。监测风机运行及操作区安全状态；</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12.工作区三侧壁板为一体化成型，304不锈钢材质，双层侧壁形成负压保护，可行移动式工作台面、对应&gt;4000mL304不锈钢集液槽，设有排污阀门，方便收集残留液和清洗消毒。</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13.操作挡板为安全玻璃移门，前窗玻璃手拉式启停，不得使用电控，以保证断电时能及时关门防护；进口升降系统控制位置、升降自如，精确定位、具有安全高度上、下限位，声光报警；</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14.玻璃前窗采用倾角人性化设计，提高了操作人员在安全柜前的操作舒适性，采用安全钢化玻璃，具有良好的防爆、防碎及防紫外的功能</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紫外灯和日光灯不得安装在工作区背面或工作区侧面，避免直接照射到操作人员，确保使用安全，同时具有紫外灯预约功能，可预约紫外灯自动开启/关闭时间、灭菌时间</w:t>
            </w:r>
            <w:r>
              <w:rPr>
                <w:rFonts w:hint="eastAsia" w:asciiTheme="minorEastAsia" w:hAnsiTheme="minorEastAsia" w:eastAsiaTheme="minorEastAsia" w:cstheme="minorEastAsia"/>
                <w:color w:val="000000" w:themeColor="text1"/>
                <w:sz w:val="21"/>
                <w:szCs w:val="21"/>
                <w14:textFill>
                  <w14:solidFill>
                    <w14:schemeClr w14:val="tx1"/>
                  </w14:solidFill>
                </w14:textFill>
              </w:rPr>
              <w:t>，有效节省时间。照明系统采用进口名品灯具，护眼设计，照度优于国家标准。</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16. 操作台面前采用搁手架设计，操作舒适，操作灵活度空间更大；</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17.出厂前通过严格的压力衰减法检测：加压到500Pa，保持30min后气压不低于450Pa</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18.通过严格的KI-Discus 碘化钾法测试，前窗操作口的保护因子不小于1×105，提供CMA检测资质的机构的检测报告证明；</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19.安全性能保障：具备紫外系统、荧光灯、前窗的连锁系统；具备低风速报警功能；具备前窗位置异位报警功能；具备前窗侧壁抗扰流系统，可避免泄漏； </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20.联动控制：通过专业的联动控制芯片，与净化工程的排风系统联动，可提供截止阀、风机等，并自动控制</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21.可选配与主机同一品牌的活性炭过滤器装置，且活性炭过滤装置面板能实时显示使用寿命，具有失效报警功能</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22.柜内电源：双防水插座设计，插座位于安全柜左右两侧，操作更加灵活方便</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23.具有水阀、气阀、真空阀等阀门预留孔，位于安全柜左右两侧，操作更加灵活方便</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24.噪音≤65分贝</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25.售后：产品自安装合格之日起计算保修期，质保两年，终身维修。当地配备厂家专职售后工程师（可提供工程师证明）</w:t>
            </w:r>
          </w:p>
        </w:tc>
      </w:tr>
      <w:tr>
        <w:tblPrEx>
          <w:tblCellMar>
            <w:top w:w="0" w:type="dxa"/>
            <w:left w:w="30" w:type="dxa"/>
            <w:bottom w:w="0" w:type="dxa"/>
            <w:right w:w="30" w:type="dxa"/>
          </w:tblCellMar>
        </w:tblPrEx>
        <w:trPr>
          <w:trHeight w:val="561" w:hRule="atLeast"/>
        </w:trPr>
        <w:tc>
          <w:tcPr>
            <w:tcW w:w="28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4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8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4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8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4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933" w:type="dxa"/>
        <w:tblInd w:w="-230" w:type="dxa"/>
        <w:tblLayout w:type="fixed"/>
        <w:tblCellMar>
          <w:top w:w="0" w:type="dxa"/>
          <w:left w:w="30" w:type="dxa"/>
          <w:bottom w:w="0" w:type="dxa"/>
          <w:right w:w="30" w:type="dxa"/>
        </w:tblCellMar>
      </w:tblPr>
      <w:tblGrid>
        <w:gridCol w:w="2843"/>
        <w:gridCol w:w="2076"/>
        <w:gridCol w:w="2217"/>
        <w:gridCol w:w="1797"/>
      </w:tblGrid>
      <w:tr>
        <w:tblPrEx>
          <w:tblCellMar>
            <w:top w:w="0" w:type="dxa"/>
            <w:left w:w="30" w:type="dxa"/>
            <w:bottom w:w="0" w:type="dxa"/>
            <w:right w:w="30" w:type="dxa"/>
          </w:tblCellMar>
        </w:tblPrEx>
        <w:trPr>
          <w:trHeight w:val="699" w:hRule="atLeast"/>
        </w:trPr>
        <w:tc>
          <w:tcPr>
            <w:tcW w:w="8933"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620" w:hRule="atLeast"/>
        </w:trPr>
        <w:tc>
          <w:tcPr>
            <w:tcW w:w="28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vAlign w:val="center"/>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生物安全柜</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711" w:hRule="atLeast"/>
        </w:trPr>
        <w:tc>
          <w:tcPr>
            <w:tcW w:w="8933"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widowControl w:val="0"/>
              <w:adjustRightInd/>
              <w:snapToGrid/>
              <w:spacing w:line="360" w:lineRule="auto"/>
              <w:rPr>
                <w:rFonts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一、资质要求：</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1.生产企业通过TÜV机构颁布的ISO13485:2003认证和ISO9001:2008认证</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2.产品通过SFDA医疗器械注册证</w:t>
            </w:r>
          </w:p>
          <w:p>
            <w:pPr>
              <w:widowControl w:val="0"/>
              <w:adjustRightInd/>
              <w:snapToGrid/>
              <w:spacing w:line="360" w:lineRule="auto"/>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3.产品</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同时执行中国YY0569、欧盟EN12469-GS和美国NSF49标准</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4.第三方检测报告，相关进口证明</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5.针对此项目该产品厂家授权书</w:t>
            </w:r>
          </w:p>
          <w:p>
            <w:pPr>
              <w:widowControl w:val="0"/>
              <w:adjustRightInd/>
              <w:snapToGrid/>
              <w:spacing w:line="360" w:lineRule="auto"/>
              <w:rPr>
                <w:rFonts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二、技术指标：</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1.型别：Ⅱ级A2垂直层流负压机型,气幕式隔离设计,防止内外交叉感染;70%气体循环、30%外排的层流方式</w:t>
            </w:r>
          </w:p>
          <w:p>
            <w:pPr>
              <w:widowControl w:val="0"/>
              <w:adjustRightInd/>
              <w:snapToGrid/>
              <w:spacing w:line="360" w:lineRule="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2.内部操作尺寸:≥长1250mm </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整体高度（含支架）≤2130mm（最低可调至2030mm）</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3.下降气流平均风速0.35±0.025m/s,流入气流平均风速0.53±0.025m/s</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★4.过滤技术：采用进口ULPA超高效空气过滤器，针对颗粒直径0.12um，过滤效率≥99.9995%，提供进口证明；</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5.气流平衡生物防护</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人员防护:通过严格的KI-Discus 碘化钾法测试，前窗操作口保护因子不小于1×105生物防护，受试产品防护（1-8×10</w:t>
            </w:r>
            <w:r>
              <w:rPr>
                <w:rFonts w:hint="eastAsia" w:asciiTheme="minorEastAsia" w:hAnsiTheme="minorEastAsia" w:eastAsiaTheme="minorEastAsia" w:cstheme="minorEastAsia"/>
                <w:color w:val="000000" w:themeColor="text1"/>
                <w:sz w:val="21"/>
                <w:szCs w:val="21"/>
                <w:vertAlign w:val="superscript"/>
                <w14:textFill>
                  <w14:solidFill>
                    <w14:schemeClr w14:val="tx1"/>
                  </w14:solidFill>
                </w14:textFill>
              </w:rPr>
              <w:t>6</w:t>
            </w:r>
            <w:r>
              <w:rPr>
                <w:rFonts w:hint="eastAsia" w:asciiTheme="minorEastAsia" w:hAnsiTheme="minorEastAsia" w:eastAsiaTheme="minorEastAsia" w:cstheme="minorEastAsia"/>
                <w:color w:val="000000" w:themeColor="text1"/>
                <w:sz w:val="21"/>
                <w:szCs w:val="21"/>
                <w14:textFill>
                  <w14:solidFill>
                    <w14:schemeClr w14:val="tx1"/>
                  </w14:solidFill>
                </w14:textFill>
              </w:rPr>
              <w:t>/ml 浓度枯草杆菌芽孢液喷雾试验，连续三次）：</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菌落总数≤5 CFU/每次，交叉感染防护（1-8×10</w:t>
            </w:r>
            <w:r>
              <w:rPr>
                <w:rFonts w:hint="eastAsia" w:asciiTheme="minorEastAsia" w:hAnsiTheme="minorEastAsia" w:eastAsiaTheme="minorEastAsia" w:cstheme="minorEastAsia"/>
                <w:color w:val="000000" w:themeColor="text1"/>
                <w:sz w:val="21"/>
                <w:szCs w:val="21"/>
                <w:vertAlign w:val="superscript"/>
                <w14:textFill>
                  <w14:solidFill>
                    <w14:schemeClr w14:val="tx1"/>
                  </w14:solidFill>
                </w14:textFill>
              </w:rPr>
              <w:t>4</w:t>
            </w:r>
            <w:r>
              <w:rPr>
                <w:rFonts w:hint="eastAsia" w:asciiTheme="minorEastAsia" w:hAnsiTheme="minorEastAsia" w:eastAsiaTheme="minorEastAsia" w:cstheme="minorEastAsia"/>
                <w:color w:val="000000" w:themeColor="text1"/>
                <w:sz w:val="21"/>
                <w:szCs w:val="21"/>
                <w14:textFill>
                  <w14:solidFill>
                    <w14:schemeClr w14:val="tx1"/>
                  </w14:solidFill>
                </w14:textFill>
              </w:rPr>
              <w:t>/ml 浓度枯草杆菌芽孢液喷雾试验，连续三次）：菌落总数≤2 CFU/每次</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6.工作室洁净等级：10级（美联邦209E）</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★7.采用国际领先的单风机控制技术，同步控制进风及排风，进口自感应风机，风速可自动调节，故障率低，噪音小，与风速传感器联动，提供进口证明；</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8.工作区和外排出风口处各配备一个实时动态自动校准微风速传感器，非压差传感器，真实、实时检测风速，提供技术证明；</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9.噪音≤63分贝</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★10.过滤器寿命监控技术：在线实时监测并条形码显示高效过滤器的使用寿命，具有过滤器失效声光报警功能，保证实验的安全性，提供技术证明</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11.工作状态监测与显示：LCD液晶屏，可实时检测并显示工作区温度、气流流速、过滤膜承载压力、时间、过滤器寿命及操作区安全状态；</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12.工作区三侧壁板为一体化成型，304不锈钢材质，双层侧壁形成负压保护，可行移动式工作台面、对应&gt;4000mL304不锈钢集液槽，标配有排污阀，方便收集残留液及清洗消毒。</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13.玻璃前窗采用倾角人性化设计，提高了操作人员在安全柜前的操作舒适性，采用安全钢化玻璃，具有良好的防爆、防碎及防紫外的功能；</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14.操作挡板为安全玻璃移门，前窗玻璃手拉式启停，不得使用电控，以保证断电时能及时关门防护；进口升降系统控制位置、升降自如，精确定位、具有安全高度上、下限位，声光报警；</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紫外灯和日光灯不得安装在工作区背面或工作区侧面，避免直接照射到操作人员，确保使用安全，同时具有紫外灯预约功能，可预约紫外灯自动开启/关闭时间、灭菌时间</w:t>
            </w:r>
            <w:r>
              <w:rPr>
                <w:rFonts w:hint="eastAsia" w:asciiTheme="minorEastAsia" w:hAnsiTheme="minorEastAsia" w:eastAsiaTheme="minorEastAsia" w:cstheme="minorEastAsia"/>
                <w:color w:val="000000" w:themeColor="text1"/>
                <w:sz w:val="21"/>
                <w:szCs w:val="21"/>
                <w14:textFill>
                  <w14:solidFill>
                    <w14:schemeClr w14:val="tx1"/>
                  </w14:solidFill>
                </w14:textFill>
              </w:rPr>
              <w:t>，有效节省时间。</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16. 操作台面前采用搁手架设计，操作舒适，操作灵活度空间更大；</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17.出厂前通过严格的压力衰减法检测：加压到500Pa，保持30min后气压不低于450Pa</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18.安全性能保障：具备紫外系统、荧光灯、前窗的连锁系统；具备低风速报警功能；具备前窗位置异位报警功能；具备前窗侧壁抗扰流系统，可避免泄漏； </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19.联动控制：通过专业的联动控制芯片，与净化工程的排风系统联动，可提供截止阀、风机等，并自动控制</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20.可选配与主机同一品牌的活性炭过滤器装置，且活性炭过滤装置面板能实时显示使用寿命，具有失效报警功能</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21.最大额定功率（含电源插座）1600Ｗ（双防水插座设计，可断电保护）</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22.具有水阀、气阀、真空阀等阀门预留孔，位于安全柜左右两侧，操作更加灵活方便</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23.售后：产品自安装合格之日起计算保修期，质保两年，终身维修。当地配备厂家专职售后工程师（提供厂家工程师证明）</w:t>
            </w:r>
          </w:p>
        </w:tc>
      </w:tr>
      <w:tr>
        <w:tblPrEx>
          <w:tblCellMar>
            <w:top w:w="0" w:type="dxa"/>
            <w:left w:w="30" w:type="dxa"/>
            <w:bottom w:w="0" w:type="dxa"/>
            <w:right w:w="30" w:type="dxa"/>
          </w:tblCellMar>
        </w:tblPrEx>
        <w:trPr>
          <w:trHeight w:val="561" w:hRule="atLeast"/>
        </w:trPr>
        <w:tc>
          <w:tcPr>
            <w:tcW w:w="28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rPr>
          <w:trHeight w:val="634" w:hRule="atLeast"/>
        </w:trPr>
        <w:tc>
          <w:tcPr>
            <w:tcW w:w="28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8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933" w:type="dxa"/>
        <w:tblInd w:w="-230" w:type="dxa"/>
        <w:tblLayout w:type="fixed"/>
        <w:tblCellMar>
          <w:top w:w="0" w:type="dxa"/>
          <w:left w:w="30" w:type="dxa"/>
          <w:bottom w:w="0" w:type="dxa"/>
          <w:right w:w="30" w:type="dxa"/>
        </w:tblCellMar>
      </w:tblPr>
      <w:tblGrid>
        <w:gridCol w:w="2843"/>
        <w:gridCol w:w="2076"/>
        <w:gridCol w:w="2217"/>
        <w:gridCol w:w="1797"/>
      </w:tblGrid>
      <w:tr>
        <w:tblPrEx>
          <w:tblCellMar>
            <w:top w:w="0" w:type="dxa"/>
            <w:left w:w="30" w:type="dxa"/>
            <w:bottom w:w="0" w:type="dxa"/>
            <w:right w:w="30" w:type="dxa"/>
          </w:tblCellMar>
        </w:tblPrEx>
        <w:trPr>
          <w:trHeight w:val="767" w:hRule="atLeast"/>
        </w:trPr>
        <w:tc>
          <w:tcPr>
            <w:tcW w:w="8933"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65" w:hRule="atLeast"/>
        </w:trPr>
        <w:tc>
          <w:tcPr>
            <w:tcW w:w="28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洁净工作台</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1039" w:hRule="atLeast"/>
        </w:trPr>
        <w:tc>
          <w:tcPr>
            <w:tcW w:w="8933"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 外部尺寸≥（L×D×H）1060*620*1850mm；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 内部尺寸≥（L×D×H）938*530*650mm；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 额定功率：750 W；</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 气流流速：0.30～0.45m/s；</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 紫外灯功率：18W；</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 LED日光灯功率：12W；</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 前窗玻璃最大开口高度：400mm；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 前窗玻璃开口安全操作高度：200-350mm；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 工作台到地面高度：750mm；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1.10 噪音≤65dB(A)；</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1.11 风机型号：泛仕达风机SC220A1-AGT-03，转速:2460 RPM，流量：750 m³/h，功率90W；</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1.12 产品安全性：菌落数≤0.5CFU/30min；</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1.13 照明：≥350lx；</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2、结构特点</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 洁净台分类：垂直层流、单面操作；</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 过滤效率:过滤器均采用无隔板高效过滤器，对直径0.3μm颗粒过滤效率为99.999%；</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 可在洁净台前部更换、维修风机及过滤器；</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2.4 箱体部分采用1.2mm厚的冷轧钢板且表面静电喷涂，增强了结构强度，整个装置更加稳重；</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 工作区台面为不锈钢材质，美观耐腐蚀；</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2.6 工作区采用四面（左右二侧、后部、底部）正压环绕设计工作区内，保护产品；</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★2.7 控制面板采用轻触式开关，按键由风机键、照明键、紫外键、电源键、插座键、风量减小键、风量增大键组成，易于操作；显示屏显示内容有：风机的风速、显示时间、紫外灯的工作时间、过滤器的工作时间；</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2.8 洁净台前视窗是采用5mm厚钢化玻璃的手动视窗，玻璃门-配重结构，上下开启灵活方便，行程范围内任意高度悬停；</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2.9 紫外灯与风机、日光灯互锁功能，即当风机、日光灯工作时，紫外灯无法开启，保护操作人员；</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2.10 紫外灯延时5S开启，保护操作人员安全；</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2.11 设置前窗开口安全高度，在低于或高于安全高度时报警，保证设备使用时性能稳定；</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2.12 福马脚轮设计，方便柜体移动与固定。</w:t>
            </w:r>
          </w:p>
        </w:tc>
      </w:tr>
      <w:tr>
        <w:tblPrEx>
          <w:tblCellMar>
            <w:top w:w="0" w:type="dxa"/>
            <w:left w:w="30" w:type="dxa"/>
            <w:bottom w:w="0" w:type="dxa"/>
            <w:right w:w="30" w:type="dxa"/>
          </w:tblCellMar>
        </w:tblPrEx>
        <w:trPr>
          <w:trHeight w:val="561" w:hRule="atLeast"/>
        </w:trPr>
        <w:tc>
          <w:tcPr>
            <w:tcW w:w="28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8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8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417" w:type="dxa"/>
        <w:tblInd w:w="-14" w:type="dxa"/>
        <w:tblLayout w:type="fixed"/>
        <w:tblCellMar>
          <w:top w:w="0" w:type="dxa"/>
          <w:left w:w="30" w:type="dxa"/>
          <w:bottom w:w="0" w:type="dxa"/>
          <w:right w:w="30" w:type="dxa"/>
        </w:tblCellMar>
      </w:tblPr>
      <w:tblGrid>
        <w:gridCol w:w="2627"/>
        <w:gridCol w:w="2076"/>
        <w:gridCol w:w="2217"/>
        <w:gridCol w:w="1497"/>
      </w:tblGrid>
      <w:tr>
        <w:tblPrEx>
          <w:tblCellMar>
            <w:top w:w="0" w:type="dxa"/>
            <w:left w:w="30" w:type="dxa"/>
            <w:bottom w:w="0" w:type="dxa"/>
            <w:right w:w="30" w:type="dxa"/>
          </w:tblCellMar>
        </w:tblPrEx>
        <w:trPr>
          <w:trHeight w:val="767" w:hRule="atLeast"/>
        </w:trPr>
        <w:tc>
          <w:tcPr>
            <w:tcW w:w="8417"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51" w:hRule="atLeast"/>
        </w:trPr>
        <w:tc>
          <w:tcPr>
            <w:tcW w:w="26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单道移液器</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4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356" w:hRule="atLeast"/>
        </w:trPr>
        <w:tc>
          <w:tcPr>
            <w:tcW w:w="8417" w:type="dxa"/>
            <w:gridSpan w:val="4"/>
            <w:tcBorders>
              <w:top w:val="single" w:color="auto" w:sz="6" w:space="0"/>
              <w:left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snapToGrid/>
              <w:spacing w:after="0" w:line="312" w:lineRule="auto"/>
              <w:jc w:val="both"/>
              <w:textAlignment w:val="auto"/>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产品特点</w:t>
            </w:r>
          </w:p>
          <w:p>
            <w:pPr>
              <w:keepNext w:val="0"/>
              <w:keepLines w:val="0"/>
              <w:pageBreakBefore w:val="0"/>
              <w:kinsoku/>
              <w:wordWrap/>
              <w:overflowPunct/>
              <w:topLinePunct w:val="0"/>
              <w:bidi w:val="0"/>
              <w:adjustRightInd/>
              <w:snapToGrid/>
              <w:spacing w:line="312"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枪体重量轻，使用轻巧便捷，可减少手部疲劳。</w:t>
            </w:r>
          </w:p>
          <w:p>
            <w:pPr>
              <w:keepNext w:val="0"/>
              <w:keepLines w:val="0"/>
              <w:pageBreakBefore w:val="0"/>
              <w:kinsoku/>
              <w:wordWrap/>
              <w:overflowPunct/>
              <w:topLinePunct w:val="0"/>
              <w:bidi w:val="0"/>
              <w:adjustRightInd/>
              <w:snapToGrid/>
              <w:spacing w:line="312"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轻便且设计符合人机工效学</w:t>
            </w:r>
          </w:p>
          <w:p>
            <w:pPr>
              <w:keepNext w:val="0"/>
              <w:keepLines w:val="0"/>
              <w:pageBreakBefore w:val="0"/>
              <w:kinsoku/>
              <w:wordWrap/>
              <w:overflowPunct/>
              <w:topLinePunct w:val="0"/>
              <w:bidi w:val="0"/>
              <w:adjustRightInd/>
              <w:snapToGrid/>
              <w:spacing w:line="312"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数字视窗，令所设定量程一目了然</w:t>
            </w:r>
          </w:p>
          <w:p>
            <w:pPr>
              <w:keepNext w:val="0"/>
              <w:keepLines w:val="0"/>
              <w:pageBreakBefore w:val="0"/>
              <w:kinsoku/>
              <w:wordWrap/>
              <w:overflowPunct/>
              <w:topLinePunct w:val="0"/>
              <w:bidi w:val="0"/>
              <w:adjustRightInd/>
              <w:snapToGrid/>
              <w:spacing w:line="312"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量程范围广，0.1μl至10ml</w:t>
            </w:r>
          </w:p>
          <w:p>
            <w:pPr>
              <w:keepNext w:val="0"/>
              <w:keepLines w:val="0"/>
              <w:pageBreakBefore w:val="0"/>
              <w:kinsoku/>
              <w:wordWrap/>
              <w:overflowPunct/>
              <w:topLinePunct w:val="0"/>
              <w:bidi w:val="0"/>
              <w:adjustRightInd/>
              <w:snapToGrid/>
              <w:spacing w:line="312"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使用附件工具，能方便快捷地进行校准和维修</w:t>
            </w:r>
          </w:p>
          <w:p>
            <w:pPr>
              <w:keepNext w:val="0"/>
              <w:keepLines w:val="0"/>
              <w:pageBreakBefore w:val="0"/>
              <w:kinsoku/>
              <w:wordWrap/>
              <w:overflowPunct/>
              <w:topLinePunct w:val="0"/>
              <w:bidi w:val="0"/>
              <w:adjustRightInd/>
              <w:snapToGrid/>
              <w:spacing w:line="312"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精确的分液，每支移液器都遵照EN/ISO8655标准进行校准</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下端件可拆卸式高温高压消毒</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特别的管嘴连件设计，易于观察吸嘴的密封状况</w:t>
            </w:r>
          </w:p>
          <w:p>
            <w:pPr>
              <w:keepNext w:val="0"/>
              <w:keepLines w:val="0"/>
              <w:pageBreakBefore w:val="0"/>
              <w:kinsoku/>
              <w:wordWrap/>
              <w:overflowPunct/>
              <w:topLinePunct w:val="0"/>
              <w:bidi w:val="0"/>
              <w:adjustRightInd/>
              <w:snapToGrid/>
              <w:spacing w:line="312"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产品类型： 手动可调 </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灭菌方式 ：半支灭菌 </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检测点（ｕｌ）：0.2  容量 许误差（%）：±12.00 </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重复性误差（%）：≤6.00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检测点（ｕｌ）：1  容量 许误差（%）：±3.00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重复性误差（%）：≤2.00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检测点（ｕｌ）：2 容量 许误差（%）：±1.5 </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重复性误差（%）：≤0.7</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  容量 许误差（%）：±2.50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重复性误差（%）：≤1.2</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检测点（ｕｌ）：5  容量 许误差（%）：±2.5</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重复性误差（%）：≤0.60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检测点（ｕｌ）：10  容量 许误差（%）：±1.00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重复性误差（%）：≤0.1</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检测点（ｕｌ）：2  容量 许误差（%）：±3.00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重复性误差（%）：≤1.50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检测点（ｕｌ）：10  容量 许误差（%）：±1.00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检测点（ｕｌ）：20  容量 许误差（%）：±0.90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重复性误差（%）：≤0.30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检测点（ｕｌ）：5  容量 许误差（%）：±2.00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重复性误差（%）：≤1.50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检测点（ｕｌ）：20  容量 许误差（%）：±1.00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重复性误差（%）：≤0.60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检测点（ｕｌ）：50  容量 许误差（%）：±0.60</w:t>
            </w:r>
          </w:p>
          <w:p>
            <w:pPr>
              <w:keepNext w:val="0"/>
              <w:keepLines w:val="0"/>
              <w:pageBreakBefore w:val="0"/>
              <w:widowControl w:val="0"/>
              <w:kinsoku/>
              <w:wordWrap/>
              <w:overflowPunct/>
              <w:topLinePunct w:val="0"/>
              <w:autoSpaceDE w:val="0"/>
              <w:autoSpaceDN w:val="0"/>
              <w:bidi w:val="0"/>
              <w:adjustRightInd/>
              <w:snapToGrid/>
              <w:spacing w:after="0" w:line="312" w:lineRule="auto"/>
              <w:jc w:val="both"/>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重复性误差（%）：≤0.30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检测点（ｕｌ）：10  容量 许误差（%）：±1.70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检测点（ｕｌ）：50  容量 许误差（%）：±0.80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重复性误差（%）：≤0.24</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检测点（ｕｌ）：100 容量 许误差（%）：±0.80</w:t>
            </w:r>
          </w:p>
          <w:p>
            <w:pPr>
              <w:keepNext w:val="0"/>
              <w:keepLines w:val="0"/>
              <w:pageBreakBefore w:val="0"/>
              <w:widowControl w:val="0"/>
              <w:kinsoku/>
              <w:wordWrap/>
              <w:overflowPunct/>
              <w:topLinePunct w:val="0"/>
              <w:autoSpaceDE w:val="0"/>
              <w:autoSpaceDN w:val="0"/>
              <w:bidi w:val="0"/>
              <w:adjustRightInd/>
              <w:snapToGrid/>
              <w:spacing w:after="0" w:line="312" w:lineRule="auto"/>
              <w:jc w:val="both"/>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重复性误差（%）：≤0.15</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检测点（ｕｌ）：20 容量 许误差（%）：±1.50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检测点（ｕｌ）：100  容量 许误差（%）：±0.80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重复性误差（%）：≤0.25</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检测点（ｕｌ）：100 容量 许误差（%）：±0.80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重复性误差（%）：≤0.30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检测点（ｕｌ）：500  容量 许误差（%）：±0.60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重复性误差（%）：≤0.2</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检测点（ｕｌ）：1000 容量 许误差（%）：±0.60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重复性误差（%）：≤0.15</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检测点（ｕｌ）：500   容量 许误差（%）：±0.70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重复性误差（%）：≤0.30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检测点（ｕｌ）：2500  容量 许误差（%）：±0.50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重复性误差（%）：≤0.2</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检测点（ｕｌ）：5000  容量 许误差（%）：±0.50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重复性误差（%）：≤0.15</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检测点（ｕｌ）：1000 容量 许误差（%）：±2.00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重复性误差（%）：≤0.50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检测点（ｕｌ）：5000  容量 许误差（%）：±0.60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重复性误差（%）：≤0.2</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检测点（ｕｌ）：10000  容量 许误差（%）：±0.60</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重复性误差（%）：≤0.15</w:t>
            </w:r>
          </w:p>
          <w:p>
            <w:pPr>
              <w:widowControl w:val="0"/>
              <w:autoSpaceDE w:val="0"/>
              <w:autoSpaceDN w:val="0"/>
              <w:snapToGrid/>
              <w:spacing w:after="0"/>
              <w:jc w:val="both"/>
              <w:rPr>
                <w:rFonts w:asciiTheme="minorEastAsia" w:hAnsiTheme="minorEastAsia" w:eastAsiaTheme="minorEastAsia" w:cstheme="minorEastAsia"/>
                <w:sz w:val="21"/>
                <w:szCs w:val="21"/>
              </w:rPr>
            </w:pPr>
          </w:p>
        </w:tc>
      </w:tr>
      <w:tr>
        <w:tblPrEx>
          <w:tblCellMar>
            <w:top w:w="0" w:type="dxa"/>
            <w:left w:w="30" w:type="dxa"/>
            <w:bottom w:w="0" w:type="dxa"/>
            <w:right w:w="30" w:type="dxa"/>
          </w:tblCellMar>
        </w:tblPrEx>
        <w:trPr>
          <w:trHeight w:val="561" w:hRule="atLeast"/>
        </w:trPr>
        <w:tc>
          <w:tcPr>
            <w:tcW w:w="26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4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6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4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6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4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367" w:type="dxa"/>
        <w:tblInd w:w="-64" w:type="dxa"/>
        <w:tblLayout w:type="fixed"/>
        <w:tblCellMar>
          <w:top w:w="0" w:type="dxa"/>
          <w:left w:w="30" w:type="dxa"/>
          <w:bottom w:w="0" w:type="dxa"/>
          <w:right w:w="30" w:type="dxa"/>
        </w:tblCellMar>
      </w:tblPr>
      <w:tblGrid>
        <w:gridCol w:w="2677"/>
        <w:gridCol w:w="2076"/>
        <w:gridCol w:w="2217"/>
        <w:gridCol w:w="1397"/>
      </w:tblGrid>
      <w:tr>
        <w:tblPrEx>
          <w:tblCellMar>
            <w:top w:w="0" w:type="dxa"/>
            <w:left w:w="30" w:type="dxa"/>
            <w:bottom w:w="0" w:type="dxa"/>
            <w:right w:w="30" w:type="dxa"/>
          </w:tblCellMar>
        </w:tblPrEx>
        <w:trPr>
          <w:trHeight w:val="590" w:hRule="atLeast"/>
        </w:trPr>
        <w:tc>
          <w:tcPr>
            <w:tcW w:w="8367"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24" w:hRule="atLeast"/>
        </w:trPr>
        <w:tc>
          <w:tcPr>
            <w:tcW w:w="26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医用冷藏箱</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3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1992" w:hRule="atLeast"/>
        </w:trPr>
        <w:tc>
          <w:tcPr>
            <w:tcW w:w="8367"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结构设计：</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1、箱体外壳采用优质喷涂钢板；</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2、内箱侧板采用压花铝板，底板为PP材质，耐腐蚀性更强，经久耐用。</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温度控制：</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1、采用微电脑控制系统，温度数字显示，确保精确稳定运行；</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2、精准的电子温度控制，精度达到0.1℃；</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3、标配USB存储模块，可以滚动存储8000条温度数据；</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4、优秀的制冷布局，箱内温度稳定在2℃~8℃范围内；</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5、可选配本地远程监控模块；</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6、不受环境温度影响的可靠温度控制，提供试剂、药品、样本所需的存储环境。</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制冷系统：</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1、翅片蒸发器配合独特的循环风冷系统设计，确保冷藏箱内部温度恒定；</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2、高密度保温发泡层采用环保聚氨酯发泡剂，保温效果好。</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安全保障：</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★1、具备箱内高低温报警、传感器故障报警、断电报警（支持8小时）、开关门异常报警功能；</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2、具备声音蜂鸣和灯光闪烁双重报警方式；</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3、温控器测点故障安全运行模式（显示传感器和控制传感器互为备份）；</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4、密码保护功能，防止随意调整运行参数；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★5、断电保护：冷藏箱延时启动功能，避免电网恢复供电时多台设备同时导致断路器保护。</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人性化设计：</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1、宽电压带，适合187~242V电压下使用；</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2、静音设计，适合安静环境；</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3、安全门锁设计，确保存放物品安全；</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4、大屏幕数字显示便于观察；</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5、可选配测试孔，方便用户监测或实验采集数据；</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6、高度可调节搁架设计，适用于存储不同高度的物品；</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7、万向脚轮设计，独立调平地脚，方便用户移动设备；</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8、双层中空电加热膜玻璃门，设备运行时无凝露；</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9、内置LED节能照明灯，开关门自动点亮或熄灭，方便观察箱内物品。</w:t>
            </w:r>
          </w:p>
        </w:tc>
      </w:tr>
      <w:tr>
        <w:tblPrEx>
          <w:tblCellMar>
            <w:top w:w="0" w:type="dxa"/>
            <w:left w:w="30" w:type="dxa"/>
            <w:bottom w:w="0" w:type="dxa"/>
            <w:right w:w="30" w:type="dxa"/>
          </w:tblCellMar>
        </w:tblPrEx>
        <w:trPr>
          <w:trHeight w:val="561" w:hRule="atLeast"/>
        </w:trPr>
        <w:tc>
          <w:tcPr>
            <w:tcW w:w="26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3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6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3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6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3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750" w:type="dxa"/>
        <w:tblInd w:w="-130" w:type="dxa"/>
        <w:tblLayout w:type="fixed"/>
        <w:tblCellMar>
          <w:top w:w="0" w:type="dxa"/>
          <w:left w:w="30" w:type="dxa"/>
          <w:bottom w:w="0" w:type="dxa"/>
          <w:right w:w="30" w:type="dxa"/>
        </w:tblCellMar>
      </w:tblPr>
      <w:tblGrid>
        <w:gridCol w:w="2743"/>
        <w:gridCol w:w="2076"/>
        <w:gridCol w:w="2217"/>
        <w:gridCol w:w="1714"/>
      </w:tblGrid>
      <w:tr>
        <w:tblPrEx>
          <w:tblCellMar>
            <w:top w:w="0" w:type="dxa"/>
            <w:left w:w="30" w:type="dxa"/>
            <w:bottom w:w="0" w:type="dxa"/>
            <w:right w:w="30" w:type="dxa"/>
          </w:tblCellMar>
        </w:tblPrEx>
        <w:trPr>
          <w:trHeight w:val="644" w:hRule="atLeast"/>
        </w:trPr>
        <w:tc>
          <w:tcPr>
            <w:tcW w:w="8750"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24" w:hRule="atLeast"/>
        </w:trPr>
        <w:tc>
          <w:tcPr>
            <w:tcW w:w="27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迷你离心机</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14"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039" w:hRule="atLeast"/>
        </w:trPr>
        <w:tc>
          <w:tcPr>
            <w:tcW w:w="8750"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1、体积轻巧，噪音低。</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2、采用先进的CPU控制系统；</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3、免维护无刷电机，速度范围0～10000rpm，精确度</w:t>
            </w:r>
            <w:r>
              <w:rPr>
                <w:rFonts w:hint="eastAsia" w:asciiTheme="minorEastAsia" w:hAnsiTheme="minorEastAsia" w:eastAsiaTheme="minorEastAsia" w:cstheme="minorEastAsia"/>
                <w:sz w:val="21"/>
                <w:szCs w:val="21"/>
              </w:rPr>
              <w:object>
                <v:shape id="_x0000_i1025" o:spt="75" type="#_x0000_t75" style="height:12.25pt;width:10.8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Theme="minorEastAsia" w:hAnsiTheme="minorEastAsia" w:eastAsiaTheme="minorEastAsia" w:cstheme="minorEastAsia"/>
                <w:sz w:val="21"/>
                <w:szCs w:val="21"/>
              </w:rPr>
              <w:t>20rpm；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4、最高转速:</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sz w:val="21"/>
                <w:szCs w:val="21"/>
              </w:rPr>
              <w:t>10000r/min</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5、最大相对离心力：</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5500×g</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6、最大容量：8*1.5/2.2ml</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7、电机：无刷电机</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8、噪声：≦45dB(A)</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9、电源：AC220v 50Hz 1A</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10、外形尺寸：</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189mm*161mm*122mm</w:t>
            </w:r>
          </w:p>
          <w:p>
            <w:pPr>
              <w:widowControl w:val="0"/>
              <w:adjustRightInd/>
              <w:snapToGrid/>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11、重量：</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1kg</w:t>
            </w:r>
          </w:p>
          <w:p>
            <w:pPr>
              <w:pStyle w:val="2"/>
              <w:rPr>
                <w:rFonts w:hint="eastAsia"/>
                <w:lang w:eastAsia="zh-CN"/>
              </w:rPr>
            </w:pPr>
          </w:p>
          <w:p>
            <w:pPr>
              <w:widowControl w:val="0"/>
              <w:autoSpaceDE w:val="0"/>
              <w:autoSpaceDN w:val="0"/>
              <w:snapToGrid/>
              <w:spacing w:after="0"/>
              <w:jc w:val="both"/>
              <w:rPr>
                <w:rFonts w:asciiTheme="minorEastAsia" w:hAnsiTheme="minorEastAsia" w:eastAsiaTheme="minorEastAsia" w:cstheme="minorEastAsia"/>
                <w:b/>
                <w:color w:val="000000"/>
                <w:sz w:val="21"/>
                <w:szCs w:val="21"/>
              </w:rPr>
            </w:pPr>
          </w:p>
        </w:tc>
      </w:tr>
      <w:tr>
        <w:tblPrEx>
          <w:tblCellMar>
            <w:top w:w="0" w:type="dxa"/>
            <w:left w:w="30" w:type="dxa"/>
            <w:bottom w:w="0" w:type="dxa"/>
            <w:right w:w="30" w:type="dxa"/>
          </w:tblCellMar>
        </w:tblPrEx>
        <w:trPr>
          <w:trHeight w:val="561" w:hRule="atLeast"/>
        </w:trPr>
        <w:tc>
          <w:tcPr>
            <w:tcW w:w="27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14"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83" w:hRule="atLeast"/>
        </w:trPr>
        <w:tc>
          <w:tcPr>
            <w:tcW w:w="27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14"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7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14"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650" w:type="dxa"/>
        <w:tblInd w:w="-86" w:type="dxa"/>
        <w:tblLayout w:type="fixed"/>
        <w:tblCellMar>
          <w:top w:w="0" w:type="dxa"/>
          <w:left w:w="30" w:type="dxa"/>
          <w:bottom w:w="0" w:type="dxa"/>
          <w:right w:w="30" w:type="dxa"/>
        </w:tblCellMar>
      </w:tblPr>
      <w:tblGrid>
        <w:gridCol w:w="2699"/>
        <w:gridCol w:w="2076"/>
        <w:gridCol w:w="2217"/>
        <w:gridCol w:w="1658"/>
      </w:tblGrid>
      <w:tr>
        <w:tblPrEx>
          <w:tblCellMar>
            <w:top w:w="0" w:type="dxa"/>
            <w:left w:w="30" w:type="dxa"/>
            <w:bottom w:w="0" w:type="dxa"/>
            <w:right w:w="30" w:type="dxa"/>
          </w:tblCellMar>
        </w:tblPrEx>
        <w:trPr>
          <w:trHeight w:val="685" w:hRule="atLeast"/>
        </w:trPr>
        <w:tc>
          <w:tcPr>
            <w:tcW w:w="8650"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483" w:hRule="atLeast"/>
        </w:trPr>
        <w:tc>
          <w:tcPr>
            <w:tcW w:w="269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台式高速离心机</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5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8470" w:hRule="atLeast"/>
        </w:trPr>
        <w:tc>
          <w:tcPr>
            <w:tcW w:w="8650"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1.生产企业通过TÜV机构认证的ISO9001：2008和CE双重认证</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2.最大转速≥13800 rpm</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 台式离心机（非落地式），</w:t>
            </w:r>
            <w:r>
              <w:rPr>
                <w:rFonts w:hint="eastAsia" w:asciiTheme="minorEastAsia" w:hAnsiTheme="minorEastAsia" w:eastAsiaTheme="minorEastAsia" w:cstheme="minorEastAsia"/>
                <w:sz w:val="21"/>
                <w:szCs w:val="21"/>
              </w:rPr>
              <w:t>最大离心力≥17458×g</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4.微处理器控制系统，大屏幕LCD液晶显示</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5.免维护无碳刷变频自感应电机驱动</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6.标配24×2/1.5ml气密性生物安全防护微量角转头，选配PCR 八联管转子</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7.具有转速离心力设定切换功能，能够设定离心力和转速</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★8.具有瞬时离心功能，短时间离心操作无需设置参数，方便快捷</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★9.具有到设定目标转速后开始离心倒计时功能</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10.先进的电子式不平衡探测系统，在转头开始低速旋转的时候，检测出不平衡现象的产生</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11.运行过程中可以实时修改转速、离心力和运行时间等参数</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12.采用旋钮式设计，可通过旋钮实现参数快速设定，操作灵活方便</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13.离心时间设定：0－9小时59分钟</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14.噪音≤65 dBA</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15.外形尺寸（长×宽×高）：</w:t>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color w:val="000000" w:themeColor="text1"/>
                <w:sz w:val="21"/>
                <w:szCs w:val="21"/>
                <w14:textFill>
                  <w14:solidFill>
                    <w14:schemeClr w14:val="tx1"/>
                  </w14:solidFill>
                </w14:textFill>
              </w:rPr>
              <w:t>30×230×220mm</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16. 售后：产品自安装合格之日起计算保修期，质保两年，终身维修。当地配备厂家专职售后工程师（可提供工程师证明）</w:t>
            </w:r>
          </w:p>
        </w:tc>
      </w:tr>
      <w:tr>
        <w:tblPrEx>
          <w:tblCellMar>
            <w:top w:w="0" w:type="dxa"/>
            <w:left w:w="30" w:type="dxa"/>
            <w:bottom w:w="0" w:type="dxa"/>
            <w:right w:w="30" w:type="dxa"/>
          </w:tblCellMar>
        </w:tblPrEx>
        <w:trPr>
          <w:trHeight w:val="561" w:hRule="atLeast"/>
        </w:trPr>
        <w:tc>
          <w:tcPr>
            <w:tcW w:w="269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5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69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5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69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5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p>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717" w:type="dxa"/>
        <w:tblInd w:w="-114" w:type="dxa"/>
        <w:tblLayout w:type="fixed"/>
        <w:tblCellMar>
          <w:top w:w="0" w:type="dxa"/>
          <w:left w:w="30" w:type="dxa"/>
          <w:bottom w:w="0" w:type="dxa"/>
          <w:right w:w="30" w:type="dxa"/>
        </w:tblCellMar>
      </w:tblPr>
      <w:tblGrid>
        <w:gridCol w:w="2727"/>
        <w:gridCol w:w="2365"/>
        <w:gridCol w:w="1928"/>
        <w:gridCol w:w="1697"/>
      </w:tblGrid>
      <w:tr>
        <w:tblPrEx>
          <w:tblCellMar>
            <w:top w:w="0" w:type="dxa"/>
            <w:left w:w="30" w:type="dxa"/>
            <w:bottom w:w="0" w:type="dxa"/>
            <w:right w:w="30" w:type="dxa"/>
          </w:tblCellMar>
        </w:tblPrEx>
        <w:trPr>
          <w:trHeight w:val="550" w:hRule="atLeast"/>
        </w:trPr>
        <w:tc>
          <w:tcPr>
            <w:tcW w:w="8717"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50" w:hRule="atLeast"/>
        </w:trPr>
        <w:tc>
          <w:tcPr>
            <w:tcW w:w="27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365"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台式冷冻离心机</w:t>
            </w:r>
          </w:p>
        </w:tc>
        <w:tc>
          <w:tcPr>
            <w:tcW w:w="1928"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9732" w:hRule="atLeast"/>
        </w:trPr>
        <w:tc>
          <w:tcPr>
            <w:tcW w:w="8717"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一：资质要求：</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生产企业通过TÜV机构认证的ISO9001：2008和CE双重认证；</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二：技术参数：</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台式离心机（非落地式），最高转速:138000 rpm，最大离心力:18949</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g</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最大容量：16*5ml</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标配24×2/1.5ml气密性生物安全防护微量角转头</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具有转子自动识别，面板真实显示转子编号，防止转子装错或设置超速而出现差错</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采用旋钮式设计，可通过旋钮实现参数快速设定，操作灵活方便</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具有瞬时离心功能，瞬时离心操作无需设置参数，方便快捷</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7</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具有转速和离心力设定切换功能，可快速实现参数设定切换</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具有三组升/降速曲线设定功能，满足不同升降速曲线应用需求</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9</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面板具有三个快捷程序键，可快速调用程序，无需重复设置</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具有快速预制冷功能，面板上具有“Q TEMP”快速与制冷按键，能够快速预制冷，节省预制冷时间</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11</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具有实时参数修改功能，可在运行过程中修改转速、离心力、温度、时间等参数</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12</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具有到设定目标转速后开始离心倒计时功能</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13</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先进的电子式不平衡探测系统，在转头开始低速旋转的时候，检测出不平衡现象的产生14</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温度控制范围－5℃到40℃，无氟制冷系统，控温精确</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离心时间设定：1－9小时59分钟</w:t>
            </w:r>
          </w:p>
          <w:p>
            <w:pPr>
              <w:widowControl w:val="0"/>
              <w:adjustRightInd/>
              <w:snapToGrid/>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16</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噪音≤60 dBA</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17. 售后：产品自安装合格之日起计算保修期，质保两年，终身维修。当地配备厂家专职售后工程师（可提供工程师证明）</w:t>
            </w:r>
          </w:p>
        </w:tc>
      </w:tr>
      <w:tr>
        <w:tblPrEx>
          <w:tblCellMar>
            <w:top w:w="0" w:type="dxa"/>
            <w:left w:w="30" w:type="dxa"/>
            <w:bottom w:w="0" w:type="dxa"/>
            <w:right w:w="30" w:type="dxa"/>
          </w:tblCellMar>
        </w:tblPrEx>
        <w:trPr>
          <w:trHeight w:val="435" w:hRule="atLeast"/>
        </w:trPr>
        <w:tc>
          <w:tcPr>
            <w:tcW w:w="27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365"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28"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489" w:hRule="atLeast"/>
        </w:trPr>
        <w:tc>
          <w:tcPr>
            <w:tcW w:w="27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365"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28"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72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365"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28"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9417" w:type="dxa"/>
        <w:tblInd w:w="-603" w:type="dxa"/>
        <w:tblLayout w:type="fixed"/>
        <w:tblCellMar>
          <w:top w:w="0" w:type="dxa"/>
          <w:left w:w="30" w:type="dxa"/>
          <w:bottom w:w="0" w:type="dxa"/>
          <w:right w:w="30" w:type="dxa"/>
        </w:tblCellMar>
      </w:tblPr>
      <w:tblGrid>
        <w:gridCol w:w="3216"/>
        <w:gridCol w:w="2076"/>
        <w:gridCol w:w="2217"/>
        <w:gridCol w:w="1908"/>
      </w:tblGrid>
      <w:tr>
        <w:tblPrEx>
          <w:tblCellMar>
            <w:top w:w="0" w:type="dxa"/>
            <w:left w:w="30" w:type="dxa"/>
            <w:bottom w:w="0" w:type="dxa"/>
            <w:right w:w="30" w:type="dxa"/>
          </w:tblCellMar>
        </w:tblPrEx>
        <w:trPr>
          <w:trHeight w:val="672" w:hRule="atLeast"/>
        </w:trPr>
        <w:tc>
          <w:tcPr>
            <w:tcW w:w="9417"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38" w:hRule="atLeast"/>
        </w:trPr>
        <w:tc>
          <w:tcPr>
            <w:tcW w:w="3216"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安全运输箱</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0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7883" w:hRule="atLeast"/>
        </w:trPr>
        <w:tc>
          <w:tcPr>
            <w:tcW w:w="9417"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外层材料：高强度工程食品级塑料，聚丙烯（PP），提手ABS有胶体护垫。</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绝缘材料：PU保温材料。</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基础配置：液晶显示温度计、背带、隔板、托盘、6个QB040冰盒（节能环保，可循环使用）。</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生物安全罐：11（直径）×16cm，一个（可选配2个罐子）</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绝缘厚度：≥30mm。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冷冻特点：在冷冻成固体时，冷源最大厚度不超过未冻结时厚度的15％。</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牢固等级：容器Ⅴ级；零件Ⅲ级。</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冰源材料：聚乙烯 高效冷源，牢固结实安全，对皮肤无刺激性。</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工艺：一次性注塑工艺，表面光洁无毛刺</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冷源：无毒安全产品，通过SGS物理/化学检验，冰盒不含可溶性重金属（Pb,Sb,As,Ba,Cd,Cr,Hg,Se）及苯。</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外尺寸（mm）：</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420x245x300。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内尺寸（mm）：</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335x170x240。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有效容积：≥12L</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保温时长：在外环境 温度+43℃以下，箱内温度2-8℃可维持24小时，满负荷重量≥10KG</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检验报告证书</w:t>
            </w:r>
          </w:p>
        </w:tc>
      </w:tr>
      <w:tr>
        <w:tblPrEx>
          <w:tblCellMar>
            <w:top w:w="0" w:type="dxa"/>
            <w:left w:w="30" w:type="dxa"/>
            <w:bottom w:w="0" w:type="dxa"/>
            <w:right w:w="30" w:type="dxa"/>
          </w:tblCellMar>
        </w:tblPrEx>
        <w:trPr>
          <w:trHeight w:val="561" w:hRule="atLeast"/>
        </w:trPr>
        <w:tc>
          <w:tcPr>
            <w:tcW w:w="3216"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0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3216"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0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3216"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0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p>
    <w:p>
      <w:pPr>
        <w:rPr>
          <w:rFonts w:asciiTheme="minorEastAsia" w:hAnsiTheme="minorEastAsia" w:eastAsiaTheme="minorEastAsia" w:cstheme="minorEastAsia"/>
          <w:sz w:val="21"/>
          <w:szCs w:val="21"/>
        </w:rPr>
      </w:pPr>
    </w:p>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716" w:type="dxa"/>
        <w:tblInd w:w="-130" w:type="dxa"/>
        <w:tblLayout w:type="fixed"/>
        <w:tblCellMar>
          <w:top w:w="0" w:type="dxa"/>
          <w:left w:w="30" w:type="dxa"/>
          <w:bottom w:w="0" w:type="dxa"/>
          <w:right w:w="30" w:type="dxa"/>
        </w:tblCellMar>
      </w:tblPr>
      <w:tblGrid>
        <w:gridCol w:w="2743"/>
        <w:gridCol w:w="2076"/>
        <w:gridCol w:w="2217"/>
        <w:gridCol w:w="1680"/>
      </w:tblGrid>
      <w:tr>
        <w:tblPrEx>
          <w:tblCellMar>
            <w:top w:w="0" w:type="dxa"/>
            <w:left w:w="30" w:type="dxa"/>
            <w:bottom w:w="0" w:type="dxa"/>
            <w:right w:w="30" w:type="dxa"/>
          </w:tblCellMar>
        </w:tblPrEx>
        <w:trPr>
          <w:trHeight w:val="685" w:hRule="atLeast"/>
        </w:trPr>
        <w:tc>
          <w:tcPr>
            <w:tcW w:w="8716"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483" w:hRule="atLeast"/>
        </w:trPr>
        <w:tc>
          <w:tcPr>
            <w:tcW w:w="27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电热恒温水箱</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75" w:hRule="atLeast"/>
        </w:trPr>
        <w:tc>
          <w:tcPr>
            <w:tcW w:w="8716"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电热恒温水浴箱可供医疗单位、院校、科研、化工、印染等行业的化验部门做蒸馏、干燥、浓缩及恒温加热化学药品及生物用品等广泛用途。</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产品特点</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1.外壳采用优质冷轧钢板制成，表面喷塑处理，工作室及下框上框及盖顶均匀不锈钢板制成</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2.箱体与工作室间填充优质保温材料，结构设计合理，抗蚀性强，造型美观</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3.温控系统采用较可靠的调节控制装置，感热性强，灵敏度高，在使用范围内可任意调节，能直接测量箱内实际水温加热装置采用封闭式加热器，可直接浸入水中，热能损耗小</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工作室尺寸(mm)：</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600*300*150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外形尺寸(mm)：</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750*380*370</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额定功率：500±10%</w:t>
            </w:r>
          </w:p>
        </w:tc>
      </w:tr>
      <w:tr>
        <w:tblPrEx>
          <w:tblCellMar>
            <w:top w:w="0" w:type="dxa"/>
            <w:left w:w="30" w:type="dxa"/>
            <w:bottom w:w="0" w:type="dxa"/>
            <w:right w:w="30" w:type="dxa"/>
          </w:tblCellMar>
        </w:tblPrEx>
        <w:trPr>
          <w:trHeight w:val="561" w:hRule="atLeast"/>
        </w:trPr>
        <w:tc>
          <w:tcPr>
            <w:tcW w:w="27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7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74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733" w:type="dxa"/>
        <w:tblInd w:w="-269" w:type="dxa"/>
        <w:tblLayout w:type="fixed"/>
        <w:tblCellMar>
          <w:top w:w="0" w:type="dxa"/>
          <w:left w:w="30" w:type="dxa"/>
          <w:bottom w:w="0" w:type="dxa"/>
          <w:right w:w="30" w:type="dxa"/>
        </w:tblCellMar>
      </w:tblPr>
      <w:tblGrid>
        <w:gridCol w:w="2882"/>
        <w:gridCol w:w="2076"/>
        <w:gridCol w:w="2217"/>
        <w:gridCol w:w="1558"/>
      </w:tblGrid>
      <w:tr>
        <w:tblPrEx>
          <w:tblCellMar>
            <w:top w:w="0" w:type="dxa"/>
            <w:left w:w="30" w:type="dxa"/>
            <w:bottom w:w="0" w:type="dxa"/>
            <w:right w:w="30" w:type="dxa"/>
          </w:tblCellMar>
        </w:tblPrEx>
        <w:trPr>
          <w:trHeight w:val="753" w:hRule="atLeast"/>
        </w:trPr>
        <w:tc>
          <w:tcPr>
            <w:tcW w:w="8733"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24" w:hRule="atLeast"/>
        </w:trPr>
        <w:tc>
          <w:tcPr>
            <w:tcW w:w="2882"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恒温混匀仪</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55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561" w:hRule="atLeast"/>
        </w:trPr>
        <w:tc>
          <w:tcPr>
            <w:tcW w:w="8733"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电源：100-240V　50-60HZ</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功率：45W</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重量：</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4.5kg</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尺寸：</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17×24×14cm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混匀频率：300-3000rpm（以10rpm递增）</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旋涡振荡混匀频率：300-3000rpm（以10rpm递增）</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旋涡振荡混匀频率：</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3500rpm</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振荡和混匀半径：</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1.5mm（3mm振幅）</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混匀时间：15s-99h59min</w:t>
            </w:r>
          </w:p>
          <w:p>
            <w:pPr>
              <w:widowControl w:val="0"/>
              <w:autoSpaceDE w:val="0"/>
              <w:autoSpaceDN w:val="0"/>
              <w:snapToGrid/>
              <w:spacing w:after="0"/>
              <w:jc w:val="both"/>
              <w:rPr>
                <w:rFonts w:asciiTheme="minorEastAsia" w:hAnsiTheme="minorEastAsia" w:eastAsiaTheme="minorEastAsia" w:cstheme="minorEastAsia"/>
                <w:b/>
                <w:color w:val="000000"/>
                <w:sz w:val="21"/>
                <w:szCs w:val="21"/>
              </w:rPr>
            </w:pPr>
          </w:p>
        </w:tc>
      </w:tr>
      <w:tr>
        <w:tblPrEx>
          <w:tblCellMar>
            <w:top w:w="0" w:type="dxa"/>
            <w:left w:w="30" w:type="dxa"/>
            <w:bottom w:w="0" w:type="dxa"/>
            <w:right w:w="30" w:type="dxa"/>
          </w:tblCellMar>
        </w:tblPrEx>
        <w:trPr>
          <w:trHeight w:val="561" w:hRule="atLeast"/>
        </w:trPr>
        <w:tc>
          <w:tcPr>
            <w:tcW w:w="2882"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55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882"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55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882"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558"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p>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8850" w:type="dxa"/>
        <w:tblInd w:w="-64" w:type="dxa"/>
        <w:tblLayout w:type="fixed"/>
        <w:tblCellMar>
          <w:top w:w="0" w:type="dxa"/>
          <w:left w:w="30" w:type="dxa"/>
          <w:bottom w:w="0" w:type="dxa"/>
          <w:right w:w="30" w:type="dxa"/>
        </w:tblCellMar>
      </w:tblPr>
      <w:tblGrid>
        <w:gridCol w:w="2677"/>
        <w:gridCol w:w="2076"/>
        <w:gridCol w:w="2217"/>
        <w:gridCol w:w="1880"/>
      </w:tblGrid>
      <w:tr>
        <w:tblPrEx>
          <w:tblCellMar>
            <w:top w:w="0" w:type="dxa"/>
            <w:left w:w="30" w:type="dxa"/>
            <w:bottom w:w="0" w:type="dxa"/>
            <w:right w:w="30" w:type="dxa"/>
          </w:tblCellMar>
        </w:tblPrEx>
        <w:trPr>
          <w:trHeight w:val="713" w:hRule="atLeast"/>
        </w:trPr>
        <w:tc>
          <w:tcPr>
            <w:tcW w:w="8850"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rPr>
          <w:trHeight w:val="456" w:hRule="atLeast"/>
        </w:trPr>
        <w:tc>
          <w:tcPr>
            <w:tcW w:w="26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立式灭菌器</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9793" w:hRule="atLeast"/>
        </w:trPr>
        <w:tc>
          <w:tcPr>
            <w:tcW w:w="8850"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1.额定工作压力0.22Mpa，</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2.额定工作温度</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134℃</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3.使用温度105～136℃</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4.产品符合YY1007-2010标准，并可提供经国家食品药品监督管理局认可检验中心的检测报告。</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5.灭菌腔体、灭菌提篮均为优质不锈钢SUS304材质制成，内部抛光处理，汽水内循环。</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6.手轮式平移门结构，并具有门安全联锁装置及门检测装置，有压力时门无法打开，门关闭不到位程序不能运行。</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7.具有防干烧报警、超压自泄、超温保护、电力安全保护，所有报警具有声光警示。</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8.LED数字显示灭菌腔内温度、时间和故障报警代码。</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9.自胀式硅橡胶密封圈，密封效果好，使用寿命长。</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10.★电磁阀使用进口品牌，压力表、安全阀均按照国家标准提供编号、铭牌、合格证等强制性资料。</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11.★微电脑控制，具有器械、敷料、液体等五项固定程序，两项自定义程序，并具有干燥功能。（可以满足不同物品的灭菌需求）</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12.设备注水、升温、灭菌、排气、干燥整个流程全自动运行，灭菌完成后声光提醒。（全自动运行，无需人监管）</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13.灭菌腔体温度均匀性：±1℃，干燥温度范围：50~120℃。（符合国家标准）</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14.脉动排气技术，确保蒸汽饱和度。</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15.全防护式门罩，铰链、转轴均不外露。（防止人员触摸门盖烫伤）</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16.具有快速排气和慢速排气功能，避免灭菌液体溢出。</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17.具有快速维修窗口，电气部分维护无需拆解外罩。（检修维护方便）</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18.★具有七大灭菌程序1#裸露器械 2#器械包3#橡胶4#敷料5#液体类6#固体体类自定义7#液体类自定义，可满足不同的灭菌需求</w:t>
            </w:r>
          </w:p>
          <w:p>
            <w:pPr>
              <w:widowControl w:val="0"/>
              <w:autoSpaceDE w:val="0"/>
              <w:autoSpaceDN w:val="0"/>
              <w:snapToGrid/>
              <w:spacing w:after="0"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容积;</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sz w:val="21"/>
                <w:szCs w:val="21"/>
              </w:rPr>
              <w:t>50L</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功率：</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4400W</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内腔尺寸: ≥386x515mm</w:t>
            </w:r>
          </w:p>
          <w:p>
            <w:pPr>
              <w:spacing w:line="360" w:lineRule="auto"/>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外形尺寸: ≥550x640x970mm1.额定工作压力0.22Mpa，</w:t>
            </w:r>
          </w:p>
        </w:tc>
      </w:tr>
      <w:tr>
        <w:tblPrEx>
          <w:tblCellMar>
            <w:top w:w="0" w:type="dxa"/>
            <w:left w:w="30" w:type="dxa"/>
            <w:bottom w:w="0" w:type="dxa"/>
            <w:right w:w="30" w:type="dxa"/>
          </w:tblCellMar>
        </w:tblPrEx>
        <w:trPr>
          <w:trHeight w:val="561" w:hRule="atLeast"/>
        </w:trPr>
        <w:tc>
          <w:tcPr>
            <w:tcW w:w="26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6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677"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8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W w:w="9233" w:type="dxa"/>
        <w:tblInd w:w="-386" w:type="dxa"/>
        <w:tblLayout w:type="fixed"/>
        <w:tblCellMar>
          <w:top w:w="0" w:type="dxa"/>
          <w:left w:w="30" w:type="dxa"/>
          <w:bottom w:w="0" w:type="dxa"/>
          <w:right w:w="30" w:type="dxa"/>
        </w:tblCellMar>
      </w:tblPr>
      <w:tblGrid>
        <w:gridCol w:w="2999"/>
        <w:gridCol w:w="2076"/>
        <w:gridCol w:w="2217"/>
        <w:gridCol w:w="1941"/>
      </w:tblGrid>
      <w:tr>
        <w:tblPrEx>
          <w:tblCellMar>
            <w:top w:w="0" w:type="dxa"/>
            <w:left w:w="30" w:type="dxa"/>
            <w:bottom w:w="0" w:type="dxa"/>
            <w:right w:w="30" w:type="dxa"/>
          </w:tblCellMar>
        </w:tblPrEx>
        <w:trPr>
          <w:trHeight w:val="631" w:hRule="atLeast"/>
        </w:trPr>
        <w:tc>
          <w:tcPr>
            <w:tcW w:w="9233"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10" w:hRule="atLeast"/>
        </w:trPr>
        <w:tc>
          <w:tcPr>
            <w:tcW w:w="299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涡旋混匀器</w:t>
            </w: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41"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rPr>
          <w:trHeight w:val="9793" w:hRule="atLeast"/>
        </w:trPr>
        <w:tc>
          <w:tcPr>
            <w:tcW w:w="9233"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振荡方式：圆周振荡</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 xml:space="preserve">4.5mm </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周转直径：</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 xml:space="preserve">4.5mm </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振荡量（1个试管） 最大50ml（1个试管） </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振荡转速：</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 xml:space="preserve">4000rpm </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驱动电机：直流无刷电机 </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电源功率：DC 12V 1A（电源适配器）（100~240V AC 50HZ/60HZ）≤12W </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外形尺寸（长×宽×高）：</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 xml:space="preserve">105×105×70mm </w:t>
            </w:r>
          </w:p>
          <w:p>
            <w:pPr>
              <w:widowControl w:val="0"/>
              <w:autoSpaceDE w:val="0"/>
              <w:autoSpaceDN w:val="0"/>
              <w:snapToGrid/>
              <w:spacing w:after="0"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重量：</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 xml:space="preserve">1.2kg </w:t>
            </w: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tc>
      </w:tr>
      <w:tr>
        <w:tblPrEx>
          <w:tblCellMar>
            <w:top w:w="0" w:type="dxa"/>
            <w:left w:w="30" w:type="dxa"/>
            <w:bottom w:w="0" w:type="dxa"/>
            <w:right w:w="30" w:type="dxa"/>
          </w:tblCellMar>
        </w:tblPrEx>
        <w:trPr>
          <w:trHeight w:val="561" w:hRule="atLeast"/>
        </w:trPr>
        <w:tc>
          <w:tcPr>
            <w:tcW w:w="299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41"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99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41"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999"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07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21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941"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p>
      <w:pPr>
        <w:rPr>
          <w:rFonts w:asciiTheme="minorEastAsia" w:hAnsiTheme="minorEastAsia" w:eastAsiaTheme="minorEastAsia" w:cstheme="minorEastAsia"/>
          <w:sz w:val="21"/>
          <w:szCs w:val="21"/>
        </w:rPr>
      </w:pPr>
    </w:p>
    <w:tbl>
      <w:tblPr>
        <w:tblStyle w:val="59"/>
        <w:tblW w:w="8900" w:type="dxa"/>
        <w:tblInd w:w="-97" w:type="dxa"/>
        <w:tblLayout w:type="fixed"/>
        <w:tblCellMar>
          <w:top w:w="0" w:type="dxa"/>
          <w:left w:w="30" w:type="dxa"/>
          <w:bottom w:w="0" w:type="dxa"/>
          <w:right w:w="30" w:type="dxa"/>
        </w:tblCellMar>
      </w:tblPr>
      <w:tblGrid>
        <w:gridCol w:w="2710"/>
        <w:gridCol w:w="2528"/>
        <w:gridCol w:w="1765"/>
        <w:gridCol w:w="1897"/>
      </w:tblGrid>
      <w:tr>
        <w:tblPrEx>
          <w:tblCellMar>
            <w:top w:w="0" w:type="dxa"/>
            <w:left w:w="30" w:type="dxa"/>
            <w:bottom w:w="0" w:type="dxa"/>
            <w:right w:w="30" w:type="dxa"/>
          </w:tblCellMar>
        </w:tblPrEx>
        <w:trPr>
          <w:trHeight w:val="713" w:hRule="atLeast"/>
        </w:trPr>
        <w:tc>
          <w:tcPr>
            <w:tcW w:w="8900"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51" w:hRule="atLeast"/>
        </w:trPr>
        <w:tc>
          <w:tcPr>
            <w:tcW w:w="2710"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528"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微生物恒温培养箱</w:t>
            </w:r>
          </w:p>
        </w:tc>
        <w:tc>
          <w:tcPr>
            <w:tcW w:w="1765"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10191" w:hRule="atLeast"/>
        </w:trPr>
        <w:tc>
          <w:tcPr>
            <w:tcW w:w="8900"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公称容积（L）：</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150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控温范围（℃）：5-50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温度均匀性（℃）±1</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温度均匀性（℃）</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定时范围：0-9999</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制冷剂：R134a(无氟环保制冷剂）</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电源：220±10%V 50Hz</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工作时间：连续</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额定功率（W）：250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工作室尺寸（mm）：≥450×420×850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外形尺寸（mm）：≥590×590×1380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产品简介</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该产品适用于环境保护、卫生防疫、药检、农畜、水产等科研、院校、生产部门是水体分析和BOD 测定，细菌、霉菌、微生物的培养、保存、植物栽培、育种试验的专用恒温设备。</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产品特点</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箱体和工作室采用圆弧结构设计</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工作室采用镜面不锈钢板制成，搁板可随意调节高度和自由装配，便于工作室内清洁</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工作室内配有电源插座，并配有照明装置</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工作室内装有风机形成强制对流</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外箱表面喷塑处理，整机造型美观大方合理，使用维修方便</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外门采用磁性门封，密封性好，关闭方便，外门开有观察窗，可直接</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观察工作室内培养物情况</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★具有冷热自动控制功能</w:t>
            </w:r>
          </w:p>
          <w:p>
            <w:pPr>
              <w:widowControl w:val="0"/>
              <w:autoSpaceDE w:val="0"/>
              <w:autoSpaceDN w:val="0"/>
              <w:snapToGrid/>
              <w:spacing w:after="0"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★知名品牌压缩机，采用无氟环保制冷剂，高效率、低能耗</w:t>
            </w:r>
          </w:p>
        </w:tc>
      </w:tr>
      <w:tr>
        <w:tblPrEx>
          <w:tblCellMar>
            <w:top w:w="0" w:type="dxa"/>
            <w:left w:w="30" w:type="dxa"/>
            <w:bottom w:w="0" w:type="dxa"/>
            <w:right w:w="30" w:type="dxa"/>
          </w:tblCellMar>
        </w:tblPrEx>
        <w:trPr>
          <w:trHeight w:val="478" w:hRule="atLeast"/>
        </w:trPr>
        <w:tc>
          <w:tcPr>
            <w:tcW w:w="2710"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528"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5"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710"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528"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5"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710"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528"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5"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9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tbl>
      <w:tblPr>
        <w:tblStyle w:val="59"/>
        <w:tblpPr w:leftFromText="180" w:rightFromText="180" w:vertAnchor="text" w:horzAnchor="page" w:tblpX="1704" w:tblpY="35"/>
        <w:tblOverlap w:val="never"/>
        <w:tblW w:w="8650" w:type="dxa"/>
        <w:tblInd w:w="0" w:type="dxa"/>
        <w:tblLayout w:type="fixed"/>
        <w:tblCellMar>
          <w:top w:w="0" w:type="dxa"/>
          <w:left w:w="30" w:type="dxa"/>
          <w:bottom w:w="0" w:type="dxa"/>
          <w:right w:w="30" w:type="dxa"/>
        </w:tblCellMar>
      </w:tblPr>
      <w:tblGrid>
        <w:gridCol w:w="2680"/>
        <w:gridCol w:w="3496"/>
        <w:gridCol w:w="797"/>
        <w:gridCol w:w="1677"/>
      </w:tblGrid>
      <w:tr>
        <w:tblPrEx>
          <w:tblCellMar>
            <w:top w:w="0" w:type="dxa"/>
            <w:left w:w="30" w:type="dxa"/>
            <w:bottom w:w="0" w:type="dxa"/>
            <w:right w:w="30" w:type="dxa"/>
          </w:tblCellMar>
        </w:tblPrEx>
        <w:trPr>
          <w:trHeight w:val="588" w:hRule="atLeast"/>
        </w:trPr>
        <w:tc>
          <w:tcPr>
            <w:tcW w:w="8650"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10" w:hRule="atLeast"/>
        </w:trPr>
        <w:tc>
          <w:tcPr>
            <w:tcW w:w="2680"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349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微生物恒温培养箱</w:t>
            </w:r>
          </w:p>
        </w:tc>
        <w:tc>
          <w:tcPr>
            <w:tcW w:w="79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7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8171" w:hRule="atLeast"/>
        </w:trPr>
        <w:tc>
          <w:tcPr>
            <w:tcW w:w="8650"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公称容积（L）：</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300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控温范围（℃）：5-50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温度均匀性（℃）±1</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温度均匀性（℃）</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定时范围：0-9999</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制冷剂：R134a(无氟环保制冷剂）</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电源：220±10%V 50Hz</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工作时间：连续</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额定功率（W）：400</w:t>
            </w:r>
          </w:p>
          <w:p>
            <w:pPr>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工作室尺寸（mm）：≥520×500×1170</w:t>
            </w:r>
          </w:p>
          <w:p>
            <w:pPr>
              <w:widowControl w:val="0"/>
              <w:autoSpaceDE w:val="0"/>
              <w:autoSpaceDN w:val="0"/>
              <w:snapToGrid/>
              <w:spacing w:after="0"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外形尺寸（mm）：≥660×690×1690</w:t>
            </w: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p>
            <w:pPr>
              <w:widowControl w:val="0"/>
              <w:autoSpaceDE w:val="0"/>
              <w:autoSpaceDN w:val="0"/>
              <w:snapToGrid/>
              <w:spacing w:after="0"/>
              <w:jc w:val="both"/>
              <w:rPr>
                <w:rFonts w:asciiTheme="minorEastAsia" w:hAnsiTheme="minorEastAsia" w:eastAsiaTheme="minorEastAsia" w:cstheme="minorEastAsia"/>
                <w:sz w:val="21"/>
                <w:szCs w:val="21"/>
              </w:rPr>
            </w:pPr>
          </w:p>
        </w:tc>
      </w:tr>
      <w:tr>
        <w:tblPrEx>
          <w:tblCellMar>
            <w:top w:w="0" w:type="dxa"/>
            <w:left w:w="30" w:type="dxa"/>
            <w:bottom w:w="0" w:type="dxa"/>
            <w:right w:w="30" w:type="dxa"/>
          </w:tblCellMar>
        </w:tblPrEx>
        <w:trPr>
          <w:trHeight w:val="561" w:hRule="atLeast"/>
        </w:trPr>
        <w:tc>
          <w:tcPr>
            <w:tcW w:w="2680"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349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79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7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680"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349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79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7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734" w:hRule="atLeast"/>
        </w:trPr>
        <w:tc>
          <w:tcPr>
            <w:tcW w:w="2680"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349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79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77"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726" w:hRule="atLeast"/>
        </w:trPr>
        <w:tc>
          <w:tcPr>
            <w:tcW w:w="8650" w:type="dxa"/>
            <w:gridSpan w:val="4"/>
            <w:tcBorders>
              <w:top w:val="single" w:color="000000" w:sz="2" w:space="0"/>
              <w:left w:val="single" w:color="000000" w:sz="2" w:space="0"/>
              <w:bottom w:val="single" w:color="auto" w:sz="6" w:space="0"/>
              <w:right w:val="single" w:color="000000" w:sz="2" w:space="0"/>
            </w:tcBorders>
            <w:vAlign w:val="center"/>
          </w:tcPr>
          <w:p>
            <w:pPr>
              <w:keepNext/>
              <w:widowControl w:val="0"/>
              <w:kinsoku w:val="0"/>
              <w:overflowPunct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11" w:hRule="atLeast"/>
        </w:trPr>
        <w:tc>
          <w:tcPr>
            <w:tcW w:w="2680" w:type="dxa"/>
            <w:tcBorders>
              <w:top w:val="single" w:color="auto" w:sz="6" w:space="0"/>
              <w:left w:val="single" w:color="auto" w:sz="6" w:space="0"/>
              <w:bottom w:val="single" w:color="auto" w:sz="6" w:space="0"/>
              <w:right w:val="single" w:color="auto" w:sz="6" w:space="0"/>
            </w:tcBorders>
            <w:vAlign w:val="center"/>
          </w:tcPr>
          <w:p>
            <w:pPr>
              <w:keepNext/>
              <w:widowControl w:val="0"/>
              <w:kinsoku w:val="0"/>
              <w:overflowPunct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3496" w:type="dxa"/>
            <w:tcBorders>
              <w:top w:val="single" w:color="auto" w:sz="6" w:space="0"/>
              <w:left w:val="single" w:color="auto" w:sz="6" w:space="0"/>
              <w:bottom w:val="single" w:color="auto" w:sz="6" w:space="0"/>
              <w:right w:val="nil"/>
            </w:tcBorders>
          </w:tcPr>
          <w:p>
            <w:pPr>
              <w:keepNext/>
              <w:widowControl w:val="0"/>
              <w:kinsoku w:val="0"/>
              <w:overflowPunct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医用低温保存箱-25°</w:t>
            </w:r>
          </w:p>
        </w:tc>
        <w:tc>
          <w:tcPr>
            <w:tcW w:w="797" w:type="dxa"/>
            <w:tcBorders>
              <w:top w:val="single" w:color="auto" w:sz="6" w:space="0"/>
              <w:left w:val="nil"/>
              <w:bottom w:val="single" w:color="auto" w:sz="6" w:space="0"/>
              <w:right w:val="nil"/>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77" w:type="dxa"/>
            <w:tcBorders>
              <w:top w:val="single" w:color="auto" w:sz="6" w:space="0"/>
              <w:left w:val="nil"/>
              <w:bottom w:val="single" w:color="auto" w:sz="6" w:space="0"/>
              <w:right w:val="single" w:color="auto" w:sz="6" w:space="0"/>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90" w:hRule="atLeast"/>
        </w:trPr>
        <w:tc>
          <w:tcPr>
            <w:tcW w:w="8650" w:type="dxa"/>
            <w:gridSpan w:val="4"/>
            <w:tcBorders>
              <w:top w:val="single" w:color="auto" w:sz="6" w:space="0"/>
              <w:left w:val="single" w:color="auto" w:sz="6" w:space="0"/>
              <w:right w:val="single" w:color="auto" w:sz="6" w:space="0"/>
            </w:tcBorders>
          </w:tcPr>
          <w:p>
            <w:pPr>
              <w:keepNext/>
              <w:widowControl w:val="0"/>
              <w:kinsoku w:val="0"/>
              <w:overflowPunct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keepNext/>
              <w:widowControl w:val="0"/>
              <w:kinsoku w:val="0"/>
              <w:overflowPunct w:val="0"/>
              <w:autoSpaceDN w:val="0"/>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为满足实验室，用于保存血浆，疫苗，试剂等。</w:t>
            </w:r>
          </w:p>
          <w:p>
            <w:pPr>
              <w:keepNext/>
              <w:widowControl w:val="0"/>
              <w:kinsoku w:val="0"/>
              <w:overflowPunct w:val="0"/>
              <w:autoSpaceDN w:val="0"/>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产品特点</w:t>
            </w:r>
          </w:p>
          <w:p>
            <w:pPr>
              <w:keepNext/>
              <w:widowControl w:val="0"/>
              <w:kinsoku w:val="0"/>
              <w:overflowPunct w:val="0"/>
              <w:autoSpaceDN w:val="0"/>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控温方式：高精度微电脑温度控制系统</w:t>
            </w:r>
          </w:p>
          <w:p>
            <w:pPr>
              <w:keepNext/>
              <w:widowControl w:val="0"/>
              <w:kinsoku w:val="0"/>
              <w:overflowPunct w:val="0"/>
              <w:autoSpaceDN w:val="0"/>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温控系统：采用微电脑精确控制器，温度均匀性25±1.5℃，可保证室内温度良好的均匀度，-10℃--25℃任意可调</w:t>
            </w:r>
          </w:p>
          <w:p>
            <w:pPr>
              <w:keepNext/>
              <w:widowControl w:val="0"/>
              <w:kinsoku w:val="0"/>
              <w:overflowPunct w:val="0"/>
              <w:autoSpaceDN w:val="0"/>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拉温速度：通电2.5小时可至-25℃</w:t>
            </w:r>
          </w:p>
          <w:p>
            <w:pPr>
              <w:keepNext/>
              <w:widowControl w:val="0"/>
              <w:kinsoku w:val="0"/>
              <w:overflowPunct w:val="0"/>
              <w:autoSpaceDN w:val="0"/>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LED数字显示屏，精确度0.1℃</w:t>
            </w:r>
          </w:p>
          <w:p>
            <w:pPr>
              <w:keepNext/>
              <w:widowControl w:val="0"/>
              <w:kinsoku w:val="0"/>
              <w:overflowPunct w:val="0"/>
              <w:autoSpaceDN w:val="0"/>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★报警系统：完善的声光报警功能，具有高温报警、低温报警、传感器故障报警、断电报警、门开关报警等多种报警功能</w:t>
            </w:r>
          </w:p>
          <w:p>
            <w:pPr>
              <w:keepNext/>
              <w:widowControl w:val="0"/>
              <w:kinsoku w:val="0"/>
              <w:overflowPunct w:val="0"/>
              <w:autoSpaceDN w:val="0"/>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安全系统：开机延时、停机间隔等保护功能，确保运行可靠；控制器密码保护功能，防止随意调整运行参数</w:t>
            </w:r>
          </w:p>
          <w:p>
            <w:pPr>
              <w:keepNext/>
              <w:widowControl w:val="0"/>
              <w:kinsoku w:val="0"/>
              <w:overflowPunct w:val="0"/>
              <w:autoSpaceDN w:val="0"/>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门体带锁，保证物品安全</w:t>
            </w:r>
          </w:p>
          <w:p>
            <w:pPr>
              <w:keepNext/>
              <w:widowControl w:val="0"/>
              <w:kinsoku w:val="0"/>
              <w:overflowPunct w:val="0"/>
              <w:autoSpaceDN w:val="0"/>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配置说明：</w:t>
            </w:r>
          </w:p>
          <w:p>
            <w:pPr>
              <w:keepNext/>
              <w:widowControl w:val="0"/>
              <w:kinsoku w:val="0"/>
              <w:overflowPunct w:val="0"/>
              <w:autoSpaceDN w:val="0"/>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   ★压缩机：采用国际名牌高效全封闭压缩机，节能静音，无氟环保制冷剂</w:t>
            </w:r>
          </w:p>
          <w:p>
            <w:pPr>
              <w:keepNext/>
              <w:widowControl w:val="0"/>
              <w:kinsoku w:val="0"/>
              <w:overflowPunct w:val="0"/>
              <w:autoSpaceDN w:val="0"/>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风扇：国际名牌罩级冷凝风机，节能静音。</w:t>
            </w:r>
          </w:p>
          <w:p>
            <w:pPr>
              <w:keepNext/>
              <w:widowControl w:val="0"/>
              <w:kinsoku w:val="0"/>
              <w:overflowPunct w:val="0"/>
              <w:autoSpaceDN w:val="0"/>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总有效容积(L)：</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350</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储藏温度：-10℃~-25℃</w:t>
            </w:r>
          </w:p>
          <w:p>
            <w:pPr>
              <w:keepNext/>
              <w:widowControl w:val="0"/>
              <w:kinsoku w:val="0"/>
              <w:overflowPunct w:val="0"/>
              <w:autoSpaceDN w:val="0"/>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工作条件：220V，50Hz</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气候类型：N</w:t>
            </w:r>
          </w:p>
          <w:p>
            <w:pPr>
              <w:keepNext/>
              <w:widowControl w:val="0"/>
              <w:kinsoku w:val="0"/>
              <w:overflowPunct w:val="0"/>
              <w:autoSpaceDN w:val="0"/>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制冷剂：混合工质</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耗电量：4.5KW.h/24h </w:t>
            </w:r>
          </w:p>
          <w:p>
            <w:pPr>
              <w:keepNext/>
              <w:widowControl w:val="0"/>
              <w:kinsoku w:val="0"/>
              <w:overflowPunct w:val="0"/>
              <w:autoSpaceDN w:val="0"/>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输入功率(W)：</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490</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整机尺寸（mm）：≥680×680×1850</w:t>
            </w:r>
          </w:p>
          <w:p>
            <w:pPr>
              <w:keepNext/>
              <w:widowControl w:val="0"/>
              <w:kinsoku w:val="0"/>
              <w:overflowPunct w:val="0"/>
              <w:autoSpaceDE w:val="0"/>
              <w:autoSpaceDN w:val="0"/>
              <w:snapToGrid/>
              <w:spacing w:after="0"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工作室尺寸（mm）：≥510×250×1400</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外观结构：立式</w:t>
            </w:r>
          </w:p>
          <w:p>
            <w:pPr>
              <w:keepNext/>
              <w:widowControl w:val="0"/>
              <w:kinsoku w:val="0"/>
              <w:overflowPunct w:val="0"/>
              <w:autoSpaceDE w:val="0"/>
              <w:autoSpaceDN w:val="0"/>
              <w:snapToGrid/>
              <w:spacing w:after="0"/>
              <w:jc w:val="both"/>
              <w:rPr>
                <w:rFonts w:asciiTheme="minorEastAsia" w:hAnsiTheme="minorEastAsia" w:eastAsiaTheme="minorEastAsia" w:cstheme="minorEastAsia"/>
                <w:sz w:val="21"/>
                <w:szCs w:val="21"/>
              </w:rPr>
            </w:pPr>
          </w:p>
        </w:tc>
      </w:tr>
      <w:tr>
        <w:tblPrEx>
          <w:tblCellMar>
            <w:top w:w="0" w:type="dxa"/>
            <w:left w:w="30" w:type="dxa"/>
            <w:bottom w:w="0" w:type="dxa"/>
            <w:right w:w="30" w:type="dxa"/>
          </w:tblCellMar>
        </w:tblPrEx>
        <w:trPr>
          <w:trHeight w:val="561" w:hRule="atLeast"/>
        </w:trPr>
        <w:tc>
          <w:tcPr>
            <w:tcW w:w="2680" w:type="dxa"/>
            <w:tcBorders>
              <w:top w:val="single" w:color="auto" w:sz="6" w:space="0"/>
              <w:left w:val="single" w:color="auto" w:sz="6" w:space="0"/>
              <w:bottom w:val="single" w:color="auto" w:sz="6" w:space="0"/>
              <w:right w:val="single" w:color="auto" w:sz="6" w:space="0"/>
            </w:tcBorders>
            <w:vAlign w:val="center"/>
          </w:tcPr>
          <w:p>
            <w:pPr>
              <w:keepNext/>
              <w:widowControl w:val="0"/>
              <w:kinsoku w:val="0"/>
              <w:overflowPunct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3496" w:type="dxa"/>
            <w:tcBorders>
              <w:top w:val="single" w:color="auto" w:sz="6" w:space="0"/>
              <w:left w:val="single" w:color="auto" w:sz="6" w:space="0"/>
              <w:bottom w:val="single" w:color="auto" w:sz="6" w:space="0"/>
              <w:right w:val="nil"/>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c>
          <w:tcPr>
            <w:tcW w:w="797" w:type="dxa"/>
            <w:tcBorders>
              <w:top w:val="single" w:color="auto" w:sz="6" w:space="0"/>
              <w:left w:val="nil"/>
              <w:bottom w:val="single" w:color="auto" w:sz="6" w:space="0"/>
              <w:right w:val="nil"/>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77" w:type="dxa"/>
            <w:tcBorders>
              <w:top w:val="single" w:color="auto" w:sz="6" w:space="0"/>
              <w:left w:val="nil"/>
              <w:bottom w:val="single" w:color="auto" w:sz="6" w:space="0"/>
              <w:right w:val="single" w:color="auto" w:sz="6" w:space="0"/>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2680" w:type="dxa"/>
            <w:tcBorders>
              <w:top w:val="single" w:color="auto" w:sz="6" w:space="0"/>
              <w:left w:val="single" w:color="auto" w:sz="6" w:space="0"/>
              <w:bottom w:val="single" w:color="auto" w:sz="6" w:space="0"/>
              <w:right w:val="single" w:color="auto" w:sz="6" w:space="0"/>
            </w:tcBorders>
            <w:vAlign w:val="center"/>
          </w:tcPr>
          <w:p>
            <w:pPr>
              <w:keepNext/>
              <w:widowControl w:val="0"/>
              <w:kinsoku w:val="0"/>
              <w:overflowPunct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3496" w:type="dxa"/>
            <w:tcBorders>
              <w:top w:val="single" w:color="auto" w:sz="6" w:space="0"/>
              <w:left w:val="single" w:color="auto" w:sz="6" w:space="0"/>
              <w:bottom w:val="single" w:color="auto" w:sz="6" w:space="0"/>
              <w:right w:val="nil"/>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c>
          <w:tcPr>
            <w:tcW w:w="797" w:type="dxa"/>
            <w:tcBorders>
              <w:top w:val="single" w:color="auto" w:sz="6" w:space="0"/>
              <w:left w:val="nil"/>
              <w:bottom w:val="single" w:color="auto" w:sz="6" w:space="0"/>
              <w:right w:val="nil"/>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77" w:type="dxa"/>
            <w:tcBorders>
              <w:top w:val="single" w:color="auto" w:sz="6" w:space="0"/>
              <w:left w:val="nil"/>
              <w:bottom w:val="single" w:color="auto" w:sz="6" w:space="0"/>
              <w:right w:val="single" w:color="auto" w:sz="6" w:space="0"/>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680" w:type="dxa"/>
            <w:tcBorders>
              <w:top w:val="single" w:color="auto" w:sz="6" w:space="0"/>
              <w:left w:val="single" w:color="auto" w:sz="6" w:space="0"/>
              <w:bottom w:val="single" w:color="auto" w:sz="6" w:space="0"/>
              <w:right w:val="single" w:color="auto" w:sz="6" w:space="0"/>
            </w:tcBorders>
            <w:vAlign w:val="center"/>
          </w:tcPr>
          <w:p>
            <w:pPr>
              <w:keepNext/>
              <w:widowControl w:val="0"/>
              <w:kinsoku w:val="0"/>
              <w:overflowPunct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3496" w:type="dxa"/>
            <w:tcBorders>
              <w:top w:val="single" w:color="auto" w:sz="6" w:space="0"/>
              <w:left w:val="single" w:color="auto" w:sz="6" w:space="0"/>
              <w:bottom w:val="single" w:color="auto" w:sz="6" w:space="0"/>
              <w:right w:val="nil"/>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c>
          <w:tcPr>
            <w:tcW w:w="797" w:type="dxa"/>
            <w:tcBorders>
              <w:top w:val="single" w:color="auto" w:sz="6" w:space="0"/>
              <w:left w:val="nil"/>
              <w:bottom w:val="single" w:color="auto" w:sz="6" w:space="0"/>
              <w:right w:val="nil"/>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c>
          <w:tcPr>
            <w:tcW w:w="1677" w:type="dxa"/>
            <w:tcBorders>
              <w:top w:val="single" w:color="auto" w:sz="6" w:space="0"/>
              <w:left w:val="nil"/>
              <w:bottom w:val="single" w:color="auto" w:sz="6" w:space="0"/>
              <w:right w:val="single" w:color="auto" w:sz="6" w:space="0"/>
            </w:tcBorders>
          </w:tcPr>
          <w:p>
            <w:pPr>
              <w:keepNext/>
              <w:widowControl w:val="0"/>
              <w:kinsoku w:val="0"/>
              <w:overflowPunct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pPr w:leftFromText="180" w:rightFromText="180" w:vertAnchor="text" w:horzAnchor="margin" w:tblpXSpec="center" w:tblpY="-452"/>
        <w:tblOverlap w:val="never"/>
        <w:tblW w:w="9379" w:type="dxa"/>
        <w:tblInd w:w="475" w:type="dxa"/>
        <w:tblLayout w:type="fixed"/>
        <w:tblCellMar>
          <w:top w:w="0" w:type="dxa"/>
          <w:left w:w="30" w:type="dxa"/>
          <w:bottom w:w="0" w:type="dxa"/>
          <w:right w:w="30" w:type="dxa"/>
        </w:tblCellMar>
      </w:tblPr>
      <w:tblGrid>
        <w:gridCol w:w="3296"/>
        <w:gridCol w:w="3496"/>
        <w:gridCol w:w="797"/>
        <w:gridCol w:w="1790"/>
      </w:tblGrid>
      <w:tr>
        <w:tblPrEx>
          <w:tblCellMar>
            <w:top w:w="0" w:type="dxa"/>
            <w:left w:w="30" w:type="dxa"/>
            <w:bottom w:w="0" w:type="dxa"/>
            <w:right w:w="30" w:type="dxa"/>
          </w:tblCellMar>
        </w:tblPrEx>
        <w:trPr>
          <w:trHeight w:val="873" w:hRule="atLeast"/>
        </w:trPr>
        <w:tc>
          <w:tcPr>
            <w:tcW w:w="9379"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723" w:hRule="atLeast"/>
        </w:trPr>
        <w:tc>
          <w:tcPr>
            <w:tcW w:w="3296"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349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both"/>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医用低温保存箱-40°</w:t>
            </w:r>
          </w:p>
        </w:tc>
        <w:tc>
          <w:tcPr>
            <w:tcW w:w="79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9767" w:hRule="atLeast"/>
        </w:trPr>
        <w:tc>
          <w:tcPr>
            <w:tcW w:w="9379" w:type="dxa"/>
            <w:gridSpan w:val="4"/>
            <w:tcBorders>
              <w:top w:val="single" w:color="auto" w:sz="6" w:space="0"/>
              <w:left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snapToGrid/>
              <w:spacing w:after="0" w:line="336" w:lineRule="auto"/>
              <w:jc w:val="both"/>
              <w:textAlignment w:val="auto"/>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为满足实验室，用于保存血浆，疫苗，试剂等。</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产品特点 </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控温方式：高精度微电脑温度控制系统</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温控系统：采用微电脑精确控制器，温度均匀性40±1.5℃，可保证室内温度良好的均匀度，-10℃--40℃任意可调</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拉温速度：通电2.5小时可至-40℃</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LED数字显示屏，精确度0.1℃</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★报警系统：完善的声光报警功能，具有高温报警、低温报警、传感器故障报警、断电报警、门开关报警等多种报警功能；</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安全系统：开机延时、停机间隔等保护功能，确保运行可靠；控制器密码保护功能，防止随意调整运行参数</w:t>
            </w:r>
          </w:p>
          <w:p>
            <w:pPr>
              <w:keepNext w:val="0"/>
              <w:keepLines w:val="0"/>
              <w:pageBreakBefore w:val="0"/>
              <w:kinsoku/>
              <w:wordWrap/>
              <w:overflowPunct/>
              <w:topLinePunct w:val="0"/>
              <w:bidi w:val="0"/>
              <w:adjustRightInd/>
              <w:snapToGrid/>
              <w:spacing w:line="336"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门体带锁，保证物品安全</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配置说明</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★压缩机：采用国际名牌高效全封闭压缩机，节能静音，无氟环保制冷剂</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风扇：国际名牌罩级冷凝风机，节能静音。</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总有效容积(L)：</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90</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储藏温度：-10℃~-40℃</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额定电源：220V</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额定功率：50Hz</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防触电保护类别：I类Ｂ型</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气候类型：N</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报警方式：支持48小时声光报警</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制冷剂：混合工质</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耗电量：4.5KW.h/24h </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输入功率(W)：450</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整机尺寸（mm）：≥540*620*1115</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工作尺寸（mm）：≥361*429*406</w:t>
            </w:r>
          </w:p>
          <w:p>
            <w:pPr>
              <w:keepNext w:val="0"/>
              <w:keepLines w:val="0"/>
              <w:pageBreakBefore w:val="0"/>
              <w:widowControl w:val="0"/>
              <w:kinsoku/>
              <w:wordWrap/>
              <w:overflowPunct/>
              <w:topLinePunct w:val="0"/>
              <w:autoSpaceDE w:val="0"/>
              <w:autoSpaceDN w:val="0"/>
              <w:bidi w:val="0"/>
              <w:adjustRightInd/>
              <w:snapToGrid/>
              <w:spacing w:after="0" w:line="336" w:lineRule="auto"/>
              <w:jc w:val="both"/>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外观结构：立式</w:t>
            </w:r>
          </w:p>
        </w:tc>
      </w:tr>
      <w:tr>
        <w:tblPrEx>
          <w:tblCellMar>
            <w:top w:w="0" w:type="dxa"/>
            <w:left w:w="30" w:type="dxa"/>
            <w:bottom w:w="0" w:type="dxa"/>
            <w:right w:w="30" w:type="dxa"/>
          </w:tblCellMar>
        </w:tblPrEx>
        <w:trPr>
          <w:trHeight w:val="561" w:hRule="atLeast"/>
        </w:trPr>
        <w:tc>
          <w:tcPr>
            <w:tcW w:w="3296"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349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79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34" w:hRule="atLeast"/>
        </w:trPr>
        <w:tc>
          <w:tcPr>
            <w:tcW w:w="3296"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349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79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71" w:hRule="atLeast"/>
        </w:trPr>
        <w:tc>
          <w:tcPr>
            <w:tcW w:w="3296"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3496"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797"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90"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p>
    <w:p>
      <w:pPr>
        <w:pStyle w:val="2"/>
      </w:pPr>
    </w:p>
    <w:tbl>
      <w:tblPr>
        <w:tblStyle w:val="59"/>
        <w:tblpPr w:leftFromText="180" w:rightFromText="180" w:vertAnchor="text" w:horzAnchor="margin" w:tblpXSpec="center" w:tblpY="125"/>
        <w:tblOverlap w:val="never"/>
        <w:tblW w:w="9720" w:type="dxa"/>
        <w:tblInd w:w="1193" w:type="dxa"/>
        <w:tblLayout w:type="fixed"/>
        <w:tblCellMar>
          <w:top w:w="0" w:type="dxa"/>
          <w:left w:w="30" w:type="dxa"/>
          <w:bottom w:w="0" w:type="dxa"/>
          <w:right w:w="30" w:type="dxa"/>
        </w:tblCellMar>
      </w:tblPr>
      <w:tblGrid>
        <w:gridCol w:w="2578"/>
        <w:gridCol w:w="3033"/>
        <w:gridCol w:w="1260"/>
        <w:gridCol w:w="2849"/>
      </w:tblGrid>
      <w:tr>
        <w:tblPrEx>
          <w:tblCellMar>
            <w:top w:w="0" w:type="dxa"/>
            <w:left w:w="30" w:type="dxa"/>
            <w:bottom w:w="0" w:type="dxa"/>
            <w:right w:w="30" w:type="dxa"/>
          </w:tblCellMar>
        </w:tblPrEx>
        <w:trPr>
          <w:trHeight w:val="618" w:hRule="atLeast"/>
        </w:trPr>
        <w:tc>
          <w:tcPr>
            <w:tcW w:w="9720"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rPr>
                <w:rFonts w:asciiTheme="minorEastAsia" w:hAnsiTheme="minorEastAsia" w:eastAsiaTheme="minorEastAsia" w:cstheme="minorEastAsia"/>
                <w:b/>
                <w:color w:val="000000"/>
                <w:sz w:val="21"/>
                <w:szCs w:val="21"/>
              </w:rPr>
            </w:pPr>
          </w:p>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427" w:hRule="atLeast"/>
        </w:trPr>
        <w:tc>
          <w:tcPr>
            <w:tcW w:w="25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303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紫外线空气消毒器</w:t>
            </w:r>
          </w:p>
        </w:tc>
        <w:tc>
          <w:tcPr>
            <w:tcW w:w="126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849"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9650" w:hRule="atLeast"/>
        </w:trPr>
        <w:tc>
          <w:tcPr>
            <w:tcW w:w="9720" w:type="dxa"/>
            <w:gridSpan w:val="4"/>
            <w:tcBorders>
              <w:top w:val="single" w:color="auto" w:sz="6" w:space="0"/>
              <w:left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snapToGrid/>
              <w:spacing w:after="0" w:line="312" w:lineRule="auto"/>
              <w:jc w:val="both"/>
              <w:textAlignment w:val="auto"/>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机采用高强度型紫外线杀菌灯，负离子发生器、臭氧（选配）、活性炭过滤消毒方式可用于有人在条件下的空气消毒（无臭氧时）。机器底部增加滚动论，可方便移动。建议推广：学校、家庭等多个消毒场所使用。</w:t>
            </w:r>
          </w:p>
          <w:p>
            <w:pPr>
              <w:keepNext w:val="0"/>
              <w:keepLines w:val="0"/>
              <w:pageBreakBefore w:val="0"/>
              <w:kinsoku/>
              <w:wordWrap/>
              <w:overflowPunct/>
              <w:topLinePunct w:val="0"/>
              <w:bidi w:val="0"/>
              <w:adjustRightInd/>
              <w:snapToGrid/>
              <w:spacing w:line="312"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1、性能</w:t>
            </w:r>
            <w:r>
              <w:rPr>
                <w:rFonts w:hint="eastAsia" w:asciiTheme="minorEastAsia" w:hAnsiTheme="minorEastAsia" w:eastAsiaTheme="minorEastAsia" w:cstheme="minorEastAsia"/>
                <w:sz w:val="21"/>
                <w:szCs w:val="21"/>
                <w:lang w:val="en-US" w:eastAsia="zh-CN"/>
              </w:rPr>
              <w:t>要求</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采用单片微型计算机构成控制核心，工作稳定可靠，触摸式面板操作，人机交换更方便；</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超强红外线接受装置，可远距离控制遥控，任意 45°轻松操作，内置隐藏式遥控器放置盒，防止遥控器丢失；</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风量状态显示屏显示，风量可按高、中、低自由选择；</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具有紫外灯累计使用计时功能；</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能够显示室内温度,温度测量范围：0℃－39℃，显示 10℃－35℃，温度测量精度：±1℃；</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采用快速拆卸式拆卸过滤器，便于日常清洁及维护保养，配合静音风机循环送风；</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内置高亮度、长寿命、无臭氧、单端 U 型紫外线灯管；</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内置活性炭过滤器过滤尘埃、光触媒网抗菌、除臭；</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采用优质镜面板增强紫外灯辐射强度，提高杀菌效率；</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2、产品参数</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消毒空间：≤60m³/≤80m³；</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循环风量：≥600m³/h/≥800m³/h；</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 机外紫外线泄露：≤5µw/cm²；</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 臭氧浓度：≤7.4X10-3mg/m³；</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 噪音：≤55dB；</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 输入功率：≤350W；</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 初效过滤器的过滤网活性炭纤维滤材厚度应≥ 0.5cm，用于过滤 5μm 以上尘埃粒子；</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3、适用场合</w:t>
            </w:r>
          </w:p>
          <w:p>
            <w:pPr>
              <w:keepNext w:val="0"/>
              <w:keepLines w:val="0"/>
              <w:pageBreakBefore w:val="0"/>
              <w:kinsoku/>
              <w:wordWrap/>
              <w:overflowPunct/>
              <w:topLinePunct w:val="0"/>
              <w:bidi w:val="0"/>
              <w:adjustRightInd/>
              <w:snapToGrid/>
              <w:spacing w:line="312"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适用于医院Ⅱ类环境、Ⅲ类环境、Ⅳ类环境的室内空气动态消毒。适用于家庭、学校、图书馆、血站、食品饮料厂、制药厂、卫生用品厂、电子厂、养殖场、</w:t>
            </w:r>
          </w:p>
          <w:p>
            <w:pPr>
              <w:keepNext w:val="0"/>
              <w:keepLines w:val="0"/>
              <w:pageBreakBefore w:val="0"/>
              <w:widowControl w:val="0"/>
              <w:kinsoku/>
              <w:wordWrap/>
              <w:overflowPunct/>
              <w:topLinePunct w:val="0"/>
              <w:autoSpaceDE w:val="0"/>
              <w:autoSpaceDN w:val="0"/>
              <w:bidi w:val="0"/>
              <w:adjustRightInd/>
              <w:snapToGrid/>
              <w:spacing w:after="0" w:line="312" w:lineRule="auto"/>
              <w:jc w:val="both"/>
              <w:textAlignment w:val="auto"/>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库房、银行、疗养院、博物馆、档案馆、餐饮业、公共场所等的室内空气动态消毒且人机共处（无臭氧时）。</w:t>
            </w:r>
          </w:p>
        </w:tc>
      </w:tr>
      <w:tr>
        <w:tblPrEx>
          <w:tblCellMar>
            <w:top w:w="0" w:type="dxa"/>
            <w:left w:w="30" w:type="dxa"/>
            <w:bottom w:w="0" w:type="dxa"/>
            <w:right w:w="30" w:type="dxa"/>
          </w:tblCellMar>
        </w:tblPrEx>
        <w:trPr>
          <w:trHeight w:val="561" w:hRule="atLeast"/>
        </w:trPr>
        <w:tc>
          <w:tcPr>
            <w:tcW w:w="25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303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26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849"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83" w:hRule="atLeast"/>
        </w:trPr>
        <w:tc>
          <w:tcPr>
            <w:tcW w:w="25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303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26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849"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5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303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26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849"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p>
      <w:pPr>
        <w:spacing w:line="220" w:lineRule="atLeast"/>
        <w:rPr>
          <w:rFonts w:asciiTheme="minorEastAsia" w:hAnsiTheme="minorEastAsia" w:eastAsiaTheme="minorEastAsia" w:cstheme="minorEastAsia"/>
          <w:sz w:val="21"/>
          <w:szCs w:val="21"/>
        </w:rPr>
      </w:pPr>
    </w:p>
    <w:tbl>
      <w:tblPr>
        <w:tblStyle w:val="59"/>
        <w:tblW w:w="8977" w:type="dxa"/>
        <w:tblInd w:w="-180" w:type="dxa"/>
        <w:tblLayout w:type="fixed"/>
        <w:tblCellMar>
          <w:top w:w="0" w:type="dxa"/>
          <w:left w:w="30" w:type="dxa"/>
          <w:bottom w:w="0" w:type="dxa"/>
          <w:right w:w="30" w:type="dxa"/>
        </w:tblCellMar>
      </w:tblPr>
      <w:tblGrid>
        <w:gridCol w:w="2793"/>
        <w:gridCol w:w="4053"/>
        <w:gridCol w:w="240"/>
        <w:gridCol w:w="1891"/>
      </w:tblGrid>
      <w:tr>
        <w:tblPrEx>
          <w:tblCellMar>
            <w:top w:w="0" w:type="dxa"/>
            <w:left w:w="30" w:type="dxa"/>
            <w:bottom w:w="0" w:type="dxa"/>
            <w:right w:w="30" w:type="dxa"/>
          </w:tblCellMar>
        </w:tblPrEx>
        <w:trPr>
          <w:trHeight w:val="752" w:hRule="atLeast"/>
        </w:trPr>
        <w:tc>
          <w:tcPr>
            <w:tcW w:w="8977"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538" w:hRule="atLeast"/>
        </w:trPr>
        <w:tc>
          <w:tcPr>
            <w:tcW w:w="279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405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0.5吨PCR实验室污水处理系统</w:t>
            </w:r>
          </w:p>
        </w:tc>
        <w:tc>
          <w:tcPr>
            <w:tcW w:w="24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91"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2366" w:hRule="atLeast"/>
        </w:trPr>
        <w:tc>
          <w:tcPr>
            <w:tcW w:w="8977" w:type="dxa"/>
            <w:gridSpan w:val="4"/>
            <w:tcBorders>
              <w:top w:val="single" w:color="auto" w:sz="6" w:space="0"/>
              <w:left w:val="single" w:color="auto" w:sz="6" w:space="0"/>
              <w:right w:val="single" w:color="auto" w:sz="6" w:space="0"/>
            </w:tcBorders>
          </w:tcPr>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pStyle w:val="5"/>
              <w:spacing w:before="0" w:after="0"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一、技术指标</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1、处理后用途：废水经处理排向市政管网</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2、★处理水量：≥0.5T/D</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3、★处理后水质排放标准符合：（GB18466-2005）预处理标准</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4、设备电源:220V/2KW</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5、占地面积：6-8平米</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6、设备主机尺寸≥1450</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800</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1900mm</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7、工作环境：5～40℃，避免阳光直射</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8、运行方式：可连续运行,无人值守</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9、控制方式：全自动控制</w:t>
            </w:r>
          </w:p>
          <w:p>
            <w:pPr>
              <w:pStyle w:val="5"/>
              <w:spacing w:before="0" w:after="0"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二、技术参数</w:t>
            </w:r>
          </w:p>
          <w:p>
            <w:pPr>
              <w:spacing w:line="360" w:lineRule="auto"/>
              <w:rPr>
                <w:rFonts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（一）设计</w:t>
            </w:r>
            <w:r>
              <w:rPr>
                <w:rFonts w:hint="eastAsia" w:asciiTheme="minorEastAsia" w:hAnsiTheme="minorEastAsia" w:eastAsiaTheme="minorEastAsia" w:cstheme="minorEastAsia"/>
                <w:b/>
                <w:color w:val="000000" w:themeColor="text1"/>
                <w:sz w:val="21"/>
                <w:szCs w:val="21"/>
                <w:lang w:val="en-US" w:eastAsia="zh-CN"/>
                <w14:textFill>
                  <w14:solidFill>
                    <w14:schemeClr w14:val="tx1"/>
                  </w14:solidFill>
                </w14:textFill>
              </w:rPr>
              <w:t>要求</w:t>
            </w:r>
            <w:r>
              <w:rPr>
                <w:rFonts w:hint="eastAsia" w:asciiTheme="minorEastAsia" w:hAnsiTheme="minorEastAsia" w:eastAsiaTheme="minorEastAsia" w:cstheme="minorEastAsia"/>
                <w:b/>
                <w:color w:val="000000" w:themeColor="text1"/>
                <w:sz w:val="21"/>
                <w:szCs w:val="21"/>
                <w14:textFill>
                  <w14:solidFill>
                    <w14:schemeClr w14:val="tx1"/>
                  </w14:solidFill>
                </w14:textFill>
              </w:rPr>
              <w:t>：</w:t>
            </w:r>
          </w:p>
          <w:p>
            <w:pPr>
              <w:pStyle w:val="258"/>
              <w:numPr>
                <w:ilvl w:val="0"/>
                <w:numId w:val="62"/>
              </w:numPr>
              <w:spacing w:line="360" w:lineRule="auto"/>
              <w:ind w:firstLineChars="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★国际知名品牌全自动PLC控制系统，彩色触摸液晶大屏，无人工看守，设定时间内有废水开机、无废水停机；(提供屏幕截图盖章证明)</w:t>
            </w:r>
          </w:p>
          <w:p>
            <w:pPr>
              <w:pStyle w:val="258"/>
              <w:numPr>
                <w:ilvl w:val="0"/>
                <w:numId w:val="62"/>
              </w:numPr>
              <w:spacing w:line="360" w:lineRule="auto"/>
              <w:ind w:firstLineChars="0"/>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最大限度的提高系统设备的性价比，具有广泛的适应性，强大的升级性，如水质、水量及控制系统的升级；</w:t>
            </w:r>
          </w:p>
          <w:p>
            <w:pPr>
              <w:pStyle w:val="258"/>
              <w:numPr>
                <w:ilvl w:val="0"/>
                <w:numId w:val="62"/>
              </w:numPr>
              <w:spacing w:line="360" w:lineRule="auto"/>
              <w:ind w:firstLineChars="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系统采用可编程控制器，自动控制与监控，</w:t>
            </w:r>
            <w:r>
              <w:rPr>
                <w:rFonts w:hint="eastAsia" w:asciiTheme="minorEastAsia" w:hAnsiTheme="minorEastAsia" w:eastAsiaTheme="minorEastAsia" w:cstheme="minorEastAsia"/>
                <w:color w:val="000000" w:themeColor="text1"/>
                <w:sz w:val="21"/>
                <w:szCs w:val="21"/>
                <w14:textFill>
                  <w14:solidFill>
                    <w14:schemeClr w14:val="tx1"/>
                  </w14:solidFill>
                </w14:textFill>
              </w:rPr>
              <w:t>具备人机对话、</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自动记录、管理历史运行水质、可打印储存并打印历史数据，自动化程序较高；</w:t>
            </w:r>
          </w:p>
          <w:p>
            <w:pPr>
              <w:pStyle w:val="258"/>
              <w:numPr>
                <w:ilvl w:val="0"/>
                <w:numId w:val="62"/>
              </w:numPr>
              <w:spacing w:line="360" w:lineRule="auto"/>
              <w:ind w:firstLineChars="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全程水质、运行状态、参数、工作压力、流量、在线液晶监测、反应水箱高中低液位等实时显示；设备符合GLP（实验室优良标准）设计；</w:t>
            </w:r>
          </w:p>
          <w:p>
            <w:pPr>
              <w:pStyle w:val="258"/>
              <w:numPr>
                <w:ilvl w:val="0"/>
                <w:numId w:val="62"/>
              </w:numPr>
              <w:spacing w:line="360" w:lineRule="auto"/>
              <w:ind w:firstLineChars="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系统集中控制， 一体化设计、无需挖多个处理池，占地面积小，外观高端大方；</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运行安静平稳；</w:t>
            </w:r>
          </w:p>
          <w:p>
            <w:pPr>
              <w:pStyle w:val="258"/>
              <w:numPr>
                <w:ilvl w:val="0"/>
                <w:numId w:val="62"/>
              </w:numPr>
              <w:spacing w:line="360" w:lineRule="auto"/>
              <w:ind w:firstLineChars="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核心部件选用世界一流品质的产品，保障运行的安全性和稳定性；</w:t>
            </w:r>
          </w:p>
          <w:p>
            <w:pPr>
              <w:pStyle w:val="258"/>
              <w:numPr>
                <w:ilvl w:val="0"/>
                <w:numId w:val="62"/>
              </w:numPr>
              <w:spacing w:line="360" w:lineRule="auto"/>
              <w:ind w:firstLineChars="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处理工艺使用规范商品名称的水处理药剂，确保可靠运行、降低运行费用；</w:t>
            </w:r>
          </w:p>
          <w:p>
            <w:pPr>
              <w:pStyle w:val="258"/>
              <w:numPr>
                <w:ilvl w:val="0"/>
                <w:numId w:val="62"/>
              </w:numPr>
              <w:spacing w:line="360" w:lineRule="auto"/>
              <w:ind w:firstLineChars="0"/>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远程监控（选配）：只需有wifi，就能①远程访问系统；②远程管理：实现连接两端的资源共享，用于远程办公等；③远程控制：开关机，重启、注销及定本地或远端程序等；支持多种通讯方式，包括RS232、RS485、GSM、GPRS、TCP/IP、UDP及3G网络。</w:t>
            </w:r>
            <w:r>
              <w:rPr>
                <w:rFonts w:hint="eastAsia" w:asciiTheme="minorEastAsia" w:hAnsiTheme="minorEastAsia" w:eastAsiaTheme="minorEastAsia" w:cstheme="minorEastAsia"/>
                <w:color w:val="000000" w:themeColor="text1"/>
                <w:sz w:val="21"/>
                <w:szCs w:val="21"/>
                <w14:textFill>
                  <w14:solidFill>
                    <w14:schemeClr w14:val="tx1"/>
                  </w14:solidFill>
                </w14:textFill>
              </w:rPr>
              <w:t>（提供远程监控相关证明证书、或屏幕截图盖章证明）</w:t>
            </w:r>
          </w:p>
          <w:p>
            <w:pPr>
              <w:spacing w:line="360" w:lineRule="auto"/>
              <w:rPr>
                <w:rFonts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（二）安全性能：</w:t>
            </w:r>
          </w:p>
          <w:p>
            <w:pPr>
              <w:pStyle w:val="258"/>
              <w:numPr>
                <w:ilvl w:val="0"/>
                <w:numId w:val="63"/>
              </w:numPr>
              <w:spacing w:line="360" w:lineRule="auto"/>
              <w:ind w:firstLineChars="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多种全自动应急操作方式，实现自动和手动两种控制模式，保证系统正常运行；</w:t>
            </w:r>
          </w:p>
          <w:p>
            <w:pPr>
              <w:pStyle w:val="258"/>
              <w:numPr>
                <w:ilvl w:val="0"/>
                <w:numId w:val="63"/>
              </w:numPr>
              <w:spacing w:line="360" w:lineRule="auto"/>
              <w:ind w:firstLineChars="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设有停水、停电、过载等非正常状态自动保护、自动识别故障报警及处理功能；</w:t>
            </w:r>
          </w:p>
          <w:p>
            <w:pPr>
              <w:pStyle w:val="258"/>
              <w:numPr>
                <w:ilvl w:val="0"/>
                <w:numId w:val="63"/>
              </w:numPr>
              <w:spacing w:line="360" w:lineRule="auto"/>
              <w:ind w:firstLineChars="0"/>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开机自检、缺水保护报警、高低压自动停机、停电自动复位；保护并处理。</w:t>
            </w:r>
          </w:p>
          <w:p>
            <w:pPr>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（三）运行经济：</w:t>
            </w:r>
            <w:r>
              <w:rPr>
                <w:rFonts w:hint="eastAsia" w:asciiTheme="minorEastAsia" w:hAnsiTheme="minorEastAsia" w:eastAsiaTheme="minorEastAsia" w:cstheme="minorEastAsia"/>
                <w:color w:val="000000" w:themeColor="text1"/>
                <w:sz w:val="21"/>
                <w:szCs w:val="21"/>
                <w14:textFill>
                  <w14:solidFill>
                    <w14:schemeClr w14:val="tx1"/>
                  </w14:solidFill>
                </w14:textFill>
              </w:rPr>
              <w:t>系统耗电及后期使用成本低，按比例自动投药，药品耗量少；无须专人看守，免人工管理费用等；</w:t>
            </w:r>
          </w:p>
          <w:p>
            <w:pPr>
              <w:spacing w:line="360" w:lineRule="auto"/>
              <w:rPr>
                <w:rFonts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（四）符合标准 使用无忧：</w:t>
            </w:r>
          </w:p>
          <w:p>
            <w:pPr>
              <w:widowControl w:val="0"/>
              <w:autoSpaceDE w:val="0"/>
              <w:autoSpaceDN w:val="0"/>
              <w:snapToGrid/>
              <w:spacing w:after="0" w:line="360" w:lineRule="auto"/>
              <w:jc w:val="both"/>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★应用多项先进的专利技术对综合废水进行处理净化，</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出厂前严格调试和验证，</w:t>
            </w:r>
            <w:r>
              <w:rPr>
                <w:rFonts w:hint="eastAsia" w:asciiTheme="minorEastAsia" w:hAnsiTheme="minorEastAsia" w:eastAsiaTheme="minorEastAsia" w:cstheme="minorEastAsia"/>
                <w:color w:val="000000" w:themeColor="text1"/>
                <w:sz w:val="21"/>
                <w:szCs w:val="21"/>
                <w14:textFill>
                  <w14:solidFill>
                    <w14:schemeClr w14:val="tx1"/>
                  </w14:solidFill>
                </w14:textFill>
              </w:rPr>
              <w:t>出水达到《医疗机构水污染物排放标准》（GB18466-2005）预处理标准。符合全国各地对新建实验大楼的环评验收要求。(提供通过CMA认证检测机构出具的近一年业主方废水检测报告)</w:t>
            </w:r>
          </w:p>
        </w:tc>
      </w:tr>
      <w:tr>
        <w:tblPrEx>
          <w:tblCellMar>
            <w:top w:w="0" w:type="dxa"/>
            <w:left w:w="30" w:type="dxa"/>
            <w:bottom w:w="0" w:type="dxa"/>
            <w:right w:w="30" w:type="dxa"/>
          </w:tblCellMar>
        </w:tblPrEx>
        <w:trPr>
          <w:trHeight w:val="561" w:hRule="atLeast"/>
        </w:trPr>
        <w:tc>
          <w:tcPr>
            <w:tcW w:w="279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405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4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91"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83" w:hRule="atLeast"/>
        </w:trPr>
        <w:tc>
          <w:tcPr>
            <w:tcW w:w="279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405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4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91"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279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4053"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240"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891"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spacing w:line="220" w:lineRule="atLeast"/>
        <w:rPr>
          <w:rFonts w:asciiTheme="minorEastAsia" w:hAnsiTheme="minorEastAsia" w:eastAsiaTheme="minorEastAsia" w:cstheme="minorEastAsia"/>
          <w:sz w:val="21"/>
          <w:szCs w:val="21"/>
        </w:rPr>
      </w:pPr>
    </w:p>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tbl>
      <w:tblPr>
        <w:tblStyle w:val="59"/>
        <w:tblpPr w:leftFromText="180" w:rightFromText="180" w:vertAnchor="text" w:horzAnchor="page" w:tblpX="1335" w:tblpY="-145"/>
        <w:tblOverlap w:val="never"/>
        <w:tblW w:w="9122" w:type="dxa"/>
        <w:tblInd w:w="0" w:type="dxa"/>
        <w:tblLayout w:type="fixed"/>
        <w:tblCellMar>
          <w:top w:w="0" w:type="dxa"/>
          <w:left w:w="30" w:type="dxa"/>
          <w:bottom w:w="0" w:type="dxa"/>
          <w:right w:w="30" w:type="dxa"/>
        </w:tblCellMar>
      </w:tblPr>
      <w:tblGrid>
        <w:gridCol w:w="3063"/>
        <w:gridCol w:w="2772"/>
        <w:gridCol w:w="1521"/>
        <w:gridCol w:w="1766"/>
      </w:tblGrid>
      <w:tr>
        <w:tblPrEx>
          <w:tblCellMar>
            <w:top w:w="0" w:type="dxa"/>
            <w:left w:w="30" w:type="dxa"/>
            <w:bottom w:w="0" w:type="dxa"/>
            <w:right w:w="30" w:type="dxa"/>
          </w:tblCellMar>
        </w:tblPrEx>
        <w:trPr>
          <w:trHeight w:val="547" w:hRule="atLeast"/>
        </w:trPr>
        <w:tc>
          <w:tcPr>
            <w:tcW w:w="9122" w:type="dxa"/>
            <w:gridSpan w:val="4"/>
            <w:tcBorders>
              <w:top w:val="single" w:color="000000" w:sz="2" w:space="0"/>
              <w:left w:val="single" w:color="000000" w:sz="2" w:space="0"/>
              <w:bottom w:val="single" w:color="auto" w:sz="6" w:space="0"/>
              <w:right w:val="single" w:color="000000" w:sz="2" w:space="0"/>
            </w:tcBorders>
            <w:vAlign w:val="center"/>
          </w:tcPr>
          <w:p>
            <w:pPr>
              <w:widowControl w:val="0"/>
              <w:autoSpaceDE w:val="0"/>
              <w:autoSpaceDN w:val="0"/>
              <w:snapToGrid/>
              <w:spacing w:after="0"/>
              <w:ind w:left="1"/>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甘肃省康复中心医院设备技术参数表</w:t>
            </w:r>
          </w:p>
        </w:tc>
      </w:tr>
      <w:tr>
        <w:tblPrEx>
          <w:tblCellMar>
            <w:top w:w="0" w:type="dxa"/>
            <w:left w:w="30" w:type="dxa"/>
            <w:bottom w:w="0" w:type="dxa"/>
            <w:right w:w="30" w:type="dxa"/>
          </w:tblCellMar>
        </w:tblPrEx>
        <w:trPr>
          <w:trHeight w:val="605" w:hRule="atLeast"/>
        </w:trPr>
        <w:tc>
          <w:tcPr>
            <w:tcW w:w="306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设备名称</w:t>
            </w:r>
          </w:p>
        </w:tc>
        <w:tc>
          <w:tcPr>
            <w:tcW w:w="2772"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sz w:val="21"/>
                <w:szCs w:val="21"/>
              </w:rPr>
              <w:t>全自动医用纯水机</w:t>
            </w:r>
          </w:p>
        </w:tc>
        <w:tc>
          <w:tcPr>
            <w:tcW w:w="1521"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6"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10471" w:hRule="atLeast"/>
        </w:trPr>
        <w:tc>
          <w:tcPr>
            <w:tcW w:w="9122" w:type="dxa"/>
            <w:gridSpan w:val="4"/>
            <w:tcBorders>
              <w:top w:val="single" w:color="auto" w:sz="6" w:space="0"/>
              <w:left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snapToGrid/>
              <w:spacing w:after="0" w:line="336" w:lineRule="auto"/>
              <w:jc w:val="both"/>
              <w:textAlignment w:val="auto"/>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设备技术参数</w:t>
            </w:r>
          </w:p>
          <w:p>
            <w:pPr>
              <w:keepNext w:val="0"/>
              <w:keepLines w:val="0"/>
              <w:pageBreakBefore w:val="0"/>
              <w:kinsoku/>
              <w:wordWrap/>
              <w:overflowPunct/>
              <w:topLinePunct w:val="0"/>
              <w:bidi w:val="0"/>
              <w:adjustRightInd/>
              <w:snapToGrid/>
              <w:spacing w:line="336" w:lineRule="auto"/>
              <w:jc w:val="both"/>
              <w:textAlignment w:val="auto"/>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一、技术参数</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全自动微电脑连续产水，开机自检、缺水保护报警、停电自动保护、水箱缺水自动制水、水箱满水自动停机、超低压保护、RO膜自动冲洗等功能；耗材失效进行提示，方便客户识别运行，可原水流量统计、超纯水流量统计；</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2、设备超纯水水质、水温、压力、流量在线监测，经典LCD液晶大屏实时在线监测；纯水和超纯水根据您的需求进行定量取水，无需人工守护；可配备独立取水口方便用户其他用水需求；</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3、优质RO膜、进口静音泵部件、进口管接件等国际品质配件；</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4、注塑式一体化预处理/离子交换柱，使更换工作如此轻松；</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5、低功率系统运行无噪音,参数可升级,适用于不同水源；</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6、系统可选配摇控器方便远距离操作控制；</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7、外观精致集成化，为您节约宝贵空间；</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★8、制造商具备独立的外观专利证书；</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9、制造商具有欧盟CE认证；</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★10、【中华人民共和国药典】（2015）年版检测报告 ； </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★11、 GB6682-2008《 分析实验室用水规格和试验方法》 国家标准； </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★12、控制检测系统具有国家计量认证证书；</w:t>
            </w:r>
          </w:p>
          <w:p>
            <w:pPr>
              <w:keepNext w:val="0"/>
              <w:keepLines w:val="0"/>
              <w:pageBreakBefore w:val="0"/>
              <w:kinsoku/>
              <w:wordWrap/>
              <w:overflowPunct/>
              <w:topLinePunct w:val="0"/>
              <w:bidi w:val="0"/>
              <w:adjustRightInd/>
              <w:snapToGrid/>
              <w:spacing w:line="336" w:lineRule="auto"/>
              <w:jc w:val="both"/>
              <w:textAlignment w:val="auto"/>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二、技术指标</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1、进水要求：城市自来水：TDS＜200PPM，水压：0.1-0.4 MPa ，水温：5-45℃</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2、制水水量：</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60L/H</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3、取水流速：1.5-2L/min(水箱储水时)</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4、RO纯水水质：电导率=进水电导2%μS/cm@25℃</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5、UP超纯水水质：电阻率18.25MΩ.cm@25℃  优于中国实验室用水规格GB6682-2008标准；</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6、TOC：5-10ppb   </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7、 微生物＜1cfu/ml </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8、内毒素：0.001EU/ml  </w:t>
            </w:r>
          </w:p>
          <w:p>
            <w:pPr>
              <w:keepNext w:val="0"/>
              <w:keepLines w:val="0"/>
              <w:pageBreakBefore w:val="0"/>
              <w:kinsoku/>
              <w:wordWrap/>
              <w:overflowPunct/>
              <w:topLinePunct w:val="0"/>
              <w:bidi w:val="0"/>
              <w:adjustRightInd/>
              <w:snapToGrid/>
              <w:spacing w:line="336" w:lineRule="auto"/>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9、颗粒（＞0.22um）＜1个/ml  </w:t>
            </w:r>
          </w:p>
          <w:p>
            <w:pPr>
              <w:keepNext w:val="0"/>
              <w:keepLines w:val="0"/>
              <w:pageBreakBefore w:val="0"/>
              <w:widowControl w:val="0"/>
              <w:kinsoku/>
              <w:wordWrap/>
              <w:overflowPunct/>
              <w:topLinePunct w:val="0"/>
              <w:autoSpaceDE w:val="0"/>
              <w:autoSpaceDN w:val="0"/>
              <w:bidi w:val="0"/>
              <w:adjustRightInd/>
              <w:snapToGrid/>
              <w:spacing w:after="0" w:line="336" w:lineRule="auto"/>
              <w:jc w:val="both"/>
              <w:textAlignment w:val="auto"/>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10、主机规格尺寸：（60L）≥580*400*850MM</w:t>
            </w:r>
          </w:p>
        </w:tc>
      </w:tr>
      <w:tr>
        <w:tblPrEx>
          <w:tblCellMar>
            <w:top w:w="0" w:type="dxa"/>
            <w:left w:w="30" w:type="dxa"/>
            <w:bottom w:w="0" w:type="dxa"/>
            <w:right w:w="30" w:type="dxa"/>
          </w:tblCellMar>
        </w:tblPrEx>
        <w:trPr>
          <w:trHeight w:val="561" w:hRule="atLeast"/>
        </w:trPr>
        <w:tc>
          <w:tcPr>
            <w:tcW w:w="306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申请科室负责人</w:t>
            </w:r>
          </w:p>
        </w:tc>
        <w:tc>
          <w:tcPr>
            <w:tcW w:w="2772"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521"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6"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683" w:hRule="atLeast"/>
        </w:trPr>
        <w:tc>
          <w:tcPr>
            <w:tcW w:w="306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药械科负责人</w:t>
            </w:r>
          </w:p>
        </w:tc>
        <w:tc>
          <w:tcPr>
            <w:tcW w:w="2772"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521"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6"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r>
        <w:tblPrEx>
          <w:tblCellMar>
            <w:top w:w="0" w:type="dxa"/>
            <w:left w:w="30" w:type="dxa"/>
            <w:bottom w:w="0" w:type="dxa"/>
            <w:right w:w="30" w:type="dxa"/>
          </w:tblCellMar>
        </w:tblPrEx>
        <w:trPr>
          <w:trHeight w:val="561" w:hRule="atLeast"/>
        </w:trPr>
        <w:tc>
          <w:tcPr>
            <w:tcW w:w="3063"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snapToGrid/>
              <w:spacing w:after="0"/>
              <w:jc w:val="center"/>
              <w:rPr>
                <w:rFonts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分管院长</w:t>
            </w:r>
          </w:p>
        </w:tc>
        <w:tc>
          <w:tcPr>
            <w:tcW w:w="2772" w:type="dxa"/>
            <w:tcBorders>
              <w:top w:val="single" w:color="auto" w:sz="6" w:space="0"/>
              <w:left w:val="single" w:color="auto" w:sz="6" w:space="0"/>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521" w:type="dxa"/>
            <w:tcBorders>
              <w:top w:val="single" w:color="auto" w:sz="6" w:space="0"/>
              <w:left w:val="nil"/>
              <w:bottom w:val="single" w:color="auto" w:sz="6" w:space="0"/>
              <w:right w:val="nil"/>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c>
          <w:tcPr>
            <w:tcW w:w="1766" w:type="dxa"/>
            <w:tcBorders>
              <w:top w:val="single" w:color="auto" w:sz="6" w:space="0"/>
              <w:left w:val="nil"/>
              <w:bottom w:val="single" w:color="auto" w:sz="6" w:space="0"/>
              <w:right w:val="single" w:color="auto" w:sz="6" w:space="0"/>
            </w:tcBorders>
          </w:tcPr>
          <w:p>
            <w:pPr>
              <w:widowControl w:val="0"/>
              <w:autoSpaceDE w:val="0"/>
              <w:autoSpaceDN w:val="0"/>
              <w:snapToGrid/>
              <w:spacing w:after="0"/>
              <w:jc w:val="center"/>
              <w:rPr>
                <w:rFonts w:asciiTheme="minorEastAsia" w:hAnsiTheme="minorEastAsia" w:eastAsiaTheme="minorEastAsia" w:cstheme="minorEastAsia"/>
                <w:color w:val="000000"/>
                <w:sz w:val="21"/>
                <w:szCs w:val="21"/>
              </w:rPr>
            </w:pPr>
          </w:p>
        </w:tc>
      </w:tr>
    </w:tbl>
    <w:p>
      <w:pPr>
        <w:spacing w:line="220" w:lineRule="atLeast"/>
        <w:rPr>
          <w:rFonts w:asciiTheme="minorEastAsia" w:hAnsiTheme="minorEastAsia" w:eastAsiaTheme="minorEastAsia" w:cstheme="minorEastAsia"/>
          <w:sz w:val="21"/>
          <w:szCs w:val="21"/>
        </w:rPr>
      </w:pPr>
    </w:p>
    <w:p>
      <w:pPr>
        <w:rPr>
          <w:rFonts w:hint="eastAsia" w:ascii="宋体" w:hAnsi="宋体" w:eastAsia="宋体" w:cs="宋体"/>
        </w:rPr>
      </w:pPr>
      <w:r>
        <w:rPr>
          <w:rFonts w:hint="eastAsia" w:ascii="宋体" w:hAnsi="宋体" w:eastAsia="宋体" w:cs="宋体"/>
        </w:rPr>
        <w:t>附录</w:t>
      </w:r>
      <w:r>
        <w:rPr>
          <w:rFonts w:hint="eastAsia" w:ascii="宋体" w:hAnsi="宋体" w:eastAsia="宋体" w:cs="宋体"/>
          <w:lang w:val="en-US" w:eastAsia="zh-CN"/>
        </w:rPr>
        <w:t>1</w:t>
      </w:r>
    </w:p>
    <w:p>
      <w:pPr>
        <w:rPr>
          <w:rFonts w:hint="eastAsia" w:ascii="宋体" w:hAnsi="宋体" w:eastAsia="宋体" w:cs="宋体"/>
        </w:rPr>
      </w:pPr>
    </w:p>
    <w:p>
      <w:pPr>
        <w:ind w:firstLine="210"/>
        <w:rPr>
          <w:rFonts w:hint="eastAsia" w:ascii="宋体" w:hAnsi="宋体" w:eastAsia="宋体" w:cs="宋体"/>
          <w:b/>
          <w:sz w:val="32"/>
        </w:rPr>
      </w:pPr>
      <w:r>
        <w:rPr>
          <w:rFonts w:hint="eastAsia" w:ascii="宋体" w:hAnsi="宋体" w:eastAsia="宋体" w:cs="宋体"/>
        </w:rPr>
        <w:t xml:space="preserve">          </w:t>
      </w:r>
      <w:r>
        <w:rPr>
          <w:rFonts w:hint="eastAsia" w:ascii="宋体" w:hAnsi="宋体" w:eastAsia="宋体" w:cs="宋体"/>
          <w:b/>
          <w:sz w:val="32"/>
        </w:rPr>
        <w:t>临床基因扩增检验实验室技术验收报告</w:t>
      </w:r>
    </w:p>
    <w:p>
      <w:pPr>
        <w:rPr>
          <w:rFonts w:hint="eastAsia" w:ascii="宋体" w:hAnsi="宋体" w:eastAsia="宋体" w:cs="宋体"/>
          <w:b/>
          <w:sz w:val="28"/>
        </w:rPr>
      </w:pPr>
    </w:p>
    <w:p>
      <w:pPr>
        <w:numPr>
          <w:ilvl w:val="0"/>
          <w:numId w:val="64"/>
        </w:numPr>
        <w:spacing w:line="440" w:lineRule="exact"/>
        <w:rPr>
          <w:rFonts w:hint="eastAsia" w:ascii="宋体" w:hAnsi="宋体" w:eastAsia="宋体" w:cs="宋体"/>
          <w:sz w:val="24"/>
        </w:rPr>
      </w:pPr>
      <w:r>
        <w:rPr>
          <w:rFonts w:hint="eastAsia" w:ascii="宋体" w:hAnsi="宋体" w:eastAsia="宋体" w:cs="宋体"/>
          <w:sz w:val="24"/>
        </w:rPr>
        <w:t>基因扩增检验实验室基本情况</w:t>
      </w:r>
    </w:p>
    <w:p>
      <w:pPr>
        <w:spacing w:line="440" w:lineRule="exact"/>
        <w:ind w:firstLine="240" w:firstLineChars="100"/>
        <w:rPr>
          <w:rFonts w:hint="eastAsia" w:ascii="宋体" w:hAnsi="宋体" w:eastAsia="宋体" w:cs="宋体"/>
          <w:sz w:val="24"/>
        </w:rPr>
      </w:pPr>
      <w:r>
        <w:rPr>
          <w:rFonts w:hint="eastAsia" w:ascii="宋体" w:hAnsi="宋体" w:eastAsia="宋体" w:cs="宋体"/>
          <w:sz w:val="24"/>
        </w:rPr>
        <w:t xml:space="preserve">（一）实验室所属法人单位名称: </w:t>
      </w:r>
      <w:r>
        <w:rPr>
          <w:rFonts w:hint="eastAsia" w:ascii="宋体" w:hAnsi="宋体" w:eastAsia="宋体" w:cs="宋体"/>
          <w:sz w:val="24"/>
          <w:u w:val="single"/>
        </w:rPr>
        <w:t xml:space="preserve">              </w:t>
      </w:r>
    </w:p>
    <w:p>
      <w:pPr>
        <w:spacing w:line="440" w:lineRule="exact"/>
        <w:ind w:left="1020"/>
        <w:rPr>
          <w:rFonts w:hint="eastAsia" w:ascii="宋体" w:hAnsi="宋体" w:eastAsia="宋体" w:cs="宋体"/>
          <w:sz w:val="24"/>
          <w:u w:val="single"/>
        </w:rPr>
      </w:pPr>
      <w:r>
        <w:rPr>
          <w:rFonts w:hint="eastAsia" w:ascii="宋体" w:hAnsi="宋体" w:eastAsia="宋体" w:cs="宋体"/>
          <w:sz w:val="24"/>
        </w:rPr>
        <w:t xml:space="preserve">地址:   </w:t>
      </w:r>
      <w:r>
        <w:rPr>
          <w:rFonts w:hint="eastAsia" w:ascii="宋体" w:hAnsi="宋体" w:eastAsia="宋体" w:cs="宋体"/>
          <w:sz w:val="24"/>
          <w:u w:val="single"/>
        </w:rPr>
        <w:t xml:space="preserve">           </w:t>
      </w:r>
    </w:p>
    <w:p>
      <w:pPr>
        <w:spacing w:line="440" w:lineRule="exact"/>
        <w:ind w:left="1020"/>
        <w:rPr>
          <w:rFonts w:hint="eastAsia" w:ascii="宋体" w:hAnsi="宋体" w:eastAsia="宋体" w:cs="宋体"/>
          <w:sz w:val="24"/>
        </w:rPr>
      </w:pPr>
      <w:r>
        <w:rPr>
          <w:rFonts w:hint="eastAsia" w:ascii="宋体" w:hAnsi="宋体" w:eastAsia="宋体" w:cs="宋体"/>
          <w:sz w:val="24"/>
        </w:rPr>
        <w:t xml:space="preserve">邮编:   </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440" w:lineRule="exact"/>
        <w:ind w:left="1020"/>
        <w:rPr>
          <w:rFonts w:hint="eastAsia" w:ascii="宋体" w:hAnsi="宋体" w:eastAsia="宋体" w:cs="宋体"/>
          <w:sz w:val="24"/>
          <w:u w:val="single"/>
        </w:rPr>
      </w:pPr>
      <w:r>
        <w:rPr>
          <w:rFonts w:hint="eastAsia" w:ascii="宋体" w:hAnsi="宋体" w:eastAsia="宋体" w:cs="宋体"/>
          <w:sz w:val="24"/>
        </w:rPr>
        <w:t xml:space="preserve">法定代表人:   </w:t>
      </w:r>
      <w:r>
        <w:rPr>
          <w:rFonts w:hint="eastAsia" w:ascii="宋体" w:hAnsi="宋体" w:eastAsia="宋体" w:cs="宋体"/>
          <w:sz w:val="24"/>
          <w:u w:val="single"/>
        </w:rPr>
        <w:t xml:space="preserve">         </w:t>
      </w:r>
    </w:p>
    <w:p>
      <w:pPr>
        <w:spacing w:line="440" w:lineRule="exact"/>
        <w:ind w:left="1020"/>
        <w:rPr>
          <w:rFonts w:hint="eastAsia" w:ascii="宋体" w:hAnsi="宋体" w:eastAsia="宋体" w:cs="宋体"/>
          <w:sz w:val="24"/>
        </w:rPr>
      </w:pPr>
      <w:r>
        <w:rPr>
          <w:rFonts w:hint="eastAsia" w:ascii="宋体" w:hAnsi="宋体" w:eastAsia="宋体" w:cs="宋体"/>
          <w:sz w:val="24"/>
        </w:rPr>
        <w:t xml:space="preserve">实验室负责人:  </w:t>
      </w:r>
      <w:r>
        <w:rPr>
          <w:rFonts w:hint="eastAsia" w:ascii="宋体" w:hAnsi="宋体" w:eastAsia="宋体" w:cs="宋体"/>
          <w:sz w:val="24"/>
          <w:u w:val="single"/>
        </w:rPr>
        <w:t xml:space="preserve">       </w:t>
      </w:r>
    </w:p>
    <w:p>
      <w:pPr>
        <w:spacing w:line="440" w:lineRule="exact"/>
        <w:ind w:left="1020"/>
        <w:rPr>
          <w:rFonts w:hint="eastAsia" w:ascii="宋体" w:hAnsi="宋体" w:eastAsia="宋体" w:cs="宋体"/>
          <w:sz w:val="24"/>
        </w:rPr>
      </w:pPr>
      <w:r>
        <w:rPr>
          <w:rFonts w:hint="eastAsia" w:ascii="宋体" w:hAnsi="宋体" w:eastAsia="宋体" w:cs="宋体"/>
          <w:sz w:val="24"/>
        </w:rPr>
        <w:t xml:space="preserve">联系人：    </w:t>
      </w:r>
      <w:r>
        <w:rPr>
          <w:rFonts w:hint="eastAsia" w:ascii="宋体" w:hAnsi="宋体" w:eastAsia="宋体" w:cs="宋体"/>
          <w:sz w:val="24"/>
          <w:u w:val="single"/>
        </w:rPr>
        <w:t xml:space="preserve">       </w:t>
      </w:r>
      <w:r>
        <w:rPr>
          <w:rFonts w:hint="eastAsia" w:ascii="宋体" w:hAnsi="宋体" w:eastAsia="宋体" w:cs="宋体"/>
          <w:sz w:val="24"/>
        </w:rPr>
        <w:t xml:space="preserve">         e-mail：</w:t>
      </w:r>
      <w:r>
        <w:rPr>
          <w:rFonts w:hint="eastAsia" w:ascii="宋体" w:hAnsi="宋体" w:eastAsia="宋体" w:cs="宋体"/>
          <w:sz w:val="24"/>
          <w:u w:val="single"/>
        </w:rPr>
        <w:t xml:space="preserve">                     </w:t>
      </w:r>
    </w:p>
    <w:p>
      <w:pPr>
        <w:ind w:firstLine="1140" w:firstLineChars="475"/>
        <w:rPr>
          <w:rFonts w:hint="eastAsia" w:ascii="宋体" w:hAnsi="宋体" w:eastAsia="宋体" w:cs="宋体"/>
          <w:sz w:val="24"/>
        </w:rPr>
      </w:pPr>
      <w:r>
        <w:rPr>
          <w:rFonts w:hint="eastAsia" w:ascii="宋体" w:hAnsi="宋体" w:eastAsia="宋体" w:cs="宋体"/>
          <w:sz w:val="24"/>
        </w:rPr>
        <w:t xml:space="preserve">电话:       </w:t>
      </w:r>
      <w:r>
        <w:rPr>
          <w:rFonts w:hint="eastAsia" w:ascii="宋体" w:hAnsi="宋体" w:eastAsia="宋体" w:cs="宋体"/>
          <w:sz w:val="24"/>
          <w:u w:val="single"/>
        </w:rPr>
        <w:t xml:space="preserve">        </w:t>
      </w:r>
      <w:r>
        <w:rPr>
          <w:rFonts w:hint="eastAsia" w:ascii="宋体" w:hAnsi="宋体" w:eastAsia="宋体" w:cs="宋体"/>
          <w:sz w:val="24"/>
        </w:rPr>
        <w:t xml:space="preserve">          传 真:   </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440" w:lineRule="exact"/>
        <w:rPr>
          <w:rFonts w:hint="eastAsia" w:ascii="宋体" w:hAnsi="宋体" w:eastAsia="宋体" w:cs="宋体"/>
          <w:sz w:val="24"/>
        </w:rPr>
      </w:pPr>
      <w:r>
        <w:rPr>
          <w:rFonts w:hint="eastAsia" w:ascii="宋体" w:hAnsi="宋体" w:eastAsia="宋体" w:cs="宋体"/>
          <w:sz w:val="24"/>
        </w:rPr>
        <w:t xml:space="preserve">     (二)接受现场技术验收的实验室代表姓名及职务:</w:t>
      </w:r>
    </w:p>
    <w:p>
      <w:pPr>
        <w:spacing w:line="440" w:lineRule="exact"/>
        <w:rPr>
          <w:rFonts w:hint="eastAsia" w:ascii="宋体" w:hAnsi="宋体" w:eastAsia="宋体" w:cs="宋体"/>
          <w:sz w:val="24"/>
        </w:rPr>
      </w:pPr>
      <w:r>
        <w:rPr>
          <w:rFonts w:hint="eastAsia" w:ascii="宋体" w:hAnsi="宋体" w:eastAsia="宋体" w:cs="宋体"/>
        </w:rPr>
        <w:t xml:space="preserve">      </w:t>
      </w:r>
      <w:r>
        <w:rPr>
          <w:rFonts w:hint="eastAsia" w:ascii="宋体" w:hAnsi="宋体" w:eastAsia="宋体" w:cs="宋体"/>
          <w:sz w:val="24"/>
        </w:rPr>
        <w:t>二.</w:t>
      </w:r>
      <w:r>
        <w:rPr>
          <w:rFonts w:hint="eastAsia" w:ascii="宋体" w:hAnsi="宋体" w:eastAsia="宋体" w:cs="宋体"/>
        </w:rPr>
        <w:t xml:space="preserve"> </w:t>
      </w:r>
      <w:r>
        <w:rPr>
          <w:rFonts w:hint="eastAsia" w:ascii="宋体" w:hAnsi="宋体" w:eastAsia="宋体" w:cs="宋体"/>
          <w:sz w:val="24"/>
        </w:rPr>
        <w:t>验收依据:卫医发2010年194号文件《医疗机构临床基因扩增管理办法》和医疗机构临床基因扩增实验室工作导则。</w:t>
      </w:r>
    </w:p>
    <w:p>
      <w:pPr>
        <w:spacing w:line="440" w:lineRule="exact"/>
        <w:rPr>
          <w:rFonts w:hint="eastAsia" w:ascii="宋体" w:hAnsi="宋体" w:eastAsia="宋体" w:cs="宋体"/>
          <w:sz w:val="24"/>
        </w:rPr>
      </w:pPr>
      <w:r>
        <w:rPr>
          <w:rFonts w:hint="eastAsia" w:ascii="宋体" w:hAnsi="宋体" w:eastAsia="宋体" w:cs="宋体"/>
          <w:sz w:val="24"/>
        </w:rPr>
        <w:t xml:space="preserve">     三. 验收时间:       </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440" w:lineRule="exact"/>
        <w:rPr>
          <w:rFonts w:hint="eastAsia" w:ascii="宋体" w:hAnsi="宋体" w:eastAsia="宋体" w:cs="宋体"/>
          <w:sz w:val="24"/>
          <w:u w:val="single"/>
        </w:rPr>
      </w:pPr>
      <w:r>
        <w:rPr>
          <w:rFonts w:hint="eastAsia" w:ascii="宋体" w:hAnsi="宋体" w:eastAsia="宋体" w:cs="宋体"/>
          <w:sz w:val="24"/>
        </w:rPr>
        <w:t xml:space="preserve">     四. 验收评审地点:   </w:t>
      </w:r>
      <w:r>
        <w:rPr>
          <w:rFonts w:hint="eastAsia" w:ascii="宋体" w:hAnsi="宋体" w:eastAsia="宋体" w:cs="宋体"/>
          <w:sz w:val="24"/>
          <w:u w:val="single"/>
        </w:rPr>
        <w:t xml:space="preserve">             </w:t>
      </w:r>
    </w:p>
    <w:p>
      <w:pPr>
        <w:spacing w:line="440" w:lineRule="exact"/>
        <w:ind w:firstLine="540" w:firstLineChars="225"/>
        <w:rPr>
          <w:rFonts w:hint="eastAsia" w:ascii="宋体" w:hAnsi="宋体" w:eastAsia="宋体" w:cs="宋体"/>
          <w:sz w:val="24"/>
        </w:rPr>
      </w:pPr>
      <w:r>
        <w:rPr>
          <w:rFonts w:hint="eastAsia" w:ascii="宋体" w:hAnsi="宋体" w:eastAsia="宋体" w:cs="宋体"/>
          <w:sz w:val="24"/>
        </w:rPr>
        <w:t>五. 技术验收结论:</w:t>
      </w:r>
    </w:p>
    <w:p>
      <w:pPr>
        <w:numPr>
          <w:ilvl w:val="0"/>
          <w:numId w:val="65"/>
        </w:numPr>
        <w:spacing w:line="440" w:lineRule="exact"/>
        <w:rPr>
          <w:rFonts w:hint="eastAsia" w:ascii="宋体" w:hAnsi="宋体" w:eastAsia="宋体" w:cs="宋体"/>
          <w:sz w:val="24"/>
        </w:rPr>
      </w:pPr>
      <w:r>
        <w:rPr>
          <w:rFonts w:hint="eastAsia" w:ascii="宋体" w:hAnsi="宋体" w:eastAsia="宋体" w:cs="宋体"/>
          <w:sz w:val="24"/>
        </w:rPr>
        <w:t>合格，建议授予验收合格证书；</w:t>
      </w:r>
    </w:p>
    <w:p>
      <w:pPr>
        <w:numPr>
          <w:ilvl w:val="0"/>
          <w:numId w:val="65"/>
        </w:numPr>
        <w:spacing w:line="440" w:lineRule="exact"/>
        <w:rPr>
          <w:rFonts w:hint="eastAsia" w:ascii="宋体" w:hAnsi="宋体" w:eastAsia="宋体" w:cs="宋体"/>
          <w:sz w:val="24"/>
        </w:rPr>
      </w:pPr>
      <w:r>
        <w:rPr>
          <w:rFonts w:hint="eastAsia" w:ascii="宋体" w:hAnsi="宋体" w:eastAsia="宋体" w:cs="宋体"/>
          <w:sz w:val="24"/>
        </w:rPr>
        <w:t>基本合格，尚存在部份缺陷，缺陷为     项,限期改进,改进后授予验收合格证书；</w:t>
      </w:r>
    </w:p>
    <w:p>
      <w:pPr>
        <w:numPr>
          <w:ilvl w:val="0"/>
          <w:numId w:val="65"/>
        </w:numPr>
        <w:spacing w:line="440" w:lineRule="exact"/>
        <w:rPr>
          <w:rFonts w:hint="eastAsia" w:ascii="宋体" w:hAnsi="宋体" w:eastAsia="宋体" w:cs="宋体"/>
          <w:sz w:val="24"/>
        </w:rPr>
      </w:pPr>
      <w:r>
        <w:rPr>
          <w:rFonts w:hint="eastAsia" w:ascii="宋体" w:hAnsi="宋体" w:eastAsia="宋体" w:cs="宋体"/>
          <w:sz w:val="24"/>
        </w:rPr>
        <w:t>不合格，停止验收，实验室改进后需重新申请。</w:t>
      </w:r>
    </w:p>
    <w:p>
      <w:pPr>
        <w:spacing w:line="440" w:lineRule="exact"/>
        <w:ind w:left="601" w:firstLine="240"/>
        <w:rPr>
          <w:rFonts w:hint="eastAsia" w:ascii="宋体" w:hAnsi="宋体" w:eastAsia="宋体" w:cs="宋体"/>
          <w:sz w:val="24"/>
        </w:rPr>
      </w:pPr>
      <w:r>
        <w:rPr>
          <w:rFonts w:hint="eastAsia" w:ascii="宋体" w:hAnsi="宋体" w:eastAsia="宋体" w:cs="宋体"/>
          <w:sz w:val="24"/>
        </w:rPr>
        <w:t xml:space="preserve">(一) 验收中发现的问题及意见： </w:t>
      </w:r>
    </w:p>
    <w:p>
      <w:pPr>
        <w:spacing w:line="440" w:lineRule="exact"/>
        <w:ind w:firstLine="720"/>
        <w:rPr>
          <w:rFonts w:hint="eastAsia" w:ascii="宋体" w:hAnsi="宋体" w:eastAsia="宋体" w:cs="宋体"/>
          <w:sz w:val="24"/>
        </w:rPr>
      </w:pPr>
      <w:r>
        <w:rPr>
          <w:rFonts w:hint="eastAsia" w:ascii="宋体" w:hAnsi="宋体" w:eastAsia="宋体" w:cs="宋体"/>
          <w:sz w:val="24"/>
        </w:rPr>
        <w:t>附件1：临床基因扩增检验实验室技术验收表;</w:t>
      </w:r>
    </w:p>
    <w:p>
      <w:pPr>
        <w:spacing w:line="440" w:lineRule="exact"/>
        <w:ind w:firstLine="720"/>
        <w:rPr>
          <w:rFonts w:hint="eastAsia" w:ascii="宋体" w:hAnsi="宋体" w:eastAsia="宋体" w:cs="宋体"/>
          <w:sz w:val="24"/>
        </w:rPr>
      </w:pPr>
      <w:r>
        <w:rPr>
          <w:rFonts w:hint="eastAsia" w:ascii="宋体" w:hAnsi="宋体" w:eastAsia="宋体" w:cs="宋体"/>
          <w:sz w:val="24"/>
        </w:rPr>
        <w:t xml:space="preserve">附件2：临床基因扩增检验实验室技术验收意见汇总表; </w:t>
      </w:r>
    </w:p>
    <w:p>
      <w:pPr>
        <w:spacing w:line="440" w:lineRule="exact"/>
        <w:ind w:firstLine="720"/>
        <w:rPr>
          <w:rFonts w:hint="eastAsia" w:ascii="宋体" w:hAnsi="宋体" w:eastAsia="宋体" w:cs="宋体"/>
          <w:sz w:val="24"/>
        </w:rPr>
      </w:pPr>
      <w:r>
        <w:rPr>
          <w:rFonts w:hint="eastAsia" w:ascii="宋体" w:hAnsi="宋体" w:eastAsia="宋体" w:cs="宋体"/>
          <w:sz w:val="24"/>
        </w:rPr>
        <w:t>附件3：整改要求。</w:t>
      </w:r>
    </w:p>
    <w:p>
      <w:pPr>
        <w:spacing w:line="440" w:lineRule="exact"/>
        <w:rPr>
          <w:rFonts w:hint="eastAsia" w:ascii="宋体" w:hAnsi="宋体" w:eastAsia="宋体" w:cs="宋体"/>
          <w:sz w:val="24"/>
        </w:rPr>
      </w:pPr>
      <w:r>
        <w:rPr>
          <w:rFonts w:hint="eastAsia" w:ascii="宋体" w:hAnsi="宋体" w:eastAsia="宋体" w:cs="宋体"/>
          <w:sz w:val="24"/>
        </w:rPr>
        <w:t xml:space="preserve">      (二) 需要说明的其它问题：□如果有的话见附件4；□无。</w:t>
      </w:r>
    </w:p>
    <w:p>
      <w:pPr>
        <w:spacing w:line="440" w:lineRule="exact"/>
        <w:ind w:firstLine="720" w:firstLineChars="300"/>
        <w:rPr>
          <w:rFonts w:hint="eastAsia" w:ascii="宋体" w:hAnsi="宋体" w:eastAsia="宋体" w:cs="宋体"/>
          <w:sz w:val="24"/>
        </w:rPr>
      </w:pPr>
      <w:r>
        <w:rPr>
          <w:rFonts w:hint="eastAsia" w:ascii="宋体" w:hAnsi="宋体" w:eastAsia="宋体" w:cs="宋体"/>
          <w:sz w:val="24"/>
        </w:rPr>
        <w:t>(三) 验收评审员姓名及签名：</w:t>
      </w:r>
    </w:p>
    <w:p>
      <w:pPr>
        <w:spacing w:line="440" w:lineRule="exact"/>
        <w:ind w:firstLine="960" w:firstLineChars="400"/>
        <w:rPr>
          <w:rFonts w:hint="eastAsia" w:ascii="宋体" w:hAnsi="宋体" w:eastAsia="宋体" w:cs="宋体"/>
          <w:sz w:val="24"/>
        </w:rPr>
      </w:pPr>
      <w:r>
        <w:rPr>
          <w:rFonts w:hint="eastAsia" w:ascii="宋体" w:hAnsi="宋体" w:eastAsia="宋体" w:cs="宋体"/>
          <w:sz w:val="24"/>
        </w:rPr>
        <w:t xml:space="preserve">主评审员姓名：  </w:t>
      </w:r>
      <w:r>
        <w:rPr>
          <w:rFonts w:hint="eastAsia" w:ascii="宋体" w:hAnsi="宋体" w:eastAsia="宋体" w:cs="宋体"/>
          <w:sz w:val="24"/>
          <w:u w:val="single"/>
        </w:rPr>
        <w:t xml:space="preserve">       </w:t>
      </w:r>
      <w:r>
        <w:rPr>
          <w:rFonts w:hint="eastAsia" w:ascii="宋体" w:hAnsi="宋体" w:eastAsia="宋体" w:cs="宋体"/>
          <w:sz w:val="24"/>
        </w:rPr>
        <w:t xml:space="preserve">           签名: </w:t>
      </w:r>
      <w:r>
        <w:rPr>
          <w:rFonts w:hint="eastAsia" w:ascii="宋体" w:hAnsi="宋体" w:eastAsia="宋体" w:cs="宋体"/>
          <w:sz w:val="24"/>
          <w:u w:val="single"/>
        </w:rPr>
        <w:t xml:space="preserve">               </w:t>
      </w:r>
    </w:p>
    <w:p>
      <w:pPr>
        <w:spacing w:line="440" w:lineRule="exact"/>
        <w:ind w:firstLine="960" w:firstLineChars="400"/>
        <w:rPr>
          <w:rFonts w:hint="eastAsia" w:ascii="宋体" w:hAnsi="宋体" w:eastAsia="宋体" w:cs="宋体"/>
          <w:sz w:val="24"/>
          <w:u w:val="single"/>
        </w:rPr>
      </w:pPr>
      <w:r>
        <w:rPr>
          <w:rFonts w:hint="eastAsia" w:ascii="宋体" w:hAnsi="宋体" w:eastAsia="宋体" w:cs="宋体"/>
          <w:sz w:val="24"/>
        </w:rPr>
        <w:t xml:space="preserve">评审员姓名：    </w:t>
      </w:r>
      <w:r>
        <w:rPr>
          <w:rFonts w:hint="eastAsia" w:ascii="宋体" w:hAnsi="宋体" w:eastAsia="宋体" w:cs="宋体"/>
          <w:sz w:val="24"/>
          <w:u w:val="single"/>
        </w:rPr>
        <w:t xml:space="preserve">       </w:t>
      </w:r>
      <w:r>
        <w:rPr>
          <w:rFonts w:hint="eastAsia" w:ascii="宋体" w:hAnsi="宋体" w:eastAsia="宋体" w:cs="宋体"/>
          <w:sz w:val="24"/>
        </w:rPr>
        <w:t xml:space="preserve">           签名: </w:t>
      </w:r>
      <w:r>
        <w:rPr>
          <w:rFonts w:hint="eastAsia" w:ascii="宋体" w:hAnsi="宋体" w:eastAsia="宋体" w:cs="宋体"/>
          <w:sz w:val="24"/>
          <w:u w:val="single"/>
        </w:rPr>
        <w:t xml:space="preserve">               </w:t>
      </w:r>
    </w:p>
    <w:p>
      <w:pPr>
        <w:spacing w:line="440" w:lineRule="exact"/>
        <w:ind w:firstLine="960" w:firstLineChars="400"/>
        <w:rPr>
          <w:rFonts w:hint="eastAsia" w:ascii="宋体" w:hAnsi="宋体" w:eastAsia="宋体" w:cs="宋体"/>
          <w:sz w:val="24"/>
          <w:u w:val="single"/>
        </w:rPr>
      </w:pPr>
      <w:r>
        <w:rPr>
          <w:rFonts w:hint="eastAsia" w:ascii="宋体" w:hAnsi="宋体" w:eastAsia="宋体" w:cs="宋体"/>
          <w:sz w:val="24"/>
        </w:rPr>
        <w:t xml:space="preserve">评审员姓名：    </w:t>
      </w:r>
      <w:r>
        <w:rPr>
          <w:rFonts w:hint="eastAsia" w:ascii="宋体" w:hAnsi="宋体" w:eastAsia="宋体" w:cs="宋体"/>
          <w:sz w:val="24"/>
          <w:u w:val="single"/>
        </w:rPr>
        <w:t xml:space="preserve">       </w:t>
      </w:r>
      <w:r>
        <w:rPr>
          <w:rFonts w:hint="eastAsia" w:ascii="宋体" w:hAnsi="宋体" w:eastAsia="宋体" w:cs="宋体"/>
          <w:sz w:val="24"/>
        </w:rPr>
        <w:t xml:space="preserve">           签名: </w:t>
      </w:r>
      <w:r>
        <w:rPr>
          <w:rFonts w:hint="eastAsia" w:ascii="宋体" w:hAnsi="宋体" w:eastAsia="宋体" w:cs="宋体"/>
          <w:sz w:val="24"/>
          <w:u w:val="single"/>
        </w:rPr>
        <w:t xml:space="preserve">               </w:t>
      </w:r>
    </w:p>
    <w:p>
      <w:pPr>
        <w:spacing w:line="440" w:lineRule="exact"/>
        <w:ind w:firstLine="960" w:firstLineChars="400"/>
        <w:rPr>
          <w:rFonts w:hint="eastAsia" w:ascii="宋体" w:hAnsi="宋体" w:eastAsia="宋体" w:cs="宋体"/>
          <w:sz w:val="24"/>
          <w:u w:val="single"/>
        </w:rPr>
      </w:pPr>
      <w:r>
        <w:rPr>
          <w:rFonts w:hint="eastAsia" w:ascii="宋体" w:hAnsi="宋体" w:eastAsia="宋体" w:cs="宋体"/>
          <w:sz w:val="24"/>
        </w:rPr>
        <w:t xml:space="preserve">联络员姓名：    </w:t>
      </w:r>
      <w:r>
        <w:rPr>
          <w:rFonts w:hint="eastAsia" w:ascii="宋体" w:hAnsi="宋体" w:eastAsia="宋体" w:cs="宋体"/>
          <w:sz w:val="24"/>
          <w:u w:val="single"/>
        </w:rPr>
        <w:t xml:space="preserve">       </w:t>
      </w:r>
      <w:r>
        <w:rPr>
          <w:rFonts w:hint="eastAsia" w:ascii="宋体" w:hAnsi="宋体" w:eastAsia="宋体" w:cs="宋体"/>
          <w:sz w:val="24"/>
        </w:rPr>
        <w:t xml:space="preserve">          签名: </w:t>
      </w:r>
      <w:r>
        <w:rPr>
          <w:rFonts w:hint="eastAsia" w:ascii="宋体" w:hAnsi="宋体" w:eastAsia="宋体" w:cs="宋体"/>
          <w:sz w:val="24"/>
          <w:u w:val="single"/>
        </w:rPr>
        <w:t xml:space="preserve">               </w:t>
      </w:r>
    </w:p>
    <w:p>
      <w:pPr>
        <w:spacing w:line="440" w:lineRule="exact"/>
        <w:ind w:firstLine="960" w:firstLineChars="400"/>
        <w:rPr>
          <w:rFonts w:hint="eastAsia" w:ascii="宋体" w:hAnsi="宋体" w:eastAsia="宋体" w:cs="宋体"/>
          <w:sz w:val="24"/>
        </w:rPr>
      </w:pPr>
      <w:r>
        <w:rPr>
          <w:rFonts w:hint="eastAsia" w:ascii="宋体" w:hAnsi="宋体" w:eastAsia="宋体" w:cs="宋体"/>
          <w:sz w:val="24"/>
        </w:rPr>
        <w:t xml:space="preserve">签字时间：    </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440" w:lineRule="exact"/>
        <w:ind w:firstLine="960" w:firstLineChars="400"/>
        <w:rPr>
          <w:rFonts w:hint="eastAsia" w:ascii="宋体" w:hAnsi="宋体" w:eastAsia="宋体" w:cs="宋体"/>
          <w:sz w:val="24"/>
        </w:rPr>
      </w:pPr>
      <w:r>
        <w:rPr>
          <w:rFonts w:hint="eastAsia" w:ascii="宋体" w:hAnsi="宋体" w:eastAsia="宋体" w:cs="宋体"/>
          <w:sz w:val="24"/>
        </w:rPr>
        <w:t xml:space="preserve">签字地点：   </w:t>
      </w:r>
      <w:r>
        <w:rPr>
          <w:rFonts w:hint="eastAsia" w:ascii="宋体" w:hAnsi="宋体" w:eastAsia="宋体" w:cs="宋体"/>
          <w:sz w:val="24"/>
          <w:u w:val="single"/>
        </w:rPr>
        <w:t xml:space="preserve">              </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(四) 验收评审组意见：</w:t>
      </w: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440" w:lineRule="exact"/>
        <w:ind w:left="600"/>
        <w:rPr>
          <w:rFonts w:hint="eastAsia" w:ascii="宋体" w:hAnsi="宋体" w:eastAsia="宋体" w:cs="宋体"/>
          <w:sz w:val="24"/>
          <w:u w:val="single"/>
        </w:rPr>
      </w:pPr>
      <w:r>
        <w:rPr>
          <w:rFonts w:hint="eastAsia" w:ascii="宋体" w:hAnsi="宋体" w:eastAsia="宋体" w:cs="宋体"/>
          <w:sz w:val="24"/>
          <w:u w:val="single"/>
        </w:rPr>
        <w:t xml:space="preserve">                                           </w:t>
      </w:r>
    </w:p>
    <w:p>
      <w:pPr>
        <w:rPr>
          <w:rFonts w:hint="eastAsia" w:ascii="宋体" w:hAnsi="宋体" w:eastAsia="宋体" w:cs="宋体"/>
          <w:b/>
          <w:sz w:val="32"/>
        </w:rPr>
      </w:pPr>
      <w:r>
        <w:rPr>
          <w:rFonts w:hint="eastAsia" w:ascii="宋体" w:hAnsi="宋体" w:eastAsia="宋体" w:cs="宋体"/>
          <w:sz w:val="28"/>
        </w:rPr>
        <w:br w:type="page"/>
      </w:r>
      <w:r>
        <w:rPr>
          <w:rFonts w:hint="eastAsia" w:ascii="宋体" w:hAnsi="宋体" w:eastAsia="宋体" w:cs="宋体"/>
        </w:rPr>
        <w:t>附件</w:t>
      </w:r>
      <w:r>
        <w:rPr>
          <w:rFonts w:hint="eastAsia" w:ascii="宋体" w:hAnsi="宋体" w:eastAsia="宋体" w:cs="宋体"/>
          <w:lang w:val="en-US" w:eastAsia="zh-CN"/>
        </w:rPr>
        <w:t>1</w:t>
      </w:r>
      <w:r>
        <w:rPr>
          <w:rFonts w:hint="eastAsia" w:ascii="宋体" w:hAnsi="宋体" w:eastAsia="宋体" w:cs="宋体"/>
          <w:sz w:val="28"/>
        </w:rPr>
        <w:t xml:space="preserve">    </w:t>
      </w:r>
      <w:r>
        <w:rPr>
          <w:rFonts w:hint="eastAsia" w:ascii="宋体" w:hAnsi="宋体" w:eastAsia="宋体" w:cs="宋体"/>
          <w:b/>
          <w:sz w:val="32"/>
        </w:rPr>
        <w:t xml:space="preserve"> 临床基因扩增检验实验室技术验收表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922"/>
        <w:gridCol w:w="682"/>
        <w:gridCol w:w="791"/>
        <w:gridCol w:w="395"/>
        <w:gridCol w:w="423"/>
        <w:gridCol w:w="736"/>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8" w:hRule="atLeast"/>
        </w:trPr>
        <w:tc>
          <w:tcPr>
            <w:tcW w:w="648" w:type="dxa"/>
            <w:vMerge w:val="restart"/>
            <w:noWrap w:val="0"/>
            <w:vAlign w:val="top"/>
          </w:tcPr>
          <w:p>
            <w:pPr>
              <w:spacing w:line="320" w:lineRule="exact"/>
              <w:rPr>
                <w:rFonts w:hint="eastAsia" w:ascii="宋体" w:hAnsi="宋体" w:eastAsia="宋体" w:cs="宋体"/>
                <w:sz w:val="24"/>
                <w:szCs w:val="24"/>
              </w:rPr>
            </w:pP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序号</w:t>
            </w:r>
          </w:p>
          <w:p>
            <w:pPr>
              <w:spacing w:line="320" w:lineRule="exact"/>
              <w:rPr>
                <w:rFonts w:hint="eastAsia" w:ascii="宋体" w:hAnsi="宋体" w:eastAsia="宋体" w:cs="宋体"/>
                <w:sz w:val="24"/>
                <w:szCs w:val="24"/>
              </w:rPr>
            </w:pPr>
          </w:p>
        </w:tc>
        <w:tc>
          <w:tcPr>
            <w:tcW w:w="3922" w:type="dxa"/>
            <w:vMerge w:val="restart"/>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 xml:space="preserve">       </w:t>
            </w:r>
          </w:p>
          <w:p>
            <w:pPr>
              <w:spacing w:line="320" w:lineRule="exact"/>
              <w:rPr>
                <w:rFonts w:hint="eastAsia" w:ascii="宋体" w:hAnsi="宋体" w:eastAsia="宋体" w:cs="宋体"/>
                <w:sz w:val="24"/>
                <w:szCs w:val="24"/>
              </w:rPr>
            </w:pPr>
            <w:r>
              <w:rPr>
                <w:rFonts w:hint="eastAsia" w:ascii="宋体" w:hAnsi="宋体" w:eastAsia="宋体" w:cs="宋体"/>
                <w:sz w:val="24"/>
                <w:szCs w:val="24"/>
              </w:rPr>
              <w:t xml:space="preserve">   </w:t>
            </w:r>
          </w:p>
          <w:p>
            <w:pPr>
              <w:spacing w:line="320" w:lineRule="exact"/>
              <w:rPr>
                <w:rFonts w:hint="eastAsia" w:ascii="宋体" w:hAnsi="宋体" w:eastAsia="宋体" w:cs="宋体"/>
                <w:sz w:val="24"/>
                <w:szCs w:val="24"/>
              </w:rPr>
            </w:pPr>
            <w:r>
              <w:rPr>
                <w:rFonts w:hint="eastAsia" w:ascii="宋体" w:hAnsi="宋体" w:eastAsia="宋体" w:cs="宋体"/>
                <w:sz w:val="24"/>
                <w:szCs w:val="24"/>
              </w:rPr>
              <w:t xml:space="preserve">   验 收 内 容</w:t>
            </w:r>
          </w:p>
        </w:tc>
        <w:tc>
          <w:tcPr>
            <w:tcW w:w="3804" w:type="dxa"/>
            <w:gridSpan w:val="6"/>
            <w:tcBorders>
              <w:bottom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 xml:space="preserve">            验  收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648" w:type="dxa"/>
            <w:vMerge w:val="continue"/>
            <w:noWrap w:val="0"/>
            <w:vAlign w:val="top"/>
          </w:tcPr>
          <w:p>
            <w:pPr>
              <w:spacing w:line="320" w:lineRule="exact"/>
              <w:rPr>
                <w:rFonts w:hint="eastAsia" w:ascii="宋体" w:hAnsi="宋体" w:eastAsia="宋体" w:cs="宋体"/>
                <w:sz w:val="24"/>
                <w:szCs w:val="24"/>
              </w:rPr>
            </w:pPr>
          </w:p>
        </w:tc>
        <w:tc>
          <w:tcPr>
            <w:tcW w:w="3922" w:type="dxa"/>
            <w:vMerge w:val="continue"/>
            <w:noWrap w:val="0"/>
            <w:vAlign w:val="top"/>
          </w:tcPr>
          <w:p>
            <w:pPr>
              <w:spacing w:line="320" w:lineRule="exact"/>
              <w:rPr>
                <w:rFonts w:hint="eastAsia" w:ascii="宋体" w:hAnsi="宋体" w:eastAsia="宋体" w:cs="宋体"/>
                <w:sz w:val="24"/>
                <w:szCs w:val="24"/>
              </w:rPr>
            </w:pPr>
          </w:p>
        </w:tc>
        <w:tc>
          <w:tcPr>
            <w:tcW w:w="682" w:type="dxa"/>
            <w:tcBorders>
              <w:top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p>
            <w:pPr>
              <w:spacing w:line="320" w:lineRule="exact"/>
              <w:rPr>
                <w:rFonts w:hint="eastAsia" w:ascii="宋体" w:hAnsi="宋体" w:eastAsia="宋体" w:cs="宋体"/>
                <w:sz w:val="24"/>
                <w:szCs w:val="24"/>
              </w:rPr>
            </w:pPr>
            <w:r>
              <w:rPr>
                <w:rFonts w:hint="eastAsia" w:ascii="宋体" w:hAnsi="宋体" w:eastAsia="宋体" w:cs="宋体"/>
                <w:sz w:val="24"/>
                <w:szCs w:val="24"/>
              </w:rPr>
              <w:t>符合</w:t>
            </w:r>
          </w:p>
          <w:p>
            <w:pPr>
              <w:spacing w:line="320" w:lineRule="exact"/>
              <w:rPr>
                <w:rFonts w:hint="eastAsia" w:ascii="宋体" w:hAnsi="宋体" w:eastAsia="宋体" w:cs="宋体"/>
                <w:sz w:val="24"/>
                <w:szCs w:val="24"/>
              </w:rPr>
            </w:pPr>
            <w:r>
              <w:rPr>
                <w:rFonts w:hint="eastAsia" w:ascii="宋体" w:hAnsi="宋体" w:eastAsia="宋体" w:cs="宋体"/>
                <w:sz w:val="24"/>
                <w:szCs w:val="24"/>
              </w:rPr>
              <w:t xml:space="preserve"> </w:t>
            </w:r>
          </w:p>
        </w:tc>
        <w:tc>
          <w:tcPr>
            <w:tcW w:w="791" w:type="dxa"/>
            <w:tcBorders>
              <w:top w:val="single" w:color="auto" w:sz="6" w:space="0"/>
              <w:left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基但本有</w:t>
            </w:r>
          </w:p>
          <w:p>
            <w:pPr>
              <w:spacing w:line="320" w:lineRule="exact"/>
              <w:rPr>
                <w:rFonts w:hint="eastAsia" w:ascii="宋体" w:hAnsi="宋体" w:eastAsia="宋体" w:cs="宋体"/>
                <w:sz w:val="24"/>
                <w:szCs w:val="24"/>
              </w:rPr>
            </w:pPr>
            <w:r>
              <w:rPr>
                <w:rFonts w:hint="eastAsia" w:ascii="宋体" w:hAnsi="宋体" w:eastAsia="宋体" w:cs="宋体"/>
                <w:sz w:val="24"/>
                <w:szCs w:val="24"/>
              </w:rPr>
              <w:t>符缺</w:t>
            </w:r>
          </w:p>
          <w:p>
            <w:pPr>
              <w:spacing w:line="320" w:lineRule="exact"/>
              <w:rPr>
                <w:rFonts w:hint="eastAsia" w:ascii="宋体" w:hAnsi="宋体" w:eastAsia="宋体" w:cs="宋体"/>
                <w:sz w:val="24"/>
                <w:szCs w:val="24"/>
              </w:rPr>
            </w:pPr>
            <w:r>
              <w:rPr>
                <w:rFonts w:hint="eastAsia" w:ascii="宋体" w:hAnsi="宋体" w:eastAsia="宋体" w:cs="宋体"/>
                <w:sz w:val="24"/>
                <w:szCs w:val="24"/>
              </w:rPr>
              <w:t>合陷</w:t>
            </w:r>
          </w:p>
        </w:tc>
        <w:tc>
          <w:tcPr>
            <w:tcW w:w="395" w:type="dxa"/>
            <w:tcBorders>
              <w:top w:val="single" w:color="auto" w:sz="6" w:space="0"/>
              <w:left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不符合</w:t>
            </w:r>
          </w:p>
        </w:tc>
        <w:tc>
          <w:tcPr>
            <w:tcW w:w="423" w:type="dxa"/>
            <w:tcBorders>
              <w:top w:val="single" w:color="auto" w:sz="6" w:space="0"/>
              <w:left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缺此项</w:t>
            </w:r>
          </w:p>
        </w:tc>
        <w:tc>
          <w:tcPr>
            <w:tcW w:w="736" w:type="dxa"/>
            <w:tcBorders>
              <w:top w:val="single" w:color="auto" w:sz="6" w:space="0"/>
              <w:left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暂不需考核</w:t>
            </w:r>
          </w:p>
        </w:tc>
        <w:tc>
          <w:tcPr>
            <w:tcW w:w="777" w:type="dxa"/>
            <w:tcBorders>
              <w:top w:val="single" w:color="auto" w:sz="6" w:space="0"/>
              <w:left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评论与说明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pPr>
              <w:spacing w:line="320" w:lineRule="exact"/>
              <w:rPr>
                <w:rFonts w:hint="eastAsia" w:ascii="宋体" w:hAnsi="宋体" w:eastAsia="宋体" w:cs="宋体"/>
                <w:b/>
                <w:sz w:val="24"/>
                <w:szCs w:val="24"/>
              </w:rPr>
            </w:pPr>
            <w:r>
              <w:rPr>
                <w:rFonts w:hint="eastAsia" w:ascii="宋体" w:hAnsi="宋体" w:eastAsia="宋体" w:cs="宋体"/>
                <w:b/>
                <w:sz w:val="24"/>
                <w:szCs w:val="24"/>
              </w:rPr>
              <w:t>1</w:t>
            </w:r>
          </w:p>
        </w:tc>
        <w:tc>
          <w:tcPr>
            <w:tcW w:w="3922" w:type="dxa"/>
            <w:noWrap w:val="0"/>
            <w:vAlign w:val="top"/>
          </w:tcPr>
          <w:p>
            <w:pPr>
              <w:spacing w:line="320" w:lineRule="exact"/>
              <w:rPr>
                <w:rFonts w:hint="eastAsia" w:ascii="宋体" w:hAnsi="宋体" w:eastAsia="宋体" w:cs="宋体"/>
                <w:b/>
                <w:sz w:val="24"/>
                <w:szCs w:val="24"/>
              </w:rPr>
            </w:pPr>
            <w:r>
              <w:rPr>
                <w:rFonts w:hint="eastAsia" w:ascii="宋体" w:hAnsi="宋体" w:eastAsia="宋体" w:cs="宋体"/>
                <w:b/>
                <w:sz w:val="24"/>
                <w:szCs w:val="24"/>
              </w:rPr>
              <w:t>实验室设置和设备</w:t>
            </w:r>
          </w:p>
        </w:tc>
        <w:tc>
          <w:tcPr>
            <w:tcW w:w="682" w:type="dxa"/>
            <w:tcBorders>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left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left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left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left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left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648" w:type="dxa"/>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1.1</w:t>
            </w:r>
          </w:p>
        </w:tc>
        <w:tc>
          <w:tcPr>
            <w:tcW w:w="3922" w:type="dxa"/>
            <w:tcBorders>
              <w:bottom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实验室的规范化分区:原则上应分为四个区,但如使用全自动扩增检测仪,区域可适当合并</w:t>
            </w:r>
          </w:p>
        </w:tc>
        <w:tc>
          <w:tcPr>
            <w:tcW w:w="682" w:type="dxa"/>
            <w:tcBorders>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648" w:type="dxa"/>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1.2</w:t>
            </w:r>
          </w:p>
        </w:tc>
        <w:tc>
          <w:tcPr>
            <w:tcW w:w="3922" w:type="dxa"/>
            <w:tcBorders>
              <w:bottom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各工作区的明确标记</w:t>
            </w:r>
          </w:p>
        </w:tc>
        <w:tc>
          <w:tcPr>
            <w:tcW w:w="682" w:type="dxa"/>
            <w:tcBorders>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648" w:type="dxa"/>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1.3</w:t>
            </w:r>
          </w:p>
        </w:tc>
        <w:tc>
          <w:tcPr>
            <w:tcW w:w="3922" w:type="dxa"/>
            <w:tcBorders>
              <w:bottom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实验室应配备开展临床基因扩增检测所需的所有仪器设备（包括质控物）。保证《临床基因扩增检验实验室管理办法》和《临床基因扩增检验实验室工作规范》的有关要求得到满足。</w:t>
            </w:r>
          </w:p>
        </w:tc>
        <w:tc>
          <w:tcPr>
            <w:tcW w:w="682" w:type="dxa"/>
            <w:tcBorders>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648" w:type="dxa"/>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1.4</w:t>
            </w:r>
          </w:p>
        </w:tc>
        <w:tc>
          <w:tcPr>
            <w:tcW w:w="3922" w:type="dxa"/>
            <w:tcBorders>
              <w:bottom w:val="single" w:color="auto" w:sz="4"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试剂贮存和准备区</w:t>
            </w:r>
          </w:p>
        </w:tc>
        <w:tc>
          <w:tcPr>
            <w:tcW w:w="682" w:type="dxa"/>
            <w:tcBorders>
              <w:bottom w:val="single" w:color="auto" w:sz="4"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395"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423"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36"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77"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648" w:type="dxa"/>
            <w:vMerge w:val="restart"/>
            <w:noWrap w:val="0"/>
            <w:vAlign w:val="top"/>
          </w:tcPr>
          <w:p>
            <w:pPr>
              <w:spacing w:line="320" w:lineRule="exact"/>
              <w:rPr>
                <w:rFonts w:hint="eastAsia" w:ascii="宋体" w:hAnsi="宋体" w:eastAsia="宋体" w:cs="宋体"/>
                <w:sz w:val="24"/>
                <w:szCs w:val="24"/>
              </w:rPr>
            </w:pPr>
          </w:p>
        </w:tc>
        <w:tc>
          <w:tcPr>
            <w:tcW w:w="3922" w:type="dxa"/>
            <w:tcBorders>
              <w:bottom w:val="single" w:color="auto" w:sz="4" w:space="0"/>
            </w:tcBorders>
            <w:noWrap w:val="0"/>
            <w:vAlign w:val="top"/>
          </w:tcPr>
          <w:p>
            <w:pPr>
              <w:numPr>
                <w:ilvl w:val="0"/>
                <w:numId w:val="66"/>
              </w:numPr>
              <w:spacing w:line="320" w:lineRule="exact"/>
              <w:rPr>
                <w:rFonts w:hint="eastAsia" w:ascii="宋体" w:hAnsi="宋体" w:eastAsia="宋体" w:cs="宋体"/>
                <w:sz w:val="24"/>
                <w:szCs w:val="24"/>
              </w:rPr>
            </w:pPr>
            <w:r>
              <w:rPr>
                <w:rFonts w:hint="eastAsia" w:ascii="宋体" w:hAnsi="宋体" w:eastAsia="宋体" w:cs="宋体"/>
                <w:sz w:val="24"/>
                <w:szCs w:val="24"/>
              </w:rPr>
              <w:t>冰箱；</w:t>
            </w:r>
          </w:p>
        </w:tc>
        <w:tc>
          <w:tcPr>
            <w:tcW w:w="682" w:type="dxa"/>
            <w:tcBorders>
              <w:bottom w:val="single" w:color="auto" w:sz="4"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395"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423"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36"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77" w:type="dxa"/>
            <w:tcBorders>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648" w:type="dxa"/>
            <w:vMerge w:val="continue"/>
            <w:noWrap w:val="0"/>
            <w:vAlign w:val="top"/>
          </w:tcPr>
          <w:p>
            <w:pPr>
              <w:spacing w:line="320" w:lineRule="exact"/>
              <w:rPr>
                <w:rFonts w:hint="eastAsia" w:ascii="宋体" w:hAnsi="宋体" w:eastAsia="宋体" w:cs="宋体"/>
                <w:sz w:val="24"/>
                <w:szCs w:val="24"/>
              </w:rPr>
            </w:pPr>
          </w:p>
        </w:tc>
        <w:tc>
          <w:tcPr>
            <w:tcW w:w="3922" w:type="dxa"/>
            <w:tcBorders>
              <w:bottom w:val="single" w:color="auto" w:sz="6" w:space="0"/>
            </w:tcBorders>
            <w:noWrap w:val="0"/>
            <w:vAlign w:val="top"/>
          </w:tcPr>
          <w:p>
            <w:pPr>
              <w:numPr>
                <w:ilvl w:val="0"/>
                <w:numId w:val="66"/>
              </w:numPr>
              <w:spacing w:line="320" w:lineRule="exact"/>
              <w:rPr>
                <w:rFonts w:hint="eastAsia" w:ascii="宋体" w:hAnsi="宋体" w:eastAsia="宋体" w:cs="宋体"/>
                <w:sz w:val="24"/>
                <w:szCs w:val="24"/>
              </w:rPr>
            </w:pPr>
            <w:r>
              <w:rPr>
                <w:rFonts w:hint="eastAsia" w:ascii="宋体" w:hAnsi="宋体" w:eastAsia="宋体" w:cs="宋体"/>
                <w:sz w:val="24"/>
                <w:szCs w:val="24"/>
              </w:rPr>
              <w:t>混匀器；</w:t>
            </w:r>
          </w:p>
        </w:tc>
        <w:tc>
          <w:tcPr>
            <w:tcW w:w="682" w:type="dxa"/>
            <w:tcBorders>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trPr>
        <w:tc>
          <w:tcPr>
            <w:tcW w:w="648" w:type="dxa"/>
            <w:vMerge w:val="continue"/>
            <w:noWrap w:val="0"/>
            <w:vAlign w:val="top"/>
          </w:tcPr>
          <w:p>
            <w:pPr>
              <w:spacing w:line="320" w:lineRule="exact"/>
              <w:rPr>
                <w:rFonts w:hint="eastAsia" w:ascii="宋体" w:hAnsi="宋体" w:eastAsia="宋体" w:cs="宋体"/>
                <w:sz w:val="24"/>
                <w:szCs w:val="24"/>
              </w:rPr>
            </w:pPr>
          </w:p>
        </w:tc>
        <w:tc>
          <w:tcPr>
            <w:tcW w:w="3922" w:type="dxa"/>
            <w:tcBorders>
              <w:top w:val="single" w:color="auto" w:sz="6" w:space="0"/>
              <w:bottom w:val="single" w:color="auto" w:sz="4" w:space="0"/>
            </w:tcBorders>
            <w:noWrap w:val="0"/>
            <w:vAlign w:val="top"/>
          </w:tcPr>
          <w:p>
            <w:pPr>
              <w:numPr>
                <w:ilvl w:val="0"/>
                <w:numId w:val="66"/>
              </w:numPr>
              <w:spacing w:line="320" w:lineRule="exact"/>
              <w:rPr>
                <w:rFonts w:hint="eastAsia" w:ascii="宋体" w:hAnsi="宋体" w:eastAsia="宋体" w:cs="宋体"/>
                <w:sz w:val="24"/>
                <w:szCs w:val="24"/>
              </w:rPr>
            </w:pPr>
            <w:r>
              <w:rPr>
                <w:rFonts w:hint="eastAsia" w:ascii="宋体" w:hAnsi="宋体" w:eastAsia="宋体" w:cs="宋体"/>
                <w:sz w:val="24"/>
                <w:szCs w:val="24"/>
              </w:rPr>
              <w:t>微量加样器；</w:t>
            </w:r>
          </w:p>
        </w:tc>
        <w:tc>
          <w:tcPr>
            <w:tcW w:w="682" w:type="dxa"/>
            <w:tcBorders>
              <w:top w:val="single" w:color="auto" w:sz="6" w:space="0"/>
              <w:bottom w:val="single" w:color="auto" w:sz="4"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648" w:type="dxa"/>
            <w:vMerge w:val="continue"/>
            <w:noWrap w:val="0"/>
            <w:vAlign w:val="top"/>
          </w:tcPr>
          <w:p>
            <w:pPr>
              <w:spacing w:line="320" w:lineRule="exact"/>
              <w:rPr>
                <w:rFonts w:hint="eastAsia" w:ascii="宋体" w:hAnsi="宋体" w:eastAsia="宋体" w:cs="宋体"/>
                <w:sz w:val="24"/>
                <w:szCs w:val="24"/>
              </w:rPr>
            </w:pPr>
          </w:p>
        </w:tc>
        <w:tc>
          <w:tcPr>
            <w:tcW w:w="3922" w:type="dxa"/>
            <w:tcBorders>
              <w:top w:val="single" w:color="auto" w:sz="4" w:space="0"/>
              <w:bottom w:val="single" w:color="auto" w:sz="6" w:space="0"/>
            </w:tcBorders>
            <w:noWrap w:val="0"/>
            <w:vAlign w:val="top"/>
          </w:tcPr>
          <w:p>
            <w:pPr>
              <w:numPr>
                <w:ilvl w:val="0"/>
                <w:numId w:val="66"/>
              </w:numPr>
              <w:spacing w:line="320" w:lineRule="exact"/>
              <w:rPr>
                <w:rFonts w:hint="eastAsia" w:ascii="宋体" w:hAnsi="宋体" w:eastAsia="宋体" w:cs="宋体"/>
                <w:sz w:val="24"/>
                <w:szCs w:val="24"/>
              </w:rPr>
            </w:pPr>
            <w:r>
              <w:rPr>
                <w:rFonts w:hint="eastAsia" w:ascii="宋体" w:hAnsi="宋体" w:eastAsia="宋体" w:cs="宋体"/>
                <w:sz w:val="24"/>
                <w:szCs w:val="24"/>
              </w:rPr>
              <w:t>可移动紫外灯；</w:t>
            </w:r>
          </w:p>
        </w:tc>
        <w:tc>
          <w:tcPr>
            <w:tcW w:w="682" w:type="dxa"/>
            <w:tcBorders>
              <w:top w:val="single" w:color="auto" w:sz="4" w:space="0"/>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648" w:type="dxa"/>
            <w:vMerge w:val="continue"/>
            <w:noWrap w:val="0"/>
            <w:vAlign w:val="top"/>
          </w:tcPr>
          <w:p>
            <w:pPr>
              <w:spacing w:line="320" w:lineRule="exact"/>
              <w:rPr>
                <w:rFonts w:hint="eastAsia" w:ascii="宋体" w:hAnsi="宋体" w:eastAsia="宋体" w:cs="宋体"/>
                <w:sz w:val="24"/>
                <w:szCs w:val="24"/>
              </w:rPr>
            </w:pPr>
          </w:p>
        </w:tc>
        <w:tc>
          <w:tcPr>
            <w:tcW w:w="3922" w:type="dxa"/>
            <w:tcBorders>
              <w:top w:val="single" w:color="auto" w:sz="6" w:space="0"/>
              <w:bottom w:val="single" w:color="auto" w:sz="4" w:space="0"/>
            </w:tcBorders>
            <w:noWrap w:val="0"/>
            <w:vAlign w:val="top"/>
          </w:tcPr>
          <w:p>
            <w:pPr>
              <w:numPr>
                <w:ilvl w:val="0"/>
                <w:numId w:val="66"/>
              </w:numPr>
              <w:spacing w:line="320" w:lineRule="exact"/>
              <w:rPr>
                <w:rFonts w:hint="eastAsia" w:ascii="宋体" w:hAnsi="宋体" w:eastAsia="宋体" w:cs="宋体"/>
                <w:sz w:val="24"/>
                <w:szCs w:val="24"/>
              </w:rPr>
            </w:pPr>
            <w:r>
              <w:rPr>
                <w:rFonts w:hint="eastAsia" w:ascii="宋体" w:hAnsi="宋体" w:eastAsia="宋体" w:cs="宋体"/>
                <w:sz w:val="24"/>
                <w:szCs w:val="24"/>
              </w:rPr>
              <w:t>专用工作服和工作鞋；</w:t>
            </w:r>
          </w:p>
        </w:tc>
        <w:tc>
          <w:tcPr>
            <w:tcW w:w="682" w:type="dxa"/>
            <w:tcBorders>
              <w:top w:val="single" w:color="auto" w:sz="6" w:space="0"/>
              <w:bottom w:val="single" w:color="auto" w:sz="4"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6"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648" w:type="dxa"/>
            <w:vMerge w:val="continue"/>
            <w:tcBorders>
              <w:bottom w:val="nil"/>
            </w:tcBorders>
            <w:noWrap w:val="0"/>
            <w:vAlign w:val="top"/>
          </w:tcPr>
          <w:p>
            <w:pPr>
              <w:spacing w:line="320" w:lineRule="exact"/>
              <w:rPr>
                <w:rFonts w:hint="eastAsia" w:ascii="宋体" w:hAnsi="宋体" w:eastAsia="宋体" w:cs="宋体"/>
                <w:sz w:val="24"/>
                <w:szCs w:val="24"/>
              </w:rPr>
            </w:pPr>
          </w:p>
        </w:tc>
        <w:tc>
          <w:tcPr>
            <w:tcW w:w="3922" w:type="dxa"/>
            <w:tcBorders>
              <w:top w:val="single" w:color="auto" w:sz="4" w:space="0"/>
              <w:bottom w:val="nil"/>
            </w:tcBorders>
            <w:noWrap w:val="0"/>
            <w:vAlign w:val="top"/>
          </w:tcPr>
          <w:p>
            <w:pPr>
              <w:numPr>
                <w:ilvl w:val="0"/>
                <w:numId w:val="66"/>
              </w:numPr>
              <w:spacing w:line="320" w:lineRule="exact"/>
              <w:rPr>
                <w:rFonts w:hint="eastAsia" w:ascii="宋体" w:hAnsi="宋体" w:eastAsia="宋体" w:cs="宋体"/>
                <w:sz w:val="24"/>
                <w:szCs w:val="24"/>
              </w:rPr>
            </w:pPr>
            <w:r>
              <w:rPr>
                <w:rFonts w:hint="eastAsia" w:ascii="宋体" w:hAnsi="宋体" w:eastAsia="宋体" w:cs="宋体"/>
                <w:sz w:val="24"/>
                <w:szCs w:val="24"/>
              </w:rPr>
              <w:t>消耗品（带滤心吸头、一次性手套等）；</w:t>
            </w:r>
          </w:p>
        </w:tc>
        <w:tc>
          <w:tcPr>
            <w:tcW w:w="682" w:type="dxa"/>
            <w:tcBorders>
              <w:top w:val="single" w:color="auto" w:sz="4" w:space="0"/>
              <w:bottom w:val="single" w:color="auto" w:sz="4"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648" w:type="dxa"/>
            <w:tcBorders>
              <w:top w:val="nil"/>
            </w:tcBorders>
            <w:noWrap w:val="0"/>
            <w:vAlign w:val="top"/>
          </w:tcPr>
          <w:p>
            <w:pPr>
              <w:spacing w:line="320" w:lineRule="exact"/>
              <w:rPr>
                <w:rFonts w:hint="eastAsia" w:ascii="宋体" w:hAnsi="宋体" w:eastAsia="宋体" w:cs="宋体"/>
                <w:sz w:val="24"/>
                <w:szCs w:val="24"/>
              </w:rPr>
            </w:pPr>
          </w:p>
        </w:tc>
        <w:tc>
          <w:tcPr>
            <w:tcW w:w="3922" w:type="dxa"/>
            <w:tcBorders>
              <w:top w:val="single" w:color="auto" w:sz="4" w:space="0"/>
              <w:bottom w:val="single" w:color="auto" w:sz="4" w:space="0"/>
            </w:tcBorders>
            <w:noWrap w:val="0"/>
            <w:vAlign w:val="top"/>
          </w:tcPr>
          <w:p>
            <w:pPr>
              <w:numPr>
                <w:ilvl w:val="0"/>
                <w:numId w:val="66"/>
              </w:numPr>
              <w:spacing w:line="320" w:lineRule="exact"/>
              <w:rPr>
                <w:rFonts w:hint="eastAsia" w:ascii="宋体" w:hAnsi="宋体" w:eastAsia="宋体" w:cs="宋体"/>
                <w:sz w:val="24"/>
                <w:szCs w:val="24"/>
              </w:rPr>
            </w:pPr>
            <w:r>
              <w:rPr>
                <w:rFonts w:hint="eastAsia" w:ascii="宋体" w:hAnsi="宋体" w:eastAsia="宋体" w:cs="宋体"/>
                <w:sz w:val="24"/>
                <w:szCs w:val="24"/>
              </w:rPr>
              <w:t>专用实验记录本、记号笔等。</w:t>
            </w:r>
          </w:p>
        </w:tc>
        <w:tc>
          <w:tcPr>
            <w:tcW w:w="682" w:type="dxa"/>
            <w:tcBorders>
              <w:top w:val="single" w:color="auto" w:sz="4" w:space="0"/>
              <w:bottom w:val="single" w:color="auto" w:sz="4"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648" w:type="dxa"/>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1.5</w:t>
            </w:r>
          </w:p>
        </w:tc>
        <w:tc>
          <w:tcPr>
            <w:tcW w:w="3922" w:type="dxa"/>
            <w:tcBorders>
              <w:top w:val="single" w:color="auto" w:sz="4" w:space="0"/>
              <w:bottom w:val="single" w:color="auto" w:sz="4"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标本制备区</w:t>
            </w:r>
          </w:p>
        </w:tc>
        <w:tc>
          <w:tcPr>
            <w:tcW w:w="682" w:type="dxa"/>
            <w:tcBorders>
              <w:top w:val="single" w:color="auto" w:sz="4" w:space="0"/>
              <w:bottom w:val="single" w:color="auto" w:sz="4"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4" w:space="0"/>
              <w:left w:val="single" w:color="auto" w:sz="6" w:space="0"/>
              <w:bottom w:val="single" w:color="auto" w:sz="4"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648" w:type="dxa"/>
            <w:vMerge w:val="restart"/>
            <w:noWrap w:val="0"/>
            <w:vAlign w:val="top"/>
          </w:tcPr>
          <w:p>
            <w:pPr>
              <w:spacing w:line="320" w:lineRule="exact"/>
              <w:rPr>
                <w:rFonts w:hint="eastAsia" w:ascii="宋体" w:hAnsi="宋体" w:eastAsia="宋体" w:cs="宋体"/>
                <w:sz w:val="24"/>
                <w:szCs w:val="24"/>
              </w:rPr>
            </w:pPr>
          </w:p>
        </w:tc>
        <w:tc>
          <w:tcPr>
            <w:tcW w:w="3922" w:type="dxa"/>
            <w:tcBorders>
              <w:top w:val="single" w:color="auto" w:sz="4" w:space="0"/>
              <w:bottom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(a) 冰箱 (2~8℃和-20℃或-80℃)；</w:t>
            </w:r>
          </w:p>
        </w:tc>
        <w:tc>
          <w:tcPr>
            <w:tcW w:w="682" w:type="dxa"/>
            <w:tcBorders>
              <w:top w:val="single" w:color="auto" w:sz="4" w:space="0"/>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648" w:type="dxa"/>
            <w:vMerge w:val="continue"/>
            <w:noWrap w:val="0"/>
            <w:vAlign w:val="top"/>
          </w:tcPr>
          <w:p>
            <w:pPr>
              <w:spacing w:line="320" w:lineRule="exact"/>
              <w:rPr>
                <w:rFonts w:hint="eastAsia" w:ascii="宋体" w:hAnsi="宋体" w:eastAsia="宋体" w:cs="宋体"/>
                <w:sz w:val="24"/>
                <w:szCs w:val="24"/>
              </w:rPr>
            </w:pPr>
          </w:p>
        </w:tc>
        <w:tc>
          <w:tcPr>
            <w:tcW w:w="3922" w:type="dxa"/>
            <w:tcBorders>
              <w:top w:val="single" w:color="auto" w:sz="4" w:space="0"/>
              <w:bottom w:val="single" w:color="auto" w:sz="6" w:space="0"/>
            </w:tcBorders>
            <w:noWrap w:val="0"/>
            <w:vAlign w:val="top"/>
          </w:tcPr>
          <w:p>
            <w:pPr>
              <w:numPr>
                <w:ilvl w:val="0"/>
                <w:numId w:val="67"/>
              </w:numPr>
              <w:spacing w:line="320" w:lineRule="exact"/>
              <w:rPr>
                <w:rFonts w:hint="eastAsia" w:ascii="宋体" w:hAnsi="宋体" w:eastAsia="宋体" w:cs="宋体"/>
                <w:sz w:val="24"/>
                <w:szCs w:val="24"/>
              </w:rPr>
            </w:pPr>
            <w:r>
              <w:rPr>
                <w:rFonts w:hint="eastAsia" w:ascii="宋体" w:hAnsi="宋体" w:eastAsia="宋体" w:cs="宋体"/>
                <w:sz w:val="24"/>
                <w:szCs w:val="24"/>
              </w:rPr>
              <w:t>高速台式冷冻离心机</w:t>
            </w:r>
          </w:p>
        </w:tc>
        <w:tc>
          <w:tcPr>
            <w:tcW w:w="682" w:type="dxa"/>
            <w:tcBorders>
              <w:top w:val="single" w:color="auto" w:sz="4" w:space="0"/>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8" w:type="dxa"/>
            <w:vMerge w:val="continue"/>
            <w:noWrap w:val="0"/>
            <w:vAlign w:val="top"/>
          </w:tcPr>
          <w:p>
            <w:pPr>
              <w:spacing w:line="320" w:lineRule="exact"/>
              <w:rPr>
                <w:rFonts w:hint="eastAsia" w:ascii="宋体" w:hAnsi="宋体" w:eastAsia="宋体" w:cs="宋体"/>
                <w:sz w:val="24"/>
                <w:szCs w:val="24"/>
              </w:rPr>
            </w:pPr>
          </w:p>
        </w:tc>
        <w:tc>
          <w:tcPr>
            <w:tcW w:w="3922" w:type="dxa"/>
            <w:tcBorders>
              <w:top w:val="single" w:color="auto" w:sz="4" w:space="0"/>
              <w:bottom w:val="single" w:color="auto" w:sz="6" w:space="0"/>
              <w:right w:val="single" w:color="auto" w:sz="4"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(c) 水浴箱和/或加热模块</w:t>
            </w:r>
          </w:p>
        </w:tc>
        <w:tc>
          <w:tcPr>
            <w:tcW w:w="682" w:type="dxa"/>
            <w:tcBorders>
              <w:top w:val="single" w:color="auto" w:sz="4" w:space="0"/>
              <w:left w:val="single" w:color="auto" w:sz="4" w:space="0"/>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8" w:type="dxa"/>
            <w:vMerge w:val="continue"/>
            <w:noWrap w:val="0"/>
            <w:vAlign w:val="top"/>
          </w:tcPr>
          <w:p>
            <w:pPr>
              <w:spacing w:line="320" w:lineRule="exact"/>
              <w:rPr>
                <w:rFonts w:hint="eastAsia" w:ascii="宋体" w:hAnsi="宋体" w:eastAsia="宋体" w:cs="宋体"/>
                <w:sz w:val="24"/>
                <w:szCs w:val="24"/>
              </w:rPr>
            </w:pPr>
          </w:p>
        </w:tc>
        <w:tc>
          <w:tcPr>
            <w:tcW w:w="3922" w:type="dxa"/>
            <w:tcBorders>
              <w:top w:val="single" w:color="auto" w:sz="4" w:space="0"/>
              <w:bottom w:val="single" w:color="auto" w:sz="6" w:space="0"/>
              <w:right w:val="single" w:color="auto" w:sz="4"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(d) 生物安全柜</w:t>
            </w:r>
          </w:p>
        </w:tc>
        <w:tc>
          <w:tcPr>
            <w:tcW w:w="682" w:type="dxa"/>
            <w:tcBorders>
              <w:top w:val="single" w:color="auto" w:sz="4" w:space="0"/>
              <w:left w:val="single" w:color="auto" w:sz="4" w:space="0"/>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648" w:type="dxa"/>
            <w:vMerge w:val="continue"/>
            <w:noWrap w:val="0"/>
            <w:vAlign w:val="top"/>
          </w:tcPr>
          <w:p>
            <w:pPr>
              <w:spacing w:line="320" w:lineRule="exact"/>
              <w:rPr>
                <w:rFonts w:hint="eastAsia" w:ascii="宋体" w:hAnsi="宋体" w:eastAsia="宋体" w:cs="宋体"/>
                <w:sz w:val="24"/>
                <w:szCs w:val="24"/>
              </w:rPr>
            </w:pPr>
          </w:p>
        </w:tc>
        <w:tc>
          <w:tcPr>
            <w:tcW w:w="3922" w:type="dxa"/>
            <w:tcBorders>
              <w:top w:val="single" w:color="auto" w:sz="4" w:space="0"/>
              <w:bottom w:val="single" w:color="auto" w:sz="6" w:space="0"/>
            </w:tcBorders>
            <w:noWrap w:val="0"/>
            <w:vAlign w:val="top"/>
          </w:tcPr>
          <w:p>
            <w:pPr>
              <w:numPr>
                <w:ilvl w:val="0"/>
                <w:numId w:val="68"/>
              </w:numPr>
              <w:spacing w:line="320" w:lineRule="exact"/>
              <w:rPr>
                <w:rFonts w:hint="eastAsia" w:ascii="宋体" w:hAnsi="宋体" w:eastAsia="宋体" w:cs="宋体"/>
                <w:sz w:val="24"/>
                <w:szCs w:val="24"/>
              </w:rPr>
            </w:pPr>
            <w:r>
              <w:rPr>
                <w:rFonts w:hint="eastAsia" w:ascii="宋体" w:hAnsi="宋体" w:eastAsia="宋体" w:cs="宋体"/>
                <w:sz w:val="24"/>
                <w:szCs w:val="24"/>
              </w:rPr>
              <w:t>混匀器；</w:t>
            </w:r>
          </w:p>
        </w:tc>
        <w:tc>
          <w:tcPr>
            <w:tcW w:w="682" w:type="dxa"/>
            <w:tcBorders>
              <w:top w:val="single" w:color="auto" w:sz="4" w:space="0"/>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791"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395"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23"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36"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77" w:type="dxa"/>
            <w:tcBorders>
              <w:top w:val="single" w:color="auto" w:sz="4" w:space="0"/>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bl>
    <w:p>
      <w:pPr>
        <w:rPr>
          <w:rFonts w:hint="eastAsia" w:ascii="宋体" w:hAnsi="宋体" w:eastAsia="宋体" w:cs="宋体"/>
          <w:sz w:val="18"/>
        </w:rPr>
      </w:pPr>
      <w:r>
        <w:rPr>
          <w:rFonts w:hint="eastAsia" w:ascii="宋体" w:hAnsi="宋体" w:eastAsia="宋体" w:cs="宋体"/>
          <w:b/>
          <w:sz w:val="18"/>
        </w:rPr>
        <w:t>注</w:t>
      </w:r>
      <w:r>
        <w:rPr>
          <w:rFonts w:hint="eastAsia" w:ascii="宋体" w:hAnsi="宋体" w:eastAsia="宋体" w:cs="宋体"/>
          <w:sz w:val="18"/>
        </w:rPr>
        <w:t>：请在验收所选项打“</w:t>
      </w:r>
      <w:r>
        <w:rPr>
          <w:rFonts w:hint="eastAsia" w:ascii="宋体" w:hAnsi="宋体" w:eastAsia="宋体" w:cs="宋体"/>
          <w:sz w:val="18"/>
        </w:rPr>
        <w:sym w:font="Symbol" w:char="F0D6"/>
      </w:r>
    </w:p>
    <w:p>
      <w:pPr>
        <w:rPr>
          <w:rFonts w:hint="eastAsia" w:ascii="宋体" w:hAnsi="宋体" w:eastAsia="宋体" w:cs="宋体"/>
          <w:sz w:val="18"/>
        </w:rPr>
      </w:pPr>
      <w:r>
        <w:rPr>
          <w:rFonts w:hint="eastAsia" w:ascii="宋体" w:hAnsi="宋体" w:eastAsia="宋体" w:cs="宋体"/>
          <w:sz w:val="18"/>
        </w:rPr>
        <w:br w:type="page"/>
      </w:r>
    </w:p>
    <w:p>
      <w:pPr>
        <w:rPr>
          <w:rFonts w:hint="eastAsia" w:ascii="宋体" w:hAnsi="宋体" w:eastAsia="宋体" w:cs="宋体"/>
          <w:b/>
          <w:sz w:val="32"/>
        </w:rPr>
      </w:pPr>
      <w:r>
        <w:rPr>
          <w:rFonts w:hint="eastAsia" w:ascii="宋体" w:hAnsi="宋体" w:eastAsia="宋体" w:cs="宋体"/>
          <w:b/>
          <w:sz w:val="32"/>
        </w:rPr>
        <w:t>　　　　临床基因扩增检验实验室技术验收表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429"/>
        <w:gridCol w:w="873"/>
        <w:gridCol w:w="968"/>
        <w:gridCol w:w="436"/>
        <w:gridCol w:w="437"/>
        <w:gridCol w:w="709"/>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648" w:type="dxa"/>
            <w:vMerge w:val="restart"/>
            <w:noWrap w:val="0"/>
            <w:vAlign w:val="top"/>
          </w:tcPr>
          <w:p>
            <w:pPr>
              <w:rPr>
                <w:rFonts w:hint="eastAsia" w:ascii="宋体" w:hAnsi="宋体" w:eastAsia="宋体" w:cs="宋体"/>
                <w:sz w:val="24"/>
                <w:szCs w:val="24"/>
              </w:rPr>
            </w:pPr>
          </w:p>
          <w:p>
            <w:pPr>
              <w:pStyle w:val="26"/>
              <w:rPr>
                <w:rFonts w:hint="eastAsia" w:ascii="宋体" w:hAnsi="宋体" w:eastAsia="宋体" w:cs="宋体"/>
                <w:sz w:val="24"/>
                <w:szCs w:val="24"/>
              </w:rPr>
            </w:pPr>
            <w:r>
              <w:rPr>
                <w:rFonts w:hint="eastAsia" w:ascii="宋体" w:hAnsi="宋体" w:eastAsia="宋体" w:cs="宋体"/>
                <w:sz w:val="24"/>
                <w:szCs w:val="24"/>
              </w:rPr>
              <w:t>序号</w:t>
            </w:r>
          </w:p>
          <w:p>
            <w:pPr>
              <w:rPr>
                <w:rFonts w:hint="eastAsia" w:ascii="宋体" w:hAnsi="宋体" w:eastAsia="宋体" w:cs="宋体"/>
                <w:sz w:val="24"/>
                <w:szCs w:val="24"/>
              </w:rPr>
            </w:pPr>
          </w:p>
        </w:tc>
        <w:tc>
          <w:tcPr>
            <w:tcW w:w="3429" w:type="dxa"/>
            <w:vMerge w:val="restart"/>
            <w:noWrap w:val="0"/>
            <w:vAlign w:val="top"/>
          </w:tcPr>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验 收 内 容</w:t>
            </w:r>
          </w:p>
        </w:tc>
        <w:tc>
          <w:tcPr>
            <w:tcW w:w="4443" w:type="dxa"/>
            <w:gridSpan w:val="6"/>
            <w:tcBorders>
              <w:bottom w:val="single" w:color="auto" w:sz="6" w:space="0"/>
            </w:tcBorders>
            <w:noWrap w:val="0"/>
            <w:vAlign w:val="top"/>
          </w:tcPr>
          <w:p>
            <w:pPr>
              <w:rPr>
                <w:rFonts w:hint="eastAsia" w:ascii="宋体" w:hAnsi="宋体" w:eastAsia="宋体" w:cs="宋体"/>
                <w:sz w:val="24"/>
                <w:szCs w:val="24"/>
              </w:rPr>
            </w:pPr>
            <w:r>
              <w:rPr>
                <w:rFonts w:hint="eastAsia" w:ascii="宋体" w:hAnsi="宋体" w:eastAsia="宋体" w:cs="宋体"/>
                <w:sz w:val="24"/>
                <w:szCs w:val="24"/>
              </w:rPr>
              <w:t xml:space="preserve">            验  收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648" w:type="dxa"/>
            <w:vMerge w:val="continue"/>
            <w:tcBorders>
              <w:bottom w:val="single" w:color="auto" w:sz="6" w:space="0"/>
            </w:tcBorders>
            <w:noWrap w:val="0"/>
            <w:vAlign w:val="top"/>
          </w:tcPr>
          <w:p>
            <w:pPr>
              <w:rPr>
                <w:rFonts w:hint="eastAsia" w:ascii="宋体" w:hAnsi="宋体" w:eastAsia="宋体" w:cs="宋体"/>
                <w:sz w:val="24"/>
                <w:szCs w:val="24"/>
              </w:rPr>
            </w:pPr>
          </w:p>
        </w:tc>
        <w:tc>
          <w:tcPr>
            <w:tcW w:w="3429" w:type="dxa"/>
            <w:vMerge w:val="continue"/>
            <w:noWrap w:val="0"/>
            <w:vAlign w:val="top"/>
          </w:tcPr>
          <w:p>
            <w:pPr>
              <w:rPr>
                <w:rFonts w:hint="eastAsia" w:ascii="宋体" w:hAnsi="宋体" w:eastAsia="宋体" w:cs="宋体"/>
                <w:sz w:val="24"/>
                <w:szCs w:val="24"/>
              </w:rPr>
            </w:pPr>
          </w:p>
        </w:tc>
        <w:tc>
          <w:tcPr>
            <w:tcW w:w="873" w:type="dxa"/>
            <w:tcBorders>
              <w:top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p>
            <w:pPr>
              <w:spacing w:line="320" w:lineRule="exact"/>
              <w:rPr>
                <w:rFonts w:hint="eastAsia" w:ascii="宋体" w:hAnsi="宋体" w:eastAsia="宋体" w:cs="宋体"/>
                <w:sz w:val="24"/>
                <w:szCs w:val="24"/>
              </w:rPr>
            </w:pPr>
            <w:r>
              <w:rPr>
                <w:rFonts w:hint="eastAsia" w:ascii="宋体" w:hAnsi="宋体" w:eastAsia="宋体" w:cs="宋体"/>
                <w:sz w:val="24"/>
                <w:szCs w:val="24"/>
              </w:rPr>
              <w:t>符合</w:t>
            </w:r>
          </w:p>
          <w:p>
            <w:pPr>
              <w:spacing w:line="280" w:lineRule="exact"/>
              <w:rPr>
                <w:rFonts w:hint="eastAsia" w:ascii="宋体" w:hAnsi="宋体" w:eastAsia="宋体" w:cs="宋体"/>
                <w:sz w:val="24"/>
                <w:szCs w:val="24"/>
              </w:rPr>
            </w:pPr>
            <w:r>
              <w:rPr>
                <w:rFonts w:hint="eastAsia" w:ascii="宋体" w:hAnsi="宋体" w:eastAsia="宋体" w:cs="宋体"/>
                <w:sz w:val="24"/>
                <w:szCs w:val="24"/>
              </w:rPr>
              <w:t xml:space="preserve"> </w:t>
            </w:r>
          </w:p>
        </w:tc>
        <w:tc>
          <w:tcPr>
            <w:tcW w:w="968" w:type="dxa"/>
            <w:tcBorders>
              <w:top w:val="single" w:color="auto" w:sz="6" w:space="0"/>
              <w:left w:val="single" w:color="auto" w:sz="6" w:space="0"/>
            </w:tcBorders>
            <w:noWrap w:val="0"/>
            <w:vAlign w:val="top"/>
          </w:tcPr>
          <w:p>
            <w:pPr>
              <w:spacing w:line="280" w:lineRule="exact"/>
              <w:rPr>
                <w:rFonts w:hint="eastAsia" w:ascii="宋体" w:hAnsi="宋体" w:eastAsia="宋体" w:cs="宋体"/>
                <w:sz w:val="24"/>
                <w:szCs w:val="24"/>
              </w:rPr>
            </w:pPr>
            <w:r>
              <w:rPr>
                <w:rFonts w:hint="eastAsia" w:ascii="宋体" w:hAnsi="宋体" w:eastAsia="宋体" w:cs="宋体"/>
                <w:sz w:val="24"/>
                <w:szCs w:val="24"/>
              </w:rPr>
              <w:t>基但本有符缺</w:t>
            </w:r>
          </w:p>
          <w:p>
            <w:pPr>
              <w:spacing w:line="280" w:lineRule="exact"/>
              <w:rPr>
                <w:rFonts w:hint="eastAsia" w:ascii="宋体" w:hAnsi="宋体" w:eastAsia="宋体" w:cs="宋体"/>
                <w:sz w:val="24"/>
                <w:szCs w:val="24"/>
              </w:rPr>
            </w:pPr>
            <w:r>
              <w:rPr>
                <w:rFonts w:hint="eastAsia" w:ascii="宋体" w:hAnsi="宋体" w:eastAsia="宋体" w:cs="宋体"/>
                <w:sz w:val="24"/>
                <w:szCs w:val="24"/>
              </w:rPr>
              <w:t>合陷</w:t>
            </w:r>
          </w:p>
        </w:tc>
        <w:tc>
          <w:tcPr>
            <w:tcW w:w="436" w:type="dxa"/>
            <w:tcBorders>
              <w:top w:val="single" w:color="auto" w:sz="6" w:space="0"/>
              <w:left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不符合</w:t>
            </w:r>
          </w:p>
        </w:tc>
        <w:tc>
          <w:tcPr>
            <w:tcW w:w="437" w:type="dxa"/>
            <w:tcBorders>
              <w:top w:val="single" w:color="auto" w:sz="6" w:space="0"/>
              <w:left w:val="single" w:color="auto" w:sz="6" w:space="0"/>
            </w:tcBorders>
            <w:noWrap w:val="0"/>
            <w:vAlign w:val="top"/>
          </w:tcPr>
          <w:p>
            <w:pPr>
              <w:spacing w:line="320" w:lineRule="exact"/>
              <w:rPr>
                <w:rFonts w:hint="eastAsia" w:ascii="宋体" w:hAnsi="宋体" w:eastAsia="宋体" w:cs="宋体"/>
                <w:sz w:val="24"/>
                <w:szCs w:val="24"/>
              </w:rPr>
            </w:pPr>
            <w:r>
              <w:rPr>
                <w:rFonts w:hint="eastAsia" w:ascii="宋体" w:hAnsi="宋体" w:eastAsia="宋体" w:cs="宋体"/>
                <w:sz w:val="24"/>
                <w:szCs w:val="24"/>
              </w:rPr>
              <w:t>缺此项</w:t>
            </w:r>
          </w:p>
        </w:tc>
        <w:tc>
          <w:tcPr>
            <w:tcW w:w="709" w:type="dxa"/>
            <w:tcBorders>
              <w:top w:val="single" w:color="auto" w:sz="6" w:space="0"/>
              <w:left w:val="single" w:color="auto" w:sz="6" w:space="0"/>
            </w:tcBorders>
            <w:noWrap w:val="0"/>
            <w:vAlign w:val="top"/>
          </w:tcPr>
          <w:p>
            <w:pPr>
              <w:spacing w:line="240" w:lineRule="exact"/>
              <w:rPr>
                <w:rFonts w:hint="eastAsia" w:ascii="宋体" w:hAnsi="宋体" w:eastAsia="宋体" w:cs="宋体"/>
                <w:sz w:val="24"/>
                <w:szCs w:val="24"/>
              </w:rPr>
            </w:pPr>
            <w:r>
              <w:rPr>
                <w:rFonts w:hint="eastAsia" w:ascii="宋体" w:hAnsi="宋体" w:eastAsia="宋体" w:cs="宋体"/>
                <w:sz w:val="24"/>
                <w:szCs w:val="24"/>
              </w:rPr>
              <w:t>暂不需考核</w:t>
            </w:r>
          </w:p>
        </w:tc>
        <w:tc>
          <w:tcPr>
            <w:tcW w:w="1020" w:type="dxa"/>
            <w:tcBorders>
              <w:top w:val="single" w:color="auto" w:sz="6" w:space="0"/>
              <w:left w:val="single" w:color="auto" w:sz="6" w:space="0"/>
            </w:tcBorders>
            <w:noWrap w:val="0"/>
            <w:vAlign w:val="top"/>
          </w:tcPr>
          <w:p>
            <w:pPr>
              <w:spacing w:line="180" w:lineRule="exact"/>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t>评论与说明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648" w:type="dxa"/>
            <w:tcBorders>
              <w:bottom w:val="nil"/>
            </w:tcBorders>
            <w:noWrap w:val="0"/>
            <w:vAlign w:val="top"/>
          </w:tcPr>
          <w:p>
            <w:pPr>
              <w:rPr>
                <w:rFonts w:hint="eastAsia" w:ascii="宋体" w:hAnsi="宋体" w:eastAsia="宋体" w:cs="宋体"/>
                <w:b/>
                <w:sz w:val="24"/>
                <w:szCs w:val="24"/>
              </w:rPr>
            </w:pPr>
          </w:p>
        </w:tc>
        <w:tc>
          <w:tcPr>
            <w:tcW w:w="3429" w:type="dxa"/>
            <w:tcBorders>
              <w:bottom w:val="nil"/>
            </w:tcBorders>
            <w:noWrap w:val="0"/>
            <w:vAlign w:val="top"/>
          </w:tcPr>
          <w:p>
            <w:pPr>
              <w:numPr>
                <w:ilvl w:val="0"/>
                <w:numId w:val="68"/>
              </w:numPr>
              <w:spacing w:line="320" w:lineRule="exact"/>
              <w:rPr>
                <w:rFonts w:hint="eastAsia" w:ascii="宋体" w:hAnsi="宋体" w:eastAsia="宋体" w:cs="宋体"/>
                <w:sz w:val="24"/>
                <w:szCs w:val="24"/>
              </w:rPr>
            </w:pPr>
            <w:r>
              <w:rPr>
                <w:rFonts w:hint="eastAsia" w:ascii="宋体" w:hAnsi="宋体" w:eastAsia="宋体" w:cs="宋体"/>
                <w:sz w:val="24"/>
                <w:szCs w:val="24"/>
              </w:rPr>
              <w:t>微量加样器；</w:t>
            </w:r>
          </w:p>
        </w:tc>
        <w:tc>
          <w:tcPr>
            <w:tcW w:w="873" w:type="dxa"/>
            <w:tcBorders>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968"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6"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7"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09"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1020"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648" w:type="dxa"/>
            <w:tcBorders>
              <w:top w:val="nil"/>
              <w:bottom w:val="nil"/>
            </w:tcBorders>
            <w:noWrap w:val="0"/>
            <w:vAlign w:val="top"/>
          </w:tcPr>
          <w:p>
            <w:pPr>
              <w:rPr>
                <w:rFonts w:hint="eastAsia" w:ascii="宋体" w:hAnsi="宋体" w:eastAsia="宋体" w:cs="宋体"/>
                <w:b/>
                <w:sz w:val="24"/>
                <w:szCs w:val="24"/>
              </w:rPr>
            </w:pPr>
          </w:p>
        </w:tc>
        <w:tc>
          <w:tcPr>
            <w:tcW w:w="3429" w:type="dxa"/>
            <w:tcBorders>
              <w:bottom w:val="nil"/>
            </w:tcBorders>
            <w:noWrap w:val="0"/>
            <w:vAlign w:val="top"/>
          </w:tcPr>
          <w:p>
            <w:pPr>
              <w:numPr>
                <w:ilvl w:val="0"/>
                <w:numId w:val="68"/>
              </w:numPr>
              <w:spacing w:line="320" w:lineRule="exact"/>
              <w:rPr>
                <w:rFonts w:hint="eastAsia" w:ascii="宋体" w:hAnsi="宋体" w:eastAsia="宋体" w:cs="宋体"/>
                <w:sz w:val="24"/>
                <w:szCs w:val="24"/>
              </w:rPr>
            </w:pPr>
            <w:r>
              <w:rPr>
                <w:rFonts w:hint="eastAsia" w:ascii="宋体" w:hAnsi="宋体" w:eastAsia="宋体" w:cs="宋体"/>
                <w:sz w:val="24"/>
                <w:szCs w:val="24"/>
              </w:rPr>
              <w:t>可移动紫外灯；</w:t>
            </w:r>
          </w:p>
        </w:tc>
        <w:tc>
          <w:tcPr>
            <w:tcW w:w="873" w:type="dxa"/>
            <w:tcBorders>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968"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6"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7"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09"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1020"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648" w:type="dxa"/>
            <w:tcBorders>
              <w:top w:val="nil"/>
              <w:bottom w:val="nil"/>
            </w:tcBorders>
            <w:noWrap w:val="0"/>
            <w:vAlign w:val="top"/>
          </w:tcPr>
          <w:p>
            <w:pPr>
              <w:rPr>
                <w:rFonts w:hint="eastAsia" w:ascii="宋体" w:hAnsi="宋体" w:eastAsia="宋体" w:cs="宋体"/>
                <w:b/>
                <w:sz w:val="24"/>
                <w:szCs w:val="24"/>
              </w:rPr>
            </w:pPr>
          </w:p>
        </w:tc>
        <w:tc>
          <w:tcPr>
            <w:tcW w:w="3429" w:type="dxa"/>
            <w:tcBorders>
              <w:bottom w:val="nil"/>
            </w:tcBorders>
            <w:noWrap w:val="0"/>
            <w:vAlign w:val="top"/>
          </w:tcPr>
          <w:p>
            <w:pPr>
              <w:numPr>
                <w:ilvl w:val="0"/>
                <w:numId w:val="68"/>
              </w:numPr>
              <w:spacing w:line="320" w:lineRule="exact"/>
              <w:rPr>
                <w:rFonts w:hint="eastAsia" w:ascii="宋体" w:hAnsi="宋体" w:eastAsia="宋体" w:cs="宋体"/>
                <w:sz w:val="24"/>
                <w:szCs w:val="24"/>
              </w:rPr>
            </w:pPr>
            <w:r>
              <w:rPr>
                <w:rFonts w:hint="eastAsia" w:ascii="宋体" w:hAnsi="宋体" w:eastAsia="宋体" w:cs="宋体"/>
                <w:sz w:val="24"/>
                <w:szCs w:val="24"/>
              </w:rPr>
              <w:t>专用工作服和工作鞋；</w:t>
            </w:r>
          </w:p>
        </w:tc>
        <w:tc>
          <w:tcPr>
            <w:tcW w:w="873" w:type="dxa"/>
            <w:tcBorders>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968"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6"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7"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09"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1020"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648" w:type="dxa"/>
            <w:tcBorders>
              <w:top w:val="nil"/>
              <w:bottom w:val="nil"/>
            </w:tcBorders>
            <w:noWrap w:val="0"/>
            <w:vAlign w:val="top"/>
          </w:tcPr>
          <w:p>
            <w:pPr>
              <w:rPr>
                <w:rFonts w:hint="eastAsia" w:ascii="宋体" w:hAnsi="宋体" w:eastAsia="宋体" w:cs="宋体"/>
                <w:b/>
                <w:sz w:val="24"/>
                <w:szCs w:val="24"/>
              </w:rPr>
            </w:pPr>
          </w:p>
        </w:tc>
        <w:tc>
          <w:tcPr>
            <w:tcW w:w="3429" w:type="dxa"/>
            <w:tcBorders>
              <w:bottom w:val="nil"/>
            </w:tcBorders>
            <w:noWrap w:val="0"/>
            <w:vAlign w:val="top"/>
          </w:tcPr>
          <w:p>
            <w:pPr>
              <w:numPr>
                <w:ilvl w:val="0"/>
                <w:numId w:val="68"/>
              </w:numPr>
              <w:spacing w:line="320" w:lineRule="exact"/>
              <w:rPr>
                <w:rFonts w:hint="eastAsia" w:ascii="宋体" w:hAnsi="宋体" w:eastAsia="宋体" w:cs="宋体"/>
                <w:sz w:val="24"/>
                <w:szCs w:val="24"/>
              </w:rPr>
            </w:pPr>
            <w:r>
              <w:rPr>
                <w:rFonts w:hint="eastAsia" w:ascii="宋体" w:hAnsi="宋体" w:eastAsia="宋体" w:cs="宋体"/>
                <w:sz w:val="24"/>
                <w:szCs w:val="24"/>
              </w:rPr>
              <w:t>消耗品（带滤心吸头、一次性手套等）；</w:t>
            </w:r>
          </w:p>
        </w:tc>
        <w:tc>
          <w:tcPr>
            <w:tcW w:w="873" w:type="dxa"/>
            <w:tcBorders>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968"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6"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7"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09"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1020"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648" w:type="dxa"/>
            <w:tcBorders>
              <w:top w:val="nil"/>
            </w:tcBorders>
            <w:noWrap w:val="0"/>
            <w:vAlign w:val="top"/>
          </w:tcPr>
          <w:p>
            <w:pPr>
              <w:rPr>
                <w:rFonts w:hint="eastAsia" w:ascii="宋体" w:hAnsi="宋体" w:eastAsia="宋体" w:cs="宋体"/>
                <w:b/>
                <w:sz w:val="24"/>
                <w:szCs w:val="24"/>
              </w:rPr>
            </w:pPr>
          </w:p>
        </w:tc>
        <w:tc>
          <w:tcPr>
            <w:tcW w:w="3429" w:type="dxa"/>
            <w:tcBorders>
              <w:bottom w:val="single" w:color="auto" w:sz="6" w:space="0"/>
            </w:tcBorders>
            <w:noWrap w:val="0"/>
            <w:vAlign w:val="top"/>
          </w:tcPr>
          <w:p>
            <w:pPr>
              <w:numPr>
                <w:ilvl w:val="0"/>
                <w:numId w:val="68"/>
              </w:numPr>
              <w:spacing w:line="320" w:lineRule="exact"/>
              <w:rPr>
                <w:rFonts w:hint="eastAsia" w:ascii="宋体" w:hAnsi="宋体" w:eastAsia="宋体" w:cs="宋体"/>
                <w:sz w:val="24"/>
                <w:szCs w:val="24"/>
              </w:rPr>
            </w:pPr>
            <w:r>
              <w:rPr>
                <w:rFonts w:hint="eastAsia" w:ascii="宋体" w:hAnsi="宋体" w:eastAsia="宋体" w:cs="宋体"/>
                <w:sz w:val="24"/>
                <w:szCs w:val="24"/>
              </w:rPr>
              <w:t>专用实验记录本、记号笔等。</w:t>
            </w:r>
          </w:p>
        </w:tc>
        <w:tc>
          <w:tcPr>
            <w:tcW w:w="873" w:type="dxa"/>
            <w:tcBorders>
              <w:bottom w:val="single" w:color="auto" w:sz="6" w:space="0"/>
              <w:right w:val="single" w:color="auto" w:sz="6" w:space="0"/>
            </w:tcBorders>
            <w:noWrap w:val="0"/>
            <w:vAlign w:val="top"/>
          </w:tcPr>
          <w:p>
            <w:pPr>
              <w:spacing w:line="320" w:lineRule="exact"/>
              <w:rPr>
                <w:rFonts w:hint="eastAsia" w:ascii="宋体" w:hAnsi="宋体" w:eastAsia="宋体" w:cs="宋体"/>
                <w:sz w:val="24"/>
                <w:szCs w:val="24"/>
              </w:rPr>
            </w:pPr>
          </w:p>
        </w:tc>
        <w:tc>
          <w:tcPr>
            <w:tcW w:w="968"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6"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437"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709"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c>
          <w:tcPr>
            <w:tcW w:w="1020" w:type="dxa"/>
            <w:tcBorders>
              <w:left w:val="single" w:color="auto" w:sz="6" w:space="0"/>
              <w:bottom w:val="single" w:color="auto" w:sz="6" w:space="0"/>
            </w:tcBorders>
            <w:noWrap w:val="0"/>
            <w:vAlign w:val="top"/>
          </w:tcPr>
          <w:p>
            <w:pPr>
              <w:spacing w:line="32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648" w:type="dxa"/>
            <w:noWrap w:val="0"/>
            <w:vAlign w:val="top"/>
          </w:tcPr>
          <w:p>
            <w:pPr>
              <w:rPr>
                <w:rFonts w:hint="eastAsia" w:ascii="宋体" w:hAnsi="宋体" w:eastAsia="宋体" w:cs="宋体"/>
                <w:bCs/>
                <w:sz w:val="24"/>
                <w:szCs w:val="24"/>
              </w:rPr>
            </w:pPr>
            <w:r>
              <w:rPr>
                <w:rFonts w:hint="eastAsia" w:ascii="宋体" w:hAnsi="宋体" w:eastAsia="宋体" w:cs="宋体"/>
                <w:bCs/>
                <w:sz w:val="24"/>
                <w:szCs w:val="24"/>
              </w:rPr>
              <w:t>1.6</w:t>
            </w:r>
          </w:p>
        </w:tc>
        <w:tc>
          <w:tcPr>
            <w:tcW w:w="3429" w:type="dxa"/>
            <w:tcBorders>
              <w:bottom w:val="single" w:color="auto" w:sz="6" w:space="0"/>
            </w:tcBorders>
            <w:noWrap w:val="0"/>
            <w:vAlign w:val="top"/>
          </w:tcPr>
          <w:p>
            <w:pPr>
              <w:rPr>
                <w:rFonts w:hint="eastAsia" w:ascii="宋体" w:hAnsi="宋体" w:eastAsia="宋体" w:cs="宋体"/>
                <w:b/>
                <w:sz w:val="24"/>
                <w:szCs w:val="24"/>
              </w:rPr>
            </w:pPr>
            <w:r>
              <w:rPr>
                <w:rFonts w:hint="eastAsia" w:ascii="宋体" w:hAnsi="宋体" w:eastAsia="宋体" w:cs="宋体"/>
                <w:b/>
                <w:sz w:val="24"/>
                <w:szCs w:val="24"/>
              </w:rPr>
              <w:t>扩增区</w:t>
            </w:r>
          </w:p>
        </w:tc>
        <w:tc>
          <w:tcPr>
            <w:tcW w:w="873" w:type="dxa"/>
            <w:tcBorders>
              <w:bottom w:val="single" w:color="auto" w:sz="6" w:space="0"/>
              <w:right w:val="single" w:color="auto" w:sz="6" w:space="0"/>
            </w:tcBorders>
            <w:noWrap w:val="0"/>
            <w:vAlign w:val="top"/>
          </w:tcPr>
          <w:p>
            <w:pPr>
              <w:rPr>
                <w:rFonts w:hint="eastAsia" w:ascii="宋体" w:hAnsi="宋体" w:eastAsia="宋体" w:cs="宋体"/>
                <w:sz w:val="24"/>
                <w:szCs w:val="24"/>
              </w:rPr>
            </w:pPr>
          </w:p>
        </w:tc>
        <w:tc>
          <w:tcPr>
            <w:tcW w:w="968" w:type="dxa"/>
            <w:tcBorders>
              <w:left w:val="single" w:color="auto" w:sz="6" w:space="0"/>
              <w:bottom w:val="single" w:color="auto" w:sz="6" w:space="0"/>
            </w:tcBorders>
            <w:noWrap w:val="0"/>
            <w:vAlign w:val="top"/>
          </w:tcPr>
          <w:p>
            <w:pPr>
              <w:rPr>
                <w:rFonts w:hint="eastAsia" w:ascii="宋体" w:hAnsi="宋体" w:eastAsia="宋体" w:cs="宋体"/>
                <w:sz w:val="24"/>
                <w:szCs w:val="24"/>
              </w:rPr>
            </w:pPr>
          </w:p>
        </w:tc>
        <w:tc>
          <w:tcPr>
            <w:tcW w:w="436" w:type="dxa"/>
            <w:tcBorders>
              <w:left w:val="single" w:color="auto" w:sz="6" w:space="0"/>
              <w:bottom w:val="single" w:color="auto" w:sz="6" w:space="0"/>
            </w:tcBorders>
            <w:noWrap w:val="0"/>
            <w:vAlign w:val="top"/>
          </w:tcPr>
          <w:p>
            <w:pPr>
              <w:rPr>
                <w:rFonts w:hint="eastAsia" w:ascii="宋体" w:hAnsi="宋体" w:eastAsia="宋体" w:cs="宋体"/>
                <w:sz w:val="24"/>
                <w:szCs w:val="24"/>
              </w:rPr>
            </w:pPr>
          </w:p>
        </w:tc>
        <w:tc>
          <w:tcPr>
            <w:tcW w:w="437" w:type="dxa"/>
            <w:tcBorders>
              <w:left w:val="single" w:color="auto" w:sz="6" w:space="0"/>
              <w:bottom w:val="single" w:color="auto" w:sz="6" w:space="0"/>
            </w:tcBorders>
            <w:noWrap w:val="0"/>
            <w:vAlign w:val="top"/>
          </w:tcPr>
          <w:p>
            <w:pPr>
              <w:rPr>
                <w:rFonts w:hint="eastAsia" w:ascii="宋体" w:hAnsi="宋体" w:eastAsia="宋体" w:cs="宋体"/>
                <w:sz w:val="24"/>
                <w:szCs w:val="24"/>
              </w:rPr>
            </w:pPr>
          </w:p>
        </w:tc>
        <w:tc>
          <w:tcPr>
            <w:tcW w:w="709" w:type="dxa"/>
            <w:tcBorders>
              <w:left w:val="single" w:color="auto" w:sz="6" w:space="0"/>
              <w:bottom w:val="single" w:color="auto" w:sz="6" w:space="0"/>
            </w:tcBorders>
            <w:noWrap w:val="0"/>
            <w:vAlign w:val="top"/>
          </w:tcPr>
          <w:p>
            <w:pPr>
              <w:rPr>
                <w:rFonts w:hint="eastAsia" w:ascii="宋体" w:hAnsi="宋体" w:eastAsia="宋体" w:cs="宋体"/>
                <w:sz w:val="24"/>
                <w:szCs w:val="24"/>
              </w:rPr>
            </w:pPr>
          </w:p>
        </w:tc>
        <w:tc>
          <w:tcPr>
            <w:tcW w:w="1020" w:type="dxa"/>
            <w:tcBorders>
              <w:left w:val="single" w:color="auto" w:sz="6" w:space="0"/>
              <w:bottom w:val="single" w:color="auto" w:sz="6"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648" w:type="dxa"/>
            <w:vMerge w:val="restart"/>
            <w:noWrap w:val="0"/>
            <w:vAlign w:val="top"/>
          </w:tcPr>
          <w:p>
            <w:pPr>
              <w:rPr>
                <w:rFonts w:hint="eastAsia" w:ascii="宋体" w:hAnsi="宋体" w:eastAsia="宋体" w:cs="宋体"/>
                <w:sz w:val="24"/>
                <w:szCs w:val="24"/>
              </w:rPr>
            </w:pPr>
          </w:p>
        </w:tc>
        <w:tc>
          <w:tcPr>
            <w:tcW w:w="3429" w:type="dxa"/>
            <w:tcBorders>
              <w:bottom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sz w:val="24"/>
                <w:szCs w:val="24"/>
              </w:rPr>
              <w:t>(a) 核酸扩增仪;</w:t>
            </w:r>
          </w:p>
        </w:tc>
        <w:tc>
          <w:tcPr>
            <w:tcW w:w="873" w:type="dxa"/>
            <w:tcBorders>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648" w:type="dxa"/>
            <w:vMerge w:val="continue"/>
            <w:noWrap w:val="0"/>
            <w:vAlign w:val="top"/>
          </w:tcPr>
          <w:p>
            <w:pPr>
              <w:rPr>
                <w:rFonts w:hint="eastAsia" w:ascii="宋体" w:hAnsi="宋体" w:eastAsia="宋体" w:cs="宋体"/>
                <w:sz w:val="24"/>
                <w:szCs w:val="24"/>
              </w:rPr>
            </w:pPr>
          </w:p>
        </w:tc>
        <w:tc>
          <w:tcPr>
            <w:tcW w:w="3429" w:type="dxa"/>
            <w:tcBorders>
              <w:bottom w:val="single" w:color="auto" w:sz="4" w:space="0"/>
            </w:tcBorders>
            <w:noWrap w:val="0"/>
            <w:vAlign w:val="top"/>
          </w:tcPr>
          <w:p>
            <w:pPr>
              <w:numPr>
                <w:ilvl w:val="0"/>
                <w:numId w:val="69"/>
              </w:numPr>
              <w:rPr>
                <w:rFonts w:hint="eastAsia" w:ascii="宋体" w:hAnsi="宋体" w:eastAsia="宋体" w:cs="宋体"/>
                <w:sz w:val="24"/>
                <w:szCs w:val="24"/>
              </w:rPr>
            </w:pPr>
            <w:r>
              <w:rPr>
                <w:rFonts w:hint="eastAsia" w:ascii="宋体" w:hAnsi="宋体" w:eastAsia="宋体" w:cs="宋体"/>
                <w:sz w:val="24"/>
                <w:szCs w:val="24"/>
              </w:rPr>
              <w:t>微量加样器；</w:t>
            </w:r>
          </w:p>
        </w:tc>
        <w:tc>
          <w:tcPr>
            <w:tcW w:w="873" w:type="dxa"/>
            <w:tcBorders>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648" w:type="dxa"/>
            <w:vMerge w:val="continue"/>
            <w:noWrap w:val="0"/>
            <w:vAlign w:val="top"/>
          </w:tcPr>
          <w:p>
            <w:pPr>
              <w:rPr>
                <w:rFonts w:hint="eastAsia" w:ascii="宋体" w:hAnsi="宋体" w:eastAsia="宋体" w:cs="宋体"/>
                <w:sz w:val="24"/>
                <w:szCs w:val="24"/>
              </w:rPr>
            </w:pPr>
          </w:p>
        </w:tc>
        <w:tc>
          <w:tcPr>
            <w:tcW w:w="3429" w:type="dxa"/>
            <w:tcBorders>
              <w:bottom w:val="single" w:color="auto" w:sz="4" w:space="0"/>
            </w:tcBorders>
            <w:noWrap w:val="0"/>
            <w:vAlign w:val="top"/>
          </w:tcPr>
          <w:p>
            <w:pPr>
              <w:numPr>
                <w:ilvl w:val="0"/>
                <w:numId w:val="69"/>
              </w:numPr>
              <w:rPr>
                <w:rFonts w:hint="eastAsia" w:ascii="宋体" w:hAnsi="宋体" w:eastAsia="宋体" w:cs="宋体"/>
                <w:sz w:val="24"/>
                <w:szCs w:val="24"/>
              </w:rPr>
            </w:pPr>
            <w:r>
              <w:rPr>
                <w:rFonts w:hint="eastAsia" w:ascii="宋体" w:hAnsi="宋体" w:eastAsia="宋体" w:cs="宋体"/>
                <w:sz w:val="24"/>
                <w:szCs w:val="24"/>
              </w:rPr>
              <w:t>可移动紫外灯；</w:t>
            </w:r>
          </w:p>
        </w:tc>
        <w:tc>
          <w:tcPr>
            <w:tcW w:w="873" w:type="dxa"/>
            <w:tcBorders>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648" w:type="dxa"/>
            <w:vMerge w:val="continue"/>
            <w:noWrap w:val="0"/>
            <w:vAlign w:val="top"/>
          </w:tcPr>
          <w:p>
            <w:pPr>
              <w:rPr>
                <w:rFonts w:hint="eastAsia" w:ascii="宋体" w:hAnsi="宋体" w:eastAsia="宋体" w:cs="宋体"/>
                <w:sz w:val="24"/>
                <w:szCs w:val="24"/>
              </w:rPr>
            </w:pPr>
          </w:p>
        </w:tc>
        <w:tc>
          <w:tcPr>
            <w:tcW w:w="3429" w:type="dxa"/>
            <w:tcBorders>
              <w:bottom w:val="single" w:color="auto" w:sz="4" w:space="0"/>
            </w:tcBorders>
            <w:noWrap w:val="0"/>
            <w:vAlign w:val="top"/>
          </w:tcPr>
          <w:p>
            <w:pPr>
              <w:numPr>
                <w:ilvl w:val="0"/>
                <w:numId w:val="69"/>
              </w:numPr>
              <w:rPr>
                <w:rFonts w:hint="eastAsia" w:ascii="宋体" w:hAnsi="宋体" w:eastAsia="宋体" w:cs="宋体"/>
                <w:sz w:val="24"/>
                <w:szCs w:val="24"/>
              </w:rPr>
            </w:pPr>
            <w:r>
              <w:rPr>
                <w:rFonts w:hint="eastAsia" w:ascii="宋体" w:hAnsi="宋体" w:eastAsia="宋体" w:cs="宋体"/>
                <w:sz w:val="24"/>
                <w:szCs w:val="24"/>
              </w:rPr>
              <w:t>专用工作服和工作鞋；</w:t>
            </w:r>
          </w:p>
        </w:tc>
        <w:tc>
          <w:tcPr>
            <w:tcW w:w="873" w:type="dxa"/>
            <w:tcBorders>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648" w:type="dxa"/>
            <w:vMerge w:val="continue"/>
            <w:noWrap w:val="0"/>
            <w:vAlign w:val="top"/>
          </w:tcPr>
          <w:p>
            <w:pPr>
              <w:rPr>
                <w:rFonts w:hint="eastAsia" w:ascii="宋体" w:hAnsi="宋体" w:eastAsia="宋体" w:cs="宋体"/>
                <w:sz w:val="24"/>
                <w:szCs w:val="24"/>
              </w:rPr>
            </w:pPr>
          </w:p>
        </w:tc>
        <w:tc>
          <w:tcPr>
            <w:tcW w:w="3429" w:type="dxa"/>
            <w:tcBorders>
              <w:bottom w:val="single" w:color="auto" w:sz="4" w:space="0"/>
            </w:tcBorders>
            <w:noWrap w:val="0"/>
            <w:vAlign w:val="top"/>
          </w:tcPr>
          <w:p>
            <w:pPr>
              <w:numPr>
                <w:ilvl w:val="0"/>
                <w:numId w:val="69"/>
              </w:numPr>
              <w:rPr>
                <w:rFonts w:hint="eastAsia" w:ascii="宋体" w:hAnsi="宋体" w:eastAsia="宋体" w:cs="宋体"/>
                <w:sz w:val="24"/>
                <w:szCs w:val="24"/>
              </w:rPr>
            </w:pPr>
            <w:r>
              <w:rPr>
                <w:rFonts w:hint="eastAsia" w:ascii="宋体" w:hAnsi="宋体" w:eastAsia="宋体" w:cs="宋体"/>
                <w:sz w:val="24"/>
                <w:szCs w:val="24"/>
              </w:rPr>
              <w:t>消耗品（带滤心吸头、一次性手套等）；</w:t>
            </w:r>
          </w:p>
        </w:tc>
        <w:tc>
          <w:tcPr>
            <w:tcW w:w="873" w:type="dxa"/>
            <w:tcBorders>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648" w:type="dxa"/>
            <w:vMerge w:val="continue"/>
            <w:noWrap w:val="0"/>
            <w:vAlign w:val="top"/>
          </w:tcPr>
          <w:p>
            <w:pPr>
              <w:rPr>
                <w:rFonts w:hint="eastAsia" w:ascii="宋体" w:hAnsi="宋体" w:eastAsia="宋体" w:cs="宋体"/>
                <w:sz w:val="24"/>
                <w:szCs w:val="24"/>
              </w:rPr>
            </w:pPr>
          </w:p>
        </w:tc>
        <w:tc>
          <w:tcPr>
            <w:tcW w:w="3429" w:type="dxa"/>
            <w:tcBorders>
              <w:bottom w:val="single" w:color="auto" w:sz="4" w:space="0"/>
            </w:tcBorders>
            <w:noWrap w:val="0"/>
            <w:vAlign w:val="top"/>
          </w:tcPr>
          <w:p>
            <w:pPr>
              <w:numPr>
                <w:ilvl w:val="0"/>
                <w:numId w:val="69"/>
              </w:numPr>
              <w:rPr>
                <w:rFonts w:hint="eastAsia" w:ascii="宋体" w:hAnsi="宋体" w:eastAsia="宋体" w:cs="宋体"/>
                <w:sz w:val="24"/>
                <w:szCs w:val="24"/>
              </w:rPr>
            </w:pPr>
            <w:r>
              <w:rPr>
                <w:rFonts w:hint="eastAsia" w:ascii="宋体" w:hAnsi="宋体" w:eastAsia="宋体" w:cs="宋体"/>
                <w:sz w:val="24"/>
                <w:szCs w:val="24"/>
              </w:rPr>
              <w:t>专用实验记录本、记号笔等。</w:t>
            </w:r>
          </w:p>
        </w:tc>
        <w:tc>
          <w:tcPr>
            <w:tcW w:w="873" w:type="dxa"/>
            <w:tcBorders>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648" w:type="dxa"/>
            <w:tcBorders>
              <w:top w:val="single" w:color="auto" w:sz="6" w:space="0"/>
              <w:bottom w:val="single" w:color="auto" w:sz="4" w:space="0"/>
            </w:tcBorders>
            <w:noWrap w:val="0"/>
            <w:vAlign w:val="top"/>
          </w:tcPr>
          <w:p>
            <w:pPr>
              <w:rPr>
                <w:rFonts w:hint="eastAsia" w:ascii="宋体" w:hAnsi="宋体" w:eastAsia="宋体" w:cs="宋体"/>
                <w:bCs/>
                <w:sz w:val="24"/>
                <w:szCs w:val="24"/>
              </w:rPr>
            </w:pPr>
            <w:r>
              <w:rPr>
                <w:rFonts w:hint="eastAsia" w:ascii="宋体" w:hAnsi="宋体" w:eastAsia="宋体" w:cs="宋体"/>
                <w:bCs/>
                <w:sz w:val="24"/>
                <w:szCs w:val="24"/>
              </w:rPr>
              <w:t>1.7</w:t>
            </w:r>
          </w:p>
        </w:tc>
        <w:tc>
          <w:tcPr>
            <w:tcW w:w="3429" w:type="dxa"/>
            <w:tcBorders>
              <w:top w:val="single" w:color="auto" w:sz="6" w:space="0"/>
              <w:bottom w:val="single" w:color="auto" w:sz="6" w:space="0"/>
            </w:tcBorders>
            <w:noWrap w:val="0"/>
            <w:vAlign w:val="top"/>
          </w:tcPr>
          <w:p>
            <w:pPr>
              <w:rPr>
                <w:rFonts w:hint="eastAsia" w:ascii="宋体" w:hAnsi="宋体" w:eastAsia="宋体" w:cs="宋体"/>
                <w:b/>
                <w:sz w:val="24"/>
                <w:szCs w:val="24"/>
              </w:rPr>
            </w:pPr>
            <w:r>
              <w:rPr>
                <w:rFonts w:hint="eastAsia" w:ascii="宋体" w:hAnsi="宋体" w:eastAsia="宋体" w:cs="宋体"/>
                <w:b/>
                <w:sz w:val="24"/>
                <w:szCs w:val="24"/>
              </w:rPr>
              <w:t>扩增产物分析区</w:t>
            </w:r>
          </w:p>
        </w:tc>
        <w:tc>
          <w:tcPr>
            <w:tcW w:w="873"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6"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7"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709"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10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648" w:type="dxa"/>
            <w:vMerge w:val="restart"/>
            <w:tcBorders>
              <w:top w:val="single" w:color="auto" w:sz="4" w:space="0"/>
              <w:bottom w:val="nil"/>
            </w:tcBorders>
            <w:noWrap w:val="0"/>
            <w:vAlign w:val="top"/>
          </w:tcPr>
          <w:p>
            <w:pPr>
              <w:rPr>
                <w:rFonts w:hint="eastAsia" w:ascii="宋体" w:hAnsi="宋体" w:eastAsia="宋体" w:cs="宋体"/>
                <w:sz w:val="24"/>
                <w:szCs w:val="24"/>
              </w:rPr>
            </w:pPr>
          </w:p>
        </w:tc>
        <w:tc>
          <w:tcPr>
            <w:tcW w:w="3429" w:type="dxa"/>
            <w:tcBorders>
              <w:top w:val="single" w:color="auto" w:sz="6" w:space="0"/>
              <w:bottom w:val="single" w:color="auto" w:sz="6" w:space="0"/>
            </w:tcBorders>
            <w:noWrap w:val="0"/>
            <w:vAlign w:val="top"/>
          </w:tcPr>
          <w:p>
            <w:pPr>
              <w:numPr>
                <w:ilvl w:val="0"/>
                <w:numId w:val="70"/>
              </w:numPr>
              <w:rPr>
                <w:rFonts w:hint="eastAsia" w:ascii="宋体" w:hAnsi="宋体" w:eastAsia="宋体" w:cs="宋体"/>
                <w:sz w:val="24"/>
                <w:szCs w:val="24"/>
              </w:rPr>
            </w:pPr>
            <w:r>
              <w:rPr>
                <w:rFonts w:hint="eastAsia" w:ascii="宋体" w:hAnsi="宋体" w:eastAsia="宋体" w:cs="宋体"/>
                <w:sz w:val="24"/>
                <w:szCs w:val="24"/>
              </w:rPr>
              <w:t>微量加样器；</w:t>
            </w:r>
          </w:p>
        </w:tc>
        <w:tc>
          <w:tcPr>
            <w:tcW w:w="873"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6"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7"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709"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10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48" w:type="dxa"/>
            <w:vMerge w:val="continue"/>
            <w:tcBorders>
              <w:top w:val="nil"/>
              <w:bottom w:val="nil"/>
            </w:tcBorders>
            <w:noWrap w:val="0"/>
            <w:vAlign w:val="top"/>
          </w:tcPr>
          <w:p>
            <w:pPr>
              <w:rPr>
                <w:rFonts w:hint="eastAsia" w:ascii="宋体" w:hAnsi="宋体" w:eastAsia="宋体" w:cs="宋体"/>
                <w:sz w:val="24"/>
                <w:szCs w:val="24"/>
              </w:rPr>
            </w:pPr>
          </w:p>
        </w:tc>
        <w:tc>
          <w:tcPr>
            <w:tcW w:w="3429" w:type="dxa"/>
            <w:tcBorders>
              <w:top w:val="single" w:color="auto" w:sz="6" w:space="0"/>
              <w:bottom w:val="single" w:color="auto" w:sz="6" w:space="0"/>
            </w:tcBorders>
            <w:noWrap w:val="0"/>
            <w:vAlign w:val="top"/>
          </w:tcPr>
          <w:p>
            <w:pPr>
              <w:numPr>
                <w:ilvl w:val="0"/>
                <w:numId w:val="70"/>
              </w:numPr>
              <w:rPr>
                <w:rFonts w:hint="eastAsia" w:ascii="宋体" w:hAnsi="宋体" w:eastAsia="宋体" w:cs="宋体"/>
                <w:sz w:val="24"/>
                <w:szCs w:val="24"/>
              </w:rPr>
            </w:pPr>
            <w:r>
              <w:rPr>
                <w:rFonts w:hint="eastAsia" w:ascii="宋体" w:hAnsi="宋体" w:eastAsia="宋体" w:cs="宋体"/>
                <w:sz w:val="24"/>
                <w:szCs w:val="24"/>
              </w:rPr>
              <w:t>可移动紫外灯；</w:t>
            </w:r>
          </w:p>
        </w:tc>
        <w:tc>
          <w:tcPr>
            <w:tcW w:w="873"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6"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7"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709"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10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48" w:type="dxa"/>
            <w:vMerge w:val="continue"/>
            <w:tcBorders>
              <w:top w:val="nil"/>
              <w:bottom w:val="nil"/>
            </w:tcBorders>
            <w:noWrap w:val="0"/>
            <w:vAlign w:val="top"/>
          </w:tcPr>
          <w:p>
            <w:pPr>
              <w:rPr>
                <w:rFonts w:hint="eastAsia" w:ascii="宋体" w:hAnsi="宋体" w:eastAsia="宋体" w:cs="宋体"/>
                <w:sz w:val="24"/>
                <w:szCs w:val="24"/>
              </w:rPr>
            </w:pPr>
          </w:p>
        </w:tc>
        <w:tc>
          <w:tcPr>
            <w:tcW w:w="3429" w:type="dxa"/>
            <w:tcBorders>
              <w:top w:val="single" w:color="auto" w:sz="6" w:space="0"/>
              <w:bottom w:val="single" w:color="auto" w:sz="6" w:space="0"/>
            </w:tcBorders>
            <w:noWrap w:val="0"/>
            <w:vAlign w:val="top"/>
          </w:tcPr>
          <w:p>
            <w:pPr>
              <w:numPr>
                <w:ilvl w:val="0"/>
                <w:numId w:val="70"/>
              </w:numPr>
              <w:rPr>
                <w:rFonts w:hint="eastAsia" w:ascii="宋体" w:hAnsi="宋体" w:eastAsia="宋体" w:cs="宋体"/>
                <w:sz w:val="24"/>
                <w:szCs w:val="24"/>
              </w:rPr>
            </w:pPr>
            <w:r>
              <w:rPr>
                <w:rFonts w:hint="eastAsia" w:ascii="宋体" w:hAnsi="宋体" w:eastAsia="宋体" w:cs="宋体"/>
                <w:sz w:val="24"/>
                <w:szCs w:val="24"/>
              </w:rPr>
              <w:t>专用工作服和工作鞋；</w:t>
            </w:r>
          </w:p>
        </w:tc>
        <w:tc>
          <w:tcPr>
            <w:tcW w:w="873"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6"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7"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709"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10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trPr>
        <w:tc>
          <w:tcPr>
            <w:tcW w:w="648" w:type="dxa"/>
            <w:vMerge w:val="continue"/>
            <w:tcBorders>
              <w:top w:val="nil"/>
              <w:bottom w:val="nil"/>
            </w:tcBorders>
            <w:noWrap w:val="0"/>
            <w:vAlign w:val="top"/>
          </w:tcPr>
          <w:p>
            <w:pPr>
              <w:rPr>
                <w:rFonts w:hint="eastAsia" w:ascii="宋体" w:hAnsi="宋体" w:eastAsia="宋体" w:cs="宋体"/>
                <w:sz w:val="24"/>
                <w:szCs w:val="24"/>
              </w:rPr>
            </w:pPr>
          </w:p>
        </w:tc>
        <w:tc>
          <w:tcPr>
            <w:tcW w:w="3429" w:type="dxa"/>
            <w:tcBorders>
              <w:top w:val="single" w:color="auto" w:sz="6" w:space="0"/>
              <w:bottom w:val="single" w:color="auto" w:sz="6" w:space="0"/>
            </w:tcBorders>
            <w:noWrap w:val="0"/>
            <w:vAlign w:val="top"/>
          </w:tcPr>
          <w:p>
            <w:pPr>
              <w:numPr>
                <w:ilvl w:val="0"/>
                <w:numId w:val="70"/>
              </w:numPr>
              <w:rPr>
                <w:rFonts w:hint="eastAsia" w:ascii="宋体" w:hAnsi="宋体" w:eastAsia="宋体" w:cs="宋体"/>
                <w:sz w:val="24"/>
                <w:szCs w:val="24"/>
              </w:rPr>
            </w:pPr>
            <w:r>
              <w:rPr>
                <w:rFonts w:hint="eastAsia" w:ascii="宋体" w:hAnsi="宋体" w:eastAsia="宋体" w:cs="宋体"/>
                <w:sz w:val="24"/>
                <w:szCs w:val="24"/>
              </w:rPr>
              <w:t>消耗品（带滤心吸头、一次性手套等）；</w:t>
            </w:r>
          </w:p>
        </w:tc>
        <w:tc>
          <w:tcPr>
            <w:tcW w:w="873"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6"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437"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709"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c>
          <w:tcPr>
            <w:tcW w:w="10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648" w:type="dxa"/>
            <w:vMerge w:val="continue"/>
            <w:tcBorders>
              <w:top w:val="nil"/>
              <w:bottom w:val="nil"/>
            </w:tcBorders>
            <w:noWrap w:val="0"/>
            <w:vAlign w:val="top"/>
          </w:tcPr>
          <w:p>
            <w:pPr>
              <w:rPr>
                <w:rFonts w:hint="eastAsia" w:ascii="宋体" w:hAnsi="宋体" w:eastAsia="宋体" w:cs="宋体"/>
                <w:sz w:val="24"/>
                <w:szCs w:val="24"/>
              </w:rPr>
            </w:pPr>
          </w:p>
        </w:tc>
        <w:tc>
          <w:tcPr>
            <w:tcW w:w="3429" w:type="dxa"/>
            <w:tcBorders>
              <w:top w:val="single" w:color="auto" w:sz="6" w:space="0"/>
              <w:bottom w:val="single" w:color="auto" w:sz="4" w:space="0"/>
            </w:tcBorders>
            <w:noWrap w:val="0"/>
            <w:vAlign w:val="top"/>
          </w:tcPr>
          <w:p>
            <w:pPr>
              <w:numPr>
                <w:ilvl w:val="0"/>
                <w:numId w:val="70"/>
              </w:numPr>
              <w:rPr>
                <w:rFonts w:hint="eastAsia" w:ascii="宋体" w:hAnsi="宋体" w:eastAsia="宋体" w:cs="宋体"/>
                <w:sz w:val="24"/>
                <w:szCs w:val="24"/>
              </w:rPr>
            </w:pPr>
            <w:r>
              <w:rPr>
                <w:rFonts w:hint="eastAsia" w:ascii="宋体" w:hAnsi="宋体" w:eastAsia="宋体" w:cs="宋体"/>
                <w:sz w:val="24"/>
                <w:szCs w:val="24"/>
              </w:rPr>
              <w:t>专用实验记录本、记号笔等。</w:t>
            </w:r>
          </w:p>
        </w:tc>
        <w:tc>
          <w:tcPr>
            <w:tcW w:w="873" w:type="dxa"/>
            <w:tcBorders>
              <w:top w:val="single" w:color="auto" w:sz="6" w:space="0"/>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b/>
                <w:bCs/>
                <w:sz w:val="24"/>
                <w:szCs w:val="24"/>
              </w:rPr>
              <w:t>2</w:t>
            </w:r>
            <w:r>
              <w:rPr>
                <w:rFonts w:hint="eastAsia" w:ascii="宋体" w:hAnsi="宋体" w:eastAsia="宋体" w:cs="宋体"/>
                <w:sz w:val="24"/>
                <w:szCs w:val="24"/>
              </w:rPr>
              <w:t>.</w:t>
            </w:r>
          </w:p>
        </w:tc>
        <w:tc>
          <w:tcPr>
            <w:tcW w:w="3429" w:type="dxa"/>
            <w:tcBorders>
              <w:top w:val="single" w:color="auto" w:sz="4" w:space="0"/>
              <w:bottom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b/>
                <w:sz w:val="24"/>
                <w:szCs w:val="24"/>
              </w:rPr>
              <w:t>设施和环境</w:t>
            </w:r>
          </w:p>
        </w:tc>
        <w:tc>
          <w:tcPr>
            <w:tcW w:w="873"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sz w:val="24"/>
                <w:szCs w:val="24"/>
              </w:rPr>
              <w:t>2.1</w:t>
            </w:r>
          </w:p>
        </w:tc>
        <w:tc>
          <w:tcPr>
            <w:tcW w:w="3429" w:type="dxa"/>
            <w:tcBorders>
              <w:top w:val="single" w:color="auto" w:sz="4" w:space="0"/>
              <w:bottom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sz w:val="24"/>
                <w:szCs w:val="24"/>
              </w:rPr>
              <w:t>实验室的设施、工作区域、能源、照明、采暖、通风等应便于检测工作的正常进行。</w:t>
            </w:r>
          </w:p>
        </w:tc>
        <w:tc>
          <w:tcPr>
            <w:tcW w:w="873"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sz w:val="24"/>
                <w:szCs w:val="24"/>
              </w:rPr>
              <w:t>2.2</w:t>
            </w:r>
          </w:p>
        </w:tc>
        <w:tc>
          <w:tcPr>
            <w:tcW w:w="3429" w:type="dxa"/>
            <w:tcBorders>
              <w:top w:val="single" w:color="auto" w:sz="4" w:space="0"/>
              <w:bottom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sz w:val="24"/>
                <w:szCs w:val="24"/>
              </w:rPr>
              <w:t>实验室应配备温度湿度计、稳压电源等。</w:t>
            </w:r>
          </w:p>
        </w:tc>
        <w:tc>
          <w:tcPr>
            <w:tcW w:w="873"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sz w:val="24"/>
                <w:szCs w:val="24"/>
              </w:rPr>
              <w:t>2.3</w:t>
            </w:r>
          </w:p>
        </w:tc>
        <w:tc>
          <w:tcPr>
            <w:tcW w:w="3429" w:type="dxa"/>
            <w:tcBorders>
              <w:top w:val="single" w:color="auto" w:sz="4" w:space="0"/>
              <w:bottom w:val="single" w:color="auto" w:sz="4" w:space="0"/>
            </w:tcBorders>
            <w:noWrap w:val="0"/>
            <w:vAlign w:val="top"/>
          </w:tcPr>
          <w:p>
            <w:pPr>
              <w:rPr>
                <w:rFonts w:hint="eastAsia" w:ascii="宋体" w:hAnsi="宋体" w:eastAsia="宋体" w:cs="宋体"/>
                <w:sz w:val="24"/>
                <w:szCs w:val="24"/>
              </w:rPr>
            </w:pPr>
            <w:r>
              <w:rPr>
                <w:rFonts w:hint="eastAsia" w:ascii="宋体" w:hAnsi="宋体" w:eastAsia="宋体" w:cs="宋体"/>
                <w:sz w:val="24"/>
                <w:szCs w:val="24"/>
              </w:rPr>
              <w:t>进入和使用实验室各区域应有明确的限制和控制。</w:t>
            </w:r>
          </w:p>
        </w:tc>
        <w:tc>
          <w:tcPr>
            <w:tcW w:w="873"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4"/>
                <w:szCs w:val="24"/>
              </w:rPr>
            </w:pPr>
          </w:p>
        </w:tc>
        <w:tc>
          <w:tcPr>
            <w:tcW w:w="968"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6"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437"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709"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c>
          <w:tcPr>
            <w:tcW w:w="10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4"/>
                <w:szCs w:val="24"/>
              </w:rPr>
            </w:pPr>
          </w:p>
        </w:tc>
      </w:tr>
    </w:tbl>
    <w:p>
      <w:pPr>
        <w:rPr>
          <w:rFonts w:hint="eastAsia" w:ascii="宋体" w:hAnsi="宋体" w:eastAsia="宋体" w:cs="宋体"/>
          <w:sz w:val="18"/>
        </w:rPr>
      </w:pPr>
      <w:r>
        <w:rPr>
          <w:rFonts w:hint="eastAsia" w:ascii="宋体" w:hAnsi="宋体" w:eastAsia="宋体" w:cs="宋体"/>
          <w:b/>
          <w:sz w:val="18"/>
        </w:rPr>
        <w:t>注</w:t>
      </w:r>
      <w:r>
        <w:rPr>
          <w:rFonts w:hint="eastAsia" w:ascii="宋体" w:hAnsi="宋体" w:eastAsia="宋体" w:cs="宋体"/>
          <w:sz w:val="18"/>
        </w:rPr>
        <w:t>：请在验收所选项打“</w:t>
      </w:r>
      <w:r>
        <w:rPr>
          <w:rFonts w:hint="eastAsia" w:ascii="宋体" w:hAnsi="宋体" w:eastAsia="宋体" w:cs="宋体"/>
          <w:sz w:val="18"/>
        </w:rPr>
        <w:sym w:font="Symbol" w:char="F0D6"/>
      </w:r>
      <w:r>
        <w:rPr>
          <w:rFonts w:hint="eastAsia" w:ascii="宋体" w:hAnsi="宋体" w:eastAsia="宋体" w:cs="宋体"/>
          <w:sz w:val="18"/>
        </w:rPr>
        <w:t>”。</w:t>
      </w:r>
    </w:p>
    <w:p>
      <w:pPr>
        <w:rPr>
          <w:rFonts w:hint="eastAsia" w:ascii="宋体" w:hAnsi="宋体" w:eastAsia="宋体" w:cs="宋体"/>
          <w:sz w:val="28"/>
        </w:rPr>
      </w:pPr>
      <w:r>
        <w:rPr>
          <w:rFonts w:hint="eastAsia" w:ascii="宋体" w:hAnsi="宋体" w:eastAsia="宋体" w:cs="宋体"/>
          <w:sz w:val="28"/>
        </w:rPr>
        <w:t xml:space="preserve">        </w:t>
      </w:r>
    </w:p>
    <w:p>
      <w:pPr>
        <w:jc w:val="center"/>
        <w:rPr>
          <w:rFonts w:hint="eastAsia" w:ascii="宋体" w:hAnsi="宋体" w:eastAsia="宋体" w:cs="宋体"/>
          <w:b/>
          <w:sz w:val="32"/>
        </w:rPr>
      </w:pPr>
      <w:r>
        <w:rPr>
          <w:rFonts w:hint="eastAsia" w:ascii="宋体" w:hAnsi="宋体" w:eastAsia="宋体" w:cs="宋体"/>
          <w:b/>
          <w:sz w:val="32"/>
        </w:rPr>
        <w:t>临床基因扩增检验实验室技术验收表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0"/>
        <w:gridCol w:w="540"/>
        <w:gridCol w:w="720"/>
        <w:gridCol w:w="540"/>
        <w:gridCol w:w="540"/>
        <w:gridCol w:w="540"/>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648" w:type="dxa"/>
            <w:vMerge w:val="restart"/>
            <w:noWrap w:val="0"/>
            <w:vAlign w:val="top"/>
          </w:tcPr>
          <w:p>
            <w:pPr>
              <w:rPr>
                <w:rFonts w:hint="eastAsia" w:ascii="宋体" w:hAnsi="宋体" w:eastAsia="宋体" w:cs="宋体"/>
                <w:sz w:val="21"/>
                <w:szCs w:val="21"/>
              </w:rPr>
            </w:pPr>
          </w:p>
          <w:p>
            <w:pPr>
              <w:pStyle w:val="26"/>
              <w:rPr>
                <w:rFonts w:hint="eastAsia" w:ascii="宋体" w:hAnsi="宋体" w:eastAsia="宋体" w:cs="宋体"/>
                <w:sz w:val="21"/>
                <w:szCs w:val="21"/>
              </w:rPr>
            </w:pPr>
            <w:r>
              <w:rPr>
                <w:rFonts w:hint="eastAsia" w:ascii="宋体" w:hAnsi="宋体" w:eastAsia="宋体" w:cs="宋体"/>
                <w:sz w:val="21"/>
                <w:szCs w:val="21"/>
              </w:rPr>
              <w:t>序号</w:t>
            </w:r>
          </w:p>
          <w:p>
            <w:pPr>
              <w:rPr>
                <w:rFonts w:hint="eastAsia" w:ascii="宋体" w:hAnsi="宋体" w:eastAsia="宋体" w:cs="宋体"/>
                <w:sz w:val="21"/>
                <w:szCs w:val="21"/>
              </w:rPr>
            </w:pPr>
          </w:p>
        </w:tc>
        <w:tc>
          <w:tcPr>
            <w:tcW w:w="2880" w:type="dxa"/>
            <w:vMerge w:val="restart"/>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 xml:space="preserve">   验 收 内 容</w:t>
            </w:r>
          </w:p>
        </w:tc>
        <w:tc>
          <w:tcPr>
            <w:tcW w:w="4992" w:type="dxa"/>
            <w:gridSpan w:val="6"/>
            <w:tcBorders>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            验  收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648" w:type="dxa"/>
            <w:vMerge w:val="continue"/>
            <w:tcBorders>
              <w:bottom w:val="single" w:color="auto" w:sz="4" w:space="0"/>
            </w:tcBorders>
            <w:noWrap w:val="0"/>
            <w:vAlign w:val="top"/>
          </w:tcPr>
          <w:p>
            <w:pPr>
              <w:rPr>
                <w:rFonts w:hint="eastAsia" w:ascii="宋体" w:hAnsi="宋体" w:eastAsia="宋体" w:cs="宋体"/>
                <w:sz w:val="21"/>
                <w:szCs w:val="21"/>
              </w:rPr>
            </w:pPr>
          </w:p>
        </w:tc>
        <w:tc>
          <w:tcPr>
            <w:tcW w:w="2880" w:type="dxa"/>
            <w:vMerge w:val="continue"/>
            <w:noWrap w:val="0"/>
            <w:vAlign w:val="top"/>
          </w:tcPr>
          <w:p>
            <w:pPr>
              <w:rPr>
                <w:rFonts w:hint="eastAsia" w:ascii="宋体" w:hAnsi="宋体" w:eastAsia="宋体" w:cs="宋体"/>
                <w:sz w:val="21"/>
                <w:szCs w:val="21"/>
              </w:rPr>
            </w:pPr>
          </w:p>
        </w:tc>
        <w:tc>
          <w:tcPr>
            <w:tcW w:w="540" w:type="dxa"/>
            <w:tcBorders>
              <w:top w:val="single" w:color="auto" w:sz="6" w:space="0"/>
              <w:right w:val="single" w:color="auto" w:sz="6" w:space="0"/>
            </w:tcBorders>
            <w:noWrap w:val="0"/>
            <w:vAlign w:val="top"/>
          </w:tcPr>
          <w:p>
            <w:pPr>
              <w:spacing w:line="320" w:lineRule="exact"/>
              <w:rPr>
                <w:rFonts w:hint="eastAsia" w:ascii="宋体" w:hAnsi="宋体" w:eastAsia="宋体" w:cs="宋体"/>
                <w:sz w:val="21"/>
                <w:szCs w:val="21"/>
              </w:rPr>
            </w:pPr>
          </w:p>
          <w:p>
            <w:pPr>
              <w:spacing w:line="320" w:lineRule="exact"/>
              <w:rPr>
                <w:rFonts w:hint="eastAsia" w:ascii="宋体" w:hAnsi="宋体" w:eastAsia="宋体" w:cs="宋体"/>
                <w:sz w:val="21"/>
                <w:szCs w:val="21"/>
              </w:rPr>
            </w:pPr>
            <w:r>
              <w:rPr>
                <w:rFonts w:hint="eastAsia" w:ascii="宋体" w:hAnsi="宋体" w:eastAsia="宋体" w:cs="宋体"/>
                <w:sz w:val="21"/>
                <w:szCs w:val="21"/>
              </w:rPr>
              <w:t>符合</w:t>
            </w:r>
          </w:p>
          <w:p>
            <w:pPr>
              <w:spacing w:line="280" w:lineRule="exact"/>
              <w:rPr>
                <w:rFonts w:hint="eastAsia" w:ascii="宋体" w:hAnsi="宋体" w:eastAsia="宋体" w:cs="宋体"/>
                <w:sz w:val="21"/>
                <w:szCs w:val="21"/>
              </w:rPr>
            </w:pPr>
            <w:r>
              <w:rPr>
                <w:rFonts w:hint="eastAsia" w:ascii="宋体" w:hAnsi="宋体" w:eastAsia="宋体" w:cs="宋体"/>
                <w:sz w:val="21"/>
                <w:szCs w:val="21"/>
              </w:rPr>
              <w:t xml:space="preserve"> </w:t>
            </w:r>
          </w:p>
        </w:tc>
        <w:tc>
          <w:tcPr>
            <w:tcW w:w="720" w:type="dxa"/>
            <w:tcBorders>
              <w:top w:val="single" w:color="auto" w:sz="6" w:space="0"/>
              <w:left w:val="single" w:color="auto" w:sz="6" w:space="0"/>
            </w:tcBorders>
            <w:noWrap w:val="0"/>
            <w:vAlign w:val="top"/>
          </w:tcPr>
          <w:p>
            <w:pPr>
              <w:spacing w:line="280" w:lineRule="exact"/>
              <w:rPr>
                <w:rFonts w:hint="eastAsia" w:ascii="宋体" w:hAnsi="宋体" w:eastAsia="宋体" w:cs="宋体"/>
                <w:sz w:val="21"/>
                <w:szCs w:val="21"/>
              </w:rPr>
            </w:pPr>
            <w:r>
              <w:rPr>
                <w:rFonts w:hint="eastAsia" w:ascii="宋体" w:hAnsi="宋体" w:eastAsia="宋体" w:cs="宋体"/>
                <w:sz w:val="21"/>
                <w:szCs w:val="21"/>
              </w:rPr>
              <w:t>基但本有</w:t>
            </w:r>
          </w:p>
          <w:p>
            <w:pPr>
              <w:spacing w:line="280" w:lineRule="exact"/>
              <w:rPr>
                <w:rFonts w:hint="eastAsia" w:ascii="宋体" w:hAnsi="宋体" w:eastAsia="宋体" w:cs="宋体"/>
                <w:sz w:val="21"/>
                <w:szCs w:val="21"/>
              </w:rPr>
            </w:pPr>
            <w:r>
              <w:rPr>
                <w:rFonts w:hint="eastAsia" w:ascii="宋体" w:hAnsi="宋体" w:eastAsia="宋体" w:cs="宋体"/>
                <w:sz w:val="21"/>
                <w:szCs w:val="21"/>
              </w:rPr>
              <w:t>符缺</w:t>
            </w:r>
          </w:p>
          <w:p>
            <w:pPr>
              <w:spacing w:line="280" w:lineRule="exact"/>
              <w:rPr>
                <w:rFonts w:hint="eastAsia" w:ascii="宋体" w:hAnsi="宋体" w:eastAsia="宋体" w:cs="宋体"/>
                <w:sz w:val="21"/>
                <w:szCs w:val="21"/>
              </w:rPr>
            </w:pPr>
            <w:r>
              <w:rPr>
                <w:rFonts w:hint="eastAsia" w:ascii="宋体" w:hAnsi="宋体" w:eastAsia="宋体" w:cs="宋体"/>
                <w:sz w:val="21"/>
                <w:szCs w:val="21"/>
              </w:rPr>
              <w:t>合陷</w:t>
            </w:r>
          </w:p>
        </w:tc>
        <w:tc>
          <w:tcPr>
            <w:tcW w:w="540" w:type="dxa"/>
            <w:tcBorders>
              <w:top w:val="single" w:color="auto" w:sz="6" w:space="0"/>
              <w:left w:val="single" w:color="auto" w:sz="6" w:space="0"/>
            </w:tcBorders>
            <w:noWrap w:val="0"/>
            <w:vAlign w:val="top"/>
          </w:tcPr>
          <w:p>
            <w:pPr>
              <w:spacing w:line="320" w:lineRule="exact"/>
              <w:rPr>
                <w:rFonts w:hint="eastAsia" w:ascii="宋体" w:hAnsi="宋体" w:eastAsia="宋体" w:cs="宋体"/>
                <w:sz w:val="21"/>
                <w:szCs w:val="21"/>
              </w:rPr>
            </w:pPr>
            <w:r>
              <w:rPr>
                <w:rFonts w:hint="eastAsia" w:ascii="宋体" w:hAnsi="宋体" w:eastAsia="宋体" w:cs="宋体"/>
                <w:sz w:val="21"/>
                <w:szCs w:val="21"/>
              </w:rPr>
              <w:t>不符合</w:t>
            </w:r>
          </w:p>
        </w:tc>
        <w:tc>
          <w:tcPr>
            <w:tcW w:w="540" w:type="dxa"/>
            <w:tcBorders>
              <w:top w:val="single" w:color="auto" w:sz="6" w:space="0"/>
              <w:left w:val="single" w:color="auto" w:sz="6" w:space="0"/>
            </w:tcBorders>
            <w:noWrap w:val="0"/>
            <w:vAlign w:val="top"/>
          </w:tcPr>
          <w:p>
            <w:pPr>
              <w:spacing w:line="320" w:lineRule="exact"/>
              <w:rPr>
                <w:rFonts w:hint="eastAsia" w:ascii="宋体" w:hAnsi="宋体" w:eastAsia="宋体" w:cs="宋体"/>
                <w:sz w:val="21"/>
                <w:szCs w:val="21"/>
              </w:rPr>
            </w:pPr>
            <w:r>
              <w:rPr>
                <w:rFonts w:hint="eastAsia" w:ascii="宋体" w:hAnsi="宋体" w:eastAsia="宋体" w:cs="宋体"/>
                <w:sz w:val="21"/>
                <w:szCs w:val="21"/>
              </w:rPr>
              <w:t>缺此项</w:t>
            </w:r>
          </w:p>
        </w:tc>
        <w:tc>
          <w:tcPr>
            <w:tcW w:w="540" w:type="dxa"/>
            <w:tcBorders>
              <w:top w:val="single" w:color="auto" w:sz="6" w:space="0"/>
              <w:left w:val="single" w:color="auto" w:sz="6" w:space="0"/>
            </w:tcBorders>
            <w:noWrap w:val="0"/>
            <w:vAlign w:val="top"/>
          </w:tcPr>
          <w:p>
            <w:pPr>
              <w:spacing w:line="240" w:lineRule="exact"/>
              <w:rPr>
                <w:rFonts w:hint="eastAsia" w:ascii="宋体" w:hAnsi="宋体" w:eastAsia="宋体" w:cs="宋体"/>
                <w:sz w:val="21"/>
                <w:szCs w:val="21"/>
              </w:rPr>
            </w:pPr>
            <w:r>
              <w:rPr>
                <w:rFonts w:hint="eastAsia" w:ascii="宋体" w:hAnsi="宋体" w:eastAsia="宋体" w:cs="宋体"/>
                <w:sz w:val="21"/>
                <w:szCs w:val="21"/>
              </w:rPr>
              <w:t>暂不需考核</w:t>
            </w:r>
          </w:p>
        </w:tc>
        <w:tc>
          <w:tcPr>
            <w:tcW w:w="2112" w:type="dxa"/>
            <w:tcBorders>
              <w:top w:val="single" w:color="auto" w:sz="6" w:space="0"/>
              <w:left w:val="single" w:color="auto" w:sz="6" w:space="0"/>
            </w:tcBorders>
            <w:noWrap w:val="0"/>
            <w:vAlign w:val="top"/>
          </w:tcPr>
          <w:p>
            <w:pPr>
              <w:spacing w:line="180" w:lineRule="exact"/>
              <w:rPr>
                <w:rFonts w:hint="eastAsia" w:ascii="宋体" w:hAnsi="宋体" w:eastAsia="宋体" w:cs="宋体"/>
                <w:sz w:val="21"/>
                <w:szCs w:val="21"/>
              </w:rPr>
            </w:pPr>
          </w:p>
          <w:p>
            <w:pPr>
              <w:spacing w:line="180" w:lineRule="exact"/>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  评论与说明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648" w:type="dxa"/>
            <w:tcBorders>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2.4</w:t>
            </w:r>
          </w:p>
        </w:tc>
        <w:tc>
          <w:tcPr>
            <w:tcW w:w="2880" w:type="dxa"/>
            <w:tcBorders>
              <w:top w:val="single" w:color="auto" w:sz="6" w:space="0"/>
              <w:bottom w:val="nil"/>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应有实验室“内务管理”（如人员流动、清洁等）制度；</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648" w:type="dxa"/>
            <w:tcBorders>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2.5</w:t>
            </w:r>
          </w:p>
        </w:tc>
        <w:tc>
          <w:tcPr>
            <w:tcW w:w="2880" w:type="dxa"/>
            <w:tcBorders>
              <w:top w:val="single" w:color="auto" w:sz="6" w:space="0"/>
              <w:bottom w:val="nil"/>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实验室应有关化学试剂管理、废弃血清处理、生物防护等的措施</w:t>
            </w:r>
          </w:p>
          <w:p>
            <w:pPr>
              <w:rPr>
                <w:rFonts w:hint="eastAsia" w:ascii="宋体" w:hAnsi="宋体" w:eastAsia="宋体" w:cs="宋体"/>
                <w:sz w:val="21"/>
                <w:szCs w:val="21"/>
              </w:rPr>
            </w:pP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648" w:type="dxa"/>
            <w:tcBorders>
              <w:bottom w:val="single" w:color="auto" w:sz="4" w:space="0"/>
            </w:tcBorders>
            <w:noWrap w:val="0"/>
            <w:vAlign w:val="top"/>
          </w:tcPr>
          <w:p>
            <w:pPr>
              <w:rPr>
                <w:rFonts w:hint="eastAsia" w:ascii="宋体" w:hAnsi="宋体" w:eastAsia="宋体" w:cs="宋体"/>
                <w:b/>
                <w:bCs/>
                <w:sz w:val="21"/>
                <w:szCs w:val="21"/>
              </w:rPr>
            </w:pPr>
            <w:r>
              <w:rPr>
                <w:rFonts w:hint="eastAsia" w:ascii="宋体" w:hAnsi="宋体" w:eastAsia="宋体" w:cs="宋体"/>
                <w:b/>
                <w:bCs/>
                <w:sz w:val="21"/>
                <w:szCs w:val="21"/>
              </w:rPr>
              <w:t>3.</w:t>
            </w:r>
          </w:p>
        </w:tc>
        <w:tc>
          <w:tcPr>
            <w:tcW w:w="2880" w:type="dxa"/>
            <w:tcBorders>
              <w:top w:val="single" w:color="auto" w:sz="6" w:space="0"/>
              <w:bottom w:val="nil"/>
            </w:tcBorders>
            <w:noWrap w:val="0"/>
            <w:vAlign w:val="top"/>
          </w:tcPr>
          <w:p>
            <w:pPr>
              <w:rPr>
                <w:rFonts w:hint="eastAsia" w:ascii="宋体" w:hAnsi="宋体" w:eastAsia="宋体" w:cs="宋体"/>
                <w:b/>
                <w:sz w:val="21"/>
                <w:szCs w:val="21"/>
              </w:rPr>
            </w:pPr>
            <w:r>
              <w:rPr>
                <w:rFonts w:hint="eastAsia" w:ascii="宋体" w:hAnsi="宋体" w:eastAsia="宋体" w:cs="宋体"/>
                <w:b/>
                <w:sz w:val="21"/>
                <w:szCs w:val="21"/>
              </w:rPr>
              <w:t>人员</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3.1</w:t>
            </w:r>
          </w:p>
        </w:tc>
        <w:tc>
          <w:tcPr>
            <w:tcW w:w="2880" w:type="dxa"/>
            <w:tcBorders>
              <w:top w:val="single" w:color="auto" w:sz="6" w:space="0"/>
              <w:bottom w:val="nil"/>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实验室应配备足够数量的人员; 这些人员必须经过培训，并取得上岗证。</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3.2</w:t>
            </w: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实验室应有培训计划和措施，保证其技术人员得到及时培训。</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trPr>
        <w:tc>
          <w:tcPr>
            <w:tcW w:w="648" w:type="dxa"/>
            <w:tcBorders>
              <w:top w:val="single" w:color="auto" w:sz="4"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3.3</w:t>
            </w: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实验室应保存其技术人员有关资格证书（如上岗证）、培训、技能和经历、发表论文、科研成果等技术业绩档案。</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b/>
                <w:bCs/>
                <w:sz w:val="21"/>
                <w:szCs w:val="21"/>
              </w:rPr>
              <w:t>4</w:t>
            </w:r>
            <w:r>
              <w:rPr>
                <w:rFonts w:hint="eastAsia" w:ascii="宋体" w:hAnsi="宋体" w:eastAsia="宋体" w:cs="宋体"/>
                <w:sz w:val="21"/>
                <w:szCs w:val="21"/>
              </w:rPr>
              <w:t>．</w:t>
            </w: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b/>
                <w:sz w:val="21"/>
                <w:szCs w:val="21"/>
              </w:rPr>
              <w:t>设备管理和质控物</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4.1</w:t>
            </w: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所有设备应有维护程序文件；</w:t>
            </w:r>
          </w:p>
          <w:p>
            <w:pPr>
              <w:rPr>
                <w:rFonts w:hint="eastAsia" w:ascii="宋体" w:hAnsi="宋体" w:eastAsia="宋体" w:cs="宋体"/>
                <w:sz w:val="21"/>
                <w:szCs w:val="21"/>
              </w:rPr>
            </w:pP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w:t>
            </w: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如果任一设备有问题应立即停止使用，并加上明显标识，如可能应将其贮存在规定的地方直至修复；</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w:t>
            </w: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修复的设备必须经校准、检定（验证）或检测满足要求后方能再次投入使用；</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w:t>
            </w: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实验室应检查由于上述缺陷对以前所进行的检测工作的影响。</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4.2</w:t>
            </w: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加样器、温度计、扩增仪和酶标仪等应有明显的标识表明其校准状态。</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bCs/>
                <w:sz w:val="21"/>
                <w:szCs w:val="21"/>
              </w:rPr>
            </w:pPr>
            <w:r>
              <w:rPr>
                <w:rFonts w:hint="eastAsia" w:ascii="宋体" w:hAnsi="宋体" w:eastAsia="宋体" w:cs="宋体"/>
                <w:bCs/>
                <w:sz w:val="21"/>
                <w:szCs w:val="21"/>
              </w:rPr>
              <w:t>4.3</w:t>
            </w: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应保存扩增仪、酶标仪等设备的档案，档案内容应包括：</w:t>
            </w:r>
          </w:p>
          <w:p>
            <w:pPr>
              <w:rPr>
                <w:rFonts w:hint="eastAsia" w:ascii="宋体" w:hAnsi="宋体" w:eastAsia="宋体" w:cs="宋体"/>
                <w:sz w:val="21"/>
                <w:szCs w:val="21"/>
              </w:rPr>
            </w:pP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sz w:val="21"/>
                <w:szCs w:val="21"/>
              </w:rPr>
            </w:pP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（a）设备的名称</w:t>
            </w:r>
          </w:p>
          <w:p>
            <w:pPr>
              <w:rPr>
                <w:rFonts w:hint="eastAsia" w:ascii="宋体" w:hAnsi="宋体" w:eastAsia="宋体" w:cs="宋体"/>
                <w:sz w:val="21"/>
                <w:szCs w:val="21"/>
              </w:rPr>
            </w:pP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bl>
    <w:p>
      <w:pPr>
        <w:rPr>
          <w:rFonts w:hint="eastAsia" w:ascii="宋体" w:hAnsi="宋体" w:eastAsia="宋体" w:cs="宋体"/>
          <w:sz w:val="18"/>
        </w:rPr>
      </w:pPr>
      <w:r>
        <w:rPr>
          <w:rFonts w:hint="eastAsia" w:ascii="宋体" w:hAnsi="宋体" w:eastAsia="宋体" w:cs="宋体"/>
          <w:b/>
          <w:sz w:val="18"/>
        </w:rPr>
        <w:t>注</w:t>
      </w:r>
      <w:r>
        <w:rPr>
          <w:rFonts w:hint="eastAsia" w:ascii="宋体" w:hAnsi="宋体" w:eastAsia="宋体" w:cs="宋体"/>
          <w:sz w:val="18"/>
        </w:rPr>
        <w:t>：请在验收所选项打“</w:t>
      </w:r>
      <w:r>
        <w:rPr>
          <w:rFonts w:hint="eastAsia" w:ascii="宋体" w:hAnsi="宋体" w:eastAsia="宋体" w:cs="宋体"/>
          <w:sz w:val="18"/>
        </w:rPr>
        <w:sym w:font="Symbol" w:char="F0D6"/>
      </w:r>
      <w:r>
        <w:rPr>
          <w:rFonts w:hint="eastAsia" w:ascii="宋体" w:hAnsi="宋体" w:eastAsia="宋体" w:cs="宋体"/>
          <w:sz w:val="18"/>
        </w:rPr>
        <w:t>”。</w:t>
      </w:r>
    </w:p>
    <w:p>
      <w:pPr>
        <w:ind w:firstLine="1606" w:firstLineChars="500"/>
        <w:rPr>
          <w:rFonts w:hint="eastAsia" w:ascii="宋体" w:hAnsi="宋体" w:eastAsia="宋体" w:cs="宋体"/>
          <w:b/>
          <w:sz w:val="32"/>
        </w:rPr>
      </w:pPr>
      <w:r>
        <w:rPr>
          <w:rFonts w:hint="eastAsia" w:ascii="宋体" w:hAnsi="宋体" w:eastAsia="宋体" w:cs="宋体"/>
          <w:b/>
          <w:sz w:val="32"/>
        </w:rPr>
        <w:t>临床基因扩增检验实验室技术验收表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0"/>
        <w:gridCol w:w="540"/>
        <w:gridCol w:w="720"/>
        <w:gridCol w:w="540"/>
        <w:gridCol w:w="540"/>
        <w:gridCol w:w="540"/>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648" w:type="dxa"/>
            <w:vMerge w:val="restart"/>
            <w:noWrap w:val="0"/>
            <w:vAlign w:val="top"/>
          </w:tcPr>
          <w:p>
            <w:pPr>
              <w:rPr>
                <w:rFonts w:hint="eastAsia" w:ascii="宋体" w:hAnsi="宋体" w:eastAsia="宋体" w:cs="宋体"/>
                <w:sz w:val="21"/>
                <w:szCs w:val="21"/>
              </w:rPr>
            </w:pPr>
          </w:p>
          <w:p>
            <w:pPr>
              <w:pStyle w:val="26"/>
              <w:rPr>
                <w:rFonts w:hint="eastAsia" w:ascii="宋体" w:hAnsi="宋体" w:eastAsia="宋体" w:cs="宋体"/>
                <w:sz w:val="21"/>
                <w:szCs w:val="21"/>
              </w:rPr>
            </w:pPr>
            <w:r>
              <w:rPr>
                <w:rFonts w:hint="eastAsia" w:ascii="宋体" w:hAnsi="宋体" w:eastAsia="宋体" w:cs="宋体"/>
                <w:sz w:val="21"/>
                <w:szCs w:val="21"/>
              </w:rPr>
              <w:t>序号</w:t>
            </w:r>
          </w:p>
          <w:p>
            <w:pPr>
              <w:rPr>
                <w:rFonts w:hint="eastAsia" w:ascii="宋体" w:hAnsi="宋体" w:eastAsia="宋体" w:cs="宋体"/>
                <w:sz w:val="21"/>
                <w:szCs w:val="21"/>
              </w:rPr>
            </w:pPr>
          </w:p>
        </w:tc>
        <w:tc>
          <w:tcPr>
            <w:tcW w:w="2880" w:type="dxa"/>
            <w:vMerge w:val="restart"/>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 xml:space="preserve">   验 收 内 容</w:t>
            </w:r>
          </w:p>
        </w:tc>
        <w:tc>
          <w:tcPr>
            <w:tcW w:w="4992" w:type="dxa"/>
            <w:gridSpan w:val="6"/>
            <w:tcBorders>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            验  收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648" w:type="dxa"/>
            <w:vMerge w:val="continue"/>
            <w:noWrap w:val="0"/>
            <w:vAlign w:val="top"/>
          </w:tcPr>
          <w:p>
            <w:pPr>
              <w:rPr>
                <w:rFonts w:hint="eastAsia" w:ascii="宋体" w:hAnsi="宋体" w:eastAsia="宋体" w:cs="宋体"/>
                <w:sz w:val="21"/>
                <w:szCs w:val="21"/>
              </w:rPr>
            </w:pPr>
          </w:p>
        </w:tc>
        <w:tc>
          <w:tcPr>
            <w:tcW w:w="2880" w:type="dxa"/>
            <w:vMerge w:val="continue"/>
            <w:noWrap w:val="0"/>
            <w:vAlign w:val="top"/>
          </w:tcPr>
          <w:p>
            <w:pPr>
              <w:rPr>
                <w:rFonts w:hint="eastAsia" w:ascii="宋体" w:hAnsi="宋体" w:eastAsia="宋体" w:cs="宋体"/>
                <w:sz w:val="21"/>
                <w:szCs w:val="21"/>
              </w:rPr>
            </w:pPr>
          </w:p>
        </w:tc>
        <w:tc>
          <w:tcPr>
            <w:tcW w:w="540" w:type="dxa"/>
            <w:tcBorders>
              <w:top w:val="single" w:color="auto" w:sz="6" w:space="0"/>
              <w:right w:val="single" w:color="auto" w:sz="6" w:space="0"/>
            </w:tcBorders>
            <w:noWrap w:val="0"/>
            <w:vAlign w:val="top"/>
          </w:tcPr>
          <w:p>
            <w:pPr>
              <w:spacing w:line="320" w:lineRule="exact"/>
              <w:rPr>
                <w:rFonts w:hint="eastAsia" w:ascii="宋体" w:hAnsi="宋体" w:eastAsia="宋体" w:cs="宋体"/>
                <w:sz w:val="21"/>
                <w:szCs w:val="21"/>
              </w:rPr>
            </w:pPr>
          </w:p>
          <w:p>
            <w:pPr>
              <w:spacing w:line="320" w:lineRule="exact"/>
              <w:rPr>
                <w:rFonts w:hint="eastAsia" w:ascii="宋体" w:hAnsi="宋体" w:eastAsia="宋体" w:cs="宋体"/>
                <w:sz w:val="21"/>
                <w:szCs w:val="21"/>
              </w:rPr>
            </w:pPr>
            <w:r>
              <w:rPr>
                <w:rFonts w:hint="eastAsia" w:ascii="宋体" w:hAnsi="宋体" w:eastAsia="宋体" w:cs="宋体"/>
                <w:sz w:val="21"/>
                <w:szCs w:val="21"/>
              </w:rPr>
              <w:t>符合</w:t>
            </w:r>
          </w:p>
          <w:p>
            <w:pPr>
              <w:spacing w:line="280" w:lineRule="exact"/>
              <w:rPr>
                <w:rFonts w:hint="eastAsia" w:ascii="宋体" w:hAnsi="宋体" w:eastAsia="宋体" w:cs="宋体"/>
                <w:sz w:val="21"/>
                <w:szCs w:val="21"/>
              </w:rPr>
            </w:pPr>
            <w:r>
              <w:rPr>
                <w:rFonts w:hint="eastAsia" w:ascii="宋体" w:hAnsi="宋体" w:eastAsia="宋体" w:cs="宋体"/>
                <w:sz w:val="21"/>
                <w:szCs w:val="21"/>
              </w:rPr>
              <w:t xml:space="preserve"> </w:t>
            </w:r>
          </w:p>
        </w:tc>
        <w:tc>
          <w:tcPr>
            <w:tcW w:w="720" w:type="dxa"/>
            <w:tcBorders>
              <w:top w:val="single" w:color="auto" w:sz="6" w:space="0"/>
              <w:left w:val="single" w:color="auto" w:sz="6" w:space="0"/>
            </w:tcBorders>
            <w:noWrap w:val="0"/>
            <w:vAlign w:val="top"/>
          </w:tcPr>
          <w:p>
            <w:pPr>
              <w:spacing w:line="280" w:lineRule="exact"/>
              <w:rPr>
                <w:rFonts w:hint="eastAsia" w:ascii="宋体" w:hAnsi="宋体" w:eastAsia="宋体" w:cs="宋体"/>
                <w:sz w:val="21"/>
                <w:szCs w:val="21"/>
              </w:rPr>
            </w:pPr>
            <w:r>
              <w:rPr>
                <w:rFonts w:hint="eastAsia" w:ascii="宋体" w:hAnsi="宋体" w:eastAsia="宋体" w:cs="宋体"/>
                <w:sz w:val="21"/>
                <w:szCs w:val="21"/>
              </w:rPr>
              <w:t>基但本有</w:t>
            </w:r>
          </w:p>
          <w:p>
            <w:pPr>
              <w:spacing w:line="280" w:lineRule="exact"/>
              <w:rPr>
                <w:rFonts w:hint="eastAsia" w:ascii="宋体" w:hAnsi="宋体" w:eastAsia="宋体" w:cs="宋体"/>
                <w:sz w:val="21"/>
                <w:szCs w:val="21"/>
              </w:rPr>
            </w:pPr>
            <w:r>
              <w:rPr>
                <w:rFonts w:hint="eastAsia" w:ascii="宋体" w:hAnsi="宋体" w:eastAsia="宋体" w:cs="宋体"/>
                <w:sz w:val="21"/>
                <w:szCs w:val="21"/>
              </w:rPr>
              <w:t>符缺</w:t>
            </w:r>
          </w:p>
          <w:p>
            <w:pPr>
              <w:spacing w:line="280" w:lineRule="exact"/>
              <w:rPr>
                <w:rFonts w:hint="eastAsia" w:ascii="宋体" w:hAnsi="宋体" w:eastAsia="宋体" w:cs="宋体"/>
                <w:sz w:val="21"/>
                <w:szCs w:val="21"/>
              </w:rPr>
            </w:pPr>
            <w:r>
              <w:rPr>
                <w:rFonts w:hint="eastAsia" w:ascii="宋体" w:hAnsi="宋体" w:eastAsia="宋体" w:cs="宋体"/>
                <w:sz w:val="21"/>
                <w:szCs w:val="21"/>
              </w:rPr>
              <w:t>合陷</w:t>
            </w:r>
          </w:p>
        </w:tc>
        <w:tc>
          <w:tcPr>
            <w:tcW w:w="540" w:type="dxa"/>
            <w:tcBorders>
              <w:top w:val="single" w:color="auto" w:sz="6" w:space="0"/>
              <w:left w:val="single" w:color="auto" w:sz="6" w:space="0"/>
            </w:tcBorders>
            <w:noWrap w:val="0"/>
            <w:vAlign w:val="top"/>
          </w:tcPr>
          <w:p>
            <w:pPr>
              <w:spacing w:line="320" w:lineRule="exact"/>
              <w:rPr>
                <w:rFonts w:hint="eastAsia" w:ascii="宋体" w:hAnsi="宋体" w:eastAsia="宋体" w:cs="宋体"/>
                <w:sz w:val="21"/>
                <w:szCs w:val="21"/>
              </w:rPr>
            </w:pPr>
            <w:r>
              <w:rPr>
                <w:rFonts w:hint="eastAsia" w:ascii="宋体" w:hAnsi="宋体" w:eastAsia="宋体" w:cs="宋体"/>
                <w:sz w:val="21"/>
                <w:szCs w:val="21"/>
              </w:rPr>
              <w:t>不符合</w:t>
            </w:r>
          </w:p>
        </w:tc>
        <w:tc>
          <w:tcPr>
            <w:tcW w:w="540" w:type="dxa"/>
            <w:tcBorders>
              <w:top w:val="single" w:color="auto" w:sz="6" w:space="0"/>
              <w:left w:val="single" w:color="auto" w:sz="6" w:space="0"/>
            </w:tcBorders>
            <w:noWrap w:val="0"/>
            <w:vAlign w:val="top"/>
          </w:tcPr>
          <w:p>
            <w:pPr>
              <w:spacing w:line="320" w:lineRule="exact"/>
              <w:rPr>
                <w:rFonts w:hint="eastAsia" w:ascii="宋体" w:hAnsi="宋体" w:eastAsia="宋体" w:cs="宋体"/>
                <w:sz w:val="21"/>
                <w:szCs w:val="21"/>
              </w:rPr>
            </w:pPr>
            <w:r>
              <w:rPr>
                <w:rFonts w:hint="eastAsia" w:ascii="宋体" w:hAnsi="宋体" w:eastAsia="宋体" w:cs="宋体"/>
                <w:sz w:val="21"/>
                <w:szCs w:val="21"/>
              </w:rPr>
              <w:t>缺此项</w:t>
            </w:r>
          </w:p>
        </w:tc>
        <w:tc>
          <w:tcPr>
            <w:tcW w:w="540" w:type="dxa"/>
            <w:tcBorders>
              <w:top w:val="single" w:color="auto" w:sz="6" w:space="0"/>
              <w:left w:val="single" w:color="auto" w:sz="6" w:space="0"/>
            </w:tcBorders>
            <w:noWrap w:val="0"/>
            <w:vAlign w:val="top"/>
          </w:tcPr>
          <w:p>
            <w:pPr>
              <w:spacing w:line="240" w:lineRule="exact"/>
              <w:rPr>
                <w:rFonts w:hint="eastAsia" w:ascii="宋体" w:hAnsi="宋体" w:eastAsia="宋体" w:cs="宋体"/>
                <w:sz w:val="21"/>
                <w:szCs w:val="21"/>
              </w:rPr>
            </w:pPr>
            <w:r>
              <w:rPr>
                <w:rFonts w:hint="eastAsia" w:ascii="宋体" w:hAnsi="宋体" w:eastAsia="宋体" w:cs="宋体"/>
                <w:sz w:val="21"/>
                <w:szCs w:val="21"/>
              </w:rPr>
              <w:t>暂不需考核</w:t>
            </w:r>
          </w:p>
        </w:tc>
        <w:tc>
          <w:tcPr>
            <w:tcW w:w="2112" w:type="dxa"/>
            <w:tcBorders>
              <w:top w:val="single" w:color="auto" w:sz="6" w:space="0"/>
              <w:left w:val="single" w:color="auto" w:sz="6" w:space="0"/>
            </w:tcBorders>
            <w:noWrap w:val="0"/>
            <w:vAlign w:val="top"/>
          </w:tcPr>
          <w:p>
            <w:pPr>
              <w:spacing w:line="180" w:lineRule="exact"/>
              <w:rPr>
                <w:rFonts w:hint="eastAsia" w:ascii="宋体" w:hAnsi="宋体" w:eastAsia="宋体" w:cs="宋体"/>
                <w:sz w:val="21"/>
                <w:szCs w:val="21"/>
              </w:rPr>
            </w:pPr>
          </w:p>
          <w:p>
            <w:pPr>
              <w:spacing w:line="180" w:lineRule="exact"/>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  评论与说明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648" w:type="dxa"/>
            <w:tcBorders>
              <w:top w:val="single" w:color="auto" w:sz="6" w:space="0"/>
            </w:tcBorders>
            <w:noWrap w:val="0"/>
            <w:vAlign w:val="top"/>
          </w:tcPr>
          <w:p>
            <w:pPr>
              <w:rPr>
                <w:rFonts w:hint="eastAsia" w:ascii="宋体" w:hAnsi="宋体" w:eastAsia="宋体" w:cs="宋体"/>
                <w:sz w:val="21"/>
                <w:szCs w:val="21"/>
              </w:rPr>
            </w:pP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（b）制造商名称、型号、序号或其它唯一性标识；</w:t>
            </w:r>
          </w:p>
          <w:p>
            <w:pPr>
              <w:rPr>
                <w:rFonts w:hint="eastAsia" w:ascii="宋体" w:hAnsi="宋体" w:eastAsia="宋体" w:cs="宋体"/>
                <w:sz w:val="21"/>
                <w:szCs w:val="21"/>
              </w:rPr>
            </w:pP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sz w:val="21"/>
                <w:szCs w:val="21"/>
              </w:rPr>
            </w:pP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（c）接收日期和启用日期;</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b/>
                <w:sz w:val="21"/>
                <w:szCs w:val="21"/>
              </w:rPr>
            </w:pP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（d）目前放置地点；</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648" w:type="dxa"/>
            <w:tcBorders>
              <w:top w:val="single" w:color="auto" w:sz="6" w:space="0"/>
              <w:bottom w:val="single" w:color="auto" w:sz="6" w:space="0"/>
            </w:tcBorders>
            <w:noWrap w:val="0"/>
            <w:vAlign w:val="top"/>
          </w:tcPr>
          <w:p>
            <w:pPr>
              <w:rPr>
                <w:rFonts w:hint="eastAsia" w:ascii="宋体" w:hAnsi="宋体" w:eastAsia="宋体" w:cs="宋体"/>
                <w:sz w:val="21"/>
                <w:szCs w:val="21"/>
              </w:rPr>
            </w:pPr>
          </w:p>
        </w:tc>
        <w:tc>
          <w:tcPr>
            <w:tcW w:w="2880" w:type="dxa"/>
            <w:tcBorders>
              <w:top w:val="single" w:color="auto" w:sz="6"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（e）接收时的状态（例如全新的、经改装的）；</w:t>
            </w:r>
          </w:p>
        </w:tc>
        <w:tc>
          <w:tcPr>
            <w:tcW w:w="540" w:type="dxa"/>
            <w:tcBorders>
              <w:top w:val="single" w:color="auto" w:sz="6"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648" w:type="dxa"/>
            <w:tcBorders>
              <w:top w:val="single" w:color="auto" w:sz="6" w:space="0"/>
              <w:bottom w:val="single" w:color="auto" w:sz="4" w:space="0"/>
            </w:tcBorders>
            <w:noWrap w:val="0"/>
            <w:vAlign w:val="top"/>
          </w:tcPr>
          <w:p>
            <w:pPr>
              <w:rPr>
                <w:rFonts w:hint="eastAsia" w:ascii="宋体" w:hAnsi="宋体" w:eastAsia="宋体" w:cs="宋体"/>
                <w:sz w:val="21"/>
                <w:szCs w:val="21"/>
              </w:rPr>
            </w:pPr>
          </w:p>
        </w:tc>
        <w:tc>
          <w:tcPr>
            <w:tcW w:w="2880" w:type="dxa"/>
            <w:tcBorders>
              <w:top w:val="single" w:color="auto" w:sz="6"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（f）仪器使用说明书的复印件；</w:t>
            </w:r>
          </w:p>
        </w:tc>
        <w:tc>
          <w:tcPr>
            <w:tcW w:w="540" w:type="dxa"/>
            <w:tcBorders>
              <w:top w:val="single" w:color="auto" w:sz="6"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6"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648" w:type="dxa"/>
            <w:tcBorders>
              <w:top w:val="single" w:color="auto" w:sz="4" w:space="0"/>
              <w:bottom w:val="single" w:color="auto" w:sz="6" w:space="0"/>
            </w:tcBorders>
            <w:noWrap w:val="0"/>
            <w:vAlign w:val="top"/>
          </w:tcPr>
          <w:p>
            <w:pPr>
              <w:rPr>
                <w:rFonts w:hint="eastAsia" w:ascii="宋体" w:hAnsi="宋体" w:eastAsia="宋体" w:cs="宋体"/>
                <w:sz w:val="21"/>
                <w:szCs w:val="21"/>
              </w:rPr>
            </w:pPr>
          </w:p>
        </w:tc>
        <w:tc>
          <w:tcPr>
            <w:tcW w:w="2880" w:type="dxa"/>
            <w:tcBorders>
              <w:top w:val="single" w:color="auto" w:sz="4"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（g）校准和/或检定（验证）的日期和结果以及下次校准和/或检定（验证）的日期；</w:t>
            </w:r>
          </w:p>
        </w:tc>
        <w:tc>
          <w:tcPr>
            <w:tcW w:w="540" w:type="dxa"/>
            <w:tcBorders>
              <w:top w:val="single" w:color="auto" w:sz="4"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648" w:type="dxa"/>
            <w:tcBorders>
              <w:top w:val="single" w:color="auto" w:sz="4" w:space="0"/>
              <w:bottom w:val="single" w:color="auto" w:sz="6" w:space="0"/>
            </w:tcBorders>
            <w:noWrap w:val="0"/>
            <w:vAlign w:val="top"/>
          </w:tcPr>
          <w:p>
            <w:pPr>
              <w:rPr>
                <w:rFonts w:hint="eastAsia" w:ascii="宋体" w:hAnsi="宋体" w:eastAsia="宋体" w:cs="宋体"/>
                <w:sz w:val="21"/>
                <w:szCs w:val="21"/>
              </w:rPr>
            </w:pPr>
          </w:p>
        </w:tc>
        <w:tc>
          <w:tcPr>
            <w:tcW w:w="2880" w:type="dxa"/>
            <w:tcBorders>
              <w:top w:val="single" w:color="auto" w:sz="4"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（h）迄今所进行的维护和今后维护计划的细节；</w:t>
            </w:r>
          </w:p>
        </w:tc>
        <w:tc>
          <w:tcPr>
            <w:tcW w:w="540" w:type="dxa"/>
            <w:tcBorders>
              <w:top w:val="single" w:color="auto" w:sz="4"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648" w:type="dxa"/>
            <w:tcBorders>
              <w:top w:val="single" w:color="auto" w:sz="4" w:space="0"/>
              <w:bottom w:val="single" w:color="auto" w:sz="6" w:space="0"/>
            </w:tcBorders>
            <w:noWrap w:val="0"/>
            <w:vAlign w:val="top"/>
          </w:tcPr>
          <w:p>
            <w:pPr>
              <w:rPr>
                <w:rFonts w:hint="eastAsia" w:ascii="宋体" w:hAnsi="宋体" w:eastAsia="宋体" w:cs="宋体"/>
                <w:sz w:val="21"/>
                <w:szCs w:val="21"/>
              </w:rPr>
            </w:pPr>
          </w:p>
        </w:tc>
        <w:tc>
          <w:tcPr>
            <w:tcW w:w="2880" w:type="dxa"/>
            <w:tcBorders>
              <w:top w:val="single" w:color="auto" w:sz="4" w:space="0"/>
              <w:bottom w:val="single" w:color="auto" w:sz="6" w:space="0"/>
            </w:tcBorders>
            <w:noWrap w:val="0"/>
            <w:vAlign w:val="top"/>
          </w:tcPr>
          <w:p>
            <w:pPr>
              <w:numPr>
                <w:ilvl w:val="0"/>
                <w:numId w:val="71"/>
              </w:numPr>
              <w:rPr>
                <w:rFonts w:hint="eastAsia" w:ascii="宋体" w:hAnsi="宋体" w:eastAsia="宋体" w:cs="宋体"/>
                <w:sz w:val="21"/>
                <w:szCs w:val="21"/>
              </w:rPr>
            </w:pPr>
            <w:r>
              <w:rPr>
                <w:rFonts w:hint="eastAsia" w:ascii="宋体" w:hAnsi="宋体" w:eastAsia="宋体" w:cs="宋体"/>
                <w:sz w:val="21"/>
                <w:szCs w:val="21"/>
              </w:rPr>
              <w:t>损坏、故障、改装或修理的历史。</w:t>
            </w:r>
          </w:p>
        </w:tc>
        <w:tc>
          <w:tcPr>
            <w:tcW w:w="540" w:type="dxa"/>
            <w:tcBorders>
              <w:top w:val="single" w:color="auto" w:sz="4"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b/>
                <w:bCs/>
                <w:sz w:val="21"/>
                <w:szCs w:val="21"/>
              </w:rPr>
            </w:pPr>
            <w:r>
              <w:rPr>
                <w:rFonts w:hint="eastAsia" w:ascii="宋体" w:hAnsi="宋体" w:eastAsia="宋体" w:cs="宋体"/>
                <w:b/>
                <w:bCs/>
                <w:sz w:val="21"/>
                <w:szCs w:val="21"/>
              </w:rPr>
              <w:t>5</w:t>
            </w:r>
          </w:p>
        </w:tc>
        <w:tc>
          <w:tcPr>
            <w:tcW w:w="2880" w:type="dxa"/>
            <w:tcBorders>
              <w:top w:val="single" w:color="auto" w:sz="4" w:space="0"/>
              <w:bottom w:val="single" w:color="auto" w:sz="4" w:space="0"/>
            </w:tcBorders>
            <w:noWrap w:val="0"/>
            <w:vAlign w:val="top"/>
          </w:tcPr>
          <w:p>
            <w:pPr>
              <w:rPr>
                <w:rFonts w:hint="eastAsia" w:ascii="宋体" w:hAnsi="宋体" w:eastAsia="宋体" w:cs="宋体"/>
                <w:b/>
                <w:sz w:val="21"/>
                <w:szCs w:val="21"/>
              </w:rPr>
            </w:pPr>
            <w:r>
              <w:rPr>
                <w:rFonts w:hint="eastAsia" w:ascii="宋体" w:hAnsi="宋体" w:eastAsia="宋体" w:cs="宋体"/>
                <w:b/>
                <w:sz w:val="21"/>
                <w:szCs w:val="21"/>
              </w:rPr>
              <w:t>检测方法</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648" w:type="dxa"/>
            <w:tcBorders>
              <w:top w:val="single" w:color="auto" w:sz="4" w:space="0"/>
              <w:bottom w:val="single" w:color="auto" w:sz="6" w:space="0"/>
            </w:tcBorders>
            <w:noWrap w:val="0"/>
            <w:vAlign w:val="top"/>
          </w:tcPr>
          <w:p>
            <w:pPr>
              <w:rPr>
                <w:rFonts w:hint="eastAsia" w:ascii="宋体" w:hAnsi="宋体" w:eastAsia="宋体" w:cs="宋体"/>
                <w:bCs/>
                <w:sz w:val="21"/>
                <w:szCs w:val="21"/>
              </w:rPr>
            </w:pPr>
            <w:r>
              <w:rPr>
                <w:rFonts w:hint="eastAsia" w:ascii="宋体" w:hAnsi="宋体" w:eastAsia="宋体" w:cs="宋体"/>
                <w:bCs/>
                <w:sz w:val="21"/>
                <w:szCs w:val="21"/>
              </w:rPr>
              <w:t>5.1</w:t>
            </w:r>
          </w:p>
        </w:tc>
        <w:tc>
          <w:tcPr>
            <w:tcW w:w="2880" w:type="dxa"/>
            <w:tcBorders>
              <w:top w:val="single" w:color="auto" w:sz="4"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实验室应制定以下标准操作程序:</w:t>
            </w:r>
          </w:p>
          <w:p>
            <w:pPr>
              <w:rPr>
                <w:rFonts w:hint="eastAsia" w:ascii="宋体" w:hAnsi="宋体" w:eastAsia="宋体" w:cs="宋体"/>
                <w:sz w:val="21"/>
                <w:szCs w:val="21"/>
              </w:rPr>
            </w:pPr>
            <w:r>
              <w:rPr>
                <w:rFonts w:hint="eastAsia" w:ascii="宋体" w:hAnsi="宋体" w:eastAsia="宋体" w:cs="宋体"/>
                <w:sz w:val="21"/>
                <w:szCs w:val="21"/>
              </w:rPr>
              <w:sym w:font="Symbol" w:char="F0BE"/>
            </w:r>
            <w:r>
              <w:rPr>
                <w:rFonts w:hint="eastAsia" w:ascii="宋体" w:hAnsi="宋体" w:eastAsia="宋体" w:cs="宋体"/>
                <w:sz w:val="21"/>
                <w:szCs w:val="21"/>
              </w:rPr>
              <w:t>有关仪器设备操作、维护和校准程序；</w:t>
            </w:r>
          </w:p>
          <w:p>
            <w:pPr>
              <w:rPr>
                <w:rFonts w:hint="eastAsia" w:ascii="宋体" w:hAnsi="宋体" w:eastAsia="宋体" w:cs="宋体"/>
                <w:sz w:val="21"/>
                <w:szCs w:val="21"/>
              </w:rPr>
            </w:pPr>
            <w:r>
              <w:rPr>
                <w:rFonts w:hint="eastAsia" w:ascii="宋体" w:hAnsi="宋体" w:eastAsia="宋体" w:cs="宋体"/>
                <w:sz w:val="21"/>
                <w:szCs w:val="21"/>
              </w:rPr>
              <w:sym w:font="Symbol" w:char="F0BE"/>
            </w:r>
            <w:r>
              <w:rPr>
                <w:rFonts w:hint="eastAsia" w:ascii="宋体" w:hAnsi="宋体" w:eastAsia="宋体" w:cs="宋体"/>
                <w:sz w:val="21"/>
                <w:szCs w:val="21"/>
              </w:rPr>
              <w:t>有关扩增检测的工作程序。</w:t>
            </w:r>
          </w:p>
        </w:tc>
        <w:tc>
          <w:tcPr>
            <w:tcW w:w="540" w:type="dxa"/>
            <w:tcBorders>
              <w:top w:val="single" w:color="auto" w:sz="4"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648" w:type="dxa"/>
            <w:tcBorders>
              <w:top w:val="single" w:color="auto" w:sz="4" w:space="0"/>
              <w:bottom w:val="single" w:color="auto" w:sz="6" w:space="0"/>
            </w:tcBorders>
            <w:noWrap w:val="0"/>
            <w:vAlign w:val="top"/>
          </w:tcPr>
          <w:p>
            <w:pPr>
              <w:rPr>
                <w:rFonts w:hint="eastAsia" w:ascii="宋体" w:hAnsi="宋体" w:eastAsia="宋体" w:cs="宋体"/>
                <w:sz w:val="21"/>
                <w:szCs w:val="21"/>
              </w:rPr>
            </w:pPr>
          </w:p>
        </w:tc>
        <w:tc>
          <w:tcPr>
            <w:tcW w:w="2880" w:type="dxa"/>
            <w:tcBorders>
              <w:top w:val="single" w:color="auto" w:sz="4"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所有上述标准操作程序都应现行有效并便于工作人员使用。</w:t>
            </w:r>
          </w:p>
        </w:tc>
        <w:tc>
          <w:tcPr>
            <w:tcW w:w="540" w:type="dxa"/>
            <w:tcBorders>
              <w:top w:val="single" w:color="auto" w:sz="4"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5.2</w:t>
            </w: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实验室应有仪器、试剂、消耗品的选购、验收、贮存和质检程序;</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*5.3</w:t>
            </w: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对计算和数据换算应进行适当的校核。</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b/>
                <w:bCs/>
                <w:sz w:val="21"/>
                <w:szCs w:val="21"/>
              </w:rPr>
            </w:pPr>
            <w:r>
              <w:rPr>
                <w:rFonts w:hint="eastAsia" w:ascii="宋体" w:hAnsi="宋体" w:eastAsia="宋体" w:cs="宋体"/>
                <w:b/>
                <w:bCs/>
                <w:sz w:val="21"/>
                <w:szCs w:val="21"/>
              </w:rPr>
              <w:t>6</w:t>
            </w:r>
          </w:p>
        </w:tc>
        <w:tc>
          <w:tcPr>
            <w:tcW w:w="2880" w:type="dxa"/>
            <w:tcBorders>
              <w:top w:val="single" w:color="auto" w:sz="4" w:space="0"/>
              <w:bottom w:val="single" w:color="auto" w:sz="4" w:space="0"/>
            </w:tcBorders>
            <w:noWrap w:val="0"/>
            <w:vAlign w:val="top"/>
          </w:tcPr>
          <w:p>
            <w:pPr>
              <w:rPr>
                <w:rFonts w:hint="eastAsia" w:ascii="宋体" w:hAnsi="宋体" w:eastAsia="宋体" w:cs="宋体"/>
                <w:b/>
                <w:sz w:val="21"/>
                <w:szCs w:val="21"/>
              </w:rPr>
            </w:pPr>
            <w:r>
              <w:rPr>
                <w:rFonts w:hint="eastAsia" w:ascii="宋体" w:hAnsi="宋体" w:eastAsia="宋体" w:cs="宋体"/>
                <w:b/>
                <w:sz w:val="21"/>
                <w:szCs w:val="21"/>
              </w:rPr>
              <w:t>标本管理</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6.1</w:t>
            </w: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实验室应建立对拟检测标本的唯一编号识别系统。 </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648" w:type="dxa"/>
            <w:tcBorders>
              <w:top w:val="single" w:color="auto" w:sz="4"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6.2</w:t>
            </w:r>
          </w:p>
        </w:tc>
        <w:tc>
          <w:tcPr>
            <w:tcW w:w="2880" w:type="dxa"/>
            <w:tcBorders>
              <w:top w:val="single" w:color="auto" w:sz="4" w:space="0"/>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实验室应制定有关标本收集、处理、贮存或安全处置的程序，包括为维护实验室诚实性所采取的必要措施。</w:t>
            </w:r>
          </w:p>
        </w:tc>
        <w:tc>
          <w:tcPr>
            <w:tcW w:w="540" w:type="dxa"/>
            <w:tcBorders>
              <w:top w:val="single" w:color="auto" w:sz="4" w:space="0"/>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6" w:space="0"/>
            </w:tcBorders>
            <w:noWrap w:val="0"/>
            <w:vAlign w:val="top"/>
          </w:tcPr>
          <w:p>
            <w:pPr>
              <w:rPr>
                <w:rFonts w:hint="eastAsia" w:ascii="宋体" w:hAnsi="宋体" w:eastAsia="宋体" w:cs="宋体"/>
                <w:sz w:val="21"/>
                <w:szCs w:val="21"/>
              </w:rPr>
            </w:pPr>
          </w:p>
        </w:tc>
      </w:tr>
    </w:tbl>
    <w:p>
      <w:pPr>
        <w:rPr>
          <w:rFonts w:hint="eastAsia" w:ascii="宋体" w:hAnsi="宋体" w:eastAsia="宋体" w:cs="宋体"/>
          <w:sz w:val="28"/>
        </w:rPr>
      </w:pPr>
      <w:r>
        <w:rPr>
          <w:rFonts w:hint="eastAsia" w:ascii="宋体" w:hAnsi="宋体" w:eastAsia="宋体" w:cs="宋体"/>
          <w:b/>
          <w:sz w:val="18"/>
        </w:rPr>
        <w:t>注</w:t>
      </w:r>
      <w:r>
        <w:rPr>
          <w:rFonts w:hint="eastAsia" w:ascii="宋体" w:hAnsi="宋体" w:eastAsia="宋体" w:cs="宋体"/>
          <w:sz w:val="18"/>
        </w:rPr>
        <w:t>：请在验收所选项打“</w:t>
      </w:r>
      <w:r>
        <w:rPr>
          <w:rFonts w:hint="eastAsia" w:ascii="宋体" w:hAnsi="宋体" w:eastAsia="宋体" w:cs="宋体"/>
          <w:sz w:val="18"/>
        </w:rPr>
        <w:sym w:font="Symbol" w:char="F0D6"/>
      </w:r>
      <w:r>
        <w:rPr>
          <w:rFonts w:hint="eastAsia" w:ascii="宋体" w:hAnsi="宋体" w:eastAsia="宋体" w:cs="宋体"/>
          <w:sz w:val="18"/>
        </w:rPr>
        <w:t>”。</w:t>
      </w:r>
    </w:p>
    <w:p>
      <w:pPr>
        <w:rPr>
          <w:rFonts w:hint="eastAsia" w:ascii="宋体" w:hAnsi="宋体" w:eastAsia="宋体" w:cs="宋体"/>
          <w:b/>
          <w:sz w:val="32"/>
        </w:rPr>
      </w:pPr>
      <w:r>
        <w:rPr>
          <w:rFonts w:hint="eastAsia" w:ascii="宋体" w:hAnsi="宋体" w:eastAsia="宋体" w:cs="宋体"/>
          <w:sz w:val="28"/>
        </w:rPr>
        <w:t xml:space="preserve">        </w:t>
      </w:r>
      <w:r>
        <w:rPr>
          <w:rFonts w:hint="eastAsia" w:ascii="宋体" w:hAnsi="宋体" w:eastAsia="宋体" w:cs="宋体"/>
          <w:b/>
          <w:sz w:val="32"/>
        </w:rPr>
        <w:t xml:space="preserve"> 临床基因扩增检验实验室技术验收表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0"/>
        <w:gridCol w:w="540"/>
        <w:gridCol w:w="720"/>
        <w:gridCol w:w="540"/>
        <w:gridCol w:w="540"/>
        <w:gridCol w:w="540"/>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648" w:type="dxa"/>
            <w:vMerge w:val="restart"/>
            <w:noWrap w:val="0"/>
            <w:vAlign w:val="top"/>
          </w:tcPr>
          <w:p>
            <w:pPr>
              <w:rPr>
                <w:rFonts w:hint="eastAsia" w:ascii="宋体" w:hAnsi="宋体" w:eastAsia="宋体" w:cs="宋体"/>
                <w:sz w:val="21"/>
                <w:szCs w:val="21"/>
              </w:rPr>
            </w:pPr>
          </w:p>
          <w:p>
            <w:pPr>
              <w:pStyle w:val="26"/>
              <w:rPr>
                <w:rFonts w:hint="eastAsia" w:ascii="宋体" w:hAnsi="宋体" w:eastAsia="宋体" w:cs="宋体"/>
                <w:sz w:val="21"/>
                <w:szCs w:val="21"/>
              </w:rPr>
            </w:pPr>
            <w:r>
              <w:rPr>
                <w:rFonts w:hint="eastAsia" w:ascii="宋体" w:hAnsi="宋体" w:eastAsia="宋体" w:cs="宋体"/>
                <w:sz w:val="21"/>
                <w:szCs w:val="21"/>
              </w:rPr>
              <w:t>序号</w:t>
            </w:r>
          </w:p>
          <w:p>
            <w:pPr>
              <w:rPr>
                <w:rFonts w:hint="eastAsia" w:ascii="宋体" w:hAnsi="宋体" w:eastAsia="宋体" w:cs="宋体"/>
                <w:sz w:val="21"/>
                <w:szCs w:val="21"/>
              </w:rPr>
            </w:pPr>
          </w:p>
        </w:tc>
        <w:tc>
          <w:tcPr>
            <w:tcW w:w="2880" w:type="dxa"/>
            <w:vMerge w:val="restart"/>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 xml:space="preserve">   验 收 内 容</w:t>
            </w:r>
          </w:p>
        </w:tc>
        <w:tc>
          <w:tcPr>
            <w:tcW w:w="4992" w:type="dxa"/>
            <w:gridSpan w:val="6"/>
            <w:tcBorders>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            验  收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648" w:type="dxa"/>
            <w:vMerge w:val="continue"/>
            <w:noWrap w:val="0"/>
            <w:vAlign w:val="top"/>
          </w:tcPr>
          <w:p>
            <w:pPr>
              <w:rPr>
                <w:rFonts w:hint="eastAsia" w:ascii="宋体" w:hAnsi="宋体" w:eastAsia="宋体" w:cs="宋体"/>
                <w:sz w:val="21"/>
                <w:szCs w:val="21"/>
              </w:rPr>
            </w:pPr>
          </w:p>
        </w:tc>
        <w:tc>
          <w:tcPr>
            <w:tcW w:w="2880" w:type="dxa"/>
            <w:vMerge w:val="continue"/>
            <w:noWrap w:val="0"/>
            <w:vAlign w:val="top"/>
          </w:tcPr>
          <w:p>
            <w:pPr>
              <w:rPr>
                <w:rFonts w:hint="eastAsia" w:ascii="宋体" w:hAnsi="宋体" w:eastAsia="宋体" w:cs="宋体"/>
                <w:sz w:val="21"/>
                <w:szCs w:val="21"/>
              </w:rPr>
            </w:pPr>
          </w:p>
        </w:tc>
        <w:tc>
          <w:tcPr>
            <w:tcW w:w="540" w:type="dxa"/>
            <w:tcBorders>
              <w:top w:val="single" w:color="auto" w:sz="6" w:space="0"/>
              <w:right w:val="single" w:color="auto" w:sz="6" w:space="0"/>
            </w:tcBorders>
            <w:noWrap w:val="0"/>
            <w:vAlign w:val="top"/>
          </w:tcPr>
          <w:p>
            <w:pPr>
              <w:spacing w:line="320" w:lineRule="exact"/>
              <w:rPr>
                <w:rFonts w:hint="eastAsia" w:ascii="宋体" w:hAnsi="宋体" w:eastAsia="宋体" w:cs="宋体"/>
                <w:sz w:val="21"/>
                <w:szCs w:val="21"/>
              </w:rPr>
            </w:pPr>
          </w:p>
          <w:p>
            <w:pPr>
              <w:spacing w:line="320" w:lineRule="exact"/>
              <w:rPr>
                <w:rFonts w:hint="eastAsia" w:ascii="宋体" w:hAnsi="宋体" w:eastAsia="宋体" w:cs="宋体"/>
                <w:sz w:val="21"/>
                <w:szCs w:val="21"/>
              </w:rPr>
            </w:pPr>
            <w:r>
              <w:rPr>
                <w:rFonts w:hint="eastAsia" w:ascii="宋体" w:hAnsi="宋体" w:eastAsia="宋体" w:cs="宋体"/>
                <w:sz w:val="21"/>
                <w:szCs w:val="21"/>
              </w:rPr>
              <w:t>符合</w:t>
            </w:r>
          </w:p>
          <w:p>
            <w:pPr>
              <w:spacing w:line="280" w:lineRule="exact"/>
              <w:rPr>
                <w:rFonts w:hint="eastAsia" w:ascii="宋体" w:hAnsi="宋体" w:eastAsia="宋体" w:cs="宋体"/>
                <w:sz w:val="21"/>
                <w:szCs w:val="21"/>
              </w:rPr>
            </w:pPr>
            <w:r>
              <w:rPr>
                <w:rFonts w:hint="eastAsia" w:ascii="宋体" w:hAnsi="宋体" w:eastAsia="宋体" w:cs="宋体"/>
                <w:sz w:val="21"/>
                <w:szCs w:val="21"/>
              </w:rPr>
              <w:t xml:space="preserve"> </w:t>
            </w:r>
          </w:p>
        </w:tc>
        <w:tc>
          <w:tcPr>
            <w:tcW w:w="720" w:type="dxa"/>
            <w:tcBorders>
              <w:top w:val="single" w:color="auto" w:sz="6" w:space="0"/>
              <w:left w:val="single" w:color="auto" w:sz="6" w:space="0"/>
            </w:tcBorders>
            <w:noWrap w:val="0"/>
            <w:vAlign w:val="top"/>
          </w:tcPr>
          <w:p>
            <w:pPr>
              <w:spacing w:line="280" w:lineRule="exact"/>
              <w:rPr>
                <w:rFonts w:hint="eastAsia" w:ascii="宋体" w:hAnsi="宋体" w:eastAsia="宋体" w:cs="宋体"/>
                <w:sz w:val="21"/>
                <w:szCs w:val="21"/>
              </w:rPr>
            </w:pPr>
            <w:r>
              <w:rPr>
                <w:rFonts w:hint="eastAsia" w:ascii="宋体" w:hAnsi="宋体" w:eastAsia="宋体" w:cs="宋体"/>
                <w:sz w:val="21"/>
                <w:szCs w:val="21"/>
              </w:rPr>
              <w:t>基但本有</w:t>
            </w:r>
          </w:p>
          <w:p>
            <w:pPr>
              <w:spacing w:line="280" w:lineRule="exact"/>
              <w:rPr>
                <w:rFonts w:hint="eastAsia" w:ascii="宋体" w:hAnsi="宋体" w:eastAsia="宋体" w:cs="宋体"/>
                <w:sz w:val="21"/>
                <w:szCs w:val="21"/>
              </w:rPr>
            </w:pPr>
            <w:r>
              <w:rPr>
                <w:rFonts w:hint="eastAsia" w:ascii="宋体" w:hAnsi="宋体" w:eastAsia="宋体" w:cs="宋体"/>
                <w:sz w:val="21"/>
                <w:szCs w:val="21"/>
              </w:rPr>
              <w:t>符缺</w:t>
            </w:r>
          </w:p>
          <w:p>
            <w:pPr>
              <w:spacing w:line="280" w:lineRule="exact"/>
              <w:rPr>
                <w:rFonts w:hint="eastAsia" w:ascii="宋体" w:hAnsi="宋体" w:eastAsia="宋体" w:cs="宋体"/>
                <w:sz w:val="21"/>
                <w:szCs w:val="21"/>
              </w:rPr>
            </w:pPr>
            <w:r>
              <w:rPr>
                <w:rFonts w:hint="eastAsia" w:ascii="宋体" w:hAnsi="宋体" w:eastAsia="宋体" w:cs="宋体"/>
                <w:sz w:val="21"/>
                <w:szCs w:val="21"/>
              </w:rPr>
              <w:t>合陷</w:t>
            </w:r>
          </w:p>
        </w:tc>
        <w:tc>
          <w:tcPr>
            <w:tcW w:w="540" w:type="dxa"/>
            <w:tcBorders>
              <w:top w:val="single" w:color="auto" w:sz="6" w:space="0"/>
              <w:left w:val="single" w:color="auto" w:sz="6" w:space="0"/>
            </w:tcBorders>
            <w:noWrap w:val="0"/>
            <w:vAlign w:val="top"/>
          </w:tcPr>
          <w:p>
            <w:pPr>
              <w:spacing w:line="320" w:lineRule="exact"/>
              <w:rPr>
                <w:rFonts w:hint="eastAsia" w:ascii="宋体" w:hAnsi="宋体" w:eastAsia="宋体" w:cs="宋体"/>
                <w:sz w:val="21"/>
                <w:szCs w:val="21"/>
              </w:rPr>
            </w:pPr>
            <w:r>
              <w:rPr>
                <w:rFonts w:hint="eastAsia" w:ascii="宋体" w:hAnsi="宋体" w:eastAsia="宋体" w:cs="宋体"/>
                <w:sz w:val="21"/>
                <w:szCs w:val="21"/>
              </w:rPr>
              <w:t>不符合</w:t>
            </w:r>
          </w:p>
        </w:tc>
        <w:tc>
          <w:tcPr>
            <w:tcW w:w="540" w:type="dxa"/>
            <w:tcBorders>
              <w:top w:val="single" w:color="auto" w:sz="6" w:space="0"/>
              <w:left w:val="single" w:color="auto" w:sz="6" w:space="0"/>
            </w:tcBorders>
            <w:noWrap w:val="0"/>
            <w:vAlign w:val="top"/>
          </w:tcPr>
          <w:p>
            <w:pPr>
              <w:spacing w:line="320" w:lineRule="exact"/>
              <w:rPr>
                <w:rFonts w:hint="eastAsia" w:ascii="宋体" w:hAnsi="宋体" w:eastAsia="宋体" w:cs="宋体"/>
                <w:sz w:val="21"/>
                <w:szCs w:val="21"/>
              </w:rPr>
            </w:pPr>
            <w:r>
              <w:rPr>
                <w:rFonts w:hint="eastAsia" w:ascii="宋体" w:hAnsi="宋体" w:eastAsia="宋体" w:cs="宋体"/>
                <w:sz w:val="21"/>
                <w:szCs w:val="21"/>
              </w:rPr>
              <w:t>缺此项</w:t>
            </w:r>
          </w:p>
        </w:tc>
        <w:tc>
          <w:tcPr>
            <w:tcW w:w="540" w:type="dxa"/>
            <w:tcBorders>
              <w:top w:val="single" w:color="auto" w:sz="6" w:space="0"/>
              <w:left w:val="single" w:color="auto" w:sz="6" w:space="0"/>
            </w:tcBorders>
            <w:noWrap w:val="0"/>
            <w:vAlign w:val="top"/>
          </w:tcPr>
          <w:p>
            <w:pPr>
              <w:spacing w:line="240" w:lineRule="exact"/>
              <w:rPr>
                <w:rFonts w:hint="eastAsia" w:ascii="宋体" w:hAnsi="宋体" w:eastAsia="宋体" w:cs="宋体"/>
                <w:sz w:val="21"/>
                <w:szCs w:val="21"/>
              </w:rPr>
            </w:pPr>
            <w:r>
              <w:rPr>
                <w:rFonts w:hint="eastAsia" w:ascii="宋体" w:hAnsi="宋体" w:eastAsia="宋体" w:cs="宋体"/>
                <w:sz w:val="21"/>
                <w:szCs w:val="21"/>
              </w:rPr>
              <w:t>暂不需考核</w:t>
            </w:r>
          </w:p>
        </w:tc>
        <w:tc>
          <w:tcPr>
            <w:tcW w:w="2112" w:type="dxa"/>
            <w:tcBorders>
              <w:top w:val="single" w:color="auto" w:sz="6" w:space="0"/>
              <w:left w:val="single" w:color="auto" w:sz="6" w:space="0"/>
            </w:tcBorders>
            <w:noWrap w:val="0"/>
            <w:vAlign w:val="top"/>
          </w:tcPr>
          <w:p>
            <w:pPr>
              <w:spacing w:line="180" w:lineRule="exact"/>
              <w:rPr>
                <w:rFonts w:hint="eastAsia" w:ascii="宋体" w:hAnsi="宋体" w:eastAsia="宋体" w:cs="宋体"/>
                <w:sz w:val="21"/>
                <w:szCs w:val="21"/>
              </w:rPr>
            </w:pPr>
          </w:p>
          <w:p>
            <w:pPr>
              <w:spacing w:line="180" w:lineRule="exact"/>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  评论与说明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8"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*6.3</w:t>
            </w:r>
          </w:p>
          <w:p>
            <w:pPr>
              <w:rPr>
                <w:rFonts w:hint="eastAsia" w:ascii="宋体" w:hAnsi="宋体" w:eastAsia="宋体" w:cs="宋体"/>
                <w:sz w:val="21"/>
                <w:szCs w:val="21"/>
              </w:rPr>
            </w:pP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在接收标本时应有其状态的详细记录，包括是否异常或是否与相应的检测方法中所描述的标准状态有所偏离。</w:t>
            </w:r>
          </w:p>
          <w:p>
            <w:pPr>
              <w:rPr>
                <w:rFonts w:hint="eastAsia" w:ascii="宋体" w:hAnsi="宋体" w:eastAsia="宋体" w:cs="宋体"/>
                <w:sz w:val="21"/>
                <w:szCs w:val="21"/>
              </w:rPr>
            </w:pP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*6.4</w:t>
            </w:r>
          </w:p>
          <w:p>
            <w:pPr>
              <w:rPr>
                <w:rFonts w:hint="eastAsia" w:ascii="宋体" w:hAnsi="宋体" w:eastAsia="宋体" w:cs="宋体"/>
                <w:sz w:val="21"/>
                <w:szCs w:val="21"/>
              </w:rPr>
            </w:pP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如果对标本是否适用于检测有任何疑问，或者标本与所要求的不符，或检测的要求规定不完全，实验室应该在工作开始之前询问相关临床科室，要求进一步予以说明。实验室应确定标本是否已经完成了所有必要的准备。 </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6.5</w:t>
            </w: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如果标本必须在特定的环境条件下（如4℃、-20℃和-70℃低温）贮存或处置，则应对这些条件加以维持、监控和记录；</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b/>
                <w:sz w:val="21"/>
                <w:szCs w:val="21"/>
              </w:rPr>
            </w:pPr>
            <w:r>
              <w:rPr>
                <w:rFonts w:hint="eastAsia" w:ascii="宋体" w:hAnsi="宋体" w:eastAsia="宋体" w:cs="宋体"/>
                <w:b/>
                <w:sz w:val="21"/>
                <w:szCs w:val="21"/>
              </w:rPr>
              <w:t>7</w:t>
            </w:r>
          </w:p>
        </w:tc>
        <w:tc>
          <w:tcPr>
            <w:tcW w:w="2880" w:type="dxa"/>
            <w:tcBorders>
              <w:top w:val="single" w:color="auto" w:sz="4" w:space="0"/>
              <w:bottom w:val="single" w:color="auto" w:sz="4" w:space="0"/>
            </w:tcBorders>
            <w:noWrap w:val="0"/>
            <w:vAlign w:val="top"/>
          </w:tcPr>
          <w:p>
            <w:pPr>
              <w:rPr>
                <w:rFonts w:hint="eastAsia" w:ascii="宋体" w:hAnsi="宋体" w:eastAsia="宋体" w:cs="宋体"/>
                <w:b/>
                <w:sz w:val="21"/>
                <w:szCs w:val="21"/>
              </w:rPr>
            </w:pPr>
            <w:r>
              <w:rPr>
                <w:rFonts w:hint="eastAsia" w:ascii="宋体" w:hAnsi="宋体" w:eastAsia="宋体" w:cs="宋体"/>
                <w:b/>
                <w:sz w:val="21"/>
                <w:szCs w:val="21"/>
              </w:rPr>
              <w:t>记录</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7.1</w:t>
            </w: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实验室应有适合自身实际情况又符合现行规章制度的记录管理制度；</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*7.2</w:t>
            </w: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所有的原始检测记录、计算和导出数据均应归档并保存。每次校准和检测的记录应包括足够的信息以保证其能够再现。记录应有参与标本收集、标本准备和处理、检测的人员签字。</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*7.3</w:t>
            </w: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所有记录和报告都应安全贮存、妥善保管并保密。</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b/>
                <w:sz w:val="21"/>
                <w:szCs w:val="21"/>
              </w:rPr>
            </w:pPr>
            <w:r>
              <w:rPr>
                <w:rFonts w:hint="eastAsia" w:ascii="宋体" w:hAnsi="宋体" w:eastAsia="宋体" w:cs="宋体"/>
                <w:b/>
                <w:sz w:val="21"/>
                <w:szCs w:val="21"/>
              </w:rPr>
              <w:t>8</w:t>
            </w:r>
          </w:p>
        </w:tc>
        <w:tc>
          <w:tcPr>
            <w:tcW w:w="2880" w:type="dxa"/>
            <w:tcBorders>
              <w:top w:val="single" w:color="auto" w:sz="4" w:space="0"/>
              <w:bottom w:val="single" w:color="auto" w:sz="4" w:space="0"/>
            </w:tcBorders>
            <w:noWrap w:val="0"/>
            <w:vAlign w:val="top"/>
          </w:tcPr>
          <w:p>
            <w:pPr>
              <w:rPr>
                <w:rFonts w:hint="eastAsia" w:ascii="宋体" w:hAnsi="宋体" w:eastAsia="宋体" w:cs="宋体"/>
                <w:b/>
                <w:sz w:val="21"/>
                <w:szCs w:val="21"/>
              </w:rPr>
            </w:pPr>
            <w:r>
              <w:rPr>
                <w:rFonts w:hint="eastAsia" w:ascii="宋体" w:hAnsi="宋体" w:eastAsia="宋体" w:cs="宋体"/>
                <w:b/>
                <w:sz w:val="21"/>
                <w:szCs w:val="21"/>
              </w:rPr>
              <w:t>报告</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48"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8.1</w:t>
            </w: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检测结果的报告应准确、清晰和客观。                   </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48" w:type="dxa"/>
            <w:tcBorders>
              <w:top w:val="single" w:color="auto" w:sz="4" w:space="0"/>
            </w:tcBorders>
            <w:noWrap w:val="0"/>
            <w:vAlign w:val="top"/>
          </w:tcPr>
          <w:p>
            <w:pPr>
              <w:rPr>
                <w:rFonts w:hint="eastAsia" w:ascii="宋体" w:hAnsi="宋体" w:eastAsia="宋体" w:cs="宋体"/>
                <w:b/>
                <w:sz w:val="21"/>
                <w:szCs w:val="21"/>
              </w:rPr>
            </w:pPr>
          </w:p>
        </w:tc>
        <w:tc>
          <w:tcPr>
            <w:tcW w:w="2880" w:type="dxa"/>
            <w:tcBorders>
              <w:top w:val="single" w:color="auto" w:sz="4" w:space="0"/>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定性测定报告“阴性”或“阳性”；定量测定则以拷贝数/ml或IU/ml报告。</w:t>
            </w:r>
          </w:p>
        </w:tc>
        <w:tc>
          <w:tcPr>
            <w:tcW w:w="540" w:type="dxa"/>
            <w:tcBorders>
              <w:top w:val="single" w:color="auto" w:sz="4" w:space="0"/>
              <w:bottom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540"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c>
          <w:tcPr>
            <w:tcW w:w="2112" w:type="dxa"/>
            <w:tcBorders>
              <w:top w:val="single" w:color="auto" w:sz="4" w:space="0"/>
              <w:left w:val="single" w:color="auto" w:sz="6" w:space="0"/>
              <w:bottom w:val="single" w:color="auto" w:sz="4" w:space="0"/>
            </w:tcBorders>
            <w:noWrap w:val="0"/>
            <w:vAlign w:val="top"/>
          </w:tcPr>
          <w:p>
            <w:pPr>
              <w:rPr>
                <w:rFonts w:hint="eastAsia" w:ascii="宋体" w:hAnsi="宋体" w:eastAsia="宋体" w:cs="宋体"/>
                <w:sz w:val="21"/>
                <w:szCs w:val="21"/>
              </w:rPr>
            </w:pPr>
          </w:p>
        </w:tc>
      </w:tr>
    </w:tbl>
    <w:p>
      <w:pPr>
        <w:rPr>
          <w:rFonts w:hint="eastAsia" w:ascii="宋体" w:hAnsi="宋体" w:eastAsia="宋体" w:cs="宋体"/>
          <w:sz w:val="18"/>
        </w:rPr>
      </w:pPr>
      <w:r>
        <w:rPr>
          <w:rFonts w:hint="eastAsia" w:ascii="宋体" w:hAnsi="宋体" w:eastAsia="宋体" w:cs="宋体"/>
          <w:b/>
          <w:sz w:val="18"/>
        </w:rPr>
        <w:t>注</w:t>
      </w:r>
      <w:r>
        <w:rPr>
          <w:rFonts w:hint="eastAsia" w:ascii="宋体" w:hAnsi="宋体" w:eastAsia="宋体" w:cs="宋体"/>
          <w:sz w:val="18"/>
        </w:rPr>
        <w:t>：请在验收所选项打“</w:t>
      </w:r>
      <w:r>
        <w:rPr>
          <w:rFonts w:hint="eastAsia" w:ascii="宋体" w:hAnsi="宋体" w:eastAsia="宋体" w:cs="宋体"/>
          <w:sz w:val="18"/>
        </w:rPr>
        <w:sym w:font="Symbol" w:char="F0D6"/>
      </w:r>
      <w:r>
        <w:rPr>
          <w:rFonts w:hint="eastAsia" w:ascii="宋体" w:hAnsi="宋体" w:eastAsia="宋体" w:cs="宋体"/>
          <w:sz w:val="18"/>
        </w:rPr>
        <w:t>”。</w:t>
      </w:r>
    </w:p>
    <w:p>
      <w:pPr>
        <w:rPr>
          <w:rFonts w:hint="eastAsia" w:ascii="宋体" w:hAnsi="宋体" w:eastAsia="宋体" w:cs="宋体"/>
          <w:sz w:val="18"/>
        </w:rPr>
      </w:pPr>
    </w:p>
    <w:p>
      <w:pPr>
        <w:rPr>
          <w:rFonts w:hint="eastAsia" w:ascii="宋体" w:hAnsi="宋体" w:eastAsia="宋体" w:cs="宋体"/>
          <w:b/>
          <w:sz w:val="32"/>
        </w:rPr>
      </w:pPr>
      <w:r>
        <w:rPr>
          <w:rFonts w:hint="eastAsia" w:ascii="宋体" w:hAnsi="宋体" w:eastAsia="宋体" w:cs="宋体"/>
          <w:sz w:val="28"/>
        </w:rPr>
        <w:t xml:space="preserve">        </w:t>
      </w:r>
      <w:r>
        <w:rPr>
          <w:rFonts w:hint="eastAsia" w:ascii="宋体" w:hAnsi="宋体" w:eastAsia="宋体" w:cs="宋体"/>
          <w:b/>
          <w:sz w:val="32"/>
        </w:rPr>
        <w:t xml:space="preserve">  </w:t>
      </w:r>
    </w:p>
    <w:p>
      <w:pPr>
        <w:rPr>
          <w:rFonts w:hint="eastAsia" w:ascii="宋体" w:hAnsi="宋体" w:eastAsia="宋体" w:cs="宋体"/>
          <w:b/>
          <w:sz w:val="32"/>
        </w:rPr>
      </w:pPr>
    </w:p>
    <w:p>
      <w:pPr>
        <w:jc w:val="center"/>
        <w:rPr>
          <w:rFonts w:hint="eastAsia" w:ascii="宋体" w:hAnsi="宋体" w:eastAsia="宋体" w:cs="宋体"/>
          <w:b/>
          <w:sz w:val="32"/>
        </w:rPr>
      </w:pPr>
      <w:r>
        <w:rPr>
          <w:rFonts w:hint="eastAsia" w:ascii="宋体" w:hAnsi="宋体" w:eastAsia="宋体" w:cs="宋体"/>
          <w:b/>
          <w:sz w:val="32"/>
        </w:rPr>
        <w:t>临床基因扩增检验实验室技术验收表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0"/>
        <w:gridCol w:w="540"/>
        <w:gridCol w:w="720"/>
        <w:gridCol w:w="540"/>
        <w:gridCol w:w="540"/>
        <w:gridCol w:w="540"/>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648" w:type="dxa"/>
            <w:vMerge w:val="restart"/>
            <w:noWrap w:val="0"/>
            <w:vAlign w:val="top"/>
          </w:tcPr>
          <w:p>
            <w:pPr>
              <w:rPr>
                <w:rFonts w:hint="eastAsia" w:ascii="宋体" w:hAnsi="宋体" w:eastAsia="宋体" w:cs="宋体"/>
                <w:sz w:val="21"/>
                <w:szCs w:val="21"/>
              </w:rPr>
            </w:pPr>
          </w:p>
          <w:p>
            <w:pPr>
              <w:pStyle w:val="26"/>
              <w:rPr>
                <w:rFonts w:hint="eastAsia" w:ascii="宋体" w:hAnsi="宋体" w:eastAsia="宋体" w:cs="宋体"/>
                <w:sz w:val="21"/>
                <w:szCs w:val="21"/>
              </w:rPr>
            </w:pPr>
            <w:r>
              <w:rPr>
                <w:rFonts w:hint="eastAsia" w:ascii="宋体" w:hAnsi="宋体" w:eastAsia="宋体" w:cs="宋体"/>
                <w:sz w:val="21"/>
                <w:szCs w:val="21"/>
              </w:rPr>
              <w:t>序号</w:t>
            </w:r>
          </w:p>
          <w:p>
            <w:pPr>
              <w:rPr>
                <w:rFonts w:hint="eastAsia" w:ascii="宋体" w:hAnsi="宋体" w:eastAsia="宋体" w:cs="宋体"/>
                <w:sz w:val="21"/>
                <w:szCs w:val="21"/>
              </w:rPr>
            </w:pPr>
          </w:p>
        </w:tc>
        <w:tc>
          <w:tcPr>
            <w:tcW w:w="2880" w:type="dxa"/>
            <w:vMerge w:val="restart"/>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 xml:space="preserve">   验 收 内 容</w:t>
            </w:r>
          </w:p>
        </w:tc>
        <w:tc>
          <w:tcPr>
            <w:tcW w:w="4992" w:type="dxa"/>
            <w:gridSpan w:val="6"/>
            <w:tcBorders>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            验  收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648" w:type="dxa"/>
            <w:vMerge w:val="continue"/>
            <w:tcBorders>
              <w:bottom w:val="single" w:color="auto" w:sz="4" w:space="0"/>
            </w:tcBorders>
            <w:noWrap w:val="0"/>
            <w:vAlign w:val="top"/>
          </w:tcPr>
          <w:p>
            <w:pPr>
              <w:rPr>
                <w:rFonts w:hint="eastAsia" w:ascii="宋体" w:hAnsi="宋体" w:eastAsia="宋体" w:cs="宋体"/>
                <w:sz w:val="21"/>
                <w:szCs w:val="21"/>
              </w:rPr>
            </w:pPr>
          </w:p>
        </w:tc>
        <w:tc>
          <w:tcPr>
            <w:tcW w:w="2880" w:type="dxa"/>
            <w:vMerge w:val="continue"/>
            <w:noWrap w:val="0"/>
            <w:vAlign w:val="top"/>
          </w:tcPr>
          <w:p>
            <w:pPr>
              <w:rPr>
                <w:rFonts w:hint="eastAsia" w:ascii="宋体" w:hAnsi="宋体" w:eastAsia="宋体" w:cs="宋体"/>
                <w:sz w:val="21"/>
                <w:szCs w:val="21"/>
              </w:rPr>
            </w:pPr>
          </w:p>
        </w:tc>
        <w:tc>
          <w:tcPr>
            <w:tcW w:w="540" w:type="dxa"/>
            <w:tcBorders>
              <w:top w:val="single" w:color="auto" w:sz="6" w:space="0"/>
              <w:right w:val="single" w:color="auto" w:sz="6" w:space="0"/>
            </w:tcBorders>
            <w:noWrap w:val="0"/>
            <w:vAlign w:val="top"/>
          </w:tcPr>
          <w:p>
            <w:pPr>
              <w:spacing w:line="320" w:lineRule="exact"/>
              <w:rPr>
                <w:rFonts w:hint="eastAsia" w:ascii="宋体" w:hAnsi="宋体" w:eastAsia="宋体" w:cs="宋体"/>
                <w:sz w:val="21"/>
                <w:szCs w:val="21"/>
              </w:rPr>
            </w:pPr>
          </w:p>
          <w:p>
            <w:pPr>
              <w:spacing w:line="320" w:lineRule="exact"/>
              <w:rPr>
                <w:rFonts w:hint="eastAsia" w:ascii="宋体" w:hAnsi="宋体" w:eastAsia="宋体" w:cs="宋体"/>
                <w:sz w:val="21"/>
                <w:szCs w:val="21"/>
              </w:rPr>
            </w:pPr>
            <w:r>
              <w:rPr>
                <w:rFonts w:hint="eastAsia" w:ascii="宋体" w:hAnsi="宋体" w:eastAsia="宋体" w:cs="宋体"/>
                <w:sz w:val="21"/>
                <w:szCs w:val="21"/>
              </w:rPr>
              <w:t>符合</w:t>
            </w:r>
          </w:p>
          <w:p>
            <w:pPr>
              <w:spacing w:line="280" w:lineRule="exact"/>
              <w:rPr>
                <w:rFonts w:hint="eastAsia" w:ascii="宋体" w:hAnsi="宋体" w:eastAsia="宋体" w:cs="宋体"/>
                <w:sz w:val="21"/>
                <w:szCs w:val="21"/>
              </w:rPr>
            </w:pPr>
            <w:r>
              <w:rPr>
                <w:rFonts w:hint="eastAsia" w:ascii="宋体" w:hAnsi="宋体" w:eastAsia="宋体" w:cs="宋体"/>
                <w:sz w:val="21"/>
                <w:szCs w:val="21"/>
              </w:rPr>
              <w:t xml:space="preserve"> </w:t>
            </w:r>
          </w:p>
        </w:tc>
        <w:tc>
          <w:tcPr>
            <w:tcW w:w="720" w:type="dxa"/>
            <w:tcBorders>
              <w:top w:val="single" w:color="auto" w:sz="6" w:space="0"/>
              <w:left w:val="single" w:color="auto" w:sz="6" w:space="0"/>
            </w:tcBorders>
            <w:noWrap w:val="0"/>
            <w:vAlign w:val="top"/>
          </w:tcPr>
          <w:p>
            <w:pPr>
              <w:spacing w:line="280" w:lineRule="exact"/>
              <w:rPr>
                <w:rFonts w:hint="eastAsia" w:ascii="宋体" w:hAnsi="宋体" w:eastAsia="宋体" w:cs="宋体"/>
                <w:sz w:val="21"/>
                <w:szCs w:val="21"/>
              </w:rPr>
            </w:pPr>
            <w:r>
              <w:rPr>
                <w:rFonts w:hint="eastAsia" w:ascii="宋体" w:hAnsi="宋体" w:eastAsia="宋体" w:cs="宋体"/>
                <w:sz w:val="21"/>
                <w:szCs w:val="21"/>
              </w:rPr>
              <w:t>基但本有</w:t>
            </w:r>
          </w:p>
          <w:p>
            <w:pPr>
              <w:spacing w:line="280" w:lineRule="exact"/>
              <w:rPr>
                <w:rFonts w:hint="eastAsia" w:ascii="宋体" w:hAnsi="宋体" w:eastAsia="宋体" w:cs="宋体"/>
                <w:sz w:val="21"/>
                <w:szCs w:val="21"/>
              </w:rPr>
            </w:pPr>
            <w:r>
              <w:rPr>
                <w:rFonts w:hint="eastAsia" w:ascii="宋体" w:hAnsi="宋体" w:eastAsia="宋体" w:cs="宋体"/>
                <w:sz w:val="21"/>
                <w:szCs w:val="21"/>
              </w:rPr>
              <w:t>符缺</w:t>
            </w:r>
          </w:p>
          <w:p>
            <w:pPr>
              <w:spacing w:line="280" w:lineRule="exact"/>
              <w:rPr>
                <w:rFonts w:hint="eastAsia" w:ascii="宋体" w:hAnsi="宋体" w:eastAsia="宋体" w:cs="宋体"/>
                <w:sz w:val="21"/>
                <w:szCs w:val="21"/>
              </w:rPr>
            </w:pPr>
            <w:r>
              <w:rPr>
                <w:rFonts w:hint="eastAsia" w:ascii="宋体" w:hAnsi="宋体" w:eastAsia="宋体" w:cs="宋体"/>
                <w:sz w:val="21"/>
                <w:szCs w:val="21"/>
              </w:rPr>
              <w:t>合陷</w:t>
            </w:r>
          </w:p>
        </w:tc>
        <w:tc>
          <w:tcPr>
            <w:tcW w:w="540" w:type="dxa"/>
            <w:tcBorders>
              <w:top w:val="single" w:color="auto" w:sz="6" w:space="0"/>
              <w:left w:val="single" w:color="auto" w:sz="6" w:space="0"/>
            </w:tcBorders>
            <w:noWrap w:val="0"/>
            <w:vAlign w:val="top"/>
          </w:tcPr>
          <w:p>
            <w:pPr>
              <w:spacing w:line="320" w:lineRule="exact"/>
              <w:rPr>
                <w:rFonts w:hint="eastAsia" w:ascii="宋体" w:hAnsi="宋体" w:eastAsia="宋体" w:cs="宋体"/>
                <w:sz w:val="21"/>
                <w:szCs w:val="21"/>
              </w:rPr>
            </w:pPr>
            <w:r>
              <w:rPr>
                <w:rFonts w:hint="eastAsia" w:ascii="宋体" w:hAnsi="宋体" w:eastAsia="宋体" w:cs="宋体"/>
                <w:sz w:val="21"/>
                <w:szCs w:val="21"/>
              </w:rPr>
              <w:t>不符合</w:t>
            </w:r>
          </w:p>
        </w:tc>
        <w:tc>
          <w:tcPr>
            <w:tcW w:w="540" w:type="dxa"/>
            <w:tcBorders>
              <w:top w:val="single" w:color="auto" w:sz="6" w:space="0"/>
              <w:left w:val="single" w:color="auto" w:sz="6" w:space="0"/>
            </w:tcBorders>
            <w:noWrap w:val="0"/>
            <w:vAlign w:val="top"/>
          </w:tcPr>
          <w:p>
            <w:pPr>
              <w:spacing w:line="320" w:lineRule="exact"/>
              <w:rPr>
                <w:rFonts w:hint="eastAsia" w:ascii="宋体" w:hAnsi="宋体" w:eastAsia="宋体" w:cs="宋体"/>
                <w:sz w:val="21"/>
                <w:szCs w:val="21"/>
              </w:rPr>
            </w:pPr>
            <w:r>
              <w:rPr>
                <w:rFonts w:hint="eastAsia" w:ascii="宋体" w:hAnsi="宋体" w:eastAsia="宋体" w:cs="宋体"/>
                <w:sz w:val="21"/>
                <w:szCs w:val="21"/>
              </w:rPr>
              <w:t>缺此项</w:t>
            </w:r>
          </w:p>
        </w:tc>
        <w:tc>
          <w:tcPr>
            <w:tcW w:w="540" w:type="dxa"/>
            <w:tcBorders>
              <w:top w:val="single" w:color="auto" w:sz="6" w:space="0"/>
              <w:left w:val="single" w:color="auto" w:sz="6" w:space="0"/>
            </w:tcBorders>
            <w:noWrap w:val="0"/>
            <w:vAlign w:val="top"/>
          </w:tcPr>
          <w:p>
            <w:pPr>
              <w:spacing w:line="240" w:lineRule="exact"/>
              <w:rPr>
                <w:rFonts w:hint="eastAsia" w:ascii="宋体" w:hAnsi="宋体" w:eastAsia="宋体" w:cs="宋体"/>
                <w:sz w:val="21"/>
                <w:szCs w:val="21"/>
              </w:rPr>
            </w:pPr>
            <w:r>
              <w:rPr>
                <w:rFonts w:hint="eastAsia" w:ascii="宋体" w:hAnsi="宋体" w:eastAsia="宋体" w:cs="宋体"/>
                <w:sz w:val="21"/>
                <w:szCs w:val="21"/>
              </w:rPr>
              <w:t>暂不需考核</w:t>
            </w:r>
          </w:p>
        </w:tc>
        <w:tc>
          <w:tcPr>
            <w:tcW w:w="2112" w:type="dxa"/>
            <w:tcBorders>
              <w:top w:val="single" w:color="auto" w:sz="6" w:space="0"/>
              <w:left w:val="single" w:color="auto" w:sz="6" w:space="0"/>
            </w:tcBorders>
            <w:noWrap w:val="0"/>
            <w:vAlign w:val="top"/>
          </w:tcPr>
          <w:p>
            <w:pPr>
              <w:spacing w:line="180" w:lineRule="exact"/>
              <w:rPr>
                <w:rFonts w:hint="eastAsia" w:ascii="宋体" w:hAnsi="宋体" w:eastAsia="宋体" w:cs="宋体"/>
                <w:sz w:val="21"/>
                <w:szCs w:val="21"/>
              </w:rPr>
            </w:pPr>
          </w:p>
          <w:p>
            <w:pPr>
              <w:spacing w:line="180" w:lineRule="exact"/>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  评论与说明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648" w:type="dxa"/>
            <w:tcBorders>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8.2</w:t>
            </w:r>
          </w:p>
        </w:tc>
        <w:tc>
          <w:tcPr>
            <w:tcW w:w="2880" w:type="dxa"/>
            <w:tcBorders>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每份报告应包括以下信息：</w:t>
            </w:r>
          </w:p>
        </w:tc>
        <w:tc>
          <w:tcPr>
            <w:tcW w:w="540" w:type="dxa"/>
            <w:tcBorders>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648" w:type="dxa"/>
            <w:tcBorders>
              <w:bottom w:val="nil"/>
            </w:tcBorders>
            <w:noWrap w:val="0"/>
            <w:vAlign w:val="top"/>
          </w:tcPr>
          <w:p>
            <w:pPr>
              <w:rPr>
                <w:rFonts w:hint="eastAsia" w:ascii="宋体" w:hAnsi="宋体" w:eastAsia="宋体" w:cs="宋体"/>
                <w:sz w:val="21"/>
                <w:szCs w:val="21"/>
              </w:rPr>
            </w:pPr>
          </w:p>
        </w:tc>
        <w:tc>
          <w:tcPr>
            <w:tcW w:w="2880" w:type="dxa"/>
            <w:tcBorders>
              <w:bottom w:val="nil"/>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（a）标题，例如“检测报告”</w:t>
            </w:r>
          </w:p>
        </w:tc>
        <w:tc>
          <w:tcPr>
            <w:tcW w:w="540" w:type="dxa"/>
            <w:tcBorders>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648" w:type="dxa"/>
            <w:tcBorders>
              <w:top w:val="nil"/>
              <w:bottom w:val="nil"/>
            </w:tcBorders>
            <w:noWrap w:val="0"/>
            <w:vAlign w:val="top"/>
          </w:tcPr>
          <w:p>
            <w:pPr>
              <w:rPr>
                <w:rFonts w:hint="eastAsia" w:ascii="宋体" w:hAnsi="宋体" w:eastAsia="宋体" w:cs="宋体"/>
                <w:sz w:val="21"/>
                <w:szCs w:val="21"/>
              </w:rPr>
            </w:pPr>
          </w:p>
        </w:tc>
        <w:tc>
          <w:tcPr>
            <w:tcW w:w="2880" w:type="dxa"/>
            <w:tcBorders>
              <w:bottom w:val="nil"/>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（b）报告的唯一性标识（如序号）；</w:t>
            </w:r>
          </w:p>
        </w:tc>
        <w:tc>
          <w:tcPr>
            <w:tcW w:w="540" w:type="dxa"/>
            <w:tcBorders>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648" w:type="dxa"/>
            <w:vMerge w:val="restart"/>
            <w:tcBorders>
              <w:top w:val="nil"/>
            </w:tcBorders>
            <w:noWrap w:val="0"/>
            <w:vAlign w:val="top"/>
          </w:tcPr>
          <w:p>
            <w:pPr>
              <w:rPr>
                <w:rFonts w:hint="eastAsia" w:ascii="宋体" w:hAnsi="宋体" w:eastAsia="宋体" w:cs="宋体"/>
                <w:sz w:val="21"/>
                <w:szCs w:val="21"/>
              </w:rPr>
            </w:pPr>
          </w:p>
        </w:tc>
        <w:tc>
          <w:tcPr>
            <w:tcW w:w="2880" w:type="dxa"/>
            <w:tcBorders>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（c）检测标本的特性和状态；</w:t>
            </w:r>
          </w:p>
        </w:tc>
        <w:tc>
          <w:tcPr>
            <w:tcW w:w="540" w:type="dxa"/>
            <w:tcBorders>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648" w:type="dxa"/>
            <w:vMerge w:val="continue"/>
            <w:tcBorders>
              <w:bottom w:val="nil"/>
            </w:tcBorders>
            <w:noWrap w:val="0"/>
            <w:vAlign w:val="top"/>
          </w:tcPr>
          <w:p>
            <w:pPr>
              <w:rPr>
                <w:rFonts w:hint="eastAsia" w:ascii="宋体" w:hAnsi="宋体" w:eastAsia="宋体" w:cs="宋体"/>
                <w:sz w:val="21"/>
                <w:szCs w:val="21"/>
              </w:rPr>
            </w:pPr>
          </w:p>
        </w:tc>
        <w:tc>
          <w:tcPr>
            <w:tcW w:w="2880" w:type="dxa"/>
            <w:tcBorders>
              <w:bottom w:val="nil"/>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(d) 检测标本的接收日期</w:t>
            </w:r>
          </w:p>
          <w:p>
            <w:pPr>
              <w:rPr>
                <w:rFonts w:hint="eastAsia" w:ascii="宋体" w:hAnsi="宋体" w:eastAsia="宋体" w:cs="宋体"/>
                <w:sz w:val="21"/>
                <w:szCs w:val="21"/>
              </w:rPr>
            </w:pPr>
            <w:r>
              <w:rPr>
                <w:rFonts w:hint="eastAsia" w:ascii="宋体" w:hAnsi="宋体" w:eastAsia="宋体" w:cs="宋体"/>
                <w:sz w:val="21"/>
                <w:szCs w:val="21"/>
              </w:rPr>
              <w:t>和进行检测的日期；</w:t>
            </w:r>
          </w:p>
        </w:tc>
        <w:tc>
          <w:tcPr>
            <w:tcW w:w="540" w:type="dxa"/>
            <w:tcBorders>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648" w:type="dxa"/>
            <w:vMerge w:val="restart"/>
            <w:tcBorders>
              <w:top w:val="nil"/>
            </w:tcBorders>
            <w:noWrap w:val="0"/>
            <w:vAlign w:val="top"/>
          </w:tcPr>
          <w:p>
            <w:pPr>
              <w:rPr>
                <w:rFonts w:hint="eastAsia" w:ascii="宋体" w:hAnsi="宋体" w:eastAsia="宋体" w:cs="宋体"/>
                <w:b/>
                <w:sz w:val="21"/>
                <w:szCs w:val="21"/>
              </w:rPr>
            </w:pPr>
          </w:p>
        </w:tc>
        <w:tc>
          <w:tcPr>
            <w:tcW w:w="2880"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（f）采用的检测方法；</w:t>
            </w:r>
          </w:p>
        </w:tc>
        <w:tc>
          <w:tcPr>
            <w:tcW w:w="540" w:type="dxa"/>
            <w:tcBorders>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48" w:type="dxa"/>
            <w:vMerge w:val="continue"/>
            <w:noWrap w:val="0"/>
            <w:vAlign w:val="top"/>
          </w:tcPr>
          <w:p>
            <w:pPr>
              <w:rPr>
                <w:rFonts w:hint="eastAsia" w:ascii="宋体" w:hAnsi="宋体" w:eastAsia="宋体" w:cs="宋体"/>
                <w:sz w:val="21"/>
                <w:szCs w:val="21"/>
              </w:rPr>
            </w:pPr>
          </w:p>
        </w:tc>
        <w:tc>
          <w:tcPr>
            <w:tcW w:w="2880" w:type="dxa"/>
            <w:tcBorders>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（g）实验操作及校核人员的签字，以及签发日期；</w:t>
            </w:r>
          </w:p>
        </w:tc>
        <w:tc>
          <w:tcPr>
            <w:tcW w:w="540" w:type="dxa"/>
            <w:tcBorders>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trPr>
        <w:tc>
          <w:tcPr>
            <w:tcW w:w="648" w:type="dxa"/>
            <w:vMerge w:val="continue"/>
            <w:noWrap w:val="0"/>
            <w:vAlign w:val="top"/>
          </w:tcPr>
          <w:p>
            <w:pPr>
              <w:rPr>
                <w:rFonts w:hint="eastAsia" w:ascii="宋体" w:hAnsi="宋体" w:eastAsia="宋体" w:cs="宋体"/>
                <w:sz w:val="21"/>
                <w:szCs w:val="21"/>
              </w:rPr>
            </w:pPr>
          </w:p>
        </w:tc>
        <w:tc>
          <w:tcPr>
            <w:tcW w:w="2880"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（h）检测报告中应给出参考结果或范围；</w:t>
            </w:r>
          </w:p>
        </w:tc>
        <w:tc>
          <w:tcPr>
            <w:tcW w:w="540" w:type="dxa"/>
            <w:tcBorders>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648" w:type="dxa"/>
            <w:tcBorders>
              <w:top w:val="nil"/>
              <w:bottom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*8.3</w:t>
            </w:r>
          </w:p>
          <w:p>
            <w:pPr>
              <w:rPr>
                <w:rFonts w:hint="eastAsia" w:ascii="宋体" w:hAnsi="宋体" w:eastAsia="宋体" w:cs="宋体"/>
                <w:sz w:val="21"/>
                <w:szCs w:val="21"/>
              </w:rPr>
            </w:pPr>
          </w:p>
        </w:tc>
        <w:tc>
          <w:tcPr>
            <w:tcW w:w="2880" w:type="dxa"/>
            <w:tcBorders>
              <w:bottom w:val="nil"/>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当报告的有效性发生疑问时，实验室应立即通知临床相关科室予以改正。</w:t>
            </w:r>
          </w:p>
        </w:tc>
        <w:tc>
          <w:tcPr>
            <w:tcW w:w="540" w:type="dxa"/>
            <w:tcBorders>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648" w:type="dxa"/>
            <w:tcBorders>
              <w:top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8.4</w:t>
            </w:r>
          </w:p>
          <w:p>
            <w:pPr>
              <w:rPr>
                <w:rFonts w:hint="eastAsia" w:ascii="宋体" w:hAnsi="宋体" w:eastAsia="宋体" w:cs="宋体"/>
                <w:sz w:val="21"/>
                <w:szCs w:val="21"/>
              </w:rPr>
            </w:pPr>
          </w:p>
        </w:tc>
        <w:tc>
          <w:tcPr>
            <w:tcW w:w="2880" w:type="dxa"/>
            <w:tcBorders>
              <w:bottom w:val="single" w:color="auto" w:sz="6"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当临床科室或患者要求用电话、图文传真或其它电子和电磁设备传送结果时，实验室应保证工作人员遵循文件化的程序，并为对方保密。</w:t>
            </w:r>
          </w:p>
        </w:tc>
        <w:tc>
          <w:tcPr>
            <w:tcW w:w="540" w:type="dxa"/>
            <w:tcBorders>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648" w:type="dxa"/>
            <w:noWrap w:val="0"/>
            <w:vAlign w:val="top"/>
          </w:tcPr>
          <w:p>
            <w:pPr>
              <w:rPr>
                <w:rFonts w:hint="eastAsia" w:ascii="宋体" w:hAnsi="宋体" w:eastAsia="宋体" w:cs="宋体"/>
                <w:sz w:val="21"/>
                <w:szCs w:val="21"/>
              </w:rPr>
            </w:pPr>
            <w:r>
              <w:rPr>
                <w:rFonts w:hint="eastAsia" w:ascii="宋体" w:hAnsi="宋体" w:eastAsia="宋体" w:cs="宋体"/>
                <w:b/>
                <w:bCs/>
                <w:sz w:val="21"/>
                <w:szCs w:val="21"/>
              </w:rPr>
              <w:t>9</w:t>
            </w:r>
            <w:r>
              <w:rPr>
                <w:rFonts w:hint="eastAsia" w:ascii="宋体" w:hAnsi="宋体" w:eastAsia="宋体" w:cs="宋体"/>
                <w:sz w:val="21"/>
                <w:szCs w:val="21"/>
              </w:rPr>
              <w:t>．</w:t>
            </w:r>
          </w:p>
        </w:tc>
        <w:tc>
          <w:tcPr>
            <w:tcW w:w="2880" w:type="dxa"/>
            <w:tcBorders>
              <w:bottom w:val="single" w:color="auto" w:sz="6" w:space="0"/>
            </w:tcBorders>
            <w:noWrap w:val="0"/>
            <w:vAlign w:val="top"/>
          </w:tcPr>
          <w:p>
            <w:pPr>
              <w:rPr>
                <w:rFonts w:hint="eastAsia" w:ascii="宋体" w:hAnsi="宋体" w:eastAsia="宋体" w:cs="宋体"/>
                <w:b/>
                <w:sz w:val="21"/>
                <w:szCs w:val="21"/>
              </w:rPr>
            </w:pPr>
            <w:r>
              <w:rPr>
                <w:rFonts w:hint="eastAsia" w:ascii="宋体" w:hAnsi="宋体" w:eastAsia="宋体" w:cs="宋体"/>
                <w:b/>
                <w:sz w:val="21"/>
                <w:szCs w:val="21"/>
              </w:rPr>
              <w:t>质量控制</w:t>
            </w:r>
          </w:p>
        </w:tc>
        <w:tc>
          <w:tcPr>
            <w:tcW w:w="540" w:type="dxa"/>
            <w:tcBorders>
              <w:bottom w:val="single" w:color="auto" w:sz="6"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bottom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64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9.1</w:t>
            </w:r>
          </w:p>
        </w:tc>
        <w:tc>
          <w:tcPr>
            <w:tcW w:w="2880" w:type="dxa"/>
            <w:tcBorders>
              <w:right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实验室应有室内质量控制标准操作程序文件;</w:t>
            </w:r>
          </w:p>
        </w:tc>
        <w:tc>
          <w:tcPr>
            <w:tcW w:w="540" w:type="dxa"/>
            <w:tcBorders>
              <w:left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64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*9.2</w:t>
            </w:r>
          </w:p>
        </w:tc>
        <w:tc>
          <w:tcPr>
            <w:tcW w:w="2880" w:type="dxa"/>
            <w:tcBorders>
              <w:right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实验室应参加室间质量评价</w:t>
            </w:r>
          </w:p>
        </w:tc>
        <w:tc>
          <w:tcPr>
            <w:tcW w:w="540" w:type="dxa"/>
            <w:tcBorders>
              <w:left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trPr>
        <w:tc>
          <w:tcPr>
            <w:tcW w:w="648" w:type="dxa"/>
            <w:noWrap w:val="0"/>
            <w:vAlign w:val="top"/>
          </w:tcPr>
          <w:p>
            <w:pPr>
              <w:rPr>
                <w:rFonts w:hint="eastAsia" w:ascii="宋体" w:hAnsi="宋体" w:eastAsia="宋体" w:cs="宋体"/>
                <w:b/>
                <w:sz w:val="21"/>
                <w:szCs w:val="21"/>
              </w:rPr>
            </w:pPr>
            <w:r>
              <w:rPr>
                <w:rFonts w:hint="eastAsia" w:ascii="宋体" w:hAnsi="宋体" w:eastAsia="宋体" w:cs="宋体"/>
                <w:b/>
                <w:sz w:val="21"/>
                <w:szCs w:val="21"/>
              </w:rPr>
              <w:t>10</w:t>
            </w:r>
          </w:p>
        </w:tc>
        <w:tc>
          <w:tcPr>
            <w:tcW w:w="2880" w:type="dxa"/>
            <w:tcBorders>
              <w:right w:val="single" w:color="auto" w:sz="4" w:space="0"/>
            </w:tcBorders>
            <w:noWrap w:val="0"/>
            <w:vAlign w:val="top"/>
          </w:tcPr>
          <w:p>
            <w:pPr>
              <w:rPr>
                <w:rFonts w:hint="eastAsia" w:ascii="宋体" w:hAnsi="宋体" w:eastAsia="宋体" w:cs="宋体"/>
                <w:b/>
                <w:sz w:val="21"/>
                <w:szCs w:val="21"/>
              </w:rPr>
            </w:pPr>
            <w:r>
              <w:rPr>
                <w:rFonts w:hint="eastAsia" w:ascii="宋体" w:hAnsi="宋体" w:eastAsia="宋体" w:cs="宋体"/>
                <w:b/>
                <w:sz w:val="21"/>
                <w:szCs w:val="21"/>
              </w:rPr>
              <w:t>抱怨</w:t>
            </w:r>
          </w:p>
        </w:tc>
        <w:tc>
          <w:tcPr>
            <w:tcW w:w="540" w:type="dxa"/>
            <w:tcBorders>
              <w:left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64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10.1</w:t>
            </w:r>
          </w:p>
        </w:tc>
        <w:tc>
          <w:tcPr>
            <w:tcW w:w="2880" w:type="dxa"/>
            <w:tcBorders>
              <w:right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实验室应制定抱怨及其处理的标准操作程序；应将抱怨资料及处理抱怨所采取的措施及结果记录归档保存。</w:t>
            </w:r>
          </w:p>
        </w:tc>
        <w:tc>
          <w:tcPr>
            <w:tcW w:w="540" w:type="dxa"/>
            <w:tcBorders>
              <w:left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tcBorders>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64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w:t>
            </w:r>
          </w:p>
          <w:p>
            <w:pPr>
              <w:rPr>
                <w:rFonts w:hint="eastAsia" w:ascii="宋体" w:hAnsi="宋体" w:eastAsia="宋体" w:cs="宋体"/>
                <w:sz w:val="21"/>
                <w:szCs w:val="21"/>
              </w:rPr>
            </w:pPr>
            <w:r>
              <w:rPr>
                <w:rFonts w:hint="eastAsia" w:ascii="宋体" w:hAnsi="宋体" w:eastAsia="宋体" w:cs="宋体"/>
                <w:sz w:val="21"/>
                <w:szCs w:val="21"/>
              </w:rPr>
              <w:t>10.2</w:t>
            </w:r>
          </w:p>
          <w:p>
            <w:pPr>
              <w:rPr>
                <w:rFonts w:hint="eastAsia" w:ascii="宋体" w:hAnsi="宋体" w:eastAsia="宋体" w:cs="宋体"/>
                <w:sz w:val="21"/>
                <w:szCs w:val="21"/>
              </w:rPr>
            </w:pPr>
          </w:p>
        </w:tc>
        <w:tc>
          <w:tcPr>
            <w:tcW w:w="2880" w:type="dxa"/>
            <w:tcBorders>
              <w:right w:val="single" w:color="auto" w:sz="4"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当抱怨或其它任何事项是对实验室是否符合其现行程序、或者是否符合《临床基因扩增实验室管理暂行办法》和《临床基因扩增实验室工作规范》、或是对其它有关实验室校准或检测质量提出疑问时，则实验室应立即对这些范围的工作和有关职责进行审核。</w:t>
            </w:r>
          </w:p>
        </w:tc>
        <w:tc>
          <w:tcPr>
            <w:tcW w:w="540" w:type="dxa"/>
            <w:tcBorders>
              <w:left w:val="single" w:color="auto" w:sz="4" w:space="0"/>
              <w:right w:val="single" w:color="auto" w:sz="6" w:space="0"/>
            </w:tcBorders>
            <w:noWrap w:val="0"/>
            <w:vAlign w:val="top"/>
          </w:tcPr>
          <w:p>
            <w:pPr>
              <w:rPr>
                <w:rFonts w:hint="eastAsia" w:ascii="宋体" w:hAnsi="宋体" w:eastAsia="宋体" w:cs="宋体"/>
                <w:sz w:val="21"/>
                <w:szCs w:val="21"/>
              </w:rPr>
            </w:pPr>
          </w:p>
        </w:tc>
        <w:tc>
          <w:tcPr>
            <w:tcW w:w="72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540" w:type="dxa"/>
            <w:tcBorders>
              <w:left w:val="single" w:color="auto" w:sz="6" w:space="0"/>
            </w:tcBorders>
            <w:noWrap w:val="0"/>
            <w:vAlign w:val="top"/>
          </w:tcPr>
          <w:p>
            <w:pPr>
              <w:rPr>
                <w:rFonts w:hint="eastAsia" w:ascii="宋体" w:hAnsi="宋体" w:eastAsia="宋体" w:cs="宋体"/>
                <w:sz w:val="21"/>
                <w:szCs w:val="21"/>
              </w:rPr>
            </w:pPr>
          </w:p>
        </w:tc>
        <w:tc>
          <w:tcPr>
            <w:tcW w:w="2112" w:type="dxa"/>
            <w:tcBorders>
              <w:left w:val="single" w:color="auto" w:sz="6" w:space="0"/>
            </w:tcBorders>
            <w:noWrap w:val="0"/>
            <w:vAlign w:val="top"/>
          </w:tcPr>
          <w:p>
            <w:pPr>
              <w:rPr>
                <w:rFonts w:hint="eastAsia" w:ascii="宋体" w:hAnsi="宋体" w:eastAsia="宋体" w:cs="宋体"/>
                <w:sz w:val="21"/>
                <w:szCs w:val="21"/>
              </w:rPr>
            </w:pPr>
          </w:p>
        </w:tc>
      </w:tr>
    </w:tbl>
    <w:p>
      <w:pPr>
        <w:rPr>
          <w:rFonts w:hint="eastAsia" w:ascii="宋体" w:hAnsi="宋体" w:eastAsia="宋体" w:cs="宋体"/>
          <w:sz w:val="18"/>
        </w:rPr>
      </w:pPr>
      <w:r>
        <w:rPr>
          <w:rFonts w:hint="eastAsia" w:ascii="宋体" w:hAnsi="宋体" w:eastAsia="宋体" w:cs="宋体"/>
          <w:b/>
          <w:sz w:val="18"/>
        </w:rPr>
        <w:t>注</w:t>
      </w:r>
      <w:r>
        <w:rPr>
          <w:rFonts w:hint="eastAsia" w:ascii="宋体" w:hAnsi="宋体" w:eastAsia="宋体" w:cs="宋体"/>
          <w:sz w:val="18"/>
        </w:rPr>
        <w:t>：请在验收所选项打“</w:t>
      </w:r>
      <w:r>
        <w:rPr>
          <w:rFonts w:hint="eastAsia" w:ascii="宋体" w:hAnsi="宋体" w:eastAsia="宋体" w:cs="宋体"/>
          <w:sz w:val="18"/>
        </w:rPr>
        <w:sym w:font="Symbol" w:char="F0D6"/>
      </w:r>
      <w:r>
        <w:rPr>
          <w:rFonts w:hint="eastAsia" w:ascii="宋体" w:hAnsi="宋体" w:eastAsia="宋体" w:cs="宋体"/>
          <w:sz w:val="18"/>
        </w:rPr>
        <w:t>”。</w:t>
      </w:r>
      <w:r>
        <w:rPr>
          <w:rFonts w:hint="eastAsia" w:ascii="宋体" w:hAnsi="宋体" w:eastAsia="宋体" w:cs="宋体"/>
          <w:sz w:val="28"/>
        </w:rPr>
        <w:t xml:space="preserve">    </w:t>
      </w:r>
      <w:r>
        <w:rPr>
          <w:rFonts w:hint="eastAsia" w:ascii="宋体" w:hAnsi="宋体" w:eastAsia="宋体" w:cs="宋体"/>
          <w:sz w:val="18"/>
        </w:rPr>
        <w:t>*：首次验收时，实验室可能缺此项</w:t>
      </w:r>
      <w:r>
        <w:rPr>
          <w:rFonts w:hint="eastAsia" w:ascii="宋体" w:hAnsi="宋体" w:eastAsia="宋体" w:cs="宋体"/>
          <w:sz w:val="28"/>
        </w:rPr>
        <w:t xml:space="preserve">  </w:t>
      </w:r>
      <w:r>
        <w:rPr>
          <w:rFonts w:hint="eastAsia" w:ascii="宋体" w:hAnsi="宋体" w:eastAsia="宋体" w:cs="宋体"/>
          <w:b/>
          <w:sz w:val="32"/>
        </w:rPr>
        <w:t xml:space="preserve">  </w:t>
      </w:r>
    </w:p>
    <w:p>
      <w:pPr>
        <w:spacing w:line="440" w:lineRule="exact"/>
        <w:rPr>
          <w:rFonts w:hint="eastAsia" w:ascii="宋体" w:hAnsi="宋体" w:eastAsia="宋体" w:cs="宋体"/>
          <w:sz w:val="24"/>
        </w:rPr>
      </w:pPr>
    </w:p>
    <w:p>
      <w:pPr>
        <w:spacing w:line="440" w:lineRule="exact"/>
        <w:rPr>
          <w:rFonts w:hint="eastAsia" w:ascii="宋体" w:hAnsi="宋体" w:eastAsia="宋体" w:cs="宋体"/>
          <w:sz w:val="24"/>
        </w:rPr>
      </w:pPr>
      <w:r>
        <w:rPr>
          <w:rFonts w:hint="eastAsia" w:ascii="宋体" w:hAnsi="宋体" w:eastAsia="宋体" w:cs="宋体"/>
          <w:sz w:val="24"/>
        </w:rPr>
        <w:t xml:space="preserve">附件2：   </w:t>
      </w:r>
    </w:p>
    <w:p>
      <w:pPr>
        <w:spacing w:line="440" w:lineRule="exact"/>
        <w:ind w:firstLine="964" w:firstLineChars="300"/>
        <w:rPr>
          <w:rFonts w:hint="eastAsia" w:ascii="宋体" w:hAnsi="宋体" w:eastAsia="宋体" w:cs="宋体"/>
          <w:b/>
          <w:bCs/>
          <w:sz w:val="32"/>
        </w:rPr>
      </w:pPr>
      <w:r>
        <w:rPr>
          <w:rFonts w:hint="eastAsia" w:ascii="宋体" w:hAnsi="宋体" w:eastAsia="宋体" w:cs="宋体"/>
          <w:b/>
          <w:bCs/>
          <w:sz w:val="32"/>
        </w:rPr>
        <w:t>临床基因诊断实验室技术验收评审意见汇总表</w:t>
      </w:r>
    </w:p>
    <w:p>
      <w:pPr>
        <w:spacing w:line="440" w:lineRule="exact"/>
        <w:ind w:firstLine="964" w:firstLineChars="300"/>
        <w:rPr>
          <w:rFonts w:hint="eastAsia" w:ascii="宋体" w:hAnsi="宋体" w:eastAsia="宋体" w:cs="宋体"/>
          <w:b/>
          <w:bCs/>
          <w:sz w:val="32"/>
        </w:rPr>
      </w:pPr>
    </w:p>
    <w:tbl>
      <w:tblPr>
        <w:tblStyle w:val="59"/>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1620"/>
        <w:gridCol w:w="2160"/>
        <w:gridCol w:w="1440"/>
        <w:gridCol w:w="283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60" w:hRule="atLeast"/>
        </w:trPr>
        <w:tc>
          <w:tcPr>
            <w:tcW w:w="468" w:type="dxa"/>
            <w:tcBorders>
              <w:bottom w:val="single" w:color="000000" w:sz="12" w:space="0"/>
            </w:tcBorders>
            <w:noWrap w:val="0"/>
            <w:vAlign w:val="top"/>
          </w:tcPr>
          <w:p>
            <w:pPr>
              <w:spacing w:line="360" w:lineRule="exact"/>
              <w:rPr>
                <w:rFonts w:hint="eastAsia" w:ascii="宋体" w:hAnsi="宋体" w:eastAsia="宋体" w:cs="宋体"/>
                <w:sz w:val="21"/>
                <w:szCs w:val="21"/>
              </w:rPr>
            </w:pPr>
          </w:p>
          <w:p>
            <w:pPr>
              <w:spacing w:line="360" w:lineRule="exact"/>
              <w:rPr>
                <w:rFonts w:hint="eastAsia" w:ascii="宋体" w:hAnsi="宋体" w:eastAsia="宋体" w:cs="宋体"/>
                <w:sz w:val="21"/>
                <w:szCs w:val="21"/>
              </w:rPr>
            </w:pPr>
            <w:r>
              <w:rPr>
                <w:rFonts w:hint="eastAsia" w:ascii="宋体" w:hAnsi="宋体" w:eastAsia="宋体" w:cs="宋体"/>
                <w:sz w:val="21"/>
                <w:szCs w:val="21"/>
              </w:rPr>
              <w:t>序</w:t>
            </w:r>
          </w:p>
          <w:p>
            <w:pPr>
              <w:spacing w:line="360" w:lineRule="exact"/>
              <w:rPr>
                <w:rFonts w:hint="eastAsia" w:ascii="宋体" w:hAnsi="宋体" w:eastAsia="宋体" w:cs="宋体"/>
                <w:sz w:val="21"/>
                <w:szCs w:val="21"/>
              </w:rPr>
            </w:pPr>
            <w:r>
              <w:rPr>
                <w:rFonts w:hint="eastAsia" w:ascii="宋体" w:hAnsi="宋体" w:eastAsia="宋体" w:cs="宋体"/>
                <w:sz w:val="21"/>
                <w:szCs w:val="21"/>
              </w:rPr>
              <w:t>号</w:t>
            </w:r>
          </w:p>
          <w:p>
            <w:pPr>
              <w:spacing w:line="360" w:lineRule="exact"/>
              <w:rPr>
                <w:rFonts w:hint="eastAsia" w:ascii="宋体" w:hAnsi="宋体" w:eastAsia="宋体" w:cs="宋体"/>
                <w:sz w:val="21"/>
                <w:szCs w:val="21"/>
              </w:rPr>
            </w:pPr>
          </w:p>
        </w:tc>
        <w:tc>
          <w:tcPr>
            <w:tcW w:w="1620" w:type="dxa"/>
            <w:tcBorders>
              <w:bottom w:val="single" w:color="000000" w:sz="12" w:space="0"/>
            </w:tcBorders>
            <w:noWrap w:val="0"/>
            <w:vAlign w:val="top"/>
          </w:tcPr>
          <w:p>
            <w:pPr>
              <w:spacing w:line="360" w:lineRule="exact"/>
              <w:rPr>
                <w:rFonts w:hint="eastAsia" w:ascii="宋体" w:hAnsi="宋体" w:eastAsia="宋体" w:cs="宋体"/>
                <w:sz w:val="21"/>
                <w:szCs w:val="21"/>
              </w:rPr>
            </w:pPr>
            <w:r>
              <w:rPr>
                <w:rFonts w:hint="eastAsia" w:ascii="宋体" w:hAnsi="宋体" w:eastAsia="宋体" w:cs="宋体"/>
                <w:sz w:val="21"/>
                <w:szCs w:val="21"/>
              </w:rPr>
              <w:t xml:space="preserve">  章    号</w:t>
            </w:r>
          </w:p>
          <w:p>
            <w:pPr>
              <w:spacing w:line="360" w:lineRule="exact"/>
              <w:rPr>
                <w:rFonts w:hint="eastAsia" w:ascii="宋体" w:hAnsi="宋体" w:eastAsia="宋体" w:cs="宋体"/>
                <w:sz w:val="21"/>
                <w:szCs w:val="21"/>
              </w:rPr>
            </w:pPr>
            <w:r>
              <w:rPr>
                <w:rFonts w:hint="eastAsia" w:ascii="宋体" w:hAnsi="宋体" w:eastAsia="宋体" w:cs="宋体"/>
                <w:sz w:val="21"/>
                <w:szCs w:val="21"/>
              </w:rPr>
              <w:t xml:space="preserve">     与</w:t>
            </w:r>
          </w:p>
          <w:p>
            <w:pPr>
              <w:spacing w:line="360" w:lineRule="exact"/>
              <w:rPr>
                <w:rFonts w:hint="eastAsia" w:ascii="宋体" w:hAnsi="宋体" w:eastAsia="宋体" w:cs="宋体"/>
                <w:sz w:val="21"/>
                <w:szCs w:val="21"/>
              </w:rPr>
            </w:pPr>
            <w:r>
              <w:rPr>
                <w:rFonts w:hint="eastAsia" w:ascii="宋体" w:hAnsi="宋体" w:eastAsia="宋体" w:cs="宋体"/>
                <w:sz w:val="21"/>
                <w:szCs w:val="21"/>
              </w:rPr>
              <w:t>（条    号）</w:t>
            </w:r>
          </w:p>
        </w:tc>
        <w:tc>
          <w:tcPr>
            <w:tcW w:w="2160" w:type="dxa"/>
            <w:tcBorders>
              <w:bottom w:val="single" w:color="000000" w:sz="12" w:space="0"/>
            </w:tcBorders>
            <w:noWrap w:val="0"/>
            <w:vAlign w:val="top"/>
          </w:tcPr>
          <w:p>
            <w:pPr>
              <w:spacing w:line="360" w:lineRule="exact"/>
              <w:rPr>
                <w:rFonts w:hint="eastAsia" w:ascii="宋体" w:hAnsi="宋体" w:eastAsia="宋体" w:cs="宋体"/>
                <w:sz w:val="21"/>
                <w:szCs w:val="21"/>
              </w:rPr>
            </w:pPr>
          </w:p>
          <w:p>
            <w:pPr>
              <w:spacing w:line="360" w:lineRule="exact"/>
              <w:rPr>
                <w:rFonts w:hint="eastAsia" w:ascii="宋体" w:hAnsi="宋体" w:eastAsia="宋体" w:cs="宋体"/>
                <w:sz w:val="21"/>
                <w:szCs w:val="21"/>
              </w:rPr>
            </w:pPr>
            <w:r>
              <w:rPr>
                <w:rFonts w:hint="eastAsia" w:ascii="宋体" w:hAnsi="宋体" w:eastAsia="宋体" w:cs="宋体"/>
                <w:sz w:val="21"/>
                <w:szCs w:val="21"/>
              </w:rPr>
              <w:t xml:space="preserve">    评审内容</w:t>
            </w:r>
          </w:p>
        </w:tc>
        <w:tc>
          <w:tcPr>
            <w:tcW w:w="1440" w:type="dxa"/>
            <w:tcBorders>
              <w:bottom w:val="single" w:color="000000" w:sz="12" w:space="0"/>
            </w:tcBorders>
            <w:noWrap w:val="0"/>
            <w:vAlign w:val="top"/>
          </w:tcPr>
          <w:p>
            <w:pPr>
              <w:spacing w:line="360" w:lineRule="exact"/>
              <w:rPr>
                <w:rFonts w:hint="eastAsia" w:ascii="宋体" w:hAnsi="宋体" w:eastAsia="宋体" w:cs="宋体"/>
                <w:sz w:val="21"/>
                <w:szCs w:val="21"/>
              </w:rPr>
            </w:pPr>
          </w:p>
          <w:p>
            <w:pPr>
              <w:spacing w:line="360" w:lineRule="exact"/>
              <w:rPr>
                <w:rFonts w:hint="eastAsia" w:ascii="宋体" w:hAnsi="宋体" w:eastAsia="宋体" w:cs="宋体"/>
                <w:sz w:val="21"/>
                <w:szCs w:val="21"/>
              </w:rPr>
            </w:pPr>
            <w:r>
              <w:rPr>
                <w:rFonts w:hint="eastAsia" w:ascii="宋体" w:hAnsi="宋体" w:eastAsia="宋体" w:cs="宋体"/>
                <w:sz w:val="21"/>
                <w:szCs w:val="21"/>
              </w:rPr>
              <w:t xml:space="preserve"> 评审结果</w:t>
            </w:r>
          </w:p>
          <w:p>
            <w:pPr>
              <w:spacing w:line="360" w:lineRule="exact"/>
              <w:rPr>
                <w:rFonts w:hint="eastAsia" w:ascii="宋体" w:hAnsi="宋体" w:eastAsia="宋体" w:cs="宋体"/>
                <w:sz w:val="21"/>
                <w:szCs w:val="21"/>
              </w:rPr>
            </w:pPr>
          </w:p>
        </w:tc>
        <w:tc>
          <w:tcPr>
            <w:tcW w:w="2832" w:type="dxa"/>
            <w:tcBorders>
              <w:bottom w:val="single" w:color="000000" w:sz="12" w:space="0"/>
            </w:tcBorders>
            <w:noWrap w:val="0"/>
            <w:vAlign w:val="top"/>
          </w:tcPr>
          <w:p>
            <w:pPr>
              <w:spacing w:line="360" w:lineRule="exact"/>
              <w:rPr>
                <w:rFonts w:hint="eastAsia" w:ascii="宋体" w:hAnsi="宋体" w:eastAsia="宋体" w:cs="宋体"/>
                <w:sz w:val="21"/>
                <w:szCs w:val="21"/>
              </w:rPr>
            </w:pPr>
            <w:r>
              <w:rPr>
                <w:rFonts w:hint="eastAsia" w:ascii="宋体" w:hAnsi="宋体" w:eastAsia="宋体" w:cs="宋体"/>
                <w:sz w:val="21"/>
                <w:szCs w:val="21"/>
              </w:rPr>
              <w:t xml:space="preserve">      整改要求</w:t>
            </w:r>
          </w:p>
          <w:p>
            <w:pPr>
              <w:spacing w:line="360" w:lineRule="exact"/>
              <w:rPr>
                <w:rFonts w:hint="eastAsia" w:ascii="宋体" w:hAnsi="宋体" w:eastAsia="宋体" w:cs="宋体"/>
                <w:sz w:val="21"/>
                <w:szCs w:val="21"/>
              </w:rPr>
            </w:pPr>
            <w:r>
              <w:rPr>
                <w:rFonts w:hint="eastAsia" w:ascii="宋体" w:hAnsi="宋体" w:eastAsia="宋体" w:cs="宋体"/>
                <w:sz w:val="21"/>
                <w:szCs w:val="21"/>
              </w:rPr>
              <w:t>（指出需整改的章条款（项）号；具体整改要求见附件3）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tcBorders>
              <w:top w:val="nil"/>
            </w:tcBorders>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1</w:t>
            </w:r>
          </w:p>
        </w:tc>
        <w:tc>
          <w:tcPr>
            <w:tcW w:w="1620" w:type="dxa"/>
            <w:tcBorders>
              <w:top w:val="nil"/>
            </w:tcBorders>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1     </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(1.1~1.7)</w:t>
            </w:r>
          </w:p>
        </w:tc>
        <w:tc>
          <w:tcPr>
            <w:tcW w:w="2160" w:type="dxa"/>
            <w:tcBorders>
              <w:top w:val="nil"/>
            </w:tcBorders>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实验室设置和设备</w:t>
            </w:r>
          </w:p>
        </w:tc>
        <w:tc>
          <w:tcPr>
            <w:tcW w:w="1440" w:type="dxa"/>
            <w:tcBorders>
              <w:top w:val="nil"/>
            </w:tcBorders>
            <w:noWrap w:val="0"/>
            <w:vAlign w:val="top"/>
          </w:tcPr>
          <w:p>
            <w:pPr>
              <w:spacing w:line="520" w:lineRule="exact"/>
              <w:rPr>
                <w:rFonts w:hint="eastAsia" w:ascii="宋体" w:hAnsi="宋体" w:eastAsia="宋体" w:cs="宋体"/>
                <w:b/>
                <w:sz w:val="21"/>
                <w:szCs w:val="21"/>
              </w:rPr>
            </w:pPr>
          </w:p>
        </w:tc>
        <w:tc>
          <w:tcPr>
            <w:tcW w:w="2832" w:type="dxa"/>
            <w:tcBorders>
              <w:top w:val="nil"/>
            </w:tcBorders>
            <w:noWrap w:val="0"/>
            <w:vAlign w:val="top"/>
          </w:tcPr>
          <w:p>
            <w:pPr>
              <w:spacing w:line="520" w:lineRule="exact"/>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2</w:t>
            </w:r>
          </w:p>
        </w:tc>
        <w:tc>
          <w:tcPr>
            <w:tcW w:w="162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2</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（2.1~2.6）</w:t>
            </w:r>
          </w:p>
        </w:tc>
        <w:tc>
          <w:tcPr>
            <w:tcW w:w="2160" w:type="dxa"/>
            <w:noWrap w:val="0"/>
            <w:vAlign w:val="top"/>
          </w:tcPr>
          <w:p>
            <w:pPr>
              <w:spacing w:line="520" w:lineRule="exact"/>
              <w:ind w:firstLine="210"/>
              <w:rPr>
                <w:rFonts w:hint="eastAsia" w:ascii="宋体" w:hAnsi="宋体" w:eastAsia="宋体" w:cs="宋体"/>
                <w:sz w:val="21"/>
                <w:szCs w:val="21"/>
              </w:rPr>
            </w:pPr>
            <w:r>
              <w:rPr>
                <w:rFonts w:hint="eastAsia" w:ascii="宋体" w:hAnsi="宋体" w:eastAsia="宋体" w:cs="宋体"/>
                <w:sz w:val="21"/>
                <w:szCs w:val="21"/>
              </w:rPr>
              <w:t>设施和环境</w:t>
            </w:r>
          </w:p>
        </w:tc>
        <w:tc>
          <w:tcPr>
            <w:tcW w:w="1440" w:type="dxa"/>
            <w:noWrap w:val="0"/>
            <w:vAlign w:val="top"/>
          </w:tcPr>
          <w:p>
            <w:pPr>
              <w:spacing w:line="520" w:lineRule="exact"/>
              <w:rPr>
                <w:rFonts w:hint="eastAsia" w:ascii="宋体" w:hAnsi="宋体" w:eastAsia="宋体" w:cs="宋体"/>
                <w:sz w:val="21"/>
                <w:szCs w:val="21"/>
              </w:rPr>
            </w:pPr>
          </w:p>
        </w:tc>
        <w:tc>
          <w:tcPr>
            <w:tcW w:w="2832" w:type="dxa"/>
            <w:noWrap w:val="0"/>
            <w:vAlign w:val="top"/>
          </w:tcPr>
          <w:p>
            <w:pPr>
              <w:spacing w:line="520" w:lineRule="exact"/>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3</w:t>
            </w:r>
          </w:p>
        </w:tc>
        <w:tc>
          <w:tcPr>
            <w:tcW w:w="162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3</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（3.1~3.3）</w:t>
            </w:r>
          </w:p>
        </w:tc>
        <w:tc>
          <w:tcPr>
            <w:tcW w:w="216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人员</w:t>
            </w:r>
          </w:p>
        </w:tc>
        <w:tc>
          <w:tcPr>
            <w:tcW w:w="1440" w:type="dxa"/>
            <w:noWrap w:val="0"/>
            <w:vAlign w:val="top"/>
          </w:tcPr>
          <w:p>
            <w:pPr>
              <w:spacing w:line="520" w:lineRule="exact"/>
              <w:rPr>
                <w:rFonts w:hint="eastAsia" w:ascii="宋体" w:hAnsi="宋体" w:eastAsia="宋体" w:cs="宋体"/>
                <w:sz w:val="21"/>
                <w:szCs w:val="21"/>
              </w:rPr>
            </w:pPr>
          </w:p>
        </w:tc>
        <w:tc>
          <w:tcPr>
            <w:tcW w:w="2832" w:type="dxa"/>
            <w:noWrap w:val="0"/>
            <w:vAlign w:val="top"/>
          </w:tcPr>
          <w:p>
            <w:pPr>
              <w:spacing w:line="520" w:lineRule="exact"/>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4</w:t>
            </w:r>
          </w:p>
        </w:tc>
        <w:tc>
          <w:tcPr>
            <w:tcW w:w="162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4</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（4.1~4.3）</w:t>
            </w:r>
          </w:p>
        </w:tc>
        <w:tc>
          <w:tcPr>
            <w:tcW w:w="2160" w:type="dxa"/>
            <w:noWrap w:val="0"/>
            <w:vAlign w:val="top"/>
          </w:tcPr>
          <w:p>
            <w:pPr>
              <w:spacing w:line="520" w:lineRule="exact"/>
              <w:ind w:firstLine="210"/>
              <w:rPr>
                <w:rFonts w:hint="eastAsia" w:ascii="宋体" w:hAnsi="宋体" w:eastAsia="宋体" w:cs="宋体"/>
                <w:sz w:val="21"/>
                <w:szCs w:val="21"/>
              </w:rPr>
            </w:pPr>
            <w:r>
              <w:rPr>
                <w:rFonts w:hint="eastAsia" w:ascii="宋体" w:hAnsi="宋体" w:eastAsia="宋体" w:cs="宋体"/>
                <w:sz w:val="21"/>
                <w:szCs w:val="21"/>
              </w:rPr>
              <w:t>设备管理和质控物</w:t>
            </w:r>
          </w:p>
        </w:tc>
        <w:tc>
          <w:tcPr>
            <w:tcW w:w="1440" w:type="dxa"/>
            <w:noWrap w:val="0"/>
            <w:vAlign w:val="top"/>
          </w:tcPr>
          <w:p>
            <w:pPr>
              <w:spacing w:line="520" w:lineRule="exact"/>
              <w:rPr>
                <w:rFonts w:hint="eastAsia" w:ascii="宋体" w:hAnsi="宋体" w:eastAsia="宋体" w:cs="宋体"/>
                <w:sz w:val="21"/>
                <w:szCs w:val="21"/>
              </w:rPr>
            </w:pPr>
          </w:p>
        </w:tc>
        <w:tc>
          <w:tcPr>
            <w:tcW w:w="2832" w:type="dxa"/>
            <w:noWrap w:val="0"/>
            <w:vAlign w:val="top"/>
          </w:tcPr>
          <w:p>
            <w:pP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5</w:t>
            </w:r>
          </w:p>
        </w:tc>
        <w:tc>
          <w:tcPr>
            <w:tcW w:w="162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5</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（5.1~5.3）</w:t>
            </w:r>
          </w:p>
        </w:tc>
        <w:tc>
          <w:tcPr>
            <w:tcW w:w="2160" w:type="dxa"/>
            <w:noWrap w:val="0"/>
            <w:vAlign w:val="top"/>
          </w:tcPr>
          <w:p>
            <w:pPr>
              <w:spacing w:line="520" w:lineRule="exact"/>
              <w:ind w:firstLine="420"/>
              <w:rPr>
                <w:rFonts w:hint="eastAsia" w:ascii="宋体" w:hAnsi="宋体" w:eastAsia="宋体" w:cs="宋体"/>
                <w:sz w:val="21"/>
                <w:szCs w:val="21"/>
              </w:rPr>
            </w:pPr>
            <w:r>
              <w:rPr>
                <w:rFonts w:hint="eastAsia" w:ascii="宋体" w:hAnsi="宋体" w:eastAsia="宋体" w:cs="宋体"/>
                <w:sz w:val="21"/>
                <w:szCs w:val="21"/>
              </w:rPr>
              <w:t>检测方法</w:t>
            </w:r>
          </w:p>
        </w:tc>
        <w:tc>
          <w:tcPr>
            <w:tcW w:w="1440" w:type="dxa"/>
            <w:noWrap w:val="0"/>
            <w:vAlign w:val="top"/>
          </w:tcPr>
          <w:p>
            <w:pPr>
              <w:spacing w:line="520" w:lineRule="exact"/>
              <w:rPr>
                <w:rFonts w:hint="eastAsia" w:ascii="宋体" w:hAnsi="宋体" w:eastAsia="宋体" w:cs="宋体"/>
                <w:sz w:val="21"/>
                <w:szCs w:val="21"/>
              </w:rPr>
            </w:pPr>
          </w:p>
        </w:tc>
        <w:tc>
          <w:tcPr>
            <w:tcW w:w="2832" w:type="dxa"/>
            <w:noWrap w:val="0"/>
            <w:vAlign w:val="top"/>
          </w:tcPr>
          <w:p>
            <w:pP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6</w:t>
            </w:r>
          </w:p>
        </w:tc>
        <w:tc>
          <w:tcPr>
            <w:tcW w:w="162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6</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（6.1~6.7）</w:t>
            </w:r>
          </w:p>
        </w:tc>
        <w:tc>
          <w:tcPr>
            <w:tcW w:w="2160" w:type="dxa"/>
            <w:noWrap w:val="0"/>
            <w:vAlign w:val="top"/>
          </w:tcPr>
          <w:p>
            <w:pPr>
              <w:spacing w:line="520" w:lineRule="exact"/>
              <w:ind w:firstLine="420"/>
              <w:rPr>
                <w:rFonts w:hint="eastAsia" w:ascii="宋体" w:hAnsi="宋体" w:eastAsia="宋体" w:cs="宋体"/>
                <w:sz w:val="21"/>
                <w:szCs w:val="21"/>
              </w:rPr>
            </w:pPr>
            <w:r>
              <w:rPr>
                <w:rFonts w:hint="eastAsia" w:ascii="宋体" w:hAnsi="宋体" w:eastAsia="宋体" w:cs="宋体"/>
                <w:sz w:val="21"/>
                <w:szCs w:val="21"/>
              </w:rPr>
              <w:t>标本管理</w:t>
            </w:r>
          </w:p>
        </w:tc>
        <w:tc>
          <w:tcPr>
            <w:tcW w:w="1440" w:type="dxa"/>
            <w:noWrap w:val="0"/>
            <w:vAlign w:val="top"/>
          </w:tcPr>
          <w:p>
            <w:pPr>
              <w:spacing w:line="520" w:lineRule="exact"/>
              <w:rPr>
                <w:rFonts w:hint="eastAsia" w:ascii="宋体" w:hAnsi="宋体" w:eastAsia="宋体" w:cs="宋体"/>
                <w:sz w:val="21"/>
                <w:szCs w:val="21"/>
              </w:rPr>
            </w:pPr>
          </w:p>
        </w:tc>
        <w:tc>
          <w:tcPr>
            <w:tcW w:w="2832" w:type="dxa"/>
            <w:noWrap w:val="0"/>
            <w:vAlign w:val="top"/>
          </w:tcPr>
          <w:p>
            <w:pPr>
              <w:spacing w:line="520" w:lineRule="exact"/>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7</w:t>
            </w:r>
          </w:p>
        </w:tc>
        <w:tc>
          <w:tcPr>
            <w:tcW w:w="162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7</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（7.1~7.3）</w:t>
            </w:r>
          </w:p>
        </w:tc>
        <w:tc>
          <w:tcPr>
            <w:tcW w:w="2160" w:type="dxa"/>
            <w:noWrap w:val="0"/>
            <w:vAlign w:val="top"/>
          </w:tcPr>
          <w:p>
            <w:pPr>
              <w:spacing w:line="520" w:lineRule="exact"/>
              <w:ind w:firstLine="420"/>
              <w:rPr>
                <w:rFonts w:hint="eastAsia" w:ascii="宋体" w:hAnsi="宋体" w:eastAsia="宋体" w:cs="宋体"/>
                <w:sz w:val="21"/>
                <w:szCs w:val="21"/>
              </w:rPr>
            </w:pPr>
            <w:r>
              <w:rPr>
                <w:rFonts w:hint="eastAsia" w:ascii="宋体" w:hAnsi="宋体" w:eastAsia="宋体" w:cs="宋体"/>
                <w:sz w:val="21"/>
                <w:szCs w:val="21"/>
              </w:rPr>
              <w:t>记录</w:t>
            </w:r>
          </w:p>
        </w:tc>
        <w:tc>
          <w:tcPr>
            <w:tcW w:w="1440" w:type="dxa"/>
            <w:noWrap w:val="0"/>
            <w:vAlign w:val="top"/>
          </w:tcPr>
          <w:p>
            <w:pPr>
              <w:spacing w:line="520" w:lineRule="exact"/>
              <w:rPr>
                <w:rFonts w:hint="eastAsia" w:ascii="宋体" w:hAnsi="宋体" w:eastAsia="宋体" w:cs="宋体"/>
                <w:sz w:val="21"/>
                <w:szCs w:val="21"/>
              </w:rPr>
            </w:pPr>
          </w:p>
        </w:tc>
        <w:tc>
          <w:tcPr>
            <w:tcW w:w="2832" w:type="dxa"/>
            <w:noWrap w:val="0"/>
            <w:vAlign w:val="top"/>
          </w:tcPr>
          <w:p>
            <w:pPr>
              <w:spacing w:line="520" w:lineRule="exact"/>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8</w:t>
            </w:r>
          </w:p>
        </w:tc>
        <w:tc>
          <w:tcPr>
            <w:tcW w:w="162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8</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（8.1~8.4）</w:t>
            </w:r>
          </w:p>
        </w:tc>
        <w:tc>
          <w:tcPr>
            <w:tcW w:w="2160" w:type="dxa"/>
            <w:noWrap w:val="0"/>
            <w:vAlign w:val="top"/>
          </w:tcPr>
          <w:p>
            <w:pPr>
              <w:spacing w:line="520" w:lineRule="exact"/>
              <w:ind w:firstLine="420"/>
              <w:rPr>
                <w:rFonts w:hint="eastAsia" w:ascii="宋体" w:hAnsi="宋体" w:eastAsia="宋体" w:cs="宋体"/>
                <w:sz w:val="21"/>
                <w:szCs w:val="21"/>
              </w:rPr>
            </w:pPr>
            <w:r>
              <w:rPr>
                <w:rFonts w:hint="eastAsia" w:ascii="宋体" w:hAnsi="宋体" w:eastAsia="宋体" w:cs="宋体"/>
                <w:sz w:val="21"/>
                <w:szCs w:val="21"/>
              </w:rPr>
              <w:t>报告</w:t>
            </w:r>
          </w:p>
        </w:tc>
        <w:tc>
          <w:tcPr>
            <w:tcW w:w="1440" w:type="dxa"/>
            <w:noWrap w:val="0"/>
            <w:vAlign w:val="top"/>
          </w:tcPr>
          <w:p>
            <w:pPr>
              <w:spacing w:line="520" w:lineRule="exact"/>
              <w:rPr>
                <w:rFonts w:hint="eastAsia" w:ascii="宋体" w:hAnsi="宋体" w:eastAsia="宋体" w:cs="宋体"/>
                <w:sz w:val="21"/>
                <w:szCs w:val="21"/>
              </w:rPr>
            </w:pPr>
          </w:p>
        </w:tc>
        <w:tc>
          <w:tcPr>
            <w:tcW w:w="2832" w:type="dxa"/>
            <w:noWrap w:val="0"/>
            <w:vAlign w:val="top"/>
          </w:tcPr>
          <w:p>
            <w:pPr>
              <w:spacing w:line="520" w:lineRule="exact"/>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9</w:t>
            </w:r>
          </w:p>
        </w:tc>
        <w:tc>
          <w:tcPr>
            <w:tcW w:w="162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9</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（9.1~9.2）</w:t>
            </w:r>
          </w:p>
        </w:tc>
        <w:tc>
          <w:tcPr>
            <w:tcW w:w="2160" w:type="dxa"/>
            <w:noWrap w:val="0"/>
            <w:vAlign w:val="top"/>
          </w:tcPr>
          <w:p>
            <w:pPr>
              <w:spacing w:line="520" w:lineRule="exact"/>
              <w:ind w:firstLine="210"/>
              <w:rPr>
                <w:rFonts w:hint="eastAsia" w:ascii="宋体" w:hAnsi="宋体" w:eastAsia="宋体" w:cs="宋体"/>
                <w:sz w:val="21"/>
                <w:szCs w:val="21"/>
              </w:rPr>
            </w:pPr>
            <w:r>
              <w:rPr>
                <w:rFonts w:hint="eastAsia" w:ascii="宋体" w:hAnsi="宋体" w:eastAsia="宋体" w:cs="宋体"/>
                <w:sz w:val="21"/>
                <w:szCs w:val="21"/>
              </w:rPr>
              <w:t xml:space="preserve">  质量控制</w:t>
            </w:r>
          </w:p>
        </w:tc>
        <w:tc>
          <w:tcPr>
            <w:tcW w:w="1440" w:type="dxa"/>
            <w:noWrap w:val="0"/>
            <w:vAlign w:val="top"/>
          </w:tcPr>
          <w:p>
            <w:pPr>
              <w:spacing w:line="520" w:lineRule="exact"/>
              <w:rPr>
                <w:rFonts w:hint="eastAsia" w:ascii="宋体" w:hAnsi="宋体" w:eastAsia="宋体" w:cs="宋体"/>
                <w:sz w:val="21"/>
                <w:szCs w:val="21"/>
              </w:rPr>
            </w:pPr>
          </w:p>
        </w:tc>
        <w:tc>
          <w:tcPr>
            <w:tcW w:w="2832" w:type="dxa"/>
            <w:noWrap w:val="0"/>
            <w:vAlign w:val="top"/>
          </w:tcPr>
          <w:p>
            <w:pPr>
              <w:spacing w:line="520" w:lineRule="exact"/>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10</w:t>
            </w:r>
          </w:p>
        </w:tc>
        <w:tc>
          <w:tcPr>
            <w:tcW w:w="1620" w:type="dxa"/>
            <w:noWrap w:val="0"/>
            <w:vAlign w:val="top"/>
          </w:tcPr>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10</w:t>
            </w:r>
          </w:p>
          <w:p>
            <w:pPr>
              <w:spacing w:line="520" w:lineRule="exact"/>
              <w:rPr>
                <w:rFonts w:hint="eastAsia" w:ascii="宋体" w:hAnsi="宋体" w:eastAsia="宋体" w:cs="宋体"/>
                <w:sz w:val="21"/>
                <w:szCs w:val="21"/>
              </w:rPr>
            </w:pPr>
            <w:r>
              <w:rPr>
                <w:rFonts w:hint="eastAsia" w:ascii="宋体" w:hAnsi="宋体" w:eastAsia="宋体" w:cs="宋体"/>
                <w:sz w:val="21"/>
                <w:szCs w:val="21"/>
              </w:rPr>
              <w:t xml:space="preserve"> （10.1~10.2）</w:t>
            </w:r>
          </w:p>
        </w:tc>
        <w:tc>
          <w:tcPr>
            <w:tcW w:w="2160" w:type="dxa"/>
            <w:noWrap w:val="0"/>
            <w:vAlign w:val="top"/>
          </w:tcPr>
          <w:p>
            <w:pPr>
              <w:spacing w:line="5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抱怨</w:t>
            </w:r>
          </w:p>
        </w:tc>
        <w:tc>
          <w:tcPr>
            <w:tcW w:w="1440" w:type="dxa"/>
            <w:noWrap w:val="0"/>
            <w:vAlign w:val="top"/>
          </w:tcPr>
          <w:p>
            <w:pPr>
              <w:spacing w:line="520" w:lineRule="exact"/>
              <w:rPr>
                <w:rFonts w:hint="eastAsia" w:ascii="宋体" w:hAnsi="宋体" w:eastAsia="宋体" w:cs="宋体"/>
                <w:sz w:val="21"/>
                <w:szCs w:val="21"/>
              </w:rPr>
            </w:pPr>
          </w:p>
        </w:tc>
        <w:tc>
          <w:tcPr>
            <w:tcW w:w="2832" w:type="dxa"/>
            <w:noWrap w:val="0"/>
            <w:vAlign w:val="top"/>
          </w:tcPr>
          <w:p>
            <w:pPr>
              <w:spacing w:line="520" w:lineRule="exact"/>
              <w:rPr>
                <w:rFonts w:hint="eastAsia" w:ascii="宋体" w:hAnsi="宋体" w:eastAsia="宋体" w:cs="宋体"/>
                <w:sz w:val="21"/>
                <w:szCs w:val="21"/>
              </w:rPr>
            </w:pPr>
          </w:p>
        </w:tc>
      </w:tr>
    </w:tbl>
    <w:p>
      <w:pPr>
        <w:spacing w:line="440" w:lineRule="exact"/>
        <w:rPr>
          <w:rFonts w:hint="eastAsia" w:ascii="宋体" w:hAnsi="宋体" w:eastAsia="宋体" w:cs="宋体"/>
        </w:rPr>
      </w:pPr>
      <w:r>
        <w:rPr>
          <w:rFonts w:hint="eastAsia" w:ascii="宋体" w:hAnsi="宋体" w:eastAsia="宋体" w:cs="宋体"/>
        </w:rPr>
        <w:t>附件3：</w:t>
      </w:r>
    </w:p>
    <w:p>
      <w:pPr>
        <w:spacing w:line="440" w:lineRule="exact"/>
        <w:rPr>
          <w:rFonts w:hint="eastAsia" w:ascii="宋体" w:hAnsi="宋体" w:eastAsia="宋体" w:cs="宋体"/>
          <w:sz w:val="28"/>
        </w:rPr>
      </w:pPr>
      <w:r>
        <w:rPr>
          <w:rFonts w:hint="eastAsia" w:ascii="宋体" w:hAnsi="宋体" w:eastAsia="宋体" w:cs="宋体"/>
        </w:rPr>
        <w:t xml:space="preserve">                       </w:t>
      </w:r>
      <w:r>
        <w:rPr>
          <w:rFonts w:hint="eastAsia" w:ascii="宋体" w:hAnsi="宋体" w:eastAsia="宋体" w:cs="宋体"/>
          <w:sz w:val="28"/>
        </w:rPr>
        <w:t xml:space="preserve"> 整 改 要 求</w:t>
      </w:r>
    </w:p>
    <w:tbl>
      <w:tblPr>
        <w:tblStyle w:val="5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75"/>
        <w:gridCol w:w="1784"/>
        <w:gridCol w:w="59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75" w:type="dxa"/>
            <w:noWrap w:val="0"/>
            <w:vAlign w:val="top"/>
          </w:tcPr>
          <w:p>
            <w:pPr>
              <w:spacing w:line="440" w:lineRule="exact"/>
              <w:rPr>
                <w:rFonts w:hint="eastAsia" w:ascii="宋体" w:hAnsi="宋体" w:eastAsia="宋体" w:cs="宋体"/>
              </w:rPr>
            </w:pPr>
            <w:r>
              <w:rPr>
                <w:rFonts w:hint="eastAsia" w:ascii="宋体" w:hAnsi="宋体" w:eastAsia="宋体" w:cs="宋体"/>
              </w:rPr>
              <w:t>序号</w:t>
            </w:r>
          </w:p>
        </w:tc>
        <w:tc>
          <w:tcPr>
            <w:tcW w:w="1784" w:type="dxa"/>
            <w:noWrap w:val="0"/>
            <w:vAlign w:val="top"/>
          </w:tcPr>
          <w:p>
            <w:pPr>
              <w:spacing w:line="440" w:lineRule="exact"/>
              <w:rPr>
                <w:rFonts w:hint="eastAsia" w:ascii="宋体" w:hAnsi="宋体" w:eastAsia="宋体" w:cs="宋体"/>
              </w:rPr>
            </w:pPr>
            <w:r>
              <w:rPr>
                <w:rFonts w:hint="eastAsia" w:ascii="宋体" w:hAnsi="宋体" w:eastAsia="宋体" w:cs="宋体"/>
              </w:rPr>
              <w:t>需整改章条号</w:t>
            </w:r>
          </w:p>
        </w:tc>
        <w:tc>
          <w:tcPr>
            <w:tcW w:w="5961" w:type="dxa"/>
            <w:noWrap w:val="0"/>
            <w:vAlign w:val="top"/>
          </w:tcPr>
          <w:p>
            <w:pPr>
              <w:spacing w:line="440" w:lineRule="exact"/>
              <w:rPr>
                <w:rFonts w:hint="eastAsia" w:ascii="宋体" w:hAnsi="宋体" w:eastAsia="宋体" w:cs="宋体"/>
              </w:rPr>
            </w:pPr>
            <w:r>
              <w:rPr>
                <w:rFonts w:hint="eastAsia" w:ascii="宋体" w:hAnsi="宋体" w:eastAsia="宋体" w:cs="宋体"/>
              </w:rPr>
              <w:t xml:space="preserve">            具   体   整   改   要   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75" w:type="dxa"/>
            <w:noWrap w:val="0"/>
            <w:vAlign w:val="top"/>
          </w:tcPr>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tc>
        <w:tc>
          <w:tcPr>
            <w:tcW w:w="1784" w:type="dxa"/>
            <w:noWrap w:val="0"/>
            <w:vAlign w:val="top"/>
          </w:tcPr>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tc>
        <w:tc>
          <w:tcPr>
            <w:tcW w:w="5961" w:type="dxa"/>
            <w:noWrap w:val="0"/>
            <w:vAlign w:val="top"/>
          </w:tcPr>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p>
            <w:pPr>
              <w:spacing w:line="440" w:lineRule="exact"/>
              <w:rPr>
                <w:rFonts w:hint="eastAsia" w:ascii="宋体" w:hAnsi="宋体" w:eastAsia="宋体" w:cs="宋体"/>
              </w:rPr>
            </w:pPr>
          </w:p>
        </w:tc>
      </w:tr>
    </w:tbl>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r>
        <w:rPr>
          <w:rFonts w:hint="eastAsia" w:ascii="宋体" w:hAnsi="宋体" w:eastAsia="宋体" w:cs="宋体"/>
          <w:sz w:val="28"/>
        </w:rPr>
        <w:t>附件4：</w:t>
      </w:r>
    </w:p>
    <w:p>
      <w:pPr>
        <w:spacing w:line="440" w:lineRule="exact"/>
        <w:rPr>
          <w:rFonts w:hint="eastAsia" w:ascii="宋体" w:hAnsi="宋体" w:eastAsia="宋体" w:cs="宋体"/>
          <w:sz w:val="28"/>
        </w:rPr>
      </w:pPr>
      <w:r>
        <w:rPr>
          <w:rFonts w:hint="eastAsia" w:ascii="宋体" w:hAnsi="宋体" w:eastAsia="宋体" w:cs="宋体"/>
          <w:sz w:val="28"/>
        </w:rPr>
        <w:t xml:space="preserve">                 需要说明的其它问题</w:t>
      </w:r>
    </w:p>
    <w:tbl>
      <w:tblPr>
        <w:tblStyle w:val="5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8522" w:type="dxa"/>
            <w:noWrap w:val="0"/>
            <w:vAlign w:val="top"/>
          </w:tcPr>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p>
            <w:pPr>
              <w:spacing w:line="440" w:lineRule="exact"/>
              <w:rPr>
                <w:rFonts w:hint="eastAsia" w:ascii="宋体" w:hAnsi="宋体" w:eastAsia="宋体" w:cs="宋体"/>
                <w:sz w:val="28"/>
              </w:rPr>
            </w:pPr>
          </w:p>
        </w:tc>
      </w:tr>
    </w:tbl>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第二包：</w:t>
      </w:r>
    </w:p>
    <w:p>
      <w:pPr>
        <w:pageBreakBefore w:val="0"/>
        <w:kinsoku/>
        <w:topLinePunct w:val="0"/>
        <w:bidi w:val="0"/>
        <w:spacing w:line="360" w:lineRule="auto"/>
        <w:ind w:right="-175" w:rightChars="-73"/>
        <w:textAlignment w:val="auto"/>
        <w:rPr>
          <w:rFonts w:hint="eastAsia" w:ascii="宋体" w:hAnsi="宋体" w:eastAsia="宋体" w:cs="宋体"/>
          <w:sz w:val="24"/>
          <w:szCs w:val="24"/>
        </w:rPr>
      </w:pPr>
      <w:r>
        <w:rPr>
          <w:rFonts w:hint="eastAsia" w:ascii="宋体" w:hAnsi="宋体" w:eastAsia="宋体" w:cs="宋体"/>
          <w:b/>
          <w:color w:val="000000"/>
          <w:sz w:val="24"/>
          <w:szCs w:val="24"/>
        </w:rPr>
        <w:t>一、实验室规划及实验室布局</w:t>
      </w:r>
      <w:r>
        <w:rPr>
          <w:rFonts w:hint="eastAsia" w:ascii="宋体" w:hAnsi="宋体" w:eastAsia="宋体" w:cs="宋体"/>
          <w:b/>
          <w:color w:val="auto"/>
          <w:sz w:val="24"/>
          <w:szCs w:val="24"/>
        </w:rPr>
        <w:t>（见图纸）</w:t>
      </w:r>
    </w:p>
    <w:p>
      <w:pPr>
        <w:pageBreakBefore w:val="0"/>
        <w:kinsoku/>
        <w:topLinePunct w:val="0"/>
        <w:bidi w:val="0"/>
        <w:spacing w:line="360" w:lineRule="auto"/>
        <w:ind w:right="-175" w:rightChars="-73"/>
        <w:textAlignment w:val="auto"/>
        <w:rPr>
          <w:rFonts w:hint="eastAsia" w:ascii="宋体" w:hAnsi="宋体" w:eastAsia="宋体" w:cs="宋体"/>
          <w:b/>
          <w:bCs/>
          <w:sz w:val="24"/>
          <w:szCs w:val="24"/>
        </w:rPr>
      </w:pPr>
      <w:r>
        <w:drawing>
          <wp:inline distT="0" distB="0" distL="114300" distR="114300">
            <wp:extent cx="5739765" cy="6638925"/>
            <wp:effectExtent l="0" t="0" r="13335"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5739765" cy="6638925"/>
                    </a:xfrm>
                    <a:prstGeom prst="rect">
                      <a:avLst/>
                    </a:prstGeom>
                    <a:noFill/>
                    <a:ln>
                      <a:noFill/>
                    </a:ln>
                  </pic:spPr>
                </pic:pic>
              </a:graphicData>
            </a:graphic>
          </wp:inline>
        </w:drawing>
      </w:r>
    </w:p>
    <w:p>
      <w:pPr>
        <w:pageBreakBefore w:val="0"/>
        <w:kinsoku/>
        <w:topLinePunct w:val="0"/>
        <w:bidi w:val="0"/>
        <w:spacing w:line="360" w:lineRule="auto"/>
        <w:ind w:right="-175" w:rightChars="-73"/>
        <w:textAlignment w:val="auto"/>
        <w:rPr>
          <w:rFonts w:hint="eastAsia" w:ascii="宋体" w:hAnsi="宋体" w:eastAsia="宋体" w:cs="宋体"/>
          <w:b/>
          <w:bCs/>
          <w:sz w:val="24"/>
          <w:szCs w:val="24"/>
        </w:rPr>
      </w:pPr>
    </w:p>
    <w:p>
      <w:pPr>
        <w:pageBreakBefore w:val="0"/>
        <w:kinsoku/>
        <w:topLinePunct w:val="0"/>
        <w:bidi w:val="0"/>
        <w:spacing w:line="360" w:lineRule="auto"/>
        <w:ind w:right="-175" w:rightChars="-73"/>
        <w:textAlignment w:val="auto"/>
        <w:rPr>
          <w:rFonts w:hint="eastAsia" w:ascii="宋体" w:hAnsi="宋体" w:eastAsia="宋体" w:cs="宋体"/>
          <w:b/>
          <w:bCs/>
          <w:sz w:val="24"/>
          <w:szCs w:val="24"/>
        </w:rPr>
      </w:pPr>
    </w:p>
    <w:p>
      <w:pPr>
        <w:pStyle w:val="2"/>
        <w:rPr>
          <w:rFonts w:hint="eastAsia" w:ascii="宋体" w:hAnsi="宋体" w:eastAsia="宋体" w:cs="宋体"/>
          <w:b/>
          <w:bCs/>
          <w:sz w:val="24"/>
          <w:szCs w:val="24"/>
        </w:rPr>
      </w:pPr>
    </w:p>
    <w:p>
      <w:pPr>
        <w:pStyle w:val="2"/>
        <w:rPr>
          <w:rFonts w:hint="eastAsia" w:ascii="宋体" w:hAnsi="宋体" w:eastAsia="宋体" w:cs="宋体"/>
          <w:b/>
          <w:bCs/>
          <w:sz w:val="24"/>
          <w:szCs w:val="24"/>
        </w:rPr>
      </w:pPr>
    </w:p>
    <w:p>
      <w:pPr>
        <w:pStyle w:val="2"/>
        <w:rPr>
          <w:rFonts w:hint="eastAsia" w:ascii="宋体" w:hAnsi="宋体" w:eastAsia="宋体" w:cs="宋体"/>
          <w:b/>
          <w:bCs/>
          <w:sz w:val="24"/>
          <w:szCs w:val="24"/>
        </w:rPr>
      </w:pPr>
    </w:p>
    <w:p>
      <w:pPr>
        <w:pageBreakBefore w:val="0"/>
        <w:kinsoku/>
        <w:topLinePunct w:val="0"/>
        <w:bidi w:val="0"/>
        <w:spacing w:line="360" w:lineRule="auto"/>
        <w:ind w:right="-175" w:rightChars="-73"/>
        <w:textAlignment w:val="auto"/>
        <w:rPr>
          <w:rFonts w:hint="eastAsia" w:ascii="宋体" w:hAnsi="宋体" w:eastAsia="宋体" w:cs="宋体"/>
          <w:b/>
          <w:bCs/>
          <w:sz w:val="24"/>
          <w:szCs w:val="24"/>
        </w:rPr>
      </w:pPr>
    </w:p>
    <w:p>
      <w:pPr>
        <w:pageBreakBefore w:val="0"/>
        <w:kinsoku/>
        <w:topLinePunct w:val="0"/>
        <w:bidi w:val="0"/>
        <w:spacing w:line="360" w:lineRule="auto"/>
        <w:ind w:right="-175" w:rightChars="-73"/>
        <w:textAlignment w:val="auto"/>
        <w:rPr>
          <w:rFonts w:hint="eastAsia" w:ascii="宋体" w:hAnsi="宋体" w:eastAsia="宋体" w:cs="宋体"/>
          <w:sz w:val="24"/>
          <w:szCs w:val="24"/>
        </w:rPr>
      </w:pPr>
      <w:r>
        <w:rPr>
          <w:rFonts w:hint="eastAsia" w:ascii="宋体" w:hAnsi="宋体" w:eastAsia="宋体" w:cs="宋体"/>
          <w:b/>
          <w:bCs/>
          <w:sz w:val="24"/>
          <w:szCs w:val="24"/>
        </w:rPr>
        <w:t>二、实验室装饰工程设计说明</w:t>
      </w:r>
    </w:p>
    <w:p>
      <w:pPr>
        <w:pStyle w:val="100"/>
        <w:pageBreakBefore w:val="0"/>
        <w:numPr>
          <w:ilvl w:val="0"/>
          <w:numId w:val="72"/>
        </w:numPr>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工程概况</w:t>
      </w:r>
    </w:p>
    <w:p>
      <w:pPr>
        <w:pStyle w:val="100"/>
        <w:pageBreakBefore w:val="0"/>
        <w:kinsoku/>
        <w:topLinePunct w:val="0"/>
        <w:bidi w:val="0"/>
        <w:spacing w:line="360" w:lineRule="auto"/>
        <w:ind w:left="420"/>
        <w:textAlignment w:val="auto"/>
        <w:rPr>
          <w:rFonts w:hint="eastAsia" w:ascii="宋体" w:hAnsi="宋体" w:eastAsia="宋体" w:cs="宋体"/>
          <w:color w:val="0000FF"/>
          <w:sz w:val="24"/>
          <w:szCs w:val="24"/>
        </w:rPr>
      </w:pPr>
      <w:r>
        <w:rPr>
          <w:rFonts w:hint="eastAsia" w:ascii="宋体" w:hAnsi="宋体" w:eastAsia="宋体" w:cs="宋体"/>
          <w:sz w:val="24"/>
          <w:szCs w:val="24"/>
        </w:rPr>
        <w:t>套内</w:t>
      </w:r>
      <w:r>
        <w:rPr>
          <w:rFonts w:hint="eastAsia" w:ascii="宋体" w:hAnsi="宋体" w:eastAsia="宋体" w:cs="宋体"/>
          <w:color w:val="auto"/>
          <w:sz w:val="24"/>
          <w:szCs w:val="24"/>
        </w:rPr>
        <w:t>面积：共105m</w:t>
      </w:r>
      <w:r>
        <w:rPr>
          <w:rFonts w:hint="eastAsia" w:ascii="宋体" w:hAnsi="宋体" w:eastAsia="宋体" w:cs="宋体"/>
          <w:color w:val="auto"/>
          <w:sz w:val="24"/>
          <w:szCs w:val="24"/>
          <w:vertAlign w:val="superscript"/>
        </w:rPr>
        <w:t>2</w:t>
      </w:r>
    </w:p>
    <w:p>
      <w:pPr>
        <w:pStyle w:val="100"/>
        <w:pageBreakBefore w:val="0"/>
        <w:numPr>
          <w:ilvl w:val="0"/>
          <w:numId w:val="72"/>
        </w:numPr>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工程范围</w:t>
      </w: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本工程涉及工程范围包含外围彩钢房建设、实验室净化工程装饰、电气工程、上下水改造工程、暖通工程。</w:t>
      </w:r>
    </w:p>
    <w:p>
      <w:pPr>
        <w:pStyle w:val="100"/>
        <w:pageBreakBefore w:val="0"/>
        <w:numPr>
          <w:ilvl w:val="0"/>
          <w:numId w:val="72"/>
        </w:numPr>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设计依据</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本工程涉及到以下相关国家和地方现行规范、标准：</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《医学生物安全二级实验室建筑技术标准》 T/CECS 662-2020</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《实验室生物安全通用要求》             GB19489-2008</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《生物安全实验室建筑技术规范》         GB50346-2011</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《基因检验实验室技术要求》             SN/T 1193-2003</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《洁净室施工及验收标准》               GB50591-2010</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《洁净厂房设计规范》                   GB50073-2013</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《医疗机构临床基因扩增检验实验室管理办法》附件卫办医政发〔2010〕194号</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《建筑设计防火规范》                   GB 50016-2018</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《环境空气质量标准》                   GB3095-2012</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《工业建筑供暖通风与空气调节设计规范》 GB 50019-2015</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《通风与空调工程施工质量验收规范》     GB50243－2016</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《空调用空气过滤器》                   GB/T 14295-2008</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《空气过滤器》                         GB/T 14295-2008</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《高效空气过滤器性能实验方法透过率和阻力》 GB6165--2008</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《采暖通风与空气调节设计规范》         GB 50019–2003</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《通风与空调工程施工质量验收规范》     GB 50243–2002</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《公共建筑节能设计标准》               GB 50189–2005</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《室内空气质量标准》                   GB/T 18883</w:t>
      </w:r>
      <w:bookmarkStart w:id="38" w:name="OLE_LINK5"/>
      <w:r>
        <w:rPr>
          <w:rFonts w:hint="eastAsia" w:ascii="宋体" w:hAnsi="宋体" w:eastAsia="宋体" w:cs="宋体"/>
          <w:sz w:val="24"/>
          <w:szCs w:val="24"/>
        </w:rPr>
        <w:t>–</w:t>
      </w:r>
      <w:bookmarkEnd w:id="38"/>
      <w:r>
        <w:rPr>
          <w:rFonts w:hint="eastAsia" w:ascii="宋体" w:hAnsi="宋体" w:eastAsia="宋体" w:cs="宋体"/>
          <w:sz w:val="24"/>
          <w:szCs w:val="24"/>
        </w:rPr>
        <w:t>2002</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《大气污染物综合排放标准》             GB 16297–1996</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《环境空气质量标准》                   GB 3095–1996</w:t>
      </w:r>
    </w:p>
    <w:p>
      <w:pPr>
        <w:pageBreakBefore w:val="0"/>
        <w:kinsoku/>
        <w:topLinePunct w:val="0"/>
        <w:bidi w:val="0"/>
        <w:adjustRightInd w:val="0"/>
        <w:snapToGrid w:val="0"/>
        <w:spacing w:beforeLines="50"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《城市区域环境噪声标准》               GB 3096–2008</w:t>
      </w:r>
    </w:p>
    <w:p>
      <w:pPr>
        <w:pStyle w:val="100"/>
        <w:pageBreakBefore w:val="0"/>
        <w:numPr>
          <w:ilvl w:val="0"/>
          <w:numId w:val="72"/>
        </w:numPr>
        <w:kinsoku/>
        <w:topLinePunct w:val="0"/>
        <w:bidi w:val="0"/>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sz w:val="24"/>
          <w:szCs w:val="24"/>
        </w:rPr>
        <w:t>设计理念（</w:t>
      </w:r>
      <w:r>
        <w:rPr>
          <w:rFonts w:hint="eastAsia" w:ascii="宋体" w:hAnsi="宋体" w:eastAsia="宋体" w:cs="宋体"/>
          <w:b/>
          <w:bCs/>
          <w:color w:val="auto"/>
          <w:sz w:val="24"/>
          <w:szCs w:val="24"/>
          <w:shd w:val="clear" w:color="auto" w:fill="FFFFFF"/>
        </w:rPr>
        <w:t>PCR实验室</w:t>
      </w:r>
      <w:r>
        <w:rPr>
          <w:rFonts w:hint="eastAsia" w:ascii="宋体" w:hAnsi="宋体" w:eastAsia="宋体" w:cs="宋体"/>
          <w:b/>
          <w:bCs/>
          <w:sz w:val="24"/>
          <w:szCs w:val="24"/>
        </w:rPr>
        <w:t>）</w:t>
      </w:r>
    </w:p>
    <w:p>
      <w:pPr>
        <w:pageBreakBefore w:val="0"/>
        <w:kinsoku/>
        <w:topLinePunct w:val="0"/>
        <w:bidi w:val="0"/>
        <w:adjustRightInd w:val="0"/>
        <w:snapToGrid w:val="0"/>
        <w:spacing w:beforeLines="50"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1、总体平面布局依据</w:t>
      </w:r>
      <w:r>
        <w:rPr>
          <w:rFonts w:hint="eastAsia" w:ascii="宋体" w:hAnsi="宋体" w:eastAsia="宋体" w:cs="宋体"/>
          <w:sz w:val="24"/>
          <w:szCs w:val="24"/>
        </w:rPr>
        <w:t>《医学生物安全二级实验室建筑技术标准》 T/CECS 662-2020、</w:t>
      </w:r>
      <w:r>
        <w:rPr>
          <w:rFonts w:hint="eastAsia" w:ascii="宋体" w:hAnsi="宋体" w:eastAsia="宋体" w:cs="宋体"/>
          <w:sz w:val="24"/>
          <w:szCs w:val="24"/>
          <w:shd w:val="clear" w:color="auto" w:fill="FFFFFF"/>
        </w:rPr>
        <w:t>《生物安全实验室通用要求》GB19489-2008、《生物安全实验室建筑技术规范》GB50346-2011、《医院建筑洁净手术部技术规范》GB50333-2013、《医药工业洁净厂房设计规范》GB50457-2008的要求设计。</w:t>
      </w:r>
    </w:p>
    <w:p>
      <w:pPr>
        <w:pStyle w:val="53"/>
        <w:pageBreakBefore w:val="0"/>
        <w:widowControl/>
        <w:kinsoku/>
        <w:topLinePunct w:val="0"/>
        <w:bidi w:val="0"/>
        <w:spacing w:before="0" w:beforeAutospacing="0" w:after="0" w:afterAutospacing="0" w:line="360" w:lineRule="auto"/>
        <w:ind w:firstLine="420"/>
        <w:jc w:val="left"/>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2、洁净区各室布局不交叉混合使用，设计把控人、物分流的原则。</w:t>
      </w:r>
    </w:p>
    <w:p>
      <w:pPr>
        <w:pageBreakBefore w:val="0"/>
        <w:widowControl/>
        <w:kinsoku/>
        <w:topLinePunct w:val="0"/>
        <w:bidi w:val="0"/>
        <w:spacing w:line="360" w:lineRule="auto"/>
        <w:ind w:firstLine="42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3、洁净区主入口设置控制进入措施，安装门禁系统方便管理；实验室核心工作间入口</w:t>
      </w:r>
      <w:r>
        <w:rPr>
          <w:rFonts w:hint="eastAsia" w:ascii="宋体" w:hAnsi="宋体" w:eastAsia="宋体" w:cs="宋体"/>
          <w:sz w:val="24"/>
          <w:szCs w:val="24"/>
          <w:shd w:val="clear" w:color="auto" w:fill="FFFFFF"/>
        </w:rPr>
        <w:tab/>
      </w:r>
      <w:r>
        <w:rPr>
          <w:rFonts w:hint="eastAsia" w:ascii="宋体" w:hAnsi="宋体" w:eastAsia="宋体" w:cs="宋体"/>
          <w:sz w:val="24"/>
          <w:szCs w:val="24"/>
          <w:shd w:val="clear" w:color="auto" w:fill="FFFFFF"/>
        </w:rPr>
        <w:tab/>
      </w:r>
      <w:r>
        <w:rPr>
          <w:rFonts w:hint="eastAsia" w:ascii="宋体" w:hAnsi="宋体" w:eastAsia="宋体" w:cs="宋体"/>
          <w:sz w:val="24"/>
          <w:szCs w:val="24"/>
          <w:shd w:val="clear" w:color="auto" w:fill="FFFFFF"/>
        </w:rPr>
        <w:t xml:space="preserve">设置缓冲间,缓冲间可兼做个体防护装备更换间; </w:t>
      </w:r>
    </w:p>
    <w:p>
      <w:pPr>
        <w:pStyle w:val="53"/>
        <w:pageBreakBefore w:val="0"/>
        <w:widowControl/>
        <w:kinsoku/>
        <w:topLinePunct w:val="0"/>
        <w:bidi w:val="0"/>
        <w:spacing w:before="0" w:beforeAutospacing="0" w:after="0" w:afterAutospacing="0" w:line="360" w:lineRule="auto"/>
        <w:ind w:firstLine="420"/>
        <w:jc w:val="left"/>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4、废物、污染物设置专用传递窗。</w:t>
      </w:r>
    </w:p>
    <w:p>
      <w:pPr>
        <w:pStyle w:val="53"/>
        <w:pageBreakBefore w:val="0"/>
        <w:widowControl/>
        <w:kinsoku/>
        <w:topLinePunct w:val="0"/>
        <w:bidi w:val="0"/>
        <w:spacing w:before="0" w:beforeAutospacing="0" w:after="0" w:afterAutospacing="0" w:line="360" w:lineRule="auto"/>
        <w:ind w:firstLine="420"/>
        <w:jc w:val="left"/>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5、送风方式采用上送下侧回的方式。</w:t>
      </w:r>
    </w:p>
    <w:p>
      <w:pPr>
        <w:pStyle w:val="53"/>
        <w:pageBreakBefore w:val="0"/>
        <w:widowControl/>
        <w:kinsoku/>
        <w:topLinePunct w:val="0"/>
        <w:bidi w:val="0"/>
        <w:spacing w:before="0" w:beforeAutospacing="0" w:after="0" w:afterAutospacing="0" w:line="360" w:lineRule="auto"/>
        <w:ind w:firstLine="42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6、通道门的开启方向设计由低洁净级向高洁净级的方向开启。</w:t>
      </w:r>
    </w:p>
    <w:p>
      <w:pPr>
        <w:pStyle w:val="100"/>
        <w:pageBreakBefore w:val="0"/>
        <w:numPr>
          <w:ilvl w:val="0"/>
          <w:numId w:val="72"/>
        </w:numPr>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PCR实</w:t>
      </w:r>
      <w:r>
        <w:rPr>
          <w:rFonts w:hint="eastAsia" w:ascii="宋体" w:hAnsi="宋体" w:eastAsia="宋体" w:cs="宋体"/>
          <w:b/>
          <w:bCs/>
          <w:color w:val="auto"/>
          <w:sz w:val="24"/>
          <w:szCs w:val="24"/>
          <w:shd w:val="clear" w:color="auto" w:fill="FFFFFF"/>
        </w:rPr>
        <w:t>验室</w:t>
      </w:r>
      <w:r>
        <w:rPr>
          <w:rFonts w:hint="eastAsia" w:ascii="宋体" w:hAnsi="宋体" w:eastAsia="宋体" w:cs="宋体"/>
          <w:b/>
          <w:bCs/>
          <w:sz w:val="24"/>
          <w:szCs w:val="24"/>
        </w:rPr>
        <w:t>洁净区环境技术指标（洁净级别：万级；局部十万级）</w:t>
      </w:r>
    </w:p>
    <w:p>
      <w:pPr>
        <w:pStyle w:val="53"/>
        <w:pageBreakBefore w:val="0"/>
        <w:widowControl/>
        <w:kinsoku/>
        <w:topLinePunct w:val="0"/>
        <w:bidi w:val="0"/>
        <w:spacing w:before="0" w:beforeAutospacing="0" w:after="0" w:afterAutospacing="0" w:line="360" w:lineRule="auto"/>
        <w:ind w:firstLine="420"/>
        <w:jc w:val="left"/>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1、洁净区的设计环境技术指标应符合以下要求：</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A、空气洁净度等级为7级（10000级），局部区域为8级（100000级）</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B、温度控制：18-26℃范围内；</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C、相对湿度：宜30%-65%；</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C、换气次数：实验室防护区各房间的最小换气次数≥12次/h</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D、空气调节:核心工作间相对于相邻区域的压差不宜小于-10Pa；</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E、材料防火等级：A级（耐火极限≥1h）</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D、总送风量中（非单向流）为新风采用全新风；</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E、噪声级应≤60dB(A)；</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F、核心工作区照明的照度值≥300LX，其它区域照度值≥200LX。</w:t>
      </w:r>
    </w:p>
    <w:p>
      <w:pPr>
        <w:pStyle w:val="53"/>
        <w:pageBreakBefore w:val="0"/>
        <w:widowControl/>
        <w:kinsoku/>
        <w:topLinePunct w:val="0"/>
        <w:bidi w:val="0"/>
        <w:spacing w:before="0" w:beforeAutospacing="0" w:after="0" w:afterAutospacing="0" w:line="360" w:lineRule="auto"/>
        <w:ind w:left="420" w:firstLine="42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G、核心工作间入口缓冲间的门设置电子互锁装置。</w:t>
      </w:r>
      <w:r>
        <w:rPr>
          <w:rFonts w:hint="eastAsia" w:ascii="宋体" w:hAnsi="宋体" w:eastAsia="宋体" w:cs="宋体"/>
          <w:kern w:val="0"/>
          <w:sz w:val="24"/>
          <w:szCs w:val="24"/>
          <w:shd w:val="clear" w:color="auto" w:fill="FFFFFF"/>
        </w:rPr>
        <w:tab/>
      </w:r>
    </w:p>
    <w:p>
      <w:pPr>
        <w:pStyle w:val="100"/>
        <w:pageBreakBefore w:val="0"/>
        <w:numPr>
          <w:ilvl w:val="0"/>
          <w:numId w:val="72"/>
        </w:numPr>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施工总则</w:t>
      </w:r>
    </w:p>
    <w:p>
      <w:pPr>
        <w:pageBreakBefore w:val="0"/>
        <w:kinsoku/>
        <w:topLinePunct w:val="0"/>
        <w:bidi w:val="0"/>
        <w:spacing w:line="360" w:lineRule="auto"/>
        <w:ind w:left="420" w:right="-175" w:rightChars="-73" w:firstLine="420"/>
        <w:textAlignment w:val="auto"/>
        <w:rPr>
          <w:rFonts w:hint="eastAsia" w:ascii="宋体" w:hAnsi="宋体" w:eastAsia="宋体" w:cs="宋体"/>
          <w:sz w:val="24"/>
          <w:szCs w:val="24"/>
        </w:rPr>
      </w:pPr>
      <w:r>
        <w:rPr>
          <w:rFonts w:hint="eastAsia" w:ascii="宋体" w:hAnsi="宋体" w:eastAsia="宋体" w:cs="宋体"/>
          <w:sz w:val="24"/>
          <w:szCs w:val="24"/>
        </w:rPr>
        <w:t>1、本工程方案以美观、大方、适用、控制造价为原则。要求装饰材料选择同类优质； 装饰工艺精细考究；装饰工程质量等级达优。</w:t>
      </w:r>
    </w:p>
    <w:p>
      <w:pPr>
        <w:pageBreakBefore w:val="0"/>
        <w:kinsoku/>
        <w:topLinePunct w:val="0"/>
        <w:bidi w:val="0"/>
        <w:spacing w:line="360" w:lineRule="auto"/>
        <w:ind w:left="420" w:right="-175" w:rightChars="-73" w:firstLine="420"/>
        <w:textAlignment w:val="auto"/>
        <w:rPr>
          <w:rFonts w:hint="eastAsia" w:ascii="宋体" w:hAnsi="宋体" w:eastAsia="宋体" w:cs="宋体"/>
          <w:b/>
          <w:bCs/>
          <w:sz w:val="24"/>
          <w:szCs w:val="24"/>
        </w:rPr>
      </w:pPr>
      <w:r>
        <w:rPr>
          <w:rFonts w:hint="eastAsia" w:ascii="宋体" w:hAnsi="宋体" w:eastAsia="宋体" w:cs="宋体"/>
          <w:sz w:val="24"/>
          <w:szCs w:val="24"/>
        </w:rPr>
        <w:t>2、所有与工艺、水、电、风、动等工种有关的预埋件，需预留孔洞，施工时必须与相关的图纸密切配合施工。</w:t>
      </w:r>
    </w:p>
    <w:p>
      <w:pPr>
        <w:pStyle w:val="100"/>
        <w:pageBreakBefore w:val="0"/>
        <w:numPr>
          <w:ilvl w:val="0"/>
          <w:numId w:val="72"/>
        </w:numPr>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实验室结构维护施工做法说明</w:t>
      </w:r>
    </w:p>
    <w:p>
      <w:pPr>
        <w:pageBreakBefore w:val="0"/>
        <w:kinsoku/>
        <w:topLinePunct w:val="0"/>
        <w:bidi w:val="0"/>
        <w:spacing w:line="360" w:lineRule="auto"/>
        <w:ind w:left="420" w:right="-175" w:rightChars="-73" w:firstLine="420"/>
        <w:textAlignment w:val="auto"/>
        <w:rPr>
          <w:rFonts w:hint="eastAsia" w:ascii="宋体" w:hAnsi="宋体" w:eastAsia="宋体" w:cs="宋体"/>
          <w:sz w:val="24"/>
          <w:szCs w:val="24"/>
        </w:rPr>
      </w:pPr>
      <w:r>
        <w:rPr>
          <w:rFonts w:hint="eastAsia" w:ascii="宋体" w:hAnsi="宋体" w:eastAsia="宋体" w:cs="宋体"/>
          <w:sz w:val="24"/>
          <w:szCs w:val="24"/>
        </w:rPr>
        <w:t>本设计图标尺寸以毫米（MM）为单位，标高以（M）为单位。</w:t>
      </w:r>
    </w:p>
    <w:p>
      <w:pPr>
        <w:pStyle w:val="53"/>
        <w:pageBreakBefore w:val="0"/>
        <w:widowControl/>
        <w:kinsoku/>
        <w:topLinePunct w:val="0"/>
        <w:bidi w:val="0"/>
        <w:spacing w:beforeLines="50" w:beforeAutospacing="0" w:after="0" w:afterAutospacing="0" w:line="360" w:lineRule="auto"/>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1、</w:t>
      </w:r>
      <w:r>
        <w:rPr>
          <w:rFonts w:hint="eastAsia" w:ascii="宋体" w:hAnsi="宋体" w:eastAsia="宋体" w:cs="宋体"/>
          <w:b/>
          <w:bCs/>
          <w:sz w:val="24"/>
          <w:szCs w:val="24"/>
        </w:rPr>
        <w:t>洁净围护硫氧镁板（墙面、吊顶）</w:t>
      </w:r>
    </w:p>
    <w:p>
      <w:pPr>
        <w:pStyle w:val="53"/>
        <w:pageBreakBefore w:val="0"/>
        <w:widowControl/>
        <w:numPr>
          <w:ilvl w:val="0"/>
          <w:numId w:val="73"/>
        </w:numPr>
        <w:kinsoku/>
        <w:topLinePunct w:val="0"/>
        <w:bidi w:val="0"/>
        <w:spacing w:beforeLines="50" w:beforeAutospacing="0" w:after="0" w:afterAutospacing="0" w:line="360" w:lineRule="auto"/>
        <w:ind w:left="1265"/>
        <w:textAlignment w:val="auto"/>
        <w:rPr>
          <w:rFonts w:hint="eastAsia" w:ascii="宋体" w:hAnsi="宋体" w:eastAsia="宋体" w:cs="宋体"/>
          <w:b/>
          <w:bCs/>
          <w:sz w:val="24"/>
          <w:szCs w:val="24"/>
        </w:rPr>
      </w:pPr>
      <w:r>
        <w:rPr>
          <w:rFonts w:hint="eastAsia" w:ascii="宋体" w:hAnsi="宋体" w:eastAsia="宋体" w:cs="宋体"/>
          <w:sz w:val="24"/>
          <w:szCs w:val="24"/>
        </w:rPr>
        <w:t>材料和表面涂料均要达到生物安全要求，采用50mm厚A级防火机制硫氧镁彩钢板(内衬50mm硫氧镁板，耐火极限≥1h)，面板采用0.5mm厚的宝钢板，环氧树脂底漆，应具有耐化学腐蚀性面漆，耐常用消毒水；材料的表面平整性好，室内墙与墙、墙与顶板、墙与地面均由专用铝合金型材圆弧过渡连接，无积尘死角，以达到净化要求。</w:t>
      </w:r>
      <w:r>
        <w:rPr>
          <w:rFonts w:hint="eastAsia" w:ascii="宋体" w:hAnsi="宋体" w:eastAsia="宋体" w:cs="宋体"/>
          <w:b/>
          <w:bCs/>
          <w:sz w:val="24"/>
          <w:szCs w:val="24"/>
        </w:rPr>
        <w:t>投标单位需提供本单位送检至第三方建筑材料质量监督检验中心出具的产品防火等级检测报告。</w:t>
      </w:r>
    </w:p>
    <w:p>
      <w:pPr>
        <w:pStyle w:val="53"/>
        <w:pageBreakBefore w:val="0"/>
        <w:widowControl/>
        <w:kinsoku/>
        <w:topLinePunct w:val="0"/>
        <w:bidi w:val="0"/>
        <w:spacing w:beforeLines="50" w:beforeAutospacing="0" w:after="0" w:afterAutospacing="0" w:line="360" w:lineRule="auto"/>
        <w:ind w:left="840"/>
        <w:jc w:val="center"/>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5408" behindDoc="1" locked="0" layoutInCell="1" allowOverlap="1">
            <wp:simplePos x="0" y="0"/>
            <wp:positionH relativeFrom="column">
              <wp:posOffset>54610</wp:posOffset>
            </wp:positionH>
            <wp:positionV relativeFrom="paragraph">
              <wp:posOffset>452120</wp:posOffset>
            </wp:positionV>
            <wp:extent cx="5377815" cy="2672080"/>
            <wp:effectExtent l="0" t="0" r="13335" b="13970"/>
            <wp:wrapTight wrapText="bothSides">
              <wp:wrapPolygon>
                <wp:start x="0" y="0"/>
                <wp:lineTo x="0" y="21405"/>
                <wp:lineTo x="21501" y="21405"/>
                <wp:lineTo x="21501" y="0"/>
                <wp:lineTo x="0" y="0"/>
              </wp:wrapPolygon>
            </wp:wrapTight>
            <wp:docPr id="31" name="图片 31" descr="搜狗截图20190905140847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搜狗截图20190905140847 拷贝"/>
                    <pic:cNvPicPr>
                      <a:picLocks noChangeAspect="1"/>
                    </pic:cNvPicPr>
                  </pic:nvPicPr>
                  <pic:blipFill>
                    <a:blip r:embed="rId21" cstate="print"/>
                    <a:stretch>
                      <a:fillRect/>
                    </a:stretch>
                  </pic:blipFill>
                  <pic:spPr>
                    <a:xfrm>
                      <a:off x="0" y="0"/>
                      <a:ext cx="5377815" cy="2672080"/>
                    </a:xfrm>
                    <a:prstGeom prst="rect">
                      <a:avLst/>
                    </a:prstGeom>
                  </pic:spPr>
                </pic:pic>
              </a:graphicData>
            </a:graphic>
          </wp:anchor>
        </w:drawing>
      </w:r>
    </w:p>
    <w:p>
      <w:pPr>
        <w:pStyle w:val="53"/>
        <w:pageBreakBefore w:val="0"/>
        <w:widowControl/>
        <w:kinsoku/>
        <w:topLinePunct w:val="0"/>
        <w:bidi w:val="0"/>
        <w:spacing w:beforeLines="50" w:beforeAutospacing="0" w:after="0" w:afterAutospacing="0" w:line="360" w:lineRule="auto"/>
        <w:ind w:left="84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234815" cy="2415540"/>
            <wp:effectExtent l="0" t="0" r="13335" b="3810"/>
            <wp:docPr id="68" name="图片 68" descr="搜狗截图2019090514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搜狗截图20190905140719"/>
                    <pic:cNvPicPr>
                      <a:picLocks noChangeAspect="1"/>
                    </pic:cNvPicPr>
                  </pic:nvPicPr>
                  <pic:blipFill>
                    <a:blip r:embed="rId22" cstate="print"/>
                    <a:srcRect r="1914" b="19473"/>
                    <a:stretch>
                      <a:fillRect/>
                    </a:stretch>
                  </pic:blipFill>
                  <pic:spPr>
                    <a:xfrm>
                      <a:off x="0" y="0"/>
                      <a:ext cx="4234815" cy="2415540"/>
                    </a:xfrm>
                    <a:prstGeom prst="rect">
                      <a:avLst/>
                    </a:prstGeom>
                  </pic:spPr>
                </pic:pic>
              </a:graphicData>
            </a:graphic>
          </wp:inline>
        </w:drawing>
      </w:r>
    </w:p>
    <w:p>
      <w:pPr>
        <w:pStyle w:val="53"/>
        <w:pageBreakBefore w:val="0"/>
        <w:widowControl/>
        <w:numPr>
          <w:ilvl w:val="0"/>
          <w:numId w:val="73"/>
        </w:numPr>
        <w:kinsoku/>
        <w:topLinePunct w:val="0"/>
        <w:bidi w:val="0"/>
        <w:spacing w:before="0" w:beforeAutospacing="0" w:after="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实验洁净用房内部玻璃分隔时，地面以上采用不低于1m的实墙，以便放置带有管路的实验边台，并耐受推车等物体的冲撞，提高安全性。公共走廊两侧可以在条件允许的前提下尽量提高透明面积的比例。</w:t>
      </w:r>
    </w:p>
    <w:p>
      <w:pPr>
        <w:pStyle w:val="53"/>
        <w:pageBreakBefore w:val="0"/>
        <w:widowControl/>
        <w:numPr>
          <w:ilvl w:val="0"/>
          <w:numId w:val="73"/>
        </w:numPr>
        <w:kinsoku/>
        <w:topLinePunct w:val="0"/>
        <w:bidi w:val="0"/>
        <w:spacing w:before="0" w:beforeAutospacing="0" w:after="0" w:afterAutospacing="0" w:line="360" w:lineRule="auto"/>
        <w:textAlignment w:val="auto"/>
        <w:rPr>
          <w:rFonts w:hint="eastAsia" w:ascii="宋体" w:hAnsi="宋体" w:eastAsia="宋体" w:cs="宋体"/>
          <w:sz w:val="24"/>
          <w:szCs w:val="24"/>
        </w:rPr>
      </w:pPr>
      <w:bookmarkStart w:id="39" w:name="_Toc9897_WPSOffice_Level3"/>
      <w:bookmarkStart w:id="40" w:name="_Toc8401_WPSOffice_Level3"/>
      <w:bookmarkStart w:id="41" w:name="_Toc1154_WPSOffice_Level3"/>
      <w:bookmarkStart w:id="42" w:name="_Toc8339_WPSOffice_Level3"/>
      <w:r>
        <w:rPr>
          <w:rFonts w:hint="eastAsia" w:ascii="宋体" w:hAnsi="宋体" w:eastAsia="宋体" w:cs="宋体"/>
          <w:sz w:val="24"/>
          <w:szCs w:val="24"/>
          <w:shd w:val="clear" w:color="auto" w:fill="FFFFFF"/>
        </w:rPr>
        <w:t>吊顶施工操作工艺</w:t>
      </w:r>
      <w:bookmarkEnd w:id="39"/>
      <w:bookmarkEnd w:id="40"/>
      <w:bookmarkEnd w:id="41"/>
      <w:bookmarkEnd w:id="42"/>
    </w:p>
    <w:p>
      <w:pPr>
        <w:pStyle w:val="53"/>
        <w:pageBreakBefore w:val="0"/>
        <w:widowControl/>
        <w:numPr>
          <w:ilvl w:val="0"/>
          <w:numId w:val="74"/>
        </w:numPr>
        <w:kinsoku/>
        <w:topLinePunct w:val="0"/>
        <w:bidi w:val="0"/>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工艺流程：</w:t>
      </w:r>
      <w:r>
        <w:rPr>
          <w:rFonts w:hint="eastAsia" w:ascii="宋体" w:hAnsi="宋体" w:eastAsia="宋体" w:cs="宋体"/>
          <w:sz w:val="24"/>
          <w:szCs w:val="24"/>
          <w:shd w:val="clear" w:color="auto" w:fill="FFFFFF"/>
        </w:rPr>
        <w:t xml:space="preserve">基层清理——弹线——安装吊杆——安装主龙骨——安装边龙骨——安装次龙骨及硫氧镁板——成品回护——分项、查验批验收 </w:t>
      </w:r>
    </w:p>
    <w:p>
      <w:pPr>
        <w:pStyle w:val="53"/>
        <w:pageBreakBefore w:val="0"/>
        <w:widowControl/>
        <w:numPr>
          <w:ilvl w:val="0"/>
          <w:numId w:val="74"/>
        </w:numPr>
        <w:kinsoku/>
        <w:topLinePunct w:val="0"/>
        <w:bidi w:val="0"/>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弹线：用水准仪在房间内每个墙（柱）角上抄出水平点，弹出水平线（水准线距地面为+500mm），从水平线量至吊顶设计高度加上12mm（一层石膏板的厚度），沿墙（柱）弹出水平线，即为吊顶次龙骨的下皮线。同时，按吊顶平面图，在混凝土顶板弹出主龙骨的位置。主龙骨应从吊顶中心向两边分，最大间距为1000mm,并标出吊杆的固定点，吊杆的固定点间距900～1000mm。如遇到梁和管道固定点大于设计和规程要求，应增加吊杆的固定点。</w:t>
      </w:r>
    </w:p>
    <w:p>
      <w:pPr>
        <w:pStyle w:val="53"/>
        <w:pageBreakBefore w:val="0"/>
        <w:widowControl/>
        <w:numPr>
          <w:ilvl w:val="0"/>
          <w:numId w:val="74"/>
        </w:numPr>
        <w:kinsoku/>
        <w:topLinePunct w:val="0"/>
        <w:bidi w:val="0"/>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固定吊挂杆件：采用焊接固定吊挂杆件。采用φ8全丝吊杆，，吊杆用焊接固定在钢板下的勒梁处，必须搭接焊牢，搭接长度为10d，焊缝要均匀饱满并防锈处理。</w:t>
      </w:r>
    </w:p>
    <w:p>
      <w:pPr>
        <w:pStyle w:val="53"/>
        <w:pageBreakBefore w:val="0"/>
        <w:widowControl/>
        <w:numPr>
          <w:ilvl w:val="0"/>
          <w:numId w:val="74"/>
        </w:numPr>
        <w:kinsoku/>
        <w:topLinePunct w:val="0"/>
        <w:bidi w:val="0"/>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在梁上设置吊挂杆件</w:t>
      </w:r>
    </w:p>
    <w:p>
      <w:pPr>
        <w:pStyle w:val="53"/>
        <w:pageBreakBefore w:val="0"/>
        <w:widowControl/>
        <w:numPr>
          <w:ilvl w:val="0"/>
          <w:numId w:val="75"/>
        </w:numPr>
        <w:kinsoku/>
        <w:topLinePunct w:val="0"/>
        <w:bidi w:val="0"/>
        <w:spacing w:before="0" w:beforeAutospacing="0" w:afterAutospacing="0" w:line="360" w:lineRule="auto"/>
        <w:ind w:left="126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吊杆距主龙骨端部距离不得超过300mm，否则应增加吊杆。</w:t>
      </w:r>
    </w:p>
    <w:p>
      <w:pPr>
        <w:pStyle w:val="53"/>
        <w:pageBreakBefore w:val="0"/>
        <w:widowControl/>
        <w:numPr>
          <w:ilvl w:val="0"/>
          <w:numId w:val="75"/>
        </w:numPr>
        <w:kinsoku/>
        <w:topLinePunct w:val="0"/>
        <w:bidi w:val="0"/>
        <w:spacing w:before="0" w:beforeAutospacing="0" w:afterAutospacing="0" w:line="360" w:lineRule="auto"/>
        <w:ind w:left="126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吊顶灯具、风口及检修口等应设附加吊杆。</w:t>
      </w:r>
    </w:p>
    <w:p>
      <w:pPr>
        <w:pStyle w:val="53"/>
        <w:pageBreakBefore w:val="0"/>
        <w:widowControl/>
        <w:numPr>
          <w:ilvl w:val="0"/>
          <w:numId w:val="75"/>
        </w:numPr>
        <w:kinsoku/>
        <w:topLinePunct w:val="0"/>
        <w:bidi w:val="0"/>
        <w:spacing w:before="0" w:beforeAutospacing="0" w:afterAutospacing="0" w:line="360" w:lineRule="auto"/>
        <w:ind w:left="126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安装边龙骨：边龙骨的安装应按设计要求弹线，沿墙（柱）上的水</w:t>
      </w:r>
    </w:p>
    <w:p>
      <w:pPr>
        <w:pStyle w:val="53"/>
        <w:pageBreakBefore w:val="0"/>
        <w:widowControl/>
        <w:numPr>
          <w:ilvl w:val="0"/>
          <w:numId w:val="0"/>
        </w:numPr>
        <w:kinsoku/>
        <w:topLinePunct w:val="0"/>
        <w:bidi w:val="0"/>
        <w:spacing w:before="0"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平龙骨线把L形镀锌轻钢条用自攻螺丝固</w:t>
      </w:r>
      <w:r>
        <w:rPr>
          <w:rFonts w:hint="eastAsia" w:ascii="宋体" w:hAnsi="宋体" w:eastAsia="宋体" w:cs="宋体"/>
          <w:sz w:val="24"/>
          <w:szCs w:val="24"/>
          <w:shd w:val="clear" w:color="auto" w:fill="FFFFFF"/>
        </w:rPr>
        <w:tab/>
      </w:r>
      <w:r>
        <w:rPr>
          <w:rFonts w:hint="eastAsia" w:ascii="宋体" w:hAnsi="宋体" w:eastAsia="宋体" w:cs="宋体"/>
          <w:sz w:val="24"/>
          <w:szCs w:val="24"/>
          <w:shd w:val="clear" w:color="auto" w:fill="FFFFFF"/>
        </w:rPr>
        <w:t>定在预埋木砖上；如为混凝土墙（柱），可用射钉固定，射钉间距应不大于吊顶次龙骨的间距。</w:t>
      </w:r>
    </w:p>
    <w:p>
      <w:pPr>
        <w:pStyle w:val="53"/>
        <w:pageBreakBefore w:val="0"/>
        <w:widowControl/>
        <w:numPr>
          <w:ilvl w:val="0"/>
          <w:numId w:val="75"/>
        </w:numPr>
        <w:kinsoku/>
        <w:topLinePunct w:val="0"/>
        <w:bidi w:val="0"/>
        <w:spacing w:before="0" w:beforeAutospacing="0" w:afterAutospacing="0" w:line="360" w:lineRule="auto"/>
        <w:ind w:left="126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安装主龙骨：主龙骨应吊挂在吊杆上。主龙骨间距900—1000mm。主</w:t>
      </w:r>
    </w:p>
    <w:p>
      <w:pPr>
        <w:pStyle w:val="53"/>
        <w:pageBreakBefore w:val="0"/>
        <w:widowControl/>
        <w:numPr>
          <w:ilvl w:val="0"/>
          <w:numId w:val="0"/>
        </w:numPr>
        <w:kinsoku/>
        <w:topLinePunct w:val="0"/>
        <w:bidi w:val="0"/>
        <w:spacing w:before="0"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龙骨分为轻钢龙骨和T形龙骨。轻钢龙骨可</w:t>
      </w:r>
      <w:r>
        <w:rPr>
          <w:rFonts w:hint="eastAsia" w:ascii="宋体" w:hAnsi="宋体" w:eastAsia="宋体" w:cs="宋体"/>
          <w:sz w:val="24"/>
          <w:szCs w:val="24"/>
          <w:shd w:val="clear" w:color="auto" w:fill="FFFFFF"/>
        </w:rPr>
        <w:tab/>
      </w:r>
      <w:r>
        <w:rPr>
          <w:rFonts w:hint="eastAsia" w:ascii="宋体" w:hAnsi="宋体" w:eastAsia="宋体" w:cs="宋体"/>
          <w:sz w:val="24"/>
          <w:szCs w:val="24"/>
          <w:shd w:val="clear" w:color="auto" w:fill="FFFFFF"/>
        </w:rPr>
        <w:t>选用UC38主龙骨。主龙骨应平行房间长向安装，同时应起拱，起拱高度为房间跨度的1/200—1/300。主龙骨的悬臂段不应大于300mm，否则应增加吊杆。主龙骨的接长应采取对接，相邻龙骨的对接接头要相互错开。主龙骨挂好后应基本调平。跨度大于15m以上的吊顶，应在主龙骨上，每隔15m加一道大龙骨，并垂直主龙骨焊接牢固。</w:t>
      </w:r>
    </w:p>
    <w:p>
      <w:pPr>
        <w:pStyle w:val="53"/>
        <w:pageBreakBefore w:val="0"/>
        <w:widowControl/>
        <w:numPr>
          <w:ilvl w:val="0"/>
          <w:numId w:val="75"/>
        </w:numPr>
        <w:kinsoku/>
        <w:topLinePunct w:val="0"/>
        <w:bidi w:val="0"/>
        <w:spacing w:before="0" w:beforeAutospacing="0" w:afterAutospacing="0" w:line="360" w:lineRule="auto"/>
        <w:ind w:left="126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安装次龙骨：次龙骨分明龙骨和暗龙骨两种。暗</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"http://biz.co188.com/ztp/c9843.html" \t "http://biz.co188.com/baike/_blank" </w:instrText>
      </w:r>
      <w:r>
        <w:rPr>
          <w:rFonts w:hint="eastAsia" w:ascii="宋体" w:hAnsi="宋体" w:eastAsia="宋体" w:cs="宋体"/>
          <w:sz w:val="24"/>
          <w:szCs w:val="24"/>
        </w:rPr>
        <w:fldChar w:fldCharType="separate"/>
      </w:r>
      <w:r>
        <w:rPr>
          <w:rStyle w:val="74"/>
          <w:rFonts w:hint="eastAsia" w:ascii="宋体" w:hAnsi="宋体" w:eastAsia="宋体" w:cs="宋体"/>
          <w:color w:val="auto"/>
          <w:sz w:val="24"/>
          <w:szCs w:val="24"/>
          <w:u w:val="none"/>
          <w:shd w:val="clear" w:color="auto" w:fill="FFFFFF"/>
        </w:rPr>
        <w:t>龙骨吊顶</w:t>
      </w:r>
      <w:r>
        <w:rPr>
          <w:rStyle w:val="74"/>
          <w:rFonts w:hint="eastAsia" w:ascii="宋体" w:hAnsi="宋体" w:eastAsia="宋体" w:cs="宋体"/>
          <w:color w:val="auto"/>
          <w:sz w:val="24"/>
          <w:szCs w:val="24"/>
          <w:u w:val="none"/>
          <w:shd w:val="clear" w:color="auto" w:fill="FFFFFF"/>
        </w:rPr>
        <w:fldChar w:fldCharType="end"/>
      </w:r>
      <w:r>
        <w:rPr>
          <w:rFonts w:hint="eastAsia" w:ascii="宋体" w:hAnsi="宋体" w:eastAsia="宋体" w:cs="宋体"/>
          <w:sz w:val="24"/>
          <w:szCs w:val="24"/>
          <w:shd w:val="clear" w:color="auto" w:fill="FFFFFF"/>
        </w:rPr>
        <w:t>：即安装</w:t>
      </w:r>
    </w:p>
    <w:p>
      <w:pPr>
        <w:pStyle w:val="53"/>
        <w:pageBreakBefore w:val="0"/>
        <w:widowControl/>
        <w:numPr>
          <w:ilvl w:val="0"/>
          <w:numId w:val="0"/>
        </w:numPr>
        <w:kinsoku/>
        <w:topLinePunct w:val="0"/>
        <w:bidi w:val="0"/>
        <w:spacing w:before="0" w:beforeAutospacing="0" w:afterAutospacing="0" w:line="360" w:lineRule="auto"/>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罩面板时将次龙骨封闭在棚内，在顶棚表面看不见次龙骨。明龙骨吊顶：即安装罩面板时次龙骨明露在罩面板下，在顶棚表面能够看见次龙骨。次龙骨应紧贴主龙骨安装。次龙骨间距600mm。次龙骨分为T形烤漆龙骨、T形铝合金龙骨，用T形镀锌铁片</w:t>
      </w:r>
      <w:r>
        <w:rPr>
          <w:rFonts w:hint="eastAsia" w:ascii="宋体" w:hAnsi="宋体" w:eastAsia="宋体" w:cs="宋体"/>
          <w:sz w:val="24"/>
          <w:szCs w:val="24"/>
          <w:shd w:val="clear" w:color="auto" w:fill="FFFFFF"/>
        </w:rPr>
        <w:fldChar w:fldCharType="begin"/>
      </w:r>
      <w:r>
        <w:rPr>
          <w:rFonts w:hint="eastAsia" w:ascii="宋体" w:hAnsi="宋体" w:eastAsia="宋体" w:cs="宋体"/>
          <w:sz w:val="24"/>
          <w:szCs w:val="24"/>
          <w:shd w:val="clear" w:color="auto" w:fill="FFFFFF"/>
        </w:rPr>
        <w:instrText xml:space="preserve"> HYPERLINK "http://biz.co188.com/ztp/c5212.html" \t "http://biz.co188.com/baike/_blank" </w:instrText>
      </w:r>
      <w:r>
        <w:rPr>
          <w:rFonts w:hint="eastAsia" w:ascii="宋体" w:hAnsi="宋体" w:eastAsia="宋体" w:cs="宋体"/>
          <w:sz w:val="24"/>
          <w:szCs w:val="24"/>
          <w:shd w:val="clear" w:color="auto" w:fill="FFFFFF"/>
        </w:rPr>
        <w:fldChar w:fldCharType="separate"/>
      </w:r>
      <w:r>
        <w:rPr>
          <w:rStyle w:val="74"/>
          <w:rFonts w:hint="eastAsia" w:ascii="宋体" w:hAnsi="宋体" w:eastAsia="宋体" w:cs="宋体"/>
          <w:color w:val="auto"/>
          <w:sz w:val="24"/>
          <w:szCs w:val="24"/>
          <w:u w:val="none"/>
          <w:shd w:val="clear" w:color="auto" w:fill="FFFFFF"/>
        </w:rPr>
        <w:t>连接件</w:t>
      </w:r>
      <w:r>
        <w:rPr>
          <w:rFonts w:hint="eastAsia" w:ascii="宋体" w:hAnsi="宋体" w:eastAsia="宋体" w:cs="宋体"/>
          <w:sz w:val="24"/>
          <w:szCs w:val="24"/>
          <w:shd w:val="clear" w:color="auto" w:fill="FFFFFF"/>
        </w:rPr>
        <w:fldChar w:fldCharType="end"/>
      </w:r>
      <w:r>
        <w:rPr>
          <w:rFonts w:hint="eastAsia" w:ascii="宋体" w:hAnsi="宋体" w:eastAsia="宋体" w:cs="宋体"/>
          <w:sz w:val="24"/>
          <w:szCs w:val="24"/>
          <w:shd w:val="clear" w:color="auto" w:fill="FFFFFF"/>
        </w:rPr>
        <w:t>把次龙骨固定在主龙骨上时，次龙骨的两端应搭在L形边龙骨的水平翼缘上，条形</w:t>
      </w:r>
      <w:r>
        <w:rPr>
          <w:rFonts w:hint="eastAsia" w:ascii="宋体" w:hAnsi="宋体" w:eastAsia="宋体" w:cs="宋体"/>
          <w:sz w:val="24"/>
          <w:szCs w:val="24"/>
          <w:shd w:val="clear" w:color="auto" w:fill="FFFFFF"/>
        </w:rPr>
        <w:fldChar w:fldCharType="begin"/>
      </w:r>
      <w:r>
        <w:rPr>
          <w:rFonts w:hint="eastAsia" w:ascii="宋体" w:hAnsi="宋体" w:eastAsia="宋体" w:cs="宋体"/>
          <w:sz w:val="24"/>
          <w:szCs w:val="24"/>
          <w:shd w:val="clear" w:color="auto" w:fill="FFFFFF"/>
        </w:rPr>
        <w:instrText xml:space="preserve"> HYPERLINK "http://biz.co188.com/ztp/c9896.html" \t "http://biz.co188.com/baike/_blank" </w:instrText>
      </w:r>
      <w:r>
        <w:rPr>
          <w:rFonts w:hint="eastAsia" w:ascii="宋体" w:hAnsi="宋体" w:eastAsia="宋体" w:cs="宋体"/>
          <w:sz w:val="24"/>
          <w:szCs w:val="24"/>
          <w:shd w:val="clear" w:color="auto" w:fill="FFFFFF"/>
        </w:rPr>
        <w:fldChar w:fldCharType="separate"/>
      </w:r>
      <w:r>
        <w:rPr>
          <w:rStyle w:val="74"/>
          <w:rFonts w:hint="eastAsia" w:ascii="宋体" w:hAnsi="宋体" w:eastAsia="宋体" w:cs="宋体"/>
          <w:color w:val="auto"/>
          <w:sz w:val="24"/>
          <w:szCs w:val="24"/>
          <w:u w:val="none"/>
          <w:shd w:val="clear" w:color="auto" w:fill="FFFFFF"/>
        </w:rPr>
        <w:t>扣板</w:t>
      </w:r>
      <w:r>
        <w:rPr>
          <w:rFonts w:hint="eastAsia" w:ascii="宋体" w:hAnsi="宋体" w:eastAsia="宋体" w:cs="宋体"/>
          <w:sz w:val="24"/>
          <w:szCs w:val="24"/>
          <w:shd w:val="clear" w:color="auto" w:fill="FFFFFF"/>
        </w:rPr>
        <w:fldChar w:fldCharType="end"/>
      </w:r>
      <w:r>
        <w:rPr>
          <w:rFonts w:hint="eastAsia" w:ascii="宋体" w:hAnsi="宋体" w:eastAsia="宋体" w:cs="宋体"/>
          <w:sz w:val="24"/>
          <w:szCs w:val="24"/>
          <w:shd w:val="clear" w:color="auto" w:fill="FFFFFF"/>
        </w:rPr>
        <w:t>有专用的阴角线做边龙骨。</w:t>
      </w:r>
    </w:p>
    <w:p>
      <w:pPr>
        <w:pStyle w:val="53"/>
        <w:pageBreakBefore w:val="0"/>
        <w:widowControl/>
        <w:numPr>
          <w:ilvl w:val="0"/>
          <w:numId w:val="75"/>
        </w:numPr>
        <w:kinsoku/>
        <w:topLinePunct w:val="0"/>
        <w:bidi w:val="0"/>
        <w:spacing w:before="0" w:beforeAutospacing="0" w:afterAutospacing="0" w:line="360" w:lineRule="auto"/>
        <w:ind w:left="126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硫氧镁安装：安装时，应注意花样、图案的整体性；饰面板上的灯</w:t>
      </w:r>
    </w:p>
    <w:p>
      <w:pPr>
        <w:pStyle w:val="53"/>
        <w:pageBreakBefore w:val="0"/>
        <w:widowControl/>
        <w:numPr>
          <w:ilvl w:val="0"/>
          <w:numId w:val="0"/>
        </w:numPr>
        <w:kinsoku/>
        <w:topLinePunct w:val="0"/>
        <w:bidi w:val="0"/>
        <w:spacing w:before="0" w:beforeAutospacing="0" w:afterAutospacing="0" w:line="360" w:lineRule="auto"/>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具、烟感器、喷淋头、风口篦子等设备的位置应合理、美观，与饰面的交接应吻合、严密。</w:t>
      </w:r>
    </w:p>
    <w:p>
      <w:pPr>
        <w:pStyle w:val="53"/>
        <w:pageBreakBefore w:val="0"/>
        <w:widowControl/>
        <w:kinsoku/>
        <w:topLinePunct w:val="0"/>
        <w:bidi w:val="0"/>
        <w:spacing w:beforeAutospacing="0" w:afterAutospacing="0" w:line="360" w:lineRule="auto"/>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drawing>
          <wp:anchor distT="0" distB="0" distL="114300" distR="114300" simplePos="0" relativeHeight="251666432" behindDoc="0" locked="0" layoutInCell="1" allowOverlap="1">
            <wp:simplePos x="0" y="0"/>
            <wp:positionH relativeFrom="column">
              <wp:posOffset>886460</wp:posOffset>
            </wp:positionH>
            <wp:positionV relativeFrom="paragraph">
              <wp:posOffset>62230</wp:posOffset>
            </wp:positionV>
            <wp:extent cx="3968750" cy="1946910"/>
            <wp:effectExtent l="0" t="0" r="12700" b="15240"/>
            <wp:wrapSquare wrapText="bothSides"/>
            <wp:docPr id="71" name="图片 71" descr="吊顶接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吊顶接件"/>
                    <pic:cNvPicPr>
                      <a:picLocks noChangeAspect="1"/>
                    </pic:cNvPicPr>
                  </pic:nvPicPr>
                  <pic:blipFill>
                    <a:blip r:embed="rId23" cstate="print"/>
                    <a:srcRect t="11683"/>
                    <a:stretch>
                      <a:fillRect/>
                    </a:stretch>
                  </pic:blipFill>
                  <pic:spPr>
                    <a:xfrm>
                      <a:off x="0" y="0"/>
                      <a:ext cx="3968750" cy="1946910"/>
                    </a:xfrm>
                    <a:prstGeom prst="rect">
                      <a:avLst/>
                    </a:prstGeom>
                  </pic:spPr>
                </pic:pic>
              </a:graphicData>
            </a:graphic>
          </wp:anchor>
        </w:drawing>
      </w:r>
    </w:p>
    <w:p>
      <w:pPr>
        <w:pStyle w:val="53"/>
        <w:pageBreakBefore w:val="0"/>
        <w:widowControl/>
        <w:kinsoku/>
        <w:topLinePunct w:val="0"/>
        <w:bidi w:val="0"/>
        <w:spacing w:beforeAutospacing="0" w:afterAutospacing="0" w:line="360" w:lineRule="auto"/>
        <w:textAlignment w:val="auto"/>
        <w:rPr>
          <w:rFonts w:hint="eastAsia" w:ascii="宋体" w:hAnsi="宋体" w:eastAsia="宋体" w:cs="宋体"/>
          <w:sz w:val="24"/>
          <w:szCs w:val="24"/>
          <w:shd w:val="clear" w:color="auto" w:fill="FFFFFF"/>
        </w:rPr>
      </w:pPr>
    </w:p>
    <w:p>
      <w:pPr>
        <w:pStyle w:val="53"/>
        <w:pageBreakBefore w:val="0"/>
        <w:widowControl/>
        <w:kinsoku/>
        <w:topLinePunct w:val="0"/>
        <w:bidi w:val="0"/>
        <w:spacing w:beforeAutospacing="0" w:afterAutospacing="0" w:line="360" w:lineRule="auto"/>
        <w:textAlignment w:val="auto"/>
        <w:rPr>
          <w:rFonts w:hint="eastAsia" w:ascii="宋体" w:hAnsi="宋体" w:eastAsia="宋体" w:cs="宋体"/>
          <w:sz w:val="24"/>
          <w:szCs w:val="24"/>
          <w:shd w:val="clear" w:color="auto" w:fill="FFFFFF"/>
        </w:rPr>
      </w:pPr>
    </w:p>
    <w:p>
      <w:pPr>
        <w:pStyle w:val="53"/>
        <w:pageBreakBefore w:val="0"/>
        <w:widowControl/>
        <w:kinsoku/>
        <w:topLinePunct w:val="0"/>
        <w:bidi w:val="0"/>
        <w:spacing w:beforeAutospacing="0" w:afterAutospacing="0" w:line="360" w:lineRule="auto"/>
        <w:textAlignment w:val="auto"/>
        <w:rPr>
          <w:rFonts w:hint="eastAsia" w:ascii="宋体" w:hAnsi="宋体" w:eastAsia="宋体" w:cs="宋体"/>
          <w:sz w:val="24"/>
          <w:szCs w:val="24"/>
          <w:shd w:val="clear" w:color="auto" w:fill="FFFFFF"/>
        </w:rPr>
      </w:pPr>
    </w:p>
    <w:p>
      <w:pPr>
        <w:pStyle w:val="53"/>
        <w:pageBreakBefore w:val="0"/>
        <w:widowControl/>
        <w:kinsoku/>
        <w:topLinePunct w:val="0"/>
        <w:bidi w:val="0"/>
        <w:spacing w:beforeAutospacing="0" w:afterAutospacing="0" w:line="360" w:lineRule="auto"/>
        <w:textAlignment w:val="auto"/>
        <w:rPr>
          <w:rFonts w:hint="eastAsia" w:ascii="宋体" w:hAnsi="宋体" w:eastAsia="宋体" w:cs="宋体"/>
          <w:sz w:val="24"/>
          <w:szCs w:val="24"/>
          <w:shd w:val="clear" w:color="auto" w:fill="FFFFFF"/>
        </w:rPr>
      </w:pPr>
    </w:p>
    <w:p>
      <w:pPr>
        <w:pStyle w:val="53"/>
        <w:pageBreakBefore w:val="0"/>
        <w:widowControl/>
        <w:numPr>
          <w:ilvl w:val="0"/>
          <w:numId w:val="73"/>
        </w:numPr>
        <w:kinsoku/>
        <w:topLinePunct w:val="0"/>
        <w:bidi w:val="0"/>
        <w:spacing w:beforeLines="50" w:beforeAutospacing="0" w:after="0" w:afterAutospacing="0" w:line="360" w:lineRule="auto"/>
        <w:ind w:left="126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隔断施工操作工艺</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工艺流程：结构面清理和找平→放线、分档→配板</w:t>
      </w:r>
      <w:r>
        <w:rPr>
          <w:rFonts w:hint="eastAsia" w:ascii="宋体" w:hAnsi="宋体" w:eastAsia="宋体" w:cs="宋体"/>
          <w:color w:val="000000"/>
          <w:spacing w:val="6"/>
          <w:sz w:val="24"/>
          <w:szCs w:val="24"/>
          <w:shd w:val="clear" w:color="auto" w:fill="FFFFFF"/>
        </w:rPr>
        <w:t>修补→安装</w:t>
      </w:r>
      <w:r>
        <w:rPr>
          <w:rFonts w:hint="eastAsia" w:ascii="宋体" w:hAnsi="宋体" w:eastAsia="宋体" w:cs="宋体"/>
          <w:color w:val="000000"/>
          <w:sz w:val="24"/>
          <w:szCs w:val="24"/>
          <w:shd w:val="clear" w:color="auto" w:fill="FFFFFF"/>
        </w:rPr>
        <w:t>U形卡→配制胶粘剂→铺设电线管、盒→安装隔墙板→</w:t>
      </w:r>
      <w:r>
        <w:rPr>
          <w:rFonts w:hint="eastAsia" w:ascii="宋体" w:hAnsi="宋体" w:eastAsia="宋体" w:cs="宋体"/>
          <w:color w:val="000000"/>
          <w:sz w:val="24"/>
          <w:szCs w:val="24"/>
          <w:shd w:val="clear" w:color="auto" w:fill="FFFFFF"/>
        </w:rPr>
        <w:tab/>
      </w:r>
      <w:r>
        <w:rPr>
          <w:rFonts w:hint="eastAsia" w:ascii="宋体" w:hAnsi="宋体" w:eastAsia="宋体" w:cs="宋体"/>
          <w:color w:val="000000"/>
          <w:sz w:val="24"/>
          <w:szCs w:val="24"/>
          <w:shd w:val="clear" w:color="auto" w:fill="FFFFFF"/>
        </w:rPr>
        <w:t>安装门窗框→板缝处理→板面装修</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清理隔墙板与顶面、地面、墙面及顶面根据设计位置，弹好隔墙边线及弹好隔墙边线门窗洞口线，并按板宽分档。</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放线、分档：在地面、墙面及顶面根据设计位置，弹好隔墙边线及门洞口线，并按板宽分档。</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配板、修补：板的长度应按楼层结构净高尺寸减20</w:t>
      </w:r>
      <w:r>
        <w:rPr>
          <w:rFonts w:hint="eastAsia" w:ascii="宋体" w:hAnsi="宋体" w:eastAsia="宋体" w:cs="宋体"/>
          <w:color w:val="000000"/>
          <w:spacing w:val="3"/>
          <w:sz w:val="24"/>
          <w:szCs w:val="24"/>
          <w:shd w:val="clear" w:color="auto" w:fill="FFFFFF"/>
        </w:rPr>
        <w:t>㎜。计算并量测门</w:t>
      </w:r>
      <w:r>
        <w:rPr>
          <w:rFonts w:hint="eastAsia" w:ascii="宋体" w:hAnsi="宋体" w:eastAsia="宋体" w:cs="宋体"/>
          <w:color w:val="000000"/>
          <w:sz w:val="24"/>
          <w:szCs w:val="24"/>
          <w:shd w:val="clear" w:color="auto" w:fill="FFFFFF"/>
        </w:rPr>
        <w:t>窗洞口上部及窗口下部的隔板尺寸，按尺寸配有预埋件的门窗框板。梁板的宽度与隔墙长度不相适应时，应将部分隔墙板预先拼接加宽（或锯窄）</w:t>
      </w:r>
      <w:r>
        <w:rPr>
          <w:rFonts w:hint="eastAsia" w:ascii="宋体" w:hAnsi="宋体" w:eastAsia="宋体" w:cs="宋体"/>
          <w:color w:val="000000"/>
          <w:spacing w:val="4"/>
          <w:sz w:val="24"/>
          <w:szCs w:val="24"/>
          <w:shd w:val="clear" w:color="auto" w:fill="FFFFFF"/>
        </w:rPr>
        <w:t>成合适的宽度，</w:t>
      </w:r>
      <w:r>
        <w:rPr>
          <w:rFonts w:hint="eastAsia" w:ascii="宋体" w:hAnsi="宋体" w:eastAsia="宋体" w:cs="宋体"/>
          <w:color w:val="000000"/>
          <w:sz w:val="24"/>
          <w:szCs w:val="24"/>
          <w:shd w:val="clear" w:color="auto" w:fill="FFFFFF"/>
        </w:rPr>
        <w:t>放置有阴角处。有缺陷的板应修补。 </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有抗震要求时，应按设计要求用U形钢板卡固定条板的顶端。在两块条板顶端拼缝之间射钉将U形钢板卡固定在梁和板上。随安随固定U形钢板卡。 </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配制胶粘剂：胶粘剂要随配随用。配制的胶粘剂应在30min内用完。 </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安装隔墙板，隔墙板安装顺序应从与墙的结合处开始，依次顺序安装。板侧清刷浮灰，在墙面、顶面、板的顶面及侧面（相拼合面）满刮胶粘剂，按弹线位置安装就位，用木楔顶在板底，再用手平推隔板，使板缝冒浆，一个人用撬棍在板底部向上顶，另一个人打木楔，使隔墙板挤拧顶实，然后用开刀（腻子刀）将挤出的胶粘剂刮平。按以上操作办法依次安装隔墙板。</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熟悉图纸，仔细审阅彩钢板平面布置，节点要求，彩钢板与建筑的关联，彩钢板本身的色泽、填充物、基本尺寸要求，在彩钢板隔断中的门、窗尺寸及布置，辅助材料的型式及其它不详内容。</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二次排板制图，这是彩钢板预制和安装的重要一步，是把设计图纸转化为可供在工厂第二次加工，把标准规格板制成不同类型的壁板，进行组合以体现设计意图的中间转化图，并在彩钢板工厂生产出标准板材，在施工现场拼装，即可以保证壁板的牢固程度又可以加快彩钢板的安装速度。 </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在工厂预制时，根据经验，门洞、窗洞和缝间充分考虑到间隙和安装余量。并在整个运输制作，安装过程中，防止划伤、重压及表面撞击，以防止出现无法校正的凹坑和划痕。彩钢板两侧的塑料保护膜，只有在安装全部结束后，进行彻底清洁时才允许揭掉。</w:t>
      </w:r>
    </w:p>
    <w:p>
      <w:pPr>
        <w:pStyle w:val="53"/>
        <w:pageBreakBefore w:val="0"/>
        <w:widowControl/>
        <w:numPr>
          <w:ilvl w:val="0"/>
          <w:numId w:val="76"/>
        </w:numPr>
        <w:kinsoku/>
        <w:topLinePunct w:val="0"/>
        <w:bidi w:val="0"/>
        <w:spacing w:beforeAutospacing="0" w:afterAutospacing="0" w:line="360" w:lineRule="auto"/>
        <w:ind w:left="840" w:right="76" w:firstLine="480" w:firstLineChars="200"/>
        <w:textAlignment w:val="auto"/>
        <w:rPr>
          <w:rFonts w:hint="eastAsia" w:ascii="宋体" w:hAnsi="宋体" w:eastAsia="宋体" w:cs="宋体"/>
          <w:color w:val="333333"/>
          <w:sz w:val="24"/>
          <w:szCs w:val="24"/>
        </w:rPr>
      </w:pPr>
      <w:r>
        <w:rPr>
          <w:rFonts w:hint="eastAsia" w:ascii="宋体" w:hAnsi="宋体" w:eastAsia="宋体" w:cs="宋体"/>
          <w:color w:val="000000"/>
          <w:sz w:val="24"/>
          <w:szCs w:val="24"/>
          <w:shd w:val="clear" w:color="auto" w:fill="FFFFFF"/>
        </w:rPr>
        <w:t>彩钢板安装前的放线工作，应在地（楼）面完成后进行，并在具备安装的其它相关条件如较大设备已运到位、暗敷地面管线已调整完及技术夹层主要安装工作基本完成，才可以进行。放线是在地面上划出彩钢板</w:t>
      </w:r>
      <w:r>
        <w:rPr>
          <w:rFonts w:hint="eastAsia" w:ascii="宋体" w:hAnsi="宋体" w:eastAsia="宋体" w:cs="宋体"/>
          <w:color w:val="000000"/>
          <w:sz w:val="24"/>
          <w:szCs w:val="24"/>
          <w:shd w:val="clear" w:color="auto" w:fill="FFFFFF"/>
        </w:rPr>
        <w:tab/>
      </w:r>
      <w:r>
        <w:rPr>
          <w:rFonts w:hint="eastAsia" w:ascii="宋体" w:hAnsi="宋体" w:eastAsia="宋体" w:cs="宋体"/>
          <w:color w:val="000000"/>
          <w:sz w:val="24"/>
          <w:szCs w:val="24"/>
          <w:shd w:val="clear" w:color="auto" w:fill="FFFFFF"/>
        </w:rPr>
        <w:t>水平投影（50mm宽）及门、窗位置。上下马槽中心线应在同一垂直面上误差应在1.0%以内即3mm。 </w:t>
      </w:r>
    </w:p>
    <w:p>
      <w:pPr>
        <w:pStyle w:val="53"/>
        <w:pageBreakBefore w:val="0"/>
        <w:widowControl/>
        <w:numPr>
          <w:ilvl w:val="0"/>
          <w:numId w:val="76"/>
        </w:numPr>
        <w:kinsoku/>
        <w:topLinePunct w:val="0"/>
        <w:bidi w:val="0"/>
        <w:spacing w:beforeAutospacing="0" w:afterAutospacing="0" w:line="360" w:lineRule="auto"/>
        <w:ind w:left="840" w:right="76"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装上下马槽，下马槽一般采用带有内外R角的铝合金型材。用射钉固定于地面所画的线上，射钉的位置以直线1.2-1.5m间距，转角及终端距边0.2m为宜，采用止水橡胶条的在射钉之前把两条胶条（Ф</w:t>
      </w:r>
      <w:r>
        <w:rPr>
          <w:rFonts w:hint="eastAsia" w:ascii="宋体" w:hAnsi="宋体" w:eastAsia="宋体" w:cs="宋体"/>
          <w:color w:val="000000"/>
          <w:spacing w:val="3"/>
          <w:sz w:val="24"/>
          <w:szCs w:val="24"/>
          <w:shd w:val="clear" w:color="auto" w:fill="FFFFFF"/>
        </w:rPr>
        <w:t>2-3</w:t>
      </w:r>
      <w:r>
        <w:rPr>
          <w:rFonts w:hint="eastAsia" w:ascii="宋体" w:hAnsi="宋体" w:eastAsia="宋体" w:cs="宋体"/>
          <w:color w:val="000000"/>
          <w:sz w:val="24"/>
          <w:szCs w:val="24"/>
          <w:shd w:val="clear" w:color="auto" w:fill="FFFFFF"/>
        </w:rPr>
        <w:t>）放入槽下，在射钉固定后形成防水隔离封闭。上马槽为压制槽铝，硬吊顶时用射钉枪固定在顶板上，软吊顶时采用吊杆悬吊在层面下，高度以吊顶净高为准。</w:t>
      </w:r>
    </w:p>
    <w:p>
      <w:pPr>
        <w:pStyle w:val="53"/>
        <w:pageBreakBefore w:val="0"/>
        <w:widowControl/>
        <w:numPr>
          <w:ilvl w:val="0"/>
          <w:numId w:val="76"/>
        </w:numPr>
        <w:kinsoku/>
        <w:topLinePunct w:val="0"/>
        <w:bidi w:val="0"/>
        <w:spacing w:beforeAutospacing="0" w:afterAutospacing="0" w:line="360" w:lineRule="auto"/>
        <w:ind w:left="840" w:right="76"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细立壁板，</w:t>
      </w:r>
      <w:r>
        <w:rPr>
          <w:rFonts w:hint="eastAsia" w:cs="宋体"/>
          <w:color w:val="000000"/>
          <w:sz w:val="24"/>
          <w:szCs w:val="24"/>
          <w:shd w:val="clear" w:color="auto" w:fill="FFFFFF"/>
          <w:lang w:eastAsia="zh-CN"/>
        </w:rPr>
        <w:t>安排</w:t>
      </w:r>
      <w:r>
        <w:rPr>
          <w:rFonts w:hint="eastAsia" w:ascii="宋体" w:hAnsi="宋体" w:eastAsia="宋体" w:cs="宋体"/>
          <w:color w:val="000000"/>
          <w:sz w:val="24"/>
          <w:szCs w:val="24"/>
          <w:shd w:val="clear" w:color="auto" w:fill="FFFFFF"/>
        </w:rPr>
        <w:t>版图装入预制好的组件，组件间以固定插件锁定相邻壁板。值得特别注意的是在组立壁板的同时配合好电气暗敷管线及箱盒。壁板应垂直，立缝要靠紧，缝隙越小越美观，立缝均匀。在操作时，仔细清理立缝上的保护膜暂时揭开，而千万不要揭除。清理槽内杂物及粘结的胶液凝固硬块。否则用再大的力也很难将立缝调整的均匀、密实。</w:t>
      </w:r>
    </w:p>
    <w:p>
      <w:pPr>
        <w:pStyle w:val="53"/>
        <w:pageBreakBefore w:val="0"/>
        <w:widowControl/>
        <w:numPr>
          <w:ilvl w:val="0"/>
          <w:numId w:val="76"/>
        </w:numPr>
        <w:kinsoku/>
        <w:topLinePunct w:val="0"/>
        <w:bidi w:val="0"/>
        <w:spacing w:beforeAutospacing="0" w:afterAutospacing="0" w:line="360" w:lineRule="auto"/>
        <w:ind w:left="840" w:right="76"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装吊顶板：顶板的重量支撑是通过固定在周边的立板及中间悬吊的T型铝。长边缝间通过固定插件固定和加固，短边通过T型铝和连板抽芯铆钉固定。吊平顶力求平整，板缝密实均匀、光洁、无痕、无伤。操作注意同立壁板。彩钢板包柱、包箱、</w:t>
      </w:r>
      <w:r>
        <w:rPr>
          <w:rFonts w:hint="eastAsia" w:ascii="宋体" w:hAnsi="宋体" w:eastAsia="宋体" w:cs="宋体"/>
          <w:color w:val="000000"/>
          <w:spacing w:val="12"/>
          <w:sz w:val="24"/>
          <w:szCs w:val="24"/>
          <w:shd w:val="clear" w:color="auto" w:fill="FFFFFF"/>
        </w:rPr>
        <w:t>装阴阳</w:t>
      </w:r>
      <w:r>
        <w:rPr>
          <w:rFonts w:hint="eastAsia" w:ascii="宋体" w:hAnsi="宋体" w:eastAsia="宋体" w:cs="宋体"/>
          <w:color w:val="000000"/>
          <w:sz w:val="24"/>
          <w:szCs w:val="24"/>
          <w:shd w:val="clear" w:color="auto" w:fill="FFFFFF"/>
        </w:rPr>
        <w:t>R角在净化区内的柱子用б=50彩钢板另包起来有利于节约材料</w:t>
      </w:r>
      <w:r>
        <w:rPr>
          <w:rFonts w:hint="eastAsia" w:ascii="宋体" w:hAnsi="宋体" w:eastAsia="宋体" w:cs="宋体"/>
          <w:color w:val="000000"/>
          <w:sz w:val="24"/>
          <w:szCs w:val="24"/>
          <w:shd w:val="clear" w:color="auto" w:fill="FFFFFF"/>
        </w:rPr>
        <w:tab/>
      </w:r>
      <w:r>
        <w:rPr>
          <w:rFonts w:hint="eastAsia" w:ascii="宋体" w:hAnsi="宋体" w:eastAsia="宋体" w:cs="宋体"/>
          <w:color w:val="000000"/>
          <w:sz w:val="24"/>
          <w:szCs w:val="24"/>
          <w:shd w:val="clear" w:color="auto" w:fill="FFFFFF"/>
        </w:rPr>
        <w:t>和统一阴阳R角均为50。先在门窗洞口装入不锈钢的门窗框固定牢靠，装门注意开启方向，装窗玻璃。闭门器应调节好开启速度和力量，一般在关门时前半程速度快，后半程力矩小、速度慢，以减小关门撞击和噪音。 </w:t>
      </w: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sz w:val="24"/>
          <w:szCs w:val="24"/>
        </w:rPr>
        <w:drawing>
          <wp:anchor distT="0" distB="0" distL="114300" distR="114300" simplePos="0" relativeHeight="251686912" behindDoc="1" locked="0" layoutInCell="1" allowOverlap="1">
            <wp:simplePos x="0" y="0"/>
            <wp:positionH relativeFrom="column">
              <wp:posOffset>1061720</wp:posOffset>
            </wp:positionH>
            <wp:positionV relativeFrom="paragraph">
              <wp:posOffset>60960</wp:posOffset>
            </wp:positionV>
            <wp:extent cx="2921635" cy="1562735"/>
            <wp:effectExtent l="0" t="0" r="12065" b="18415"/>
            <wp:wrapNone/>
            <wp:docPr id="72" name="图片 72" descr="边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边角"/>
                    <pic:cNvPicPr>
                      <a:picLocks noChangeAspect="1"/>
                    </pic:cNvPicPr>
                  </pic:nvPicPr>
                  <pic:blipFill>
                    <a:blip r:embed="rId24" cstate="print"/>
                    <a:stretch>
                      <a:fillRect/>
                    </a:stretch>
                  </pic:blipFill>
                  <pic:spPr>
                    <a:xfrm>
                      <a:off x="0" y="0"/>
                      <a:ext cx="2921635" cy="1562735"/>
                    </a:xfrm>
                    <a:prstGeom prst="rect">
                      <a:avLst/>
                    </a:prstGeom>
                  </pic:spPr>
                </pic:pic>
              </a:graphicData>
            </a:graphic>
          </wp:anchor>
        </w:drawing>
      </w: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1102360</wp:posOffset>
            </wp:positionH>
            <wp:positionV relativeFrom="paragraph">
              <wp:posOffset>287020</wp:posOffset>
            </wp:positionV>
            <wp:extent cx="2900045" cy="1488440"/>
            <wp:effectExtent l="0" t="0" r="14605" b="16510"/>
            <wp:wrapNone/>
            <wp:docPr id="73" name="图片 73" descr="维护接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维护接件"/>
                    <pic:cNvPicPr>
                      <a:picLocks noChangeAspect="1"/>
                    </pic:cNvPicPr>
                  </pic:nvPicPr>
                  <pic:blipFill>
                    <a:blip r:embed="rId25" cstate="print"/>
                    <a:stretch>
                      <a:fillRect/>
                    </a:stretch>
                  </pic:blipFill>
                  <pic:spPr>
                    <a:xfrm>
                      <a:off x="0" y="0"/>
                      <a:ext cx="2900045" cy="1488440"/>
                    </a:xfrm>
                    <a:prstGeom prst="rect">
                      <a:avLst/>
                    </a:prstGeom>
                  </pic:spPr>
                </pic:pic>
              </a:graphicData>
            </a:graphic>
          </wp:anchor>
        </w:drawing>
      </w: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center"/>
        <w:textAlignment w:val="auto"/>
        <w:rPr>
          <w:rFonts w:hint="eastAsia" w:ascii="宋体" w:hAnsi="宋体" w:eastAsia="宋体" w:cs="宋体"/>
          <w:sz w:val="24"/>
          <w:szCs w:val="24"/>
        </w:rPr>
      </w:pPr>
    </w:p>
    <w:p>
      <w:pPr>
        <w:pStyle w:val="53"/>
        <w:pageBreakBefore w:val="0"/>
        <w:widowControl/>
        <w:kinsoku/>
        <w:topLinePunct w:val="0"/>
        <w:bidi w:val="0"/>
        <w:spacing w:beforeAutospacing="0" w:afterAutospacing="0" w:line="360" w:lineRule="auto"/>
        <w:ind w:right="76"/>
        <w:jc w:val="center"/>
        <w:textAlignment w:val="auto"/>
        <w:rPr>
          <w:rFonts w:hint="eastAsia" w:ascii="宋体" w:hAnsi="宋体" w:eastAsia="宋体" w:cs="宋体"/>
          <w:sz w:val="24"/>
          <w:szCs w:val="24"/>
        </w:rPr>
      </w:pPr>
    </w:p>
    <w:p>
      <w:pPr>
        <w:pStyle w:val="53"/>
        <w:pageBreakBefore w:val="0"/>
        <w:widowControl/>
        <w:kinsoku/>
        <w:topLinePunct w:val="0"/>
        <w:bidi w:val="0"/>
        <w:spacing w:beforeAutospacing="0" w:afterAutospacing="0" w:line="360" w:lineRule="auto"/>
        <w:ind w:right="76"/>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11650" cy="3234055"/>
            <wp:effectExtent l="0" t="0" r="12700" b="4445"/>
            <wp:docPr id="38918" name="Picture 2" descr="E:\朗脉\销售\图片\扬子江照片\P101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2" descr="E:\朗脉\销售\图片\扬子江照片\P1010180.JPG"/>
                    <pic:cNvPicPr>
                      <a:picLocks noChangeAspect="1"/>
                    </pic:cNvPicPr>
                  </pic:nvPicPr>
                  <pic:blipFill>
                    <a:blip r:embed="rId26" cstate="print"/>
                    <a:stretch>
                      <a:fillRect/>
                    </a:stretch>
                  </pic:blipFill>
                  <pic:spPr>
                    <a:xfrm>
                      <a:off x="0" y="0"/>
                      <a:ext cx="4311650" cy="3234055"/>
                    </a:xfrm>
                    <a:prstGeom prst="rect">
                      <a:avLst/>
                    </a:prstGeom>
                    <a:noFill/>
                    <a:ln w="9525">
                      <a:noFill/>
                    </a:ln>
                  </pic:spPr>
                </pic:pic>
              </a:graphicData>
            </a:graphic>
          </wp:inline>
        </w:drawing>
      </w:r>
    </w:p>
    <w:p>
      <w:pPr>
        <w:pStyle w:val="53"/>
        <w:pageBreakBefore w:val="0"/>
        <w:widowControl/>
        <w:kinsoku/>
        <w:topLinePunct w:val="0"/>
        <w:bidi w:val="0"/>
        <w:spacing w:beforeAutospacing="0" w:afterAutospacing="0" w:line="360" w:lineRule="auto"/>
        <w:ind w:right="76"/>
        <w:jc w:val="center"/>
        <w:textAlignment w:val="auto"/>
        <w:rPr>
          <w:rFonts w:hint="eastAsia" w:ascii="宋体" w:hAnsi="宋体" w:eastAsia="宋体" w:cs="宋体"/>
          <w:sz w:val="24"/>
          <w:szCs w:val="24"/>
        </w:rPr>
      </w:pPr>
    </w:p>
    <w:p>
      <w:pPr>
        <w:pStyle w:val="53"/>
        <w:pageBreakBefore w:val="0"/>
        <w:widowControl/>
        <w:numPr>
          <w:ilvl w:val="0"/>
          <w:numId w:val="76"/>
        </w:numPr>
        <w:kinsoku/>
        <w:topLinePunct w:val="0"/>
        <w:bidi w:val="0"/>
        <w:spacing w:beforeAutospacing="0" w:afterAutospacing="0" w:line="360" w:lineRule="auto"/>
        <w:ind w:left="840" w:right="76"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drawing>
          <wp:anchor distT="0" distB="0" distL="114300" distR="114300" simplePos="0" relativeHeight="251669504" behindDoc="1" locked="0" layoutInCell="1" allowOverlap="1">
            <wp:simplePos x="0" y="0"/>
            <wp:positionH relativeFrom="column">
              <wp:posOffset>1093470</wp:posOffset>
            </wp:positionH>
            <wp:positionV relativeFrom="paragraph">
              <wp:posOffset>594360</wp:posOffset>
            </wp:positionV>
            <wp:extent cx="3175635" cy="1590675"/>
            <wp:effectExtent l="0" t="0" r="5715" b="9525"/>
            <wp:wrapNone/>
            <wp:docPr id="74" name="图片 74" descr="QQ截图2018052217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QQ截图20180522170912"/>
                    <pic:cNvPicPr>
                      <a:picLocks noChangeAspect="1"/>
                    </pic:cNvPicPr>
                  </pic:nvPicPr>
                  <pic:blipFill>
                    <a:blip r:embed="rId27" cstate="print"/>
                    <a:srcRect t="9476"/>
                    <a:stretch>
                      <a:fillRect/>
                    </a:stretch>
                  </pic:blipFill>
                  <pic:spPr>
                    <a:xfrm>
                      <a:off x="0" y="0"/>
                      <a:ext cx="3175635" cy="1590675"/>
                    </a:xfrm>
                    <a:prstGeom prst="rect">
                      <a:avLst/>
                    </a:prstGeom>
                  </pic:spPr>
                </pic:pic>
              </a:graphicData>
            </a:graphic>
          </wp:anchor>
        </w:drawing>
      </w:r>
      <w:r>
        <w:rPr>
          <w:rFonts w:hint="eastAsia" w:ascii="宋体" w:hAnsi="宋体" w:eastAsia="宋体" w:cs="宋体"/>
          <w:color w:val="000000"/>
          <w:sz w:val="24"/>
          <w:szCs w:val="24"/>
          <w:shd w:val="clear" w:color="auto" w:fill="FFFFFF"/>
        </w:rPr>
        <w:t>密封硅胶：在净化区内，凡是有可能影响洁净度的下述缝隙，均应涂密封硅胶：彩钢板之间的拼接缝、R角与壁板、顶板的所有缝隙；</w:t>
      </w: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kinsoku/>
        <w:topLinePunct w:val="0"/>
        <w:bidi w:val="0"/>
        <w:spacing w:beforeAutospacing="0" w:afterAutospacing="0" w:line="360" w:lineRule="auto"/>
        <w:ind w:right="76"/>
        <w:jc w:val="left"/>
        <w:textAlignment w:val="auto"/>
        <w:rPr>
          <w:rFonts w:hint="eastAsia" w:ascii="宋体" w:hAnsi="宋体" w:eastAsia="宋体" w:cs="宋体"/>
          <w:color w:val="000000"/>
          <w:sz w:val="24"/>
          <w:szCs w:val="24"/>
          <w:shd w:val="clear" w:color="auto" w:fill="FFFFFF"/>
        </w:rPr>
      </w:pPr>
    </w:p>
    <w:p>
      <w:pPr>
        <w:pStyle w:val="53"/>
        <w:pageBreakBefore w:val="0"/>
        <w:widowControl/>
        <w:numPr>
          <w:ilvl w:val="0"/>
          <w:numId w:val="77"/>
        </w:numPr>
        <w:kinsoku/>
        <w:topLinePunct w:val="0"/>
        <w:bidi w:val="0"/>
        <w:spacing w:beforeAutospacing="0" w:afterAutospacing="0" w:line="360" w:lineRule="auto"/>
        <w:ind w:left="1685" w:right="76"/>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空调风管、风口、高效过滤器与壁顶板间的缝隙；</w:t>
      </w:r>
    </w:p>
    <w:p>
      <w:pPr>
        <w:pStyle w:val="53"/>
        <w:pageBreakBefore w:val="0"/>
        <w:widowControl/>
        <w:numPr>
          <w:ilvl w:val="0"/>
          <w:numId w:val="77"/>
        </w:numPr>
        <w:kinsoku/>
        <w:topLinePunct w:val="0"/>
        <w:bidi w:val="0"/>
        <w:spacing w:before="0" w:beforeAutospacing="0" w:after="0" w:afterAutospacing="0" w:line="360" w:lineRule="auto"/>
        <w:ind w:left="1684" w:right="7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电气穿过壁板顶板的保护管槽与洞口边缘间的缝隙；</w:t>
      </w:r>
    </w:p>
    <w:p>
      <w:pPr>
        <w:pStyle w:val="53"/>
        <w:pageBreakBefore w:val="0"/>
        <w:widowControl/>
        <w:numPr>
          <w:ilvl w:val="0"/>
          <w:numId w:val="77"/>
        </w:numPr>
        <w:kinsoku/>
        <w:topLinePunct w:val="0"/>
        <w:bidi w:val="0"/>
        <w:spacing w:before="0" w:beforeAutospacing="0" w:after="0" w:afterAutospacing="0" w:line="360" w:lineRule="auto"/>
        <w:ind w:left="1684" w:right="7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所有开关插座灯具与彩钢板顶板面间的缝隙；</w:t>
      </w:r>
    </w:p>
    <w:p>
      <w:pPr>
        <w:pStyle w:val="53"/>
        <w:pageBreakBefore w:val="0"/>
        <w:widowControl/>
        <w:numPr>
          <w:ilvl w:val="0"/>
          <w:numId w:val="77"/>
        </w:numPr>
        <w:kinsoku/>
        <w:topLinePunct w:val="0"/>
        <w:bidi w:val="0"/>
        <w:spacing w:beforeAutospacing="0" w:afterAutospacing="0" w:line="360" w:lineRule="auto"/>
        <w:ind w:left="1685" w:right="76"/>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所有工艺、给排水、保护管与洞口的间隙；</w:t>
      </w:r>
    </w:p>
    <w:p>
      <w:pPr>
        <w:pStyle w:val="53"/>
        <w:pageBreakBefore w:val="0"/>
        <w:widowControl/>
        <w:numPr>
          <w:ilvl w:val="0"/>
          <w:numId w:val="77"/>
        </w:numPr>
        <w:kinsoku/>
        <w:topLinePunct w:val="0"/>
        <w:bidi w:val="0"/>
        <w:spacing w:beforeAutospacing="0" w:afterAutospacing="0" w:line="360" w:lineRule="auto"/>
        <w:ind w:left="1685" w:right="76"/>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shd w:val="clear" w:color="auto" w:fill="FFFFFF"/>
        </w:rPr>
        <w:t>玻璃与框间的缝隙；</w:t>
      </w:r>
    </w:p>
    <w:p>
      <w:pPr>
        <w:pStyle w:val="53"/>
        <w:pageBreakBefore w:val="0"/>
        <w:widowControl/>
        <w:kinsoku/>
        <w:topLinePunct w:val="0"/>
        <w:bidi w:val="0"/>
        <w:spacing w:beforeAutospacing="0" w:afterAutospacing="0" w:line="360" w:lineRule="auto"/>
        <w:ind w:right="76"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密封硅胶应在彩板安装基本就绪，卫生条件较好，经过彻底清扫除尘后，统一进行。否则硅胶缝易污染、发黑。硅胶打好后24小时内，不应有大量灰尘作业及用水冲洗地面等可能影响密封硅胶的固化及牢度。</w:t>
      </w:r>
    </w:p>
    <w:p>
      <w:pPr>
        <w:pStyle w:val="53"/>
        <w:pageBreakBefore w:val="0"/>
        <w:widowControl/>
        <w:numPr>
          <w:ilvl w:val="0"/>
          <w:numId w:val="78"/>
        </w:numPr>
        <w:kinsoku/>
        <w:topLinePunct w:val="0"/>
        <w:bidi w:val="0"/>
        <w:spacing w:beforeLines="50" w:beforeAutospacing="0" w:after="0" w:afterAutospacing="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PVC地面</w:t>
      </w:r>
    </w:p>
    <w:p>
      <w:pPr>
        <w:pageBreakBefore w:val="0"/>
        <w:numPr>
          <w:ilvl w:val="0"/>
          <w:numId w:val="79"/>
        </w:numPr>
        <w:kinsoku/>
        <w:topLinePunct w:val="0"/>
        <w:bidi w:val="0"/>
        <w:spacing w:line="360" w:lineRule="auto"/>
        <w:ind w:right="-175" w:rightChars="-73" w:firstLine="480" w:firstLineChars="200"/>
        <w:textAlignment w:val="auto"/>
        <w:outlineLvl w:val="2"/>
        <w:rPr>
          <w:rFonts w:hint="eastAsia" w:ascii="宋体" w:hAnsi="宋体" w:eastAsia="宋体" w:cs="宋体"/>
          <w:sz w:val="24"/>
          <w:szCs w:val="24"/>
        </w:rPr>
      </w:pPr>
      <w:bookmarkStart w:id="43" w:name="_Toc11835"/>
      <w:bookmarkStart w:id="44" w:name="_Toc14842"/>
      <w:bookmarkStart w:id="45" w:name="_Toc18061"/>
      <w:bookmarkStart w:id="46" w:name="_Toc26884"/>
      <w:r>
        <w:rPr>
          <w:rFonts w:hint="eastAsia" w:ascii="宋体" w:hAnsi="宋体" w:eastAsia="宋体" w:cs="宋体"/>
          <w:sz w:val="24"/>
          <w:szCs w:val="24"/>
        </w:rPr>
        <w:t>工艺原理</w:t>
      </w:r>
      <w:bookmarkEnd w:id="43"/>
      <w:bookmarkEnd w:id="44"/>
      <w:r>
        <w:rPr>
          <w:rFonts w:hint="eastAsia" w:ascii="宋体" w:hAnsi="宋体" w:eastAsia="宋体" w:cs="宋体"/>
          <w:sz w:val="24"/>
          <w:szCs w:val="24"/>
        </w:rPr>
        <w:t xml:space="preserve"> ：目前流行的塑胶地板多使用聚氯乙烯树脂制成的板材和卷材以胶粘剂直接铺设在混凝土或水泥砂浆基层表面上。卷材的接缝处使用专用开槽工具及焊接工具使其达到无接缝的效果。卷材铺设完后用保护剂处理地板表面以延长地板的使用寿命。</w:t>
      </w:r>
      <w:bookmarkEnd w:id="45"/>
      <w:bookmarkEnd w:id="46"/>
      <w:bookmarkStart w:id="47" w:name="_Toc17376"/>
      <w:bookmarkStart w:id="48" w:name="_Toc6515"/>
    </w:p>
    <w:p>
      <w:pPr>
        <w:pageBreakBefore w:val="0"/>
        <w:numPr>
          <w:ilvl w:val="0"/>
          <w:numId w:val="79"/>
        </w:numPr>
        <w:kinsoku/>
        <w:topLinePunct w:val="0"/>
        <w:bidi w:val="0"/>
        <w:spacing w:line="360" w:lineRule="auto"/>
        <w:ind w:right="-175" w:rightChars="-73" w:firstLine="480" w:firstLineChars="200"/>
        <w:textAlignment w:val="auto"/>
        <w:outlineLvl w:val="2"/>
        <w:rPr>
          <w:rFonts w:hint="eastAsia" w:ascii="宋体" w:hAnsi="宋体" w:eastAsia="宋体" w:cs="宋体"/>
          <w:sz w:val="24"/>
          <w:szCs w:val="24"/>
        </w:rPr>
      </w:pPr>
      <w:bookmarkStart w:id="49" w:name="_Toc31425"/>
      <w:bookmarkStart w:id="50" w:name="_Toc9928"/>
      <w:r>
        <w:rPr>
          <w:rFonts w:hint="eastAsia" w:ascii="宋体" w:hAnsi="宋体" w:eastAsia="宋体" w:cs="宋体"/>
          <w:sz w:val="24"/>
          <w:szCs w:val="24"/>
        </w:rPr>
        <w:t>工艺流程及操作要点</w:t>
      </w:r>
      <w:bookmarkEnd w:id="47"/>
      <w:bookmarkEnd w:id="48"/>
      <w:bookmarkEnd w:id="49"/>
      <w:bookmarkEnd w:id="50"/>
    </w:p>
    <w:p>
      <w:pPr>
        <w:pageBreakBefore w:val="0"/>
        <w:numPr>
          <w:ilvl w:val="0"/>
          <w:numId w:val="80"/>
        </w:numPr>
        <w:kinsoku/>
        <w:topLinePunct w:val="0"/>
        <w:bidi w:val="0"/>
        <w:spacing w:line="360" w:lineRule="auto"/>
        <w:ind w:left="1265" w:right="-175" w:rightChars="-73"/>
        <w:textAlignment w:val="auto"/>
        <w:rPr>
          <w:rFonts w:hint="eastAsia" w:ascii="宋体" w:hAnsi="宋体" w:eastAsia="宋体" w:cs="宋体"/>
          <w:sz w:val="24"/>
          <w:szCs w:val="24"/>
        </w:rPr>
      </w:pPr>
      <w:r>
        <w:rPr>
          <w:rFonts w:hint="eastAsia" w:ascii="宋体" w:hAnsi="宋体" w:eastAsia="宋体" w:cs="宋体"/>
          <w:sz w:val="24"/>
          <w:szCs w:val="24"/>
        </w:rPr>
        <w:t>工艺流程：楼地面基层处理、清洁→涂刷界面处理剂→施工自流平→自流平表面打磨、清洁→PVC地板放样→涂刷专</w:t>
      </w:r>
      <w:r>
        <w:rPr>
          <w:rFonts w:hint="eastAsia" w:ascii="宋体" w:hAnsi="宋体" w:eastAsia="宋体" w:cs="宋体"/>
          <w:sz w:val="24"/>
          <w:szCs w:val="24"/>
        </w:rPr>
        <w:tab/>
      </w:r>
      <w:r>
        <w:rPr>
          <w:rFonts w:hint="eastAsia" w:ascii="宋体" w:hAnsi="宋体" w:eastAsia="宋体" w:cs="宋体"/>
          <w:sz w:val="24"/>
          <w:szCs w:val="24"/>
        </w:rPr>
        <w:t>用粘结剂→粘贴PVC卷材→排气、压实→收边处理、养护→开槽焊线→修平焊线→清理残渣、表面打蜡。</w:t>
      </w:r>
    </w:p>
    <w:p>
      <w:pPr>
        <w:pageBreakBefore w:val="0"/>
        <w:numPr>
          <w:ilvl w:val="0"/>
          <w:numId w:val="80"/>
        </w:numPr>
        <w:kinsoku/>
        <w:topLinePunct w:val="0"/>
        <w:bidi w:val="0"/>
        <w:spacing w:line="360" w:lineRule="auto"/>
        <w:ind w:left="1265" w:right="-175" w:rightChars="-73"/>
        <w:textAlignment w:val="auto"/>
        <w:rPr>
          <w:rFonts w:hint="eastAsia" w:ascii="宋体" w:hAnsi="宋体" w:eastAsia="宋体" w:cs="宋体"/>
          <w:sz w:val="24"/>
          <w:szCs w:val="24"/>
        </w:rPr>
      </w:pPr>
      <w:r>
        <w:rPr>
          <w:rFonts w:hint="eastAsia" w:ascii="宋体" w:hAnsi="宋体" w:eastAsia="宋体" w:cs="宋体"/>
          <w:sz w:val="24"/>
          <w:szCs w:val="24"/>
        </w:rPr>
        <w:t>操作要点</w:t>
      </w:r>
    </w:p>
    <w:p>
      <w:pPr>
        <w:pageBreakBefore w:val="0"/>
        <w:numPr>
          <w:ilvl w:val="0"/>
          <w:numId w:val="81"/>
        </w:numPr>
        <w:kinsoku/>
        <w:topLinePunct w:val="0"/>
        <w:bidi w:val="0"/>
        <w:spacing w:line="360" w:lineRule="auto"/>
        <w:ind w:left="1685" w:right="-175" w:rightChars="-73"/>
        <w:textAlignment w:val="auto"/>
        <w:rPr>
          <w:rFonts w:hint="eastAsia" w:ascii="宋体" w:hAnsi="宋体" w:eastAsia="宋体" w:cs="宋体"/>
          <w:sz w:val="24"/>
          <w:szCs w:val="24"/>
        </w:rPr>
      </w:pPr>
      <w:bookmarkStart w:id="51" w:name="_Toc20673_WPSOffice_Level3"/>
      <w:bookmarkStart w:id="52" w:name="_Toc23620_WPSOffice_Level3"/>
      <w:bookmarkStart w:id="53" w:name="_Toc31627_WPSOffice_Level3"/>
      <w:bookmarkStart w:id="54" w:name="_Toc18515_WPSOffice_Level3"/>
      <w:r>
        <w:rPr>
          <w:rFonts w:hint="eastAsia" w:ascii="宋体" w:hAnsi="宋体" w:eastAsia="宋体" w:cs="宋体"/>
          <w:sz w:val="24"/>
          <w:szCs w:val="24"/>
        </w:rPr>
        <w:t>基层处理</w:t>
      </w:r>
      <w:bookmarkEnd w:id="51"/>
      <w:bookmarkEnd w:id="52"/>
      <w:bookmarkEnd w:id="53"/>
      <w:bookmarkEnd w:id="54"/>
      <w:r>
        <w:rPr>
          <w:rFonts w:hint="eastAsia" w:ascii="宋体" w:hAnsi="宋体" w:eastAsia="宋体" w:cs="宋体"/>
          <w:sz w:val="24"/>
          <w:szCs w:val="24"/>
        </w:rPr>
        <w:t xml:space="preserve">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 1：2.5水泥砂浆找平层表面应坚硬、干燥、密实、洁净、无油脂及其它杂质，平整度用2m靠尺检查不得大于2mm，不得有麻面、起砂、裂缝等缺陷，基层含水率不得大于6%。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对局部很小面积的凹坑或凸起，在施工前用原子灰填平凹坑或用打</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磨机磨平凸起处，最后用吸尘器彻底清洁干净。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涂刷水性界面剂，必须使界面剂均匀涂于基层上，涂刷应均匀，不得有露底，待整个表面泛出均匀的光泽为准。干燥时间为3小时左右（以手触不粘为准），界面剂</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不得过夜或干燥成白色；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bookmarkStart w:id="55" w:name="_Toc5304_WPSOffice_Level3"/>
      <w:bookmarkStart w:id="56" w:name="_Toc5982_WPSOffice_Level3"/>
      <w:bookmarkStart w:id="57" w:name="_Toc2522_WPSOffice_Level3"/>
      <w:bookmarkStart w:id="58" w:name="_Toc23087_WPSOffice_Level3"/>
      <w:r>
        <w:rPr>
          <w:rFonts w:hint="eastAsia" w:ascii="宋体" w:hAnsi="宋体" w:eastAsia="宋体" w:cs="宋体"/>
          <w:sz w:val="24"/>
          <w:szCs w:val="24"/>
        </w:rPr>
        <w:t>b.自流平施工</w:t>
      </w:r>
      <w:bookmarkEnd w:id="55"/>
      <w:bookmarkEnd w:id="56"/>
      <w:bookmarkEnd w:id="57"/>
      <w:bookmarkEnd w:id="58"/>
      <w:r>
        <w:rPr>
          <w:rFonts w:hint="eastAsia" w:ascii="宋体" w:hAnsi="宋体" w:eastAsia="宋体" w:cs="宋体"/>
          <w:sz w:val="24"/>
          <w:szCs w:val="24"/>
        </w:rPr>
        <w:t xml:space="preserve">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将自流平水泥按水灰重量比6.25：25的比例倒入盛有清水的搅拌桶中，边倾倒边搅拌，使用大功率低转速搅拌器搅拌至均匀、无结块流态混合状。然后静置2～3min使其反应充分熟化，最后再搅拌1min即可使用。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将搅拌好的自流平水泥均匀地倒入施工区域，用锯齿形刮板布展均匀至要求的厚度（3mm）。整个操作过程不得超过30分钟（图1）。</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自流平干燥24小时后即可进行打磨，打磨时需磨掉表面浮浆、至坚实层，墙角边缘用手砂纸打磨，切忌用角磨机进行打磨</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bookmarkStart w:id="59" w:name="_Toc20453_WPSOffice_Level3"/>
      <w:bookmarkStart w:id="60" w:name="_Toc30421_WPSOffice_Level3"/>
      <w:bookmarkStart w:id="61" w:name="_Toc21991_WPSOffice_Level3"/>
      <w:bookmarkStart w:id="62" w:name="_Toc4196_WPSOffice_Level3"/>
      <w:r>
        <w:rPr>
          <w:rFonts w:hint="eastAsia" w:ascii="宋体" w:hAnsi="宋体" w:eastAsia="宋体" w:cs="宋体"/>
          <w:sz w:val="24"/>
          <w:szCs w:val="24"/>
        </w:rPr>
        <w:t>c.楼地面 PVC卷材铺设</w:t>
      </w:r>
      <w:bookmarkEnd w:id="59"/>
      <w:bookmarkEnd w:id="60"/>
      <w:bookmarkEnd w:id="61"/>
      <w:bookmarkEnd w:id="62"/>
      <w:r>
        <w:rPr>
          <w:rFonts w:hint="eastAsia" w:ascii="宋体" w:hAnsi="宋体" w:eastAsia="宋体" w:cs="宋体"/>
          <w:sz w:val="24"/>
          <w:szCs w:val="24"/>
        </w:rPr>
        <w:t xml:space="preserve">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粘贴PVC卷材前，应用吸尘器 将基层表面灰尘、杂物清理干净，严禁遗留颗粒状硬物，并将PVC卷材背面用棉纱擦净。施工现场的温度必须达到15℃以上，并保证至少24小时恒温。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PVC卷材预铺下料前应展开静置24小时以上，保证与地面及周围环境温度相同、记忆性还原后，将卷材按照平面布局放线、预铺。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将胶粘剂倒在预铺设的基层上，使用齿型刮板在楼地面基层上涂刮胶粘剂，同时用毛刷在卷材背面涂刷胶粘剂，胶粘剂一定要涂刷均匀。基层表面涂刮部分应超出卷材边缘10mm左右。</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胶粘剂涂刮完等候10min左右，待胶粘剂稍干不粘手后即可铺贴卷材，将卷材按基层放线一次就位准确，用软木块推压平整，排除卷材下面的残余气体。  铺贴完一张卷材后，及时清除卷材两侧多余的胶粘剂，随后用50kg钢压辊滚压3遍。注意滚压时先横向后纵向，使卷材与基层粘贴密实（整个胶粘剂的作业时间必须在20min左右完成）。待90min后再重复辊压3遍。  铺贴第二张卷材时，要注意卷材背面箭头所示方向与前一张卷材一致。相邻卷材铺贴应搭接30mm，用导轨裁边器画线并切割。卷材间的接缝宽度 不得超过3mm，且均匀一致。</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踢脚线施工工艺与地板相同，要求侧面平整、拼接严密，阴阳角可做成直角或圆角。为防止卷材脱落，踢脚线基层不得采用批腻子、石膏等吸水率大的材料。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bookmarkStart w:id="63" w:name="_Toc20002_WPSOffice_Level3"/>
      <w:bookmarkStart w:id="64" w:name="_Toc23476_WPSOffice_Level3"/>
      <w:bookmarkStart w:id="65" w:name="_Toc26074_WPSOffice_Level3"/>
      <w:bookmarkStart w:id="66" w:name="_Toc22799_WPSOffice_Level3"/>
      <w:r>
        <w:rPr>
          <w:rFonts w:hint="eastAsia" w:ascii="宋体" w:hAnsi="宋体" w:eastAsia="宋体" w:cs="宋体"/>
          <w:sz w:val="24"/>
          <w:szCs w:val="24"/>
        </w:rPr>
        <w:t>d.PVC卷材接缝焊接</w:t>
      </w:r>
      <w:bookmarkEnd w:id="63"/>
      <w:bookmarkEnd w:id="64"/>
      <w:bookmarkEnd w:id="65"/>
      <w:bookmarkEnd w:id="66"/>
      <w:r>
        <w:rPr>
          <w:rFonts w:hint="eastAsia" w:ascii="宋体" w:hAnsi="宋体" w:eastAsia="宋体" w:cs="宋体"/>
          <w:sz w:val="24"/>
          <w:szCs w:val="24"/>
        </w:rPr>
        <w:t xml:space="preserve">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地板的开槽工作待整间地板铺设完后24小时进行。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 用开槽器在地板的接缝处开出“U”型焊槽，开槽宽度不得大于3.5mm，深度至卷材厚度的2/3 处。</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接缝焊接前，先将专用热风焊枪接通电源，焊枪出口处气流温度调至30～40℃，用热风焊枪将板缝内杂物吹净。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由专人一手控制焊条，另一手持专用热风焊枪，焊枪出口气流温度控制在180～250℃，焊速应均匀，保持在20～30cm/min。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焊缝凹陷处不得低于地板表面0.5mm，对脱焊部分应进行补焊，焊缝凸起部分用焊条修平器修平。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bookmarkStart w:id="67" w:name="_Toc5290_WPSOffice_Level3"/>
      <w:bookmarkStart w:id="68" w:name="_Toc5276_WPSOffice_Level3"/>
      <w:bookmarkStart w:id="69" w:name="_Toc17148_WPSOffice_Level3"/>
      <w:bookmarkStart w:id="70" w:name="_Toc2889_WPSOffice_Level3"/>
      <w:r>
        <w:rPr>
          <w:rFonts w:hint="eastAsia" w:ascii="宋体" w:hAnsi="宋体" w:eastAsia="宋体" w:cs="宋体"/>
          <w:sz w:val="24"/>
          <w:szCs w:val="24"/>
        </w:rPr>
        <w:t>e.PVC地板保养</w:t>
      </w:r>
      <w:bookmarkEnd w:id="67"/>
      <w:bookmarkEnd w:id="68"/>
      <w:bookmarkEnd w:id="69"/>
      <w:bookmarkEnd w:id="70"/>
      <w:r>
        <w:rPr>
          <w:rFonts w:hint="eastAsia" w:ascii="宋体" w:hAnsi="宋体" w:eastAsia="宋体" w:cs="宋体"/>
          <w:sz w:val="24"/>
          <w:szCs w:val="24"/>
        </w:rPr>
        <w:t xml:space="preserve">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地板施工完后应进行打蜡保护，在打蜡之前需要用拧干的墩布将表面的污物去掉，晾干后再打蜡。  </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将适量的石蜡水洒在地板上，用打蜡机毛刷横向均匀打磨，直至灯下无光环为宜。打蜡机不得前后推拉，以免打花。</w:t>
      </w:r>
    </w:p>
    <w:p>
      <w:pPr>
        <w:pageBreakBefore w:val="0"/>
        <w:numPr>
          <w:ilvl w:val="0"/>
          <w:numId w:val="82"/>
        </w:numPr>
        <w:kinsoku/>
        <w:topLinePunct w:val="0"/>
        <w:bidi w:val="0"/>
        <w:spacing w:line="360" w:lineRule="auto"/>
        <w:ind w:left="960" w:leftChars="0" w:right="-175" w:rightChars="-73" w:hanging="480" w:firstLineChars="0"/>
        <w:textAlignment w:val="auto"/>
        <w:rPr>
          <w:rFonts w:hint="eastAsia" w:ascii="宋体" w:hAnsi="宋体" w:eastAsia="宋体" w:cs="宋体"/>
          <w:sz w:val="24"/>
          <w:szCs w:val="24"/>
        </w:rPr>
      </w:pPr>
      <w:r>
        <w:rPr>
          <w:rFonts w:hint="eastAsia" w:ascii="宋体" w:hAnsi="宋体" w:eastAsia="宋体" w:cs="宋体"/>
          <w:sz w:val="24"/>
          <w:szCs w:val="24"/>
        </w:rPr>
        <w:t>打蜡要分2～3遍完成，不要一次打的过多。第一遍施工完后，2小时内地板上不得上人，待其晾干后再进行第二遍施工。</w:t>
      </w:r>
    </w:p>
    <w:p>
      <w:pPr>
        <w:pageBreakBefore w:val="0"/>
        <w:numPr>
          <w:ilvl w:val="0"/>
          <w:numId w:val="83"/>
        </w:numPr>
        <w:kinsoku/>
        <w:topLinePunct w:val="0"/>
        <w:bidi w:val="0"/>
        <w:spacing w:line="360" w:lineRule="auto"/>
        <w:ind w:left="845" w:right="-175" w:rightChars="-73"/>
        <w:textAlignment w:val="auto"/>
        <w:outlineLvl w:val="2"/>
        <w:rPr>
          <w:rFonts w:hint="eastAsia" w:ascii="宋体" w:hAnsi="宋体" w:eastAsia="宋体" w:cs="宋体"/>
          <w:sz w:val="24"/>
          <w:szCs w:val="24"/>
        </w:rPr>
      </w:pPr>
      <w:bookmarkStart w:id="71" w:name="_Toc23662"/>
      <w:bookmarkStart w:id="72" w:name="_Toc32446"/>
      <w:bookmarkStart w:id="73" w:name="_Toc708"/>
      <w:bookmarkStart w:id="74" w:name="_Toc20160"/>
      <w:r>
        <w:rPr>
          <w:rFonts w:hint="eastAsia" w:ascii="宋体" w:hAnsi="宋体" w:eastAsia="宋体" w:cs="宋体"/>
          <w:sz w:val="24"/>
          <w:szCs w:val="24"/>
        </w:rPr>
        <w:t>材料要求</w:t>
      </w:r>
      <w:bookmarkEnd w:id="71"/>
      <w:bookmarkEnd w:id="72"/>
      <w:bookmarkEnd w:id="73"/>
      <w:bookmarkEnd w:id="74"/>
    </w:p>
    <w:p>
      <w:pPr>
        <w:pageBreakBefore w:val="0"/>
        <w:numPr>
          <w:ilvl w:val="0"/>
          <w:numId w:val="84"/>
        </w:numPr>
        <w:kinsoku/>
        <w:topLinePunct w:val="0"/>
        <w:bidi w:val="0"/>
        <w:spacing w:line="360" w:lineRule="auto"/>
        <w:ind w:left="420" w:right="-175" w:rightChars="-73"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对原材料的检验  </w:t>
      </w:r>
    </w:p>
    <w:p>
      <w:pPr>
        <w:pageBreakBefore w:val="0"/>
        <w:kinsoku/>
        <w:topLinePunct w:val="0"/>
        <w:bidi w:val="0"/>
        <w:spacing w:line="360" w:lineRule="auto"/>
        <w:ind w:left="840" w:right="-175" w:rightChars="-73" w:firstLine="420"/>
        <w:textAlignment w:val="auto"/>
        <w:rPr>
          <w:rFonts w:hint="eastAsia" w:ascii="宋体" w:hAnsi="宋体" w:eastAsia="宋体" w:cs="宋体"/>
          <w:sz w:val="24"/>
          <w:szCs w:val="24"/>
        </w:rPr>
      </w:pPr>
      <w:r>
        <w:rPr>
          <w:rFonts w:hint="eastAsia" w:ascii="宋体" w:hAnsi="宋体" w:eastAsia="宋体" w:cs="宋体"/>
          <w:sz w:val="24"/>
          <w:szCs w:val="24"/>
        </w:rPr>
        <w:t>PVC地板及胶粘剂应符合《室内装饰装修材料聚氯乙烯卷材地板中有害物质限量》 GB 18586-2001、《建筑材料燃烧性能分级方法》 GB 8624-1997 《室内装饰装修材料胶粘剂中有害物质限量》 GB 18583-2001、《民用建筑工程室内环境污染控制规范》 GB 50325-2001要求。</w:t>
      </w:r>
    </w:p>
    <w:p>
      <w:pPr>
        <w:pageBreakBefore w:val="0"/>
        <w:numPr>
          <w:ilvl w:val="0"/>
          <w:numId w:val="84"/>
        </w:numPr>
        <w:kinsoku/>
        <w:topLinePunct w:val="0"/>
        <w:bidi w:val="0"/>
        <w:spacing w:line="360" w:lineRule="auto"/>
        <w:ind w:left="420" w:right="-175" w:rightChars="-73"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塑胶卷材：表面应色泽均匀、无裂纹、并应符合产品标准的各项技术指标，有产品出厂合格证。 </w:t>
      </w:r>
    </w:p>
    <w:p>
      <w:pPr>
        <w:pageBreakBefore w:val="0"/>
        <w:numPr>
          <w:ilvl w:val="0"/>
          <w:numId w:val="84"/>
        </w:numPr>
        <w:kinsoku/>
        <w:topLinePunct w:val="0"/>
        <w:bidi w:val="0"/>
        <w:spacing w:line="360" w:lineRule="auto"/>
        <w:ind w:left="420" w:right="-175" w:rightChars="-73"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粘结剂：应根据所铺的材料化学成分和面层的使用要求，按产品说明书使用并通过试验决定。 </w:t>
      </w:r>
    </w:p>
    <w:p>
      <w:pPr>
        <w:pageBreakBefore w:val="0"/>
        <w:numPr>
          <w:ilvl w:val="0"/>
          <w:numId w:val="83"/>
        </w:numPr>
        <w:kinsoku/>
        <w:topLinePunct w:val="0"/>
        <w:bidi w:val="0"/>
        <w:spacing w:line="360" w:lineRule="auto"/>
        <w:ind w:left="845" w:right="-175" w:rightChars="-73"/>
        <w:textAlignment w:val="auto"/>
        <w:outlineLvl w:val="2"/>
        <w:rPr>
          <w:rFonts w:hint="eastAsia" w:ascii="宋体" w:hAnsi="宋体" w:eastAsia="宋体" w:cs="宋体"/>
          <w:sz w:val="24"/>
          <w:szCs w:val="24"/>
        </w:rPr>
      </w:pPr>
      <w:bookmarkStart w:id="75" w:name="_Toc4652"/>
      <w:bookmarkStart w:id="76" w:name="_Toc11171"/>
      <w:bookmarkStart w:id="77" w:name="_Toc17789"/>
      <w:bookmarkStart w:id="78" w:name="_Toc24750"/>
      <w:r>
        <w:rPr>
          <w:rFonts w:hint="eastAsia" w:ascii="宋体" w:hAnsi="宋体" w:eastAsia="宋体" w:cs="宋体"/>
          <w:sz w:val="24"/>
          <w:szCs w:val="24"/>
        </w:rPr>
        <w:t>机具设备</w:t>
      </w:r>
      <w:bookmarkEnd w:id="75"/>
      <w:bookmarkEnd w:id="76"/>
      <w:bookmarkEnd w:id="77"/>
      <w:bookmarkEnd w:id="78"/>
      <w:r>
        <w:rPr>
          <w:rFonts w:hint="eastAsia" w:ascii="宋体" w:hAnsi="宋体" w:eastAsia="宋体" w:cs="宋体"/>
          <w:sz w:val="24"/>
          <w:szCs w:val="24"/>
        </w:rPr>
        <w:t xml:space="preserve"> </w:t>
      </w:r>
    </w:p>
    <w:p>
      <w:pPr>
        <w:pageBreakBefore w:val="0"/>
        <w:numPr>
          <w:ilvl w:val="0"/>
          <w:numId w:val="85"/>
        </w:numPr>
        <w:kinsoku/>
        <w:topLinePunct w:val="0"/>
        <w:bidi w:val="0"/>
        <w:spacing w:line="360" w:lineRule="auto"/>
        <w:ind w:left="420" w:right="-175" w:rightChars="-73"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地面清理工具：吸尘器、打磨机、2m水平靠尺、塞尺、钢刷。</w:t>
      </w:r>
    </w:p>
    <w:p>
      <w:pPr>
        <w:pageBreakBefore w:val="0"/>
        <w:numPr>
          <w:ilvl w:val="0"/>
          <w:numId w:val="85"/>
        </w:numPr>
        <w:kinsoku/>
        <w:topLinePunct w:val="0"/>
        <w:bidi w:val="0"/>
        <w:spacing w:line="360" w:lineRule="auto"/>
        <w:ind w:left="420" w:right="-175" w:rightChars="-73"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自流平施工工具：搅拌器、自流平刮板、钉鞋。</w:t>
      </w:r>
    </w:p>
    <w:p>
      <w:pPr>
        <w:pageBreakBefore w:val="0"/>
        <w:numPr>
          <w:ilvl w:val="0"/>
          <w:numId w:val="85"/>
        </w:numPr>
        <w:kinsoku/>
        <w:topLinePunct w:val="0"/>
        <w:bidi w:val="0"/>
        <w:spacing w:line="360" w:lineRule="auto"/>
        <w:ind w:left="420" w:right="-175" w:rightChars="-73"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地板铺贴工具：钢卷尺、地板切割器、推边器、软木、钢铁辊、刮胶板、棕毛刷、开槽机、焊线修平器、焊枪。</w:t>
      </w:r>
    </w:p>
    <w:p>
      <w:pPr>
        <w:pageBreakBefore w:val="0"/>
        <w:numPr>
          <w:ilvl w:val="0"/>
          <w:numId w:val="83"/>
        </w:numPr>
        <w:kinsoku/>
        <w:topLinePunct w:val="0"/>
        <w:bidi w:val="0"/>
        <w:spacing w:line="360" w:lineRule="auto"/>
        <w:ind w:left="845" w:right="-175" w:rightChars="-73"/>
        <w:textAlignment w:val="auto"/>
        <w:outlineLvl w:val="2"/>
        <w:rPr>
          <w:rFonts w:hint="eastAsia" w:ascii="宋体" w:hAnsi="宋体" w:eastAsia="宋体" w:cs="宋体"/>
          <w:sz w:val="24"/>
          <w:szCs w:val="24"/>
        </w:rPr>
      </w:pPr>
      <w:bookmarkStart w:id="79" w:name="_Toc1375"/>
      <w:bookmarkStart w:id="80" w:name="_Toc21303"/>
      <w:bookmarkStart w:id="81" w:name="_Toc20038"/>
      <w:bookmarkStart w:id="82" w:name="_Toc5861"/>
      <w:r>
        <w:rPr>
          <w:rFonts w:hint="eastAsia" w:ascii="宋体" w:hAnsi="宋体" w:eastAsia="宋体" w:cs="宋体"/>
          <w:sz w:val="24"/>
          <w:szCs w:val="24"/>
        </w:rPr>
        <w:t>质量要求</w:t>
      </w:r>
      <w:bookmarkEnd w:id="79"/>
      <w:bookmarkEnd w:id="80"/>
      <w:bookmarkEnd w:id="81"/>
      <w:bookmarkEnd w:id="82"/>
      <w:r>
        <w:rPr>
          <w:rFonts w:hint="eastAsia" w:ascii="宋体" w:hAnsi="宋体" w:eastAsia="宋体" w:cs="宋体"/>
          <w:sz w:val="24"/>
          <w:szCs w:val="24"/>
        </w:rPr>
        <w:t xml:space="preserve"> </w:t>
      </w:r>
    </w:p>
    <w:p>
      <w:pPr>
        <w:pageBreakBefore w:val="0"/>
        <w:numPr>
          <w:ilvl w:val="0"/>
          <w:numId w:val="86"/>
        </w:numPr>
        <w:kinsoku/>
        <w:topLinePunct w:val="0"/>
        <w:bidi w:val="0"/>
        <w:spacing w:line="360" w:lineRule="auto"/>
        <w:ind w:left="420" w:right="-175" w:rightChars="-73"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基层表面应平整、坚硬、干燥、密实、洁净、无油脂及其他杂质，不得有麻面、起砂、裂缝等缺陷。 </w:t>
      </w:r>
    </w:p>
    <w:p>
      <w:pPr>
        <w:pageBreakBefore w:val="0"/>
        <w:numPr>
          <w:ilvl w:val="0"/>
          <w:numId w:val="86"/>
        </w:numPr>
        <w:kinsoku/>
        <w:topLinePunct w:val="0"/>
        <w:bidi w:val="0"/>
        <w:spacing w:line="360" w:lineRule="auto"/>
        <w:ind w:left="420" w:right="-175" w:rightChars="-73"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面层与基层的粘结应牢固，不翘边、不脱胶、无溢胶。</w:t>
      </w:r>
    </w:p>
    <w:p>
      <w:pPr>
        <w:pageBreakBefore w:val="0"/>
        <w:numPr>
          <w:ilvl w:val="0"/>
          <w:numId w:val="86"/>
        </w:numPr>
        <w:kinsoku/>
        <w:topLinePunct w:val="0"/>
        <w:bidi w:val="0"/>
        <w:spacing w:line="360" w:lineRule="auto"/>
        <w:ind w:left="420" w:right="-175" w:rightChars="-73"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面层表面应洁净，图案清晰，色泽一致，接缝严密、美观；与墙边交接严密，阴阳角收边方正。 </w:t>
      </w:r>
    </w:p>
    <w:p>
      <w:pPr>
        <w:pageBreakBefore w:val="0"/>
        <w:numPr>
          <w:ilvl w:val="0"/>
          <w:numId w:val="86"/>
        </w:numPr>
        <w:kinsoku/>
        <w:topLinePunct w:val="0"/>
        <w:bidi w:val="0"/>
        <w:spacing w:line="360" w:lineRule="auto"/>
        <w:ind w:left="420" w:right="-175" w:rightChars="-73"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卷材的焊接，焊缝应平整、光洁，无焦化变色、斑点、焊瘤和起鳞等缺陷，</w:t>
      </w:r>
    </w:p>
    <w:p>
      <w:pPr>
        <w:pageBreakBefore w:val="0"/>
        <w:numPr>
          <w:ilvl w:val="0"/>
          <w:numId w:val="86"/>
        </w:numPr>
        <w:kinsoku/>
        <w:topLinePunct w:val="0"/>
        <w:bidi w:val="0"/>
        <w:spacing w:line="360" w:lineRule="auto"/>
        <w:ind w:left="420" w:right="-175" w:rightChars="-73"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镶边所用卷材应尺寸准确、边角整齐、拼缝严密、接缝顺直。</w:t>
      </w:r>
    </w:p>
    <w:p>
      <w:pPr>
        <w:pageBreakBefore w:val="0"/>
        <w:numPr>
          <w:ilvl w:val="0"/>
          <w:numId w:val="86"/>
        </w:numPr>
        <w:kinsoku/>
        <w:topLinePunct w:val="0"/>
        <w:bidi w:val="0"/>
        <w:spacing w:line="360" w:lineRule="auto"/>
        <w:ind w:left="420" w:right="-175" w:rightChars="-73"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PVC地面面层允许偏差</w:t>
      </w:r>
    </w:p>
    <w:p>
      <w:pPr>
        <w:pageBreakBefore w:val="0"/>
        <w:kinsoku/>
        <w:topLinePunct w:val="0"/>
        <w:bidi w:val="0"/>
        <w:spacing w:line="360" w:lineRule="auto"/>
        <w:ind w:right="-175" w:rightChars="-73"/>
        <w:jc w:val="center"/>
        <w:textAlignment w:val="auto"/>
        <w:rPr>
          <w:rFonts w:hint="eastAsia" w:ascii="宋体" w:hAnsi="宋体" w:eastAsia="宋体" w:cs="宋体"/>
          <w:b/>
          <w:bCs/>
          <w:sz w:val="24"/>
          <w:szCs w:val="24"/>
        </w:rPr>
      </w:pPr>
      <w:r>
        <w:rPr>
          <w:rFonts w:hint="eastAsia" w:ascii="宋体" w:hAnsi="宋体" w:eastAsia="宋体" w:cs="宋体"/>
          <w:sz w:val="24"/>
          <w:szCs w:val="24"/>
        </w:rPr>
        <w:drawing>
          <wp:inline distT="0" distB="0" distL="114300" distR="114300">
            <wp:extent cx="4991735" cy="1537335"/>
            <wp:effectExtent l="0" t="0" r="18415"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8" cstate="print"/>
                    <a:stretch>
                      <a:fillRect/>
                    </a:stretch>
                  </pic:blipFill>
                  <pic:spPr>
                    <a:xfrm>
                      <a:off x="0" y="0"/>
                      <a:ext cx="4991735" cy="1537335"/>
                    </a:xfrm>
                    <a:prstGeom prst="rect">
                      <a:avLst/>
                    </a:prstGeom>
                    <a:noFill/>
                    <a:ln w="9525">
                      <a:noFill/>
                    </a:ln>
                  </pic:spPr>
                </pic:pic>
              </a:graphicData>
            </a:graphic>
          </wp:inline>
        </w:drawing>
      </w: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r>
        <w:rPr>
          <w:rFonts w:hint="eastAsia" w:ascii="宋体" w:hAnsi="宋体" w:eastAsia="宋体" w:cs="宋体"/>
          <w:b/>
          <w:sz w:val="24"/>
          <w:szCs w:val="24"/>
        </w:rPr>
        <w:drawing>
          <wp:anchor distT="0" distB="0" distL="114300" distR="114300" simplePos="0" relativeHeight="251687936" behindDoc="0" locked="0" layoutInCell="1" allowOverlap="1">
            <wp:simplePos x="0" y="0"/>
            <wp:positionH relativeFrom="column">
              <wp:posOffset>163195</wp:posOffset>
            </wp:positionH>
            <wp:positionV relativeFrom="paragraph">
              <wp:posOffset>128905</wp:posOffset>
            </wp:positionV>
            <wp:extent cx="5028565" cy="2569210"/>
            <wp:effectExtent l="0" t="0" r="635" b="2540"/>
            <wp:wrapNone/>
            <wp:docPr id="77" name="图片 77" descr="地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地面"/>
                    <pic:cNvPicPr>
                      <a:picLocks noChangeAspect="1"/>
                    </pic:cNvPicPr>
                  </pic:nvPicPr>
                  <pic:blipFill>
                    <a:blip r:embed="rId29" cstate="print"/>
                    <a:stretch>
                      <a:fillRect/>
                    </a:stretch>
                  </pic:blipFill>
                  <pic:spPr>
                    <a:xfrm>
                      <a:off x="0" y="0"/>
                      <a:ext cx="5028565" cy="2569210"/>
                    </a:xfrm>
                    <a:prstGeom prst="rect">
                      <a:avLst/>
                    </a:prstGeom>
                  </pic:spPr>
                </pic:pic>
              </a:graphicData>
            </a:graphic>
          </wp:anchor>
        </w:drawing>
      </w: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r>
        <w:rPr>
          <w:rFonts w:hint="eastAsia" w:ascii="宋体" w:hAnsi="宋体" w:eastAsia="宋体" w:cs="宋体"/>
          <w:sz w:val="24"/>
          <w:szCs w:val="24"/>
        </w:rPr>
        <w:drawing>
          <wp:anchor distT="0" distB="0" distL="114300" distR="114300" simplePos="0" relativeHeight="251671552" behindDoc="1" locked="0" layoutInCell="1" allowOverlap="1">
            <wp:simplePos x="0" y="0"/>
            <wp:positionH relativeFrom="column">
              <wp:posOffset>241300</wp:posOffset>
            </wp:positionH>
            <wp:positionV relativeFrom="paragraph">
              <wp:posOffset>62230</wp:posOffset>
            </wp:positionV>
            <wp:extent cx="4997450" cy="1425575"/>
            <wp:effectExtent l="0" t="0" r="12700" b="3175"/>
            <wp:wrapNone/>
            <wp:docPr id="78" name="图片 7" descr="遗传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descr="遗传学"/>
                    <pic:cNvPicPr>
                      <a:picLocks noChangeAspect="1"/>
                    </pic:cNvPicPr>
                  </pic:nvPicPr>
                  <pic:blipFill>
                    <a:blip r:embed="rId30" cstate="print"/>
                    <a:stretch>
                      <a:fillRect/>
                    </a:stretch>
                  </pic:blipFill>
                  <pic:spPr>
                    <a:xfrm>
                      <a:off x="0" y="0"/>
                      <a:ext cx="4997450" cy="1425575"/>
                    </a:xfrm>
                    <a:prstGeom prst="rect">
                      <a:avLst/>
                    </a:prstGeom>
                    <a:noFill/>
                    <a:ln w="9525">
                      <a:noFill/>
                    </a:ln>
                  </pic:spPr>
                </pic:pic>
              </a:graphicData>
            </a:graphic>
          </wp:anchor>
        </w:drawing>
      </w: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textAlignment w:val="auto"/>
        <w:rPr>
          <w:rFonts w:hint="eastAsia" w:ascii="宋体" w:hAnsi="宋体" w:eastAsia="宋体" w:cs="宋体"/>
          <w:b/>
          <w:bCs/>
          <w:sz w:val="24"/>
          <w:szCs w:val="24"/>
        </w:rPr>
      </w:pPr>
    </w:p>
    <w:p>
      <w:pPr>
        <w:pStyle w:val="53"/>
        <w:pageBreakBefore w:val="0"/>
        <w:widowControl/>
        <w:kinsoku/>
        <w:topLinePunct w:val="0"/>
        <w:bidi w:val="0"/>
        <w:spacing w:beforeLines="50" w:beforeAutospacing="0" w:after="0" w:afterAutospacing="0" w:line="360" w:lineRule="auto"/>
        <w:textAlignment w:val="auto"/>
        <w:rPr>
          <w:rFonts w:hint="eastAsia" w:ascii="宋体" w:hAnsi="宋体" w:eastAsia="宋体" w:cs="宋体"/>
          <w:b/>
          <w:bCs/>
          <w:sz w:val="24"/>
          <w:szCs w:val="24"/>
        </w:rPr>
      </w:pPr>
    </w:p>
    <w:p>
      <w:pPr>
        <w:pStyle w:val="53"/>
        <w:pageBreakBefore w:val="0"/>
        <w:widowControl/>
        <w:numPr>
          <w:ilvl w:val="0"/>
          <w:numId w:val="78"/>
        </w:numPr>
        <w:kinsoku/>
        <w:topLinePunct w:val="0"/>
        <w:bidi w:val="0"/>
        <w:spacing w:beforeLines="50" w:beforeAutospacing="0" w:after="0" w:afterAutospacing="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钢制净化门材质及说明</w:t>
      </w:r>
    </w:p>
    <w:p>
      <w:pPr>
        <w:pageBreakBefore w:val="0"/>
        <w:kinsoku/>
        <w:topLinePunct w:val="0"/>
        <w:bidi w:val="0"/>
        <w:spacing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技术参数：</w:t>
      </w:r>
    </w:p>
    <w:p>
      <w:pPr>
        <w:pageBreakBefore w:val="0"/>
        <w:kinsoku/>
        <w:topLinePunct w:val="0"/>
        <w:bidi w:val="0"/>
        <w:spacing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1、规格：单门宽为0.9*2.0米，双门宽为1.5*2.0米。</w:t>
      </w:r>
    </w:p>
    <w:p>
      <w:pPr>
        <w:pageBreakBefore w:val="0"/>
        <w:kinsoku/>
        <w:topLinePunct w:val="0"/>
        <w:bidi w:val="0"/>
        <w:spacing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2、结  构：采用冷轧板喷塑成型，门体底部装有自动扫地条，符合气密性要求。</w:t>
      </w:r>
    </w:p>
    <w:p>
      <w:pPr>
        <w:pageBreakBefore w:val="0"/>
        <w:kinsoku/>
        <w:topLinePunct w:val="0"/>
        <w:bidi w:val="0"/>
        <w:spacing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3、观察窗：采用双层中空钢化透明玻璃，50系列带弧型专用铝合金，结实耐用美观大方。</w:t>
      </w:r>
    </w:p>
    <w:p>
      <w:pPr>
        <w:pageBreakBefore w:val="0"/>
        <w:kinsoku/>
        <w:topLinePunct w:val="0"/>
        <w:bidi w:val="0"/>
        <w:spacing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4、内、外阴阳角：采用R=50mm铝合金圆弧过渡。</w:t>
      </w: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2576" behindDoc="1" locked="0" layoutInCell="1" allowOverlap="1">
            <wp:simplePos x="0" y="0"/>
            <wp:positionH relativeFrom="column">
              <wp:posOffset>554355</wp:posOffset>
            </wp:positionH>
            <wp:positionV relativeFrom="paragraph">
              <wp:posOffset>259715</wp:posOffset>
            </wp:positionV>
            <wp:extent cx="4361815" cy="2327910"/>
            <wp:effectExtent l="0" t="0" r="635" b="15240"/>
            <wp:wrapNone/>
            <wp:docPr id="22" name="图片 22" descr="门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门窗"/>
                    <pic:cNvPicPr>
                      <a:picLocks noChangeAspect="1"/>
                    </pic:cNvPicPr>
                  </pic:nvPicPr>
                  <pic:blipFill>
                    <a:blip r:embed="rId31" cstate="print"/>
                    <a:stretch>
                      <a:fillRect/>
                    </a:stretch>
                  </pic:blipFill>
                  <pic:spPr>
                    <a:xfrm>
                      <a:off x="0" y="0"/>
                      <a:ext cx="4361815" cy="2327910"/>
                    </a:xfrm>
                    <a:prstGeom prst="rect">
                      <a:avLst/>
                    </a:prstGeom>
                  </pic:spPr>
                </pic:pic>
              </a:graphicData>
            </a:graphic>
          </wp:anchor>
        </w:drawing>
      </w: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drawing>
          <wp:anchor distT="0" distB="0" distL="114300" distR="114300" simplePos="0" relativeHeight="251673600" behindDoc="0" locked="0" layoutInCell="1" allowOverlap="1">
            <wp:simplePos x="0" y="0"/>
            <wp:positionH relativeFrom="column">
              <wp:posOffset>1350645</wp:posOffset>
            </wp:positionH>
            <wp:positionV relativeFrom="paragraph">
              <wp:posOffset>75565</wp:posOffset>
            </wp:positionV>
            <wp:extent cx="2276475" cy="3034665"/>
            <wp:effectExtent l="0" t="0" r="9525" b="13335"/>
            <wp:wrapNone/>
            <wp:docPr id="83" name="图片 83" descr="微信图片_2019090516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图片_20190905161605"/>
                    <pic:cNvPicPr>
                      <a:picLocks noChangeAspect="1"/>
                    </pic:cNvPicPr>
                  </pic:nvPicPr>
                  <pic:blipFill>
                    <a:blip r:embed="rId32" cstate="print"/>
                    <a:stretch>
                      <a:fillRect/>
                    </a:stretch>
                  </pic:blipFill>
                  <pic:spPr>
                    <a:xfrm>
                      <a:off x="0" y="0"/>
                      <a:ext cx="2276475" cy="3034665"/>
                    </a:xfrm>
                    <a:prstGeom prst="rect">
                      <a:avLst/>
                    </a:prstGeom>
                  </pic:spPr>
                </pic:pic>
              </a:graphicData>
            </a:graphic>
          </wp:anchor>
        </w:drawing>
      </w: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ageBreakBefore w:val="0"/>
        <w:kinsoku/>
        <w:topLinePunct w:val="0"/>
        <w:bidi w:val="0"/>
        <w:spacing w:line="360" w:lineRule="auto"/>
        <w:ind w:right="-175" w:rightChars="-73"/>
        <w:textAlignment w:val="auto"/>
        <w:outlineLvl w:val="3"/>
        <w:rPr>
          <w:rFonts w:hint="eastAsia" w:ascii="宋体" w:hAnsi="宋体" w:eastAsia="宋体" w:cs="宋体"/>
          <w:b/>
          <w:bCs/>
          <w:sz w:val="24"/>
          <w:szCs w:val="24"/>
        </w:rPr>
      </w:pPr>
    </w:p>
    <w:p>
      <w:pPr>
        <w:pStyle w:val="21"/>
        <w:rPr>
          <w:rFonts w:hint="eastAsia" w:ascii="宋体" w:hAnsi="宋体" w:eastAsia="宋体" w:cs="宋体"/>
          <w:b/>
          <w:bCs/>
          <w:sz w:val="24"/>
          <w:szCs w:val="24"/>
        </w:rPr>
      </w:pPr>
    </w:p>
    <w:p>
      <w:pPr>
        <w:rPr>
          <w:rFonts w:hint="eastAsia" w:ascii="宋体" w:hAnsi="宋体" w:eastAsia="宋体" w:cs="宋体"/>
          <w:sz w:val="24"/>
          <w:szCs w:val="24"/>
        </w:rPr>
      </w:pPr>
    </w:p>
    <w:p>
      <w:pPr>
        <w:pageBreakBefore w:val="0"/>
        <w:kinsoku/>
        <w:topLinePunct w:val="0"/>
        <w:bidi w:val="0"/>
        <w:spacing w:line="360" w:lineRule="auto"/>
        <w:ind w:right="-175" w:rightChars="-73"/>
        <w:textAlignment w:val="auto"/>
        <w:outlineLvl w:val="3"/>
        <w:rPr>
          <w:rFonts w:hint="eastAsia" w:ascii="宋体" w:hAnsi="宋体" w:eastAsia="宋体" w:cs="宋体"/>
          <w:b/>
          <w:bCs/>
          <w:sz w:val="24"/>
          <w:szCs w:val="24"/>
        </w:rPr>
      </w:pPr>
    </w:p>
    <w:p>
      <w:pPr>
        <w:pageBreakBefore w:val="0"/>
        <w:kinsoku/>
        <w:topLinePunct w:val="0"/>
        <w:bidi w:val="0"/>
        <w:spacing w:line="360" w:lineRule="auto"/>
        <w:ind w:right="-175" w:rightChars="-73"/>
        <w:textAlignment w:val="auto"/>
        <w:outlineLvl w:val="3"/>
        <w:rPr>
          <w:rFonts w:hint="eastAsia" w:ascii="宋体" w:hAnsi="宋体" w:eastAsia="宋体" w:cs="宋体"/>
          <w:b/>
          <w:color w:val="000000"/>
          <w:sz w:val="24"/>
          <w:szCs w:val="24"/>
          <w:lang w:val="zh-CN"/>
        </w:rPr>
      </w:pPr>
      <w:r>
        <w:rPr>
          <w:rFonts w:hint="eastAsia" w:ascii="宋体" w:hAnsi="宋体" w:eastAsia="宋体" w:cs="宋体"/>
          <w:b/>
          <w:bCs/>
          <w:sz w:val="24"/>
          <w:szCs w:val="24"/>
        </w:rPr>
        <w:t>4、</w:t>
      </w:r>
      <w:r>
        <w:rPr>
          <w:rFonts w:hint="eastAsia" w:ascii="宋体" w:hAnsi="宋体" w:eastAsia="宋体" w:cs="宋体"/>
          <w:b/>
          <w:bCs/>
          <w:sz w:val="24"/>
          <w:szCs w:val="24"/>
          <w:lang w:val="zh-CN"/>
        </w:rPr>
        <w:t>门禁系统：</w:t>
      </w:r>
      <w:r>
        <w:rPr>
          <w:rFonts w:hint="eastAsia" w:ascii="宋体" w:hAnsi="宋体" w:eastAsia="宋体" w:cs="宋体"/>
          <w:bCs/>
          <w:color w:val="000000"/>
          <w:sz w:val="24"/>
          <w:szCs w:val="24"/>
          <w:lang w:val="zh-CN"/>
        </w:rPr>
        <w:t>可限制非授权人员的进入，保证实验室的安全；</w:t>
      </w:r>
    </w:p>
    <w:p>
      <w:pPr>
        <w:pStyle w:val="100"/>
        <w:pageBreakBefore w:val="0"/>
        <w:kinsoku/>
        <w:topLinePunct w:val="0"/>
        <w:bidi w:val="0"/>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（1）验证方式为读卡模式或密码设置，安全性能高；同时提供按钮式出门方式。</w:t>
      </w:r>
    </w:p>
    <w:p>
      <w:pPr>
        <w:pStyle w:val="100"/>
        <w:pageBreakBefore w:val="0"/>
        <w:kinsoku/>
        <w:topLinePunct w:val="0"/>
        <w:bidi w:val="0"/>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（2）具有紧急开门功能，定时常开、定时常闭功能。</w:t>
      </w:r>
    </w:p>
    <w:p>
      <w:pPr>
        <w:pStyle w:val="100"/>
        <w:pageBreakBefore w:val="0"/>
        <w:kinsoku/>
        <w:topLinePunct w:val="0"/>
        <w:bidi w:val="0"/>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（3）可根据甲方需要，出入门禁与视频联动抓拍录像。当人员刷卡开门或报警时，系统自动调取视频监控系统进行抓拍图像，并存储在系统服务器中。信息存储≥30天，供事后查证。</w:t>
      </w:r>
    </w:p>
    <w:p>
      <w:pPr>
        <w:pStyle w:val="100"/>
        <w:pageBreakBefore w:val="0"/>
        <w:kinsoku/>
        <w:topLinePunct w:val="0"/>
        <w:bidi w:val="0"/>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（4）当大楼断电时，门禁系统自动常开</w:t>
      </w: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r>
        <w:rPr>
          <w:rFonts w:hint="eastAsia" w:ascii="宋体" w:hAnsi="宋体" w:eastAsia="宋体" w:cs="宋体"/>
          <w:sz w:val="24"/>
          <w:szCs w:val="24"/>
        </w:rPr>
        <w:drawing>
          <wp:inline distT="0" distB="0" distL="114300" distR="114300">
            <wp:extent cx="5179695" cy="3420110"/>
            <wp:effectExtent l="0" t="0" r="1905" b="8890"/>
            <wp:docPr id="20484" name="图片 2048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图片 20483" descr="图片8"/>
                    <pic:cNvPicPr>
                      <a:picLocks noChangeAspect="1"/>
                    </pic:cNvPicPr>
                  </pic:nvPicPr>
                  <pic:blipFill>
                    <a:blip r:embed="rId33" cstate="print"/>
                    <a:stretch>
                      <a:fillRect/>
                    </a:stretch>
                  </pic:blipFill>
                  <pic:spPr>
                    <a:xfrm>
                      <a:off x="0" y="0"/>
                      <a:ext cx="5179695" cy="3420110"/>
                    </a:xfrm>
                    <a:prstGeom prst="rect">
                      <a:avLst/>
                    </a:prstGeom>
                    <a:noFill/>
                    <a:ln w="9525">
                      <a:noFill/>
                    </a:ln>
                  </pic:spPr>
                </pic:pic>
              </a:graphicData>
            </a:graphic>
          </wp:inline>
        </w:drawing>
      </w:r>
    </w:p>
    <w:p>
      <w:pPr>
        <w:pStyle w:val="53"/>
        <w:pageBreakBefore w:val="0"/>
        <w:widowControl/>
        <w:numPr>
          <w:ilvl w:val="0"/>
          <w:numId w:val="78"/>
        </w:numPr>
        <w:kinsoku/>
        <w:topLinePunct w:val="0"/>
        <w:bidi w:val="0"/>
        <w:spacing w:beforeLines="50" w:beforeAutospacing="0" w:after="0" w:afterAutospacing="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不锈钢传递窗</w:t>
      </w:r>
    </w:p>
    <w:p>
      <w:pPr>
        <w:pageBreakBefore w:val="0"/>
        <w:kinsoku/>
        <w:topLinePunct w:val="0"/>
        <w:bidi w:val="0"/>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技术参数：</w:t>
      </w:r>
    </w:p>
    <w:p>
      <w:pPr>
        <w:pageBreakBefore w:val="0"/>
        <w:numPr>
          <w:ilvl w:val="0"/>
          <w:numId w:val="87"/>
        </w:numPr>
        <w:kinsoku/>
        <w:topLinePunct w:val="0"/>
        <w:bidi w:val="0"/>
        <w:spacing w:line="360" w:lineRule="auto"/>
        <w:ind w:left="420"/>
        <w:textAlignment w:val="auto"/>
        <w:rPr>
          <w:rFonts w:hint="eastAsia" w:ascii="宋体" w:hAnsi="宋体" w:eastAsia="宋体" w:cs="宋体"/>
          <w:kern w:val="0"/>
          <w:sz w:val="24"/>
          <w:szCs w:val="24"/>
        </w:rPr>
      </w:pPr>
      <w:r>
        <w:rPr>
          <w:rFonts w:hint="eastAsia" w:ascii="宋体" w:hAnsi="宋体" w:eastAsia="宋体" w:cs="宋体"/>
          <w:kern w:val="0"/>
          <w:sz w:val="24"/>
          <w:szCs w:val="24"/>
        </w:rPr>
        <w:t>材质：选用优质304不锈钢制作，内胆圆弧处理；防擦洗死角。</w:t>
      </w:r>
    </w:p>
    <w:p>
      <w:pPr>
        <w:pageBreakBefore w:val="0"/>
        <w:numPr>
          <w:ilvl w:val="0"/>
          <w:numId w:val="87"/>
        </w:numPr>
        <w:kinsoku/>
        <w:topLinePunct w:val="0"/>
        <w:bidi w:val="0"/>
        <w:spacing w:line="360" w:lineRule="auto"/>
        <w:ind w:left="420"/>
        <w:textAlignment w:val="auto"/>
        <w:rPr>
          <w:rFonts w:hint="eastAsia" w:ascii="宋体" w:hAnsi="宋体" w:eastAsia="宋体" w:cs="宋体"/>
          <w:kern w:val="0"/>
          <w:sz w:val="24"/>
          <w:szCs w:val="24"/>
        </w:rPr>
      </w:pPr>
      <w:r>
        <w:rPr>
          <w:rFonts w:hint="eastAsia" w:ascii="宋体" w:hAnsi="宋体" w:eastAsia="宋体" w:cs="宋体"/>
          <w:kern w:val="0"/>
          <w:sz w:val="24"/>
          <w:szCs w:val="24"/>
        </w:rPr>
        <w:t>视窗：采用双层中空钢化玻璃设计，四侧黑边烤漆处理。</w:t>
      </w:r>
    </w:p>
    <w:p>
      <w:pPr>
        <w:pageBreakBefore w:val="0"/>
        <w:numPr>
          <w:ilvl w:val="0"/>
          <w:numId w:val="87"/>
        </w:numPr>
        <w:kinsoku/>
        <w:topLinePunct w:val="0"/>
        <w:bidi w:val="0"/>
        <w:spacing w:line="360" w:lineRule="auto"/>
        <w:ind w:left="420"/>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1194435</wp:posOffset>
            </wp:positionH>
            <wp:positionV relativeFrom="paragraph">
              <wp:posOffset>586105</wp:posOffset>
            </wp:positionV>
            <wp:extent cx="3091180" cy="3122295"/>
            <wp:effectExtent l="0" t="0" r="13970" b="1905"/>
            <wp:wrapNone/>
            <wp:docPr id="110" name="图片 110" descr="QQ截图2018052217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QQ截图20180522173033"/>
                    <pic:cNvPicPr>
                      <a:picLocks noChangeAspect="1"/>
                    </pic:cNvPicPr>
                  </pic:nvPicPr>
                  <pic:blipFill>
                    <a:blip r:embed="rId34" cstate="print"/>
                    <a:srcRect b="39311"/>
                    <a:stretch>
                      <a:fillRect/>
                    </a:stretch>
                  </pic:blipFill>
                  <pic:spPr>
                    <a:xfrm>
                      <a:off x="0" y="0"/>
                      <a:ext cx="3091180" cy="3122295"/>
                    </a:xfrm>
                    <a:prstGeom prst="rect">
                      <a:avLst/>
                    </a:prstGeom>
                  </pic:spPr>
                </pic:pic>
              </a:graphicData>
            </a:graphic>
          </wp:anchor>
        </w:drawing>
      </w:r>
      <w:r>
        <w:rPr>
          <w:rFonts w:hint="eastAsia" w:ascii="宋体" w:hAnsi="宋体" w:eastAsia="宋体" w:cs="宋体"/>
          <w:sz w:val="24"/>
          <w:szCs w:val="24"/>
        </w:rPr>
        <w:t>内置15W紫外线杀菌灯；有效灭菌，提供净化效率，保证在传递过程中不受污染（人物分流）</w:t>
      </w: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p>
    <w:p>
      <w:pPr>
        <w:pStyle w:val="53"/>
        <w:pageBreakBefore w:val="0"/>
        <w:widowControl/>
        <w:kinsoku/>
        <w:topLinePunct w:val="0"/>
        <w:bidi w:val="0"/>
        <w:spacing w:beforeLines="50" w:beforeAutospacing="0" w:after="0" w:afterAutospacing="0" w:line="360" w:lineRule="auto"/>
        <w:ind w:left="480" w:leftChars="200"/>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100"/>
        <w:pageBreakBefore w:val="0"/>
        <w:kinsoku/>
        <w:topLinePunct w:val="0"/>
        <w:bidi w:val="0"/>
        <w:spacing w:line="360" w:lineRule="auto"/>
        <w:jc w:val="both"/>
        <w:textAlignment w:val="auto"/>
        <w:rPr>
          <w:rFonts w:hint="eastAsia" w:ascii="宋体" w:hAnsi="宋体" w:eastAsia="宋体" w:cs="宋体"/>
          <w:b/>
          <w:bCs/>
          <w:sz w:val="24"/>
          <w:szCs w:val="24"/>
        </w:rPr>
      </w:pPr>
    </w:p>
    <w:p>
      <w:pPr>
        <w:pStyle w:val="53"/>
        <w:pageBreakBefore w:val="0"/>
        <w:widowControl/>
        <w:numPr>
          <w:ilvl w:val="0"/>
          <w:numId w:val="78"/>
        </w:numPr>
        <w:kinsoku/>
        <w:topLinePunct w:val="0"/>
        <w:bidi w:val="0"/>
        <w:spacing w:beforeLines="50" w:beforeAutospacing="0" w:after="0" w:afterAutospacing="0" w:line="360" w:lineRule="auto"/>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drawing>
          <wp:anchor distT="0" distB="0" distL="114300" distR="114300" simplePos="0" relativeHeight="251675648" behindDoc="1" locked="0" layoutInCell="1" allowOverlap="1">
            <wp:simplePos x="0" y="0"/>
            <wp:positionH relativeFrom="column">
              <wp:posOffset>272415</wp:posOffset>
            </wp:positionH>
            <wp:positionV relativeFrom="paragraph">
              <wp:posOffset>381000</wp:posOffset>
            </wp:positionV>
            <wp:extent cx="4942840" cy="2948305"/>
            <wp:effectExtent l="0" t="0" r="29210" b="42545"/>
            <wp:wrapThrough wrapText="bothSides">
              <wp:wrapPolygon>
                <wp:start x="0" y="0"/>
                <wp:lineTo x="0" y="21493"/>
                <wp:lineTo x="21478" y="21493"/>
                <wp:lineTo x="21478" y="0"/>
                <wp:lineTo x="0" y="0"/>
              </wp:wrapPolygon>
            </wp:wrapThrough>
            <wp:docPr id="84" name="图片 84" descr="更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更衣柜"/>
                    <pic:cNvPicPr>
                      <a:picLocks noChangeAspect="1"/>
                    </pic:cNvPicPr>
                  </pic:nvPicPr>
                  <pic:blipFill>
                    <a:blip r:embed="rId35" cstate="print"/>
                    <a:stretch>
                      <a:fillRect/>
                    </a:stretch>
                  </pic:blipFill>
                  <pic:spPr>
                    <a:xfrm>
                      <a:off x="0" y="0"/>
                      <a:ext cx="4942840" cy="2948305"/>
                    </a:xfrm>
                    <a:prstGeom prst="rect">
                      <a:avLst/>
                    </a:prstGeom>
                  </pic:spPr>
                </pic:pic>
              </a:graphicData>
            </a:graphic>
          </wp:anchor>
        </w:drawing>
      </w:r>
      <w:r>
        <w:rPr>
          <w:rFonts w:hint="eastAsia" w:ascii="宋体" w:hAnsi="宋体" w:eastAsia="宋体" w:cs="宋体"/>
          <w:b/>
          <w:bCs/>
          <w:sz w:val="24"/>
          <w:szCs w:val="24"/>
        </w:rPr>
        <w:t>更衣柜</w:t>
      </w:r>
    </w:p>
    <w:p>
      <w:pPr>
        <w:pStyle w:val="53"/>
        <w:pageBreakBefore w:val="0"/>
        <w:widowControl/>
        <w:kinsoku/>
        <w:topLinePunct w:val="0"/>
        <w:bidi w:val="0"/>
        <w:spacing w:beforeLines="50" w:beforeAutospacing="0" w:after="0" w:afterAutospacing="0" w:line="360" w:lineRule="auto"/>
        <w:textAlignment w:val="auto"/>
        <w:rPr>
          <w:rFonts w:hint="eastAsia" w:ascii="宋体" w:hAnsi="宋体" w:eastAsia="宋体" w:cs="宋体"/>
          <w:b/>
          <w:bCs/>
          <w:sz w:val="24"/>
          <w:szCs w:val="24"/>
        </w:rPr>
      </w:pPr>
    </w:p>
    <w:p>
      <w:pPr>
        <w:pageBreakBefore w:val="0"/>
        <w:widowControl/>
        <w:kinsoku/>
        <w:topLinePunct w:val="0"/>
        <w:bidi w:val="0"/>
        <w:spacing w:line="360" w:lineRule="auto"/>
        <w:jc w:val="left"/>
        <w:textAlignment w:val="auto"/>
        <w:outlineLvl w:val="0"/>
        <w:rPr>
          <w:rFonts w:hint="eastAsia" w:ascii="宋体" w:hAnsi="宋体" w:eastAsia="宋体" w:cs="宋体"/>
          <w:b/>
          <w:bCs/>
          <w:color w:val="333333"/>
          <w:kern w:val="36"/>
          <w:sz w:val="24"/>
          <w:szCs w:val="24"/>
        </w:rPr>
      </w:pPr>
      <w:bookmarkStart w:id="83" w:name="_Toc26958"/>
      <w:bookmarkStart w:id="84" w:name="_Toc17673"/>
      <w:bookmarkStart w:id="85" w:name="_Toc13304_WPSOffice_Level3"/>
      <w:bookmarkStart w:id="86" w:name="_Toc24404_WPSOffice_Level2"/>
      <w:bookmarkStart w:id="87" w:name="_Toc515"/>
      <w:bookmarkStart w:id="88" w:name="_Toc29668"/>
      <w:bookmarkStart w:id="89" w:name="_Toc23174"/>
    </w:p>
    <w:p>
      <w:pPr>
        <w:pageBreakBefore w:val="0"/>
        <w:widowControl/>
        <w:kinsoku/>
        <w:topLinePunct w:val="0"/>
        <w:bidi w:val="0"/>
        <w:spacing w:line="360" w:lineRule="auto"/>
        <w:jc w:val="left"/>
        <w:textAlignment w:val="auto"/>
        <w:outlineLvl w:val="0"/>
        <w:rPr>
          <w:rFonts w:hint="eastAsia" w:ascii="宋体" w:hAnsi="宋体" w:eastAsia="宋体" w:cs="宋体"/>
          <w:b/>
          <w:bCs/>
          <w:color w:val="333333"/>
          <w:kern w:val="36"/>
          <w:sz w:val="24"/>
          <w:szCs w:val="24"/>
        </w:rPr>
      </w:pPr>
    </w:p>
    <w:p>
      <w:pPr>
        <w:pageBreakBefore w:val="0"/>
        <w:widowControl/>
        <w:kinsoku/>
        <w:topLinePunct w:val="0"/>
        <w:bidi w:val="0"/>
        <w:spacing w:line="360" w:lineRule="auto"/>
        <w:jc w:val="left"/>
        <w:textAlignment w:val="auto"/>
        <w:outlineLvl w:val="0"/>
        <w:rPr>
          <w:rFonts w:hint="eastAsia" w:ascii="宋体" w:hAnsi="宋体" w:eastAsia="宋体" w:cs="宋体"/>
          <w:b/>
          <w:bCs/>
          <w:color w:val="333333"/>
          <w:kern w:val="36"/>
          <w:sz w:val="24"/>
          <w:szCs w:val="24"/>
        </w:rPr>
      </w:pPr>
    </w:p>
    <w:p>
      <w:pPr>
        <w:pStyle w:val="21"/>
        <w:pageBreakBefore w:val="0"/>
        <w:kinsoku/>
        <w:topLinePunct w:val="0"/>
        <w:bidi w:val="0"/>
        <w:spacing w:line="360" w:lineRule="auto"/>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color w:val="000000"/>
          <w:sz w:val="24"/>
          <w:szCs w:val="24"/>
        </w:rPr>
        <w:drawing>
          <wp:anchor distT="0" distB="0" distL="114300" distR="114300" simplePos="0" relativeHeight="251676672" behindDoc="0" locked="0" layoutInCell="1" allowOverlap="1">
            <wp:simplePos x="0" y="0"/>
            <wp:positionH relativeFrom="column">
              <wp:posOffset>179070</wp:posOffset>
            </wp:positionH>
            <wp:positionV relativeFrom="paragraph">
              <wp:posOffset>80010</wp:posOffset>
            </wp:positionV>
            <wp:extent cx="5038090" cy="2543810"/>
            <wp:effectExtent l="0" t="0" r="10160" b="8890"/>
            <wp:wrapNone/>
            <wp:docPr id="32" name="图片 32" descr="灯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灯具"/>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8090" cy="2543810"/>
                    </a:xfrm>
                    <a:prstGeom prst="rect">
                      <a:avLst/>
                    </a:prstGeom>
                  </pic:spPr>
                </pic:pic>
              </a:graphicData>
            </a:graphic>
          </wp:anchor>
        </w:drawing>
      </w:r>
    </w:p>
    <w:p>
      <w:pPr>
        <w:rPr>
          <w:rFonts w:hint="eastAsia" w:ascii="宋体" w:hAnsi="宋体" w:eastAsia="宋体" w:cs="宋体"/>
          <w:kern w:val="0"/>
          <w:sz w:val="24"/>
          <w:szCs w:val="24"/>
          <w:lang w:val="zh-CN"/>
        </w:rPr>
      </w:pPr>
    </w:p>
    <w:p>
      <w:pPr>
        <w:pStyle w:val="21"/>
        <w:rPr>
          <w:rFonts w:hint="eastAsia" w:ascii="宋体" w:hAnsi="宋体" w:eastAsia="宋体" w:cs="宋体"/>
          <w:kern w:val="0"/>
          <w:sz w:val="24"/>
          <w:szCs w:val="24"/>
          <w:lang w:val="zh-CN"/>
        </w:rPr>
      </w:pPr>
    </w:p>
    <w:p>
      <w:pPr>
        <w:rPr>
          <w:rFonts w:hint="eastAsia" w:ascii="宋体" w:hAnsi="宋体" w:eastAsia="宋体" w:cs="宋体"/>
          <w:kern w:val="0"/>
          <w:sz w:val="24"/>
          <w:szCs w:val="24"/>
          <w:lang w:val="zh-CN"/>
        </w:rPr>
      </w:pPr>
    </w:p>
    <w:p>
      <w:pPr>
        <w:pStyle w:val="21"/>
        <w:rPr>
          <w:rFonts w:hint="eastAsia" w:ascii="宋体" w:hAnsi="宋体" w:eastAsia="宋体" w:cs="宋体"/>
          <w:kern w:val="0"/>
          <w:sz w:val="24"/>
          <w:szCs w:val="24"/>
          <w:lang w:val="zh-CN"/>
        </w:rPr>
      </w:pPr>
    </w:p>
    <w:p>
      <w:pPr>
        <w:rPr>
          <w:rFonts w:hint="eastAsia" w:ascii="宋体" w:hAnsi="宋体" w:eastAsia="宋体" w:cs="宋体"/>
          <w:kern w:val="0"/>
          <w:sz w:val="24"/>
          <w:szCs w:val="24"/>
          <w:lang w:val="zh-CN"/>
        </w:rPr>
      </w:pPr>
    </w:p>
    <w:p>
      <w:pPr>
        <w:pStyle w:val="21"/>
        <w:rPr>
          <w:rFonts w:hint="eastAsia" w:ascii="宋体" w:hAnsi="宋体" w:eastAsia="宋体" w:cs="宋体"/>
          <w:kern w:val="0"/>
          <w:sz w:val="24"/>
          <w:szCs w:val="24"/>
          <w:lang w:val="zh-CN"/>
        </w:rPr>
      </w:pPr>
    </w:p>
    <w:p>
      <w:pPr>
        <w:rPr>
          <w:rFonts w:hint="eastAsia" w:ascii="宋体" w:hAnsi="宋体" w:eastAsia="宋体" w:cs="宋体"/>
          <w:kern w:val="0"/>
          <w:sz w:val="24"/>
          <w:szCs w:val="24"/>
          <w:lang w:val="zh-CN"/>
        </w:rPr>
      </w:pPr>
    </w:p>
    <w:p>
      <w:pPr>
        <w:pStyle w:val="21"/>
        <w:rPr>
          <w:rFonts w:hint="eastAsia" w:ascii="宋体" w:hAnsi="宋体" w:eastAsia="宋体" w:cs="宋体"/>
          <w:sz w:val="24"/>
          <w:szCs w:val="24"/>
          <w:lang w:val="zh-CN"/>
        </w:rPr>
      </w:pPr>
    </w:p>
    <w:p>
      <w:pPr>
        <w:pStyle w:val="100"/>
        <w:pageBreakBefore w:val="0"/>
        <w:kinsoku/>
        <w:topLinePunct w:val="0"/>
        <w:bidi w:val="0"/>
        <w:spacing w:line="360" w:lineRule="auto"/>
        <w:ind w:firstLine="480" w:firstLineChars="200"/>
        <w:jc w:val="both"/>
        <w:textAlignment w:val="auto"/>
        <w:rPr>
          <w:rFonts w:hint="eastAsia" w:ascii="宋体" w:hAnsi="宋体" w:eastAsia="宋体" w:cs="宋体"/>
          <w:sz w:val="24"/>
          <w:szCs w:val="24"/>
        </w:rPr>
      </w:pPr>
    </w:p>
    <w:p>
      <w:pPr>
        <w:pStyle w:val="100"/>
        <w:pageBreakBefore w:val="0"/>
        <w:numPr>
          <w:ilvl w:val="0"/>
          <w:numId w:val="72"/>
        </w:numPr>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实验室电气工程施工说明</w:t>
      </w:r>
    </w:p>
    <w:p>
      <w:pPr>
        <w:pageBreakBefore w:val="0"/>
        <w:kinsoku/>
        <w:topLinePunct w:val="0"/>
        <w:bidi w:val="0"/>
        <w:spacing w:line="360" w:lineRule="auto"/>
        <w:ind w:right="-175" w:rightChars="-73" w:firstLine="482" w:firstLineChars="200"/>
        <w:textAlignment w:val="auto"/>
        <w:outlineLvl w:val="2"/>
        <w:rPr>
          <w:rFonts w:hint="eastAsia" w:ascii="宋体" w:hAnsi="宋体" w:eastAsia="宋体" w:cs="宋体"/>
          <w:b/>
          <w:kern w:val="0"/>
          <w:sz w:val="24"/>
          <w:szCs w:val="24"/>
          <w:lang w:val="zh-CN"/>
        </w:rPr>
      </w:pPr>
      <w:r>
        <w:rPr>
          <w:rFonts w:hint="eastAsia" w:ascii="宋体" w:hAnsi="宋体" w:eastAsia="宋体" w:cs="宋体"/>
          <w:b/>
          <w:color w:val="000000"/>
          <w:sz w:val="24"/>
          <w:szCs w:val="24"/>
        </w:rPr>
        <w:t>1、</w:t>
      </w:r>
      <w:bookmarkEnd w:id="83"/>
      <w:bookmarkEnd w:id="84"/>
      <w:bookmarkEnd w:id="85"/>
      <w:bookmarkEnd w:id="86"/>
      <w:bookmarkEnd w:id="87"/>
      <w:bookmarkStart w:id="90" w:name="_Toc28291_WPSOffice_Level2"/>
      <w:bookmarkStart w:id="91" w:name="_Toc25039_WPSOffice_Level2"/>
      <w:bookmarkStart w:id="92" w:name="_Toc30631_WPSOffice_Level3"/>
      <w:bookmarkStart w:id="93" w:name="_Toc2605"/>
      <w:bookmarkStart w:id="94" w:name="_Toc28633_WPSOffice_Level2"/>
      <w:bookmarkStart w:id="95" w:name="_Toc14125"/>
      <w:bookmarkStart w:id="96" w:name="_Toc31254_WPSOffice_Level3"/>
      <w:bookmarkStart w:id="97" w:name="_Toc8323"/>
      <w:bookmarkStart w:id="98" w:name="_Toc29986_WPSOffice_Level2"/>
      <w:r>
        <w:rPr>
          <w:rFonts w:hint="eastAsia" w:ascii="宋体" w:hAnsi="宋体" w:eastAsia="宋体" w:cs="宋体"/>
          <w:b/>
          <w:kern w:val="0"/>
          <w:sz w:val="24"/>
          <w:szCs w:val="24"/>
          <w:lang w:val="zh-CN"/>
        </w:rPr>
        <w:t xml:space="preserve"> 照明</w:t>
      </w:r>
      <w:bookmarkEnd w:id="90"/>
      <w:bookmarkEnd w:id="91"/>
      <w:bookmarkEnd w:id="92"/>
      <w:r>
        <w:rPr>
          <w:rFonts w:hint="eastAsia" w:ascii="宋体" w:hAnsi="宋体" w:eastAsia="宋体" w:cs="宋体"/>
          <w:b/>
          <w:kern w:val="0"/>
          <w:sz w:val="24"/>
          <w:szCs w:val="24"/>
          <w:lang w:val="zh-CN"/>
        </w:rPr>
        <w:t>系统</w:t>
      </w:r>
      <w:bookmarkEnd w:id="88"/>
      <w:bookmarkEnd w:id="89"/>
      <w:bookmarkEnd w:id="93"/>
      <w:bookmarkEnd w:id="94"/>
      <w:bookmarkEnd w:id="95"/>
      <w:bookmarkEnd w:id="96"/>
      <w:bookmarkEnd w:id="97"/>
      <w:bookmarkEnd w:id="98"/>
    </w:p>
    <w:p>
      <w:pPr>
        <w:pStyle w:val="649"/>
        <w:pageBreakBefore w:val="0"/>
        <w:kinsoku/>
        <w:topLinePunct w:val="0"/>
        <w:autoSpaceDE w:val="0"/>
        <w:autoSpaceDN w:val="0"/>
        <w:bidi w:val="0"/>
        <w:adjustRightInd w:val="0"/>
        <w:spacing w:line="360" w:lineRule="auto"/>
        <w:ind w:left="420" w:right="-175" w:rightChars="-73" w:firstLineChars="0"/>
        <w:jc w:val="left"/>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rPr>
        <w:t>1）</w:t>
      </w:r>
      <w:r>
        <w:rPr>
          <w:rFonts w:hint="eastAsia" w:ascii="宋体" w:hAnsi="宋体" w:eastAsia="宋体" w:cs="宋体"/>
          <w:kern w:val="0"/>
          <w:sz w:val="24"/>
          <w:szCs w:val="24"/>
          <w:lang w:val="zh-CN"/>
        </w:rPr>
        <w:t>实验室照明灯具采用吸顶式密封洁净灯</w:t>
      </w:r>
    </w:p>
    <w:p>
      <w:pPr>
        <w:pStyle w:val="649"/>
        <w:pageBreakBefore w:val="0"/>
        <w:kinsoku/>
        <w:topLinePunct w:val="0"/>
        <w:autoSpaceDE w:val="0"/>
        <w:autoSpaceDN w:val="0"/>
        <w:bidi w:val="0"/>
        <w:adjustRightInd w:val="0"/>
        <w:spacing w:line="360" w:lineRule="auto"/>
        <w:ind w:left="420" w:right="-175" w:rightChars="-73" w:firstLineChars="0"/>
        <w:jc w:val="left"/>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rPr>
        <w:t>2）</w:t>
      </w:r>
      <w:r>
        <w:rPr>
          <w:rFonts w:hint="eastAsia" w:ascii="宋体" w:hAnsi="宋体" w:eastAsia="宋体" w:cs="宋体"/>
          <w:kern w:val="0"/>
          <w:sz w:val="24"/>
          <w:szCs w:val="24"/>
          <w:lang w:val="zh-CN"/>
        </w:rPr>
        <w:t>实验室入口设置实验室工作状态的文字或灯光讯号显示</w:t>
      </w:r>
    </w:p>
    <w:p>
      <w:pPr>
        <w:pStyle w:val="649"/>
        <w:pageBreakBefore w:val="0"/>
        <w:kinsoku/>
        <w:topLinePunct w:val="0"/>
        <w:autoSpaceDE w:val="0"/>
        <w:autoSpaceDN w:val="0"/>
        <w:bidi w:val="0"/>
        <w:adjustRightInd w:val="0"/>
        <w:spacing w:line="360" w:lineRule="auto"/>
        <w:ind w:left="420" w:right="-175" w:rightChars="-73" w:firstLineChars="0"/>
        <w:jc w:val="left"/>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rPr>
        <w:t>3）</w:t>
      </w:r>
      <w:r>
        <w:rPr>
          <w:rFonts w:hint="eastAsia" w:ascii="宋体" w:hAnsi="宋体" w:eastAsia="宋体" w:cs="宋体"/>
          <w:kern w:val="0"/>
          <w:sz w:val="24"/>
          <w:szCs w:val="24"/>
          <w:lang w:val="zh-CN"/>
        </w:rPr>
        <w:t>各功能实验室内设置应急照明。</w:t>
      </w: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r>
        <w:rPr>
          <w:rFonts w:hint="eastAsia" w:ascii="宋体" w:hAnsi="宋体" w:eastAsia="宋体" w:cs="宋体"/>
          <w:color w:val="000000"/>
          <w:sz w:val="24"/>
          <w:szCs w:val="24"/>
        </w:rPr>
        <w:drawing>
          <wp:anchor distT="0" distB="0" distL="114300" distR="114300" simplePos="0" relativeHeight="251677696" behindDoc="0" locked="0" layoutInCell="1" allowOverlap="1">
            <wp:simplePos x="0" y="0"/>
            <wp:positionH relativeFrom="column">
              <wp:posOffset>-94615</wp:posOffset>
            </wp:positionH>
            <wp:positionV relativeFrom="paragraph">
              <wp:posOffset>14605</wp:posOffset>
            </wp:positionV>
            <wp:extent cx="5520690" cy="2788285"/>
            <wp:effectExtent l="0" t="0" r="3810" b="12065"/>
            <wp:wrapNone/>
            <wp:docPr id="33" name="图片 33" descr="灯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灯具"/>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20690" cy="2788285"/>
                    </a:xfrm>
                    <a:prstGeom prst="rect">
                      <a:avLst/>
                    </a:prstGeom>
                  </pic:spPr>
                </pic:pic>
              </a:graphicData>
            </a:graphic>
          </wp:anchor>
        </w:drawing>
      </w: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rPr>
        <w:drawing>
          <wp:anchor distT="0" distB="0" distL="114300" distR="114300" simplePos="0" relativeHeight="251678720" behindDoc="0" locked="0" layoutInCell="1" allowOverlap="1">
            <wp:simplePos x="0" y="0"/>
            <wp:positionH relativeFrom="column">
              <wp:posOffset>561340</wp:posOffset>
            </wp:positionH>
            <wp:positionV relativeFrom="paragraph">
              <wp:posOffset>251460</wp:posOffset>
            </wp:positionV>
            <wp:extent cx="4294505" cy="2529205"/>
            <wp:effectExtent l="0" t="0" r="10795" b="4445"/>
            <wp:wrapNone/>
            <wp:docPr id="21" name="图片 21" descr="杀菌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杀菌灯"/>
                    <pic:cNvPicPr>
                      <a:picLocks noChangeAspect="1"/>
                    </pic:cNvPicPr>
                  </pic:nvPicPr>
                  <pic:blipFill>
                    <a:blip r:embed="rId37" cstate="print"/>
                    <a:stretch>
                      <a:fillRect/>
                    </a:stretch>
                  </pic:blipFill>
                  <pic:spPr>
                    <a:xfrm>
                      <a:off x="0" y="0"/>
                      <a:ext cx="4294505" cy="2529205"/>
                    </a:xfrm>
                    <a:prstGeom prst="rect">
                      <a:avLst/>
                    </a:prstGeom>
                  </pic:spPr>
                </pic:pic>
              </a:graphicData>
            </a:graphic>
          </wp:anchor>
        </w:drawing>
      </w: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Style w:val="100"/>
        <w:pageBreakBefore w:val="0"/>
        <w:kinsoku/>
        <w:topLinePunct w:val="0"/>
        <w:bidi w:val="0"/>
        <w:spacing w:line="360" w:lineRule="auto"/>
        <w:textAlignment w:val="auto"/>
        <w:rPr>
          <w:rFonts w:hint="eastAsia" w:ascii="宋体" w:hAnsi="宋体" w:eastAsia="宋体" w:cs="宋体"/>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left="400" w:right="-175" w:rightChars="-73"/>
        <w:textAlignment w:val="auto"/>
        <w:rPr>
          <w:rFonts w:hint="eastAsia" w:ascii="宋体" w:hAnsi="宋体" w:eastAsia="宋体" w:cs="宋体"/>
          <w:kern w:val="0"/>
          <w:sz w:val="24"/>
          <w:szCs w:val="24"/>
          <w:lang w:val="zh-CN"/>
        </w:rPr>
      </w:pPr>
    </w:p>
    <w:p>
      <w:pPr>
        <w:pageBreakBefore w:val="0"/>
        <w:numPr>
          <w:ilvl w:val="0"/>
          <w:numId w:val="88"/>
        </w:numPr>
        <w:kinsoku/>
        <w:topLinePunct w:val="0"/>
        <w:autoSpaceDE w:val="0"/>
        <w:autoSpaceDN w:val="0"/>
        <w:bidi w:val="0"/>
        <w:adjustRightInd w:val="0"/>
        <w:spacing w:line="360" w:lineRule="auto"/>
        <w:ind w:right="-175" w:rightChars="-73"/>
        <w:textAlignment w:val="auto"/>
        <w:outlineLvl w:val="2"/>
        <w:rPr>
          <w:rFonts w:hint="eastAsia" w:ascii="宋体" w:hAnsi="宋体" w:eastAsia="宋体" w:cs="宋体"/>
          <w:b/>
          <w:kern w:val="0"/>
          <w:sz w:val="24"/>
          <w:szCs w:val="24"/>
          <w:lang w:val="zh-CN"/>
        </w:rPr>
      </w:pPr>
      <w:bookmarkStart w:id="99" w:name="_Toc24456"/>
      <w:bookmarkStart w:id="100" w:name="_Toc23701"/>
      <w:bookmarkStart w:id="101" w:name="_Toc15629"/>
      <w:bookmarkStart w:id="102" w:name="_Toc13440"/>
      <w:bookmarkStart w:id="103" w:name="_Toc16854_WPSOffice_Level2"/>
      <w:bookmarkStart w:id="104" w:name="_Toc4454"/>
      <w:bookmarkStart w:id="105" w:name="_Toc14201_WPSOffice_Level3"/>
      <w:r>
        <w:rPr>
          <w:rFonts w:hint="eastAsia" w:ascii="宋体" w:hAnsi="宋体" w:eastAsia="宋体" w:cs="宋体"/>
          <w:b/>
          <w:kern w:val="0"/>
          <w:sz w:val="24"/>
          <w:szCs w:val="24"/>
          <w:lang w:val="zh-CN"/>
        </w:rPr>
        <w:t>施工做法</w:t>
      </w:r>
      <w:bookmarkEnd w:id="99"/>
      <w:bookmarkEnd w:id="100"/>
      <w:bookmarkEnd w:id="101"/>
      <w:bookmarkEnd w:id="102"/>
      <w:bookmarkEnd w:id="103"/>
      <w:bookmarkEnd w:id="104"/>
      <w:bookmarkEnd w:id="105"/>
    </w:p>
    <w:p>
      <w:pPr>
        <w:pageBreakBefore w:val="0"/>
        <w:numPr>
          <w:ilvl w:val="0"/>
          <w:numId w:val="89"/>
        </w:numPr>
        <w:kinsoku/>
        <w:topLinePunct w:val="0"/>
        <w:bidi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设配电盒，安装位置选在实验室入口处，照明与仪器用电线路分开设置，以使用方便为原则。</w:t>
      </w:r>
    </w:p>
    <w:p>
      <w:pPr>
        <w:pageBreakBefore w:val="0"/>
        <w:numPr>
          <w:ilvl w:val="0"/>
          <w:numId w:val="89"/>
        </w:numPr>
        <w:kinsoku/>
        <w:topLinePunct w:val="0"/>
        <w:bidi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照明灯具选用不锈钢吸顶式带有机罩双管净化专用灯具，便于清洗、不积尘。</w:t>
      </w:r>
    </w:p>
    <w:p>
      <w:pPr>
        <w:pageBreakBefore w:val="0"/>
        <w:numPr>
          <w:ilvl w:val="0"/>
          <w:numId w:val="89"/>
        </w:numPr>
        <w:kinsoku/>
        <w:topLinePunct w:val="0"/>
        <w:bidi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所有电线为优质BV铜芯软线, 走线管为阻燃型PVC塑料管。</w:t>
      </w:r>
    </w:p>
    <w:p>
      <w:pPr>
        <w:pageBreakBefore w:val="0"/>
        <w:numPr>
          <w:ilvl w:val="0"/>
          <w:numId w:val="89"/>
        </w:numPr>
        <w:kinsoku/>
        <w:topLinePunct w:val="0"/>
        <w:bidi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工艺用电配置带防护盖86系列三相五孔插座。</w:t>
      </w:r>
    </w:p>
    <w:p>
      <w:pPr>
        <w:pageBreakBefore w:val="0"/>
        <w:numPr>
          <w:ilvl w:val="0"/>
          <w:numId w:val="89"/>
        </w:numPr>
        <w:kinsoku/>
        <w:topLinePunct w:val="0"/>
        <w:bidi w:val="0"/>
        <w:spacing w:line="360" w:lineRule="auto"/>
        <w:ind w:right="-175" w:rightChars="-73" w:firstLine="480" w:firstLineChars="200"/>
        <w:textAlignment w:val="auto"/>
        <w:outlineLvl w:val="1"/>
        <w:rPr>
          <w:rFonts w:hint="eastAsia" w:ascii="宋体" w:hAnsi="宋体" w:eastAsia="宋体" w:cs="宋体"/>
          <w:kern w:val="0"/>
          <w:sz w:val="24"/>
          <w:szCs w:val="24"/>
          <w:lang w:val="zh-CN"/>
        </w:rPr>
      </w:pPr>
      <w:bookmarkStart w:id="106" w:name="_Toc21026"/>
      <w:bookmarkStart w:id="107" w:name="_Toc17600"/>
      <w:bookmarkStart w:id="108" w:name="_Toc20498"/>
      <w:bookmarkStart w:id="109" w:name="_Toc10038"/>
      <w:bookmarkStart w:id="110" w:name="_Toc165"/>
      <w:r>
        <w:rPr>
          <w:rFonts w:hint="eastAsia" w:ascii="宋体" w:hAnsi="宋体" w:eastAsia="宋体" w:cs="宋体"/>
          <w:kern w:val="0"/>
          <w:sz w:val="24"/>
          <w:szCs w:val="24"/>
          <w:lang w:val="zh-CN"/>
        </w:rPr>
        <w:t>室内各用电点位置及高度在施工时均可按用户要求调节。各电气线路均敷设在吊顶上和夹芯层内。</w:t>
      </w:r>
      <w:bookmarkEnd w:id="106"/>
      <w:bookmarkEnd w:id="107"/>
      <w:bookmarkEnd w:id="108"/>
      <w:bookmarkEnd w:id="109"/>
      <w:bookmarkEnd w:id="110"/>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 为了避免不必要的经济损失，施工之前，施工方的专业人士一定要认真阅读所有施工图纸</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 严格按照施工合理性，安全性，美观性的结构完整原则，特别要考虑使用方维护便利性。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 安装管线尽可能直线走向，每隔6M中间要用接线盒连接。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 末端端子接线要牢固可靠且有标号，方便调试和检测。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吊顶桥架（金属线槽）离地面高度3M，且桥架之间要有连接线，安装在屋面桥架材质要用防水镀锌桥架，桥架走向根据现场施工情况进行调整。桥架要有效接地。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一条控制电缆，中间不能有接驳现象，是为了整个系统电气性能输送可靠性，避免或减少故障发生。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端子接线，数字输入、输出，经过自控柜（控制柜，控制箱）端子排连接,各端子必须标清线号和端子号。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槽式大跨距电缆桥架由室外进入建筑物内时,桥架向外的坡度不得小于1/100。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电缆桥架与用电设备交越时,其间的净距不小于0.5m。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电缆桥架宜高出地面2.2米以上，桥架顶部距顶棚或其它障碍物不应小于0.3米，桥</w:t>
      </w:r>
      <w:r>
        <w:rPr>
          <w:rFonts w:hint="eastAsia" w:ascii="宋体" w:hAnsi="宋体" w:eastAsia="宋体" w:cs="宋体"/>
          <w:kern w:val="0"/>
          <w:sz w:val="24"/>
          <w:szCs w:val="24"/>
        </w:rPr>
        <w:tab/>
      </w:r>
      <w:r>
        <w:rPr>
          <w:rFonts w:hint="eastAsia" w:ascii="宋体" w:hAnsi="宋体" w:eastAsia="宋体" w:cs="宋体"/>
          <w:kern w:val="0"/>
          <w:sz w:val="24"/>
          <w:szCs w:val="24"/>
          <w:lang w:val="zh-CN"/>
        </w:rPr>
        <w:t xml:space="preserve">架宽度不宜小于0.1米，桥架内横断面的填充率不应超过50%。 </w:t>
      </w:r>
    </w:p>
    <w:p>
      <w:pPr>
        <w:pageBreakBefore w:val="0"/>
        <w:numPr>
          <w:ilvl w:val="0"/>
          <w:numId w:val="89"/>
        </w:numPr>
        <w:kinsoku/>
        <w:topLinePunct w:val="0"/>
        <w:autoSpaceDE w:val="0"/>
        <w:autoSpaceDN w:val="0"/>
        <w:bidi w:val="0"/>
        <w:adjustRightInd w:val="0"/>
        <w:spacing w:line="360" w:lineRule="auto"/>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桥架水平敷设时,支撑间距一般为1.5-3m,垂直敷设时固定在建筑物构体上的间距宜</w:t>
      </w:r>
      <w:r>
        <w:rPr>
          <w:rFonts w:hint="eastAsia" w:ascii="宋体" w:hAnsi="宋体" w:eastAsia="宋体" w:cs="宋体"/>
          <w:kern w:val="0"/>
          <w:sz w:val="24"/>
          <w:szCs w:val="24"/>
        </w:rPr>
        <w:tab/>
      </w:r>
      <w:r>
        <w:rPr>
          <w:rFonts w:hint="eastAsia" w:ascii="宋体" w:hAnsi="宋体" w:eastAsia="宋体" w:cs="宋体"/>
          <w:kern w:val="0"/>
          <w:sz w:val="24"/>
          <w:szCs w:val="24"/>
          <w:lang w:val="zh-CN"/>
        </w:rPr>
        <w:t xml:space="preserve">小于2m。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桥架直线段每隔50m应予留伸缩缝20-30mm（金属桥架）。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控制信号电缆与电力电缆相互最小净距平行距离为500mm,交叉距离为500mm。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金属线槽和电缆桥架与一般工艺管道平行净距不小于0.4m,交叉距离不小于0.3m。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强电和弱电电缆如受条件限制需安装在同一层桥架上时，应用隔板隔开。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明装控制箱下沿距地1.4米，暗装控制箱下沿距地1.2米。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进入落地式配电箱的电线管，排列应整齐，管口宜高出控制柜地面基础50~80mm。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电线穿线管的弯曲处，不应有折皱、凹陷和裂缝，且弯曲程度不应大于外径的10%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钢管部应有折扁和裂缝，管内应无铁销及毛刺，切口应平整，管口应光滑。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金属软管敷设，钢管与电气设备、器具间的电线保护管宜采用金属软管。金属软管的长度不宜大于2米。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金属软管不应退绞、松散，中间不应有接头。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金属软管弯曲半径不应小于软管外径6倍。 </w:t>
      </w:r>
    </w:p>
    <w:p>
      <w:pPr>
        <w:pageBreakBefore w:val="0"/>
        <w:numPr>
          <w:ilvl w:val="0"/>
          <w:numId w:val="89"/>
        </w:numPr>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对引入的电缆或导线，首先应用对线器进行校线，按图纸要求编号。 </w:t>
      </w:r>
    </w:p>
    <w:p>
      <w:pPr>
        <w:pageBreakBefore w:val="0"/>
        <w:kinsoku/>
        <w:topLinePunct w:val="0"/>
        <w:autoSpaceDE w:val="0"/>
        <w:autoSpaceDN w:val="0"/>
        <w:bidi w:val="0"/>
        <w:adjustRightInd w:val="0"/>
        <w:spacing w:line="360" w:lineRule="auto"/>
        <w:ind w:right="-175" w:rightChars="-73"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线缆两端应贴有标签，应根据线缆表的编号标明编号，标志编号应正确且与图纸一致，标签书</w:t>
      </w:r>
      <w:r>
        <w:rPr>
          <w:rFonts w:hint="eastAsia" w:ascii="宋体" w:hAnsi="宋体" w:eastAsia="宋体" w:cs="宋体"/>
          <w:kern w:val="0"/>
          <w:sz w:val="24"/>
          <w:szCs w:val="24"/>
        </w:rPr>
        <w:tab/>
      </w:r>
      <w:r>
        <w:rPr>
          <w:rFonts w:hint="eastAsia" w:ascii="宋体" w:hAnsi="宋体" w:eastAsia="宋体" w:cs="宋体"/>
          <w:kern w:val="0"/>
          <w:sz w:val="24"/>
          <w:szCs w:val="24"/>
          <w:lang w:val="zh-CN"/>
        </w:rPr>
        <w:t>写应清晰、字迹清晰，不易褪色；配线应整齐，避免交叉，固定牢固,标签应选用不易损坏的材料。</w:t>
      </w:r>
    </w:p>
    <w:p>
      <w:pPr>
        <w:pStyle w:val="100"/>
        <w:pageBreakBefore w:val="0"/>
        <w:kinsoku/>
        <w:topLinePunct w:val="0"/>
        <w:bidi w:val="0"/>
        <w:spacing w:line="360" w:lineRule="auto"/>
        <w:textAlignment w:val="auto"/>
        <w:rPr>
          <w:rFonts w:hint="eastAsia" w:ascii="宋体" w:hAnsi="宋体" w:eastAsia="宋体" w:cs="宋体"/>
          <w:b/>
          <w:bCs/>
          <w:sz w:val="24"/>
          <w:szCs w:val="24"/>
        </w:rPr>
      </w:pPr>
      <w:bookmarkStart w:id="111" w:name="_Toc843"/>
      <w:bookmarkStart w:id="112" w:name="_Toc8004"/>
      <w:r>
        <w:rPr>
          <w:rFonts w:hint="eastAsia" w:ascii="宋体" w:hAnsi="宋体" w:eastAsia="宋体" w:cs="宋体"/>
          <w:b/>
          <w:bCs/>
          <w:sz w:val="24"/>
          <w:szCs w:val="24"/>
        </w:rPr>
        <w:t>（八）给排水工程</w:t>
      </w:r>
      <w:bookmarkEnd w:id="111"/>
      <w:bookmarkEnd w:id="112"/>
      <w:r>
        <w:rPr>
          <w:rFonts w:hint="eastAsia" w:ascii="宋体" w:hAnsi="宋体" w:eastAsia="宋体" w:cs="宋体"/>
          <w:b/>
          <w:bCs/>
          <w:sz w:val="24"/>
          <w:szCs w:val="24"/>
        </w:rPr>
        <w:t>设计说明</w:t>
      </w:r>
    </w:p>
    <w:p>
      <w:pPr>
        <w:pageBreakBefore w:val="0"/>
        <w:kinsoku/>
        <w:topLinePunct w:val="0"/>
        <w:autoSpaceDE w:val="0"/>
        <w:autoSpaceDN w:val="0"/>
        <w:bidi w:val="0"/>
        <w:adjustRightInd w:val="0"/>
        <w:spacing w:line="360" w:lineRule="auto"/>
        <w:ind w:right="-175" w:rightChars="-73"/>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室内没有设置上下水，需要引上下水到水池处。</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1、水位：实验室供需引上下水位具体位置参照上下水位图纸</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2、供水要求：供水材料符合国家健康相关产品卫生标准。</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3、上水管采用Φ20PPR管道，末端接铜质球阀，控制上水开关，下水管采用Φ50PVC管道，下水槽设置存水弯，防止异味，易于清理，另外，由于受房间功能的要求，房间不设置地漏，将原有地漏进行处理。</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4、管路敷设</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.1管道均暗设于管井和找平层内；</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2给水穿楼板时，应设套管，安装于楼板内的套管，其顶部应高出装饰地面20mm，安装在卫生间的套管，其顶部高出装饰面50mm，底部应于楼板底相平；套管与管道之间缝隙应用阻燃密实材料和防水油膏填实，端面光滑；</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.3排水管道穿楼板应预留孔洞，管道安装后将孔洞严密捣实，立管周围应设高出楼板面设计标高10-20mm的阻水圈；</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.4管道穿钢筋混凝土墙和楼板，梁时，应根据图中所注管道标高，位置配合土建预留孔洞或预埋套管；管道穿地下室外墙，应预埋防水套管；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.5排水管道（DN≧100）穿墙体或楼板时，墙体和楼板贯穿部位必须设置阻火圈。</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.6管道坡度</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bookmarkStart w:id="113" w:name="_Toc23305_WPSOffice_Level3"/>
      <w:r>
        <w:rPr>
          <w:rFonts w:hint="eastAsia" w:ascii="宋体" w:hAnsi="宋体" w:eastAsia="宋体" w:cs="宋体"/>
          <w:kern w:val="0"/>
          <w:sz w:val="24"/>
          <w:szCs w:val="24"/>
          <w:lang w:val="zh-CN"/>
        </w:rPr>
        <w:t>1）排水管道除图中注明者外，均按下列坡度安装：</w:t>
      </w:r>
      <w:bookmarkEnd w:id="113"/>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De50  0.026  De75   0.026  De110 0.02 De160 0.01</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bookmarkStart w:id="114" w:name="_Toc25082_WPSOffice_Level3"/>
      <w:r>
        <w:rPr>
          <w:rFonts w:hint="eastAsia" w:ascii="宋体" w:hAnsi="宋体" w:eastAsia="宋体" w:cs="宋体"/>
          <w:kern w:val="0"/>
          <w:sz w:val="24"/>
          <w:szCs w:val="24"/>
          <w:lang w:val="zh-CN"/>
        </w:rPr>
        <w:t>2）给水管，消防给水管均按0.002的坡度坡向泄水装置。 </w:t>
      </w:r>
      <w:bookmarkEnd w:id="114"/>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.7管道支架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1）管道支架和管卡应固定在楼板或承重结构上，水泵房内采用减震吊架及支架；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2）立管每层安装一管卡，安装高度为距地面1.5m；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3）排水管上的吊钩或卡箍应固定在承重结构上，固定件间距：横管不得大于2m，立管不得大于3m，层高小于或等于4m，立管中部可按一个固定件；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.8排水管检查口距地面或楼面1.00m。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.9管道连接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1）排水横管和横管的连接，不得采用正三通和正四通；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2）污水立管偏置时，应采用乙字或2个45度弯头；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3）污水立管与排水管连接时采用2个45度弯头，且立管底部弯管处应设支墩。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.10阀门安装时应将手柄留在易操作处，暗装在管井和吊顶内的管道，阀门及检查口处均应设检修门。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1</w:t>
      </w:r>
      <w:r>
        <w:rPr>
          <w:rFonts w:hint="eastAsia" w:ascii="宋体" w:hAnsi="宋体" w:eastAsia="宋体" w:cs="宋体"/>
          <w:kern w:val="0"/>
          <w:sz w:val="24"/>
          <w:szCs w:val="24"/>
          <w:lang w:val="zh-CN"/>
        </w:rPr>
        <w:t>.11管道和设备保温</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1）室外安装的给排水管道，消防管道均需做保温，保温材料应采用硬质聚氨酯泡沫塑料。保温厚度为30mm，保护层采用玻璃布缠绕，外刷二道调和漆；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2）保温应在完成试压合格及除锈防腐处理后进行。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bookmarkStart w:id="115" w:name="_Toc11822_WPSOffice_Level3"/>
      <w:r>
        <w:rPr>
          <w:rFonts w:hint="eastAsia" w:ascii="宋体" w:hAnsi="宋体" w:eastAsia="宋体" w:cs="宋体"/>
          <w:kern w:val="0"/>
          <w:sz w:val="24"/>
          <w:szCs w:val="24"/>
          <w:lang w:val="zh-CN"/>
        </w:rPr>
        <w:t>4.</w:t>
      </w:r>
      <w:r>
        <w:rPr>
          <w:rFonts w:hint="eastAsia" w:ascii="宋体" w:hAnsi="宋体" w:eastAsia="宋体" w:cs="宋体"/>
          <w:kern w:val="0"/>
          <w:sz w:val="24"/>
          <w:szCs w:val="24"/>
        </w:rPr>
        <w:t>2</w:t>
      </w:r>
      <w:r>
        <w:rPr>
          <w:rFonts w:hint="eastAsia" w:ascii="宋体" w:hAnsi="宋体" w:eastAsia="宋体" w:cs="宋体"/>
          <w:kern w:val="0"/>
          <w:sz w:val="24"/>
          <w:szCs w:val="24"/>
          <w:lang w:val="zh-CN"/>
        </w:rPr>
        <w:t>管道防腐及油漆 </w:t>
      </w:r>
      <w:bookmarkEnd w:id="115"/>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2</w:t>
      </w:r>
      <w:r>
        <w:rPr>
          <w:rFonts w:hint="eastAsia" w:ascii="宋体" w:hAnsi="宋体" w:eastAsia="宋体" w:cs="宋体"/>
          <w:kern w:val="0"/>
          <w:sz w:val="24"/>
          <w:szCs w:val="24"/>
          <w:lang w:val="zh-CN"/>
        </w:rPr>
        <w:t>.1在涂刷底漆前，应清除表面的灰尘、污垢、锈斑、焊渣等物，涂刷油漆厚度应均</w:t>
      </w:r>
      <w:r>
        <w:rPr>
          <w:rFonts w:hint="eastAsia" w:ascii="宋体" w:hAnsi="宋体" w:eastAsia="宋体" w:cs="宋体"/>
          <w:kern w:val="0"/>
          <w:sz w:val="24"/>
          <w:szCs w:val="24"/>
        </w:rPr>
        <w:tab/>
      </w:r>
      <w:r>
        <w:rPr>
          <w:rFonts w:hint="eastAsia" w:ascii="宋体" w:hAnsi="宋体" w:eastAsia="宋体" w:cs="宋体"/>
          <w:kern w:val="0"/>
          <w:sz w:val="24"/>
          <w:szCs w:val="24"/>
          <w:lang w:val="zh-CN"/>
        </w:rPr>
        <w:t>匀，不得有脱皮、起泡、流淌和漏涂现象；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2</w:t>
      </w:r>
      <w:r>
        <w:rPr>
          <w:rFonts w:hint="eastAsia" w:ascii="宋体" w:hAnsi="宋体" w:eastAsia="宋体" w:cs="宋体"/>
          <w:kern w:val="0"/>
          <w:sz w:val="24"/>
          <w:szCs w:val="24"/>
          <w:lang w:val="zh-CN"/>
        </w:rPr>
        <w:t>.2给水管刷樟丹二道，蓝色调和漆二道。埋地铺设时，外壁刷冷底子油一道，石油</w:t>
      </w:r>
      <w:r>
        <w:rPr>
          <w:rFonts w:hint="eastAsia" w:ascii="宋体" w:hAnsi="宋体" w:eastAsia="宋体" w:cs="宋体"/>
          <w:kern w:val="0"/>
          <w:sz w:val="24"/>
          <w:szCs w:val="24"/>
        </w:rPr>
        <w:tab/>
      </w:r>
      <w:r>
        <w:rPr>
          <w:rFonts w:hint="eastAsia" w:ascii="宋体" w:hAnsi="宋体" w:eastAsia="宋体" w:cs="宋体"/>
          <w:kern w:val="0"/>
          <w:sz w:val="24"/>
          <w:szCs w:val="24"/>
          <w:lang w:val="zh-CN"/>
        </w:rPr>
        <w:t>沥青二道；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4.</w:t>
      </w:r>
      <w:r>
        <w:rPr>
          <w:rFonts w:hint="eastAsia" w:ascii="宋体" w:hAnsi="宋体" w:eastAsia="宋体" w:cs="宋体"/>
          <w:kern w:val="0"/>
          <w:sz w:val="24"/>
          <w:szCs w:val="24"/>
        </w:rPr>
        <w:t>2</w:t>
      </w:r>
      <w:r>
        <w:rPr>
          <w:rFonts w:hint="eastAsia" w:ascii="宋体" w:hAnsi="宋体" w:eastAsia="宋体" w:cs="宋体"/>
          <w:kern w:val="0"/>
          <w:sz w:val="24"/>
          <w:szCs w:val="24"/>
          <w:lang w:val="zh-CN"/>
        </w:rPr>
        <w:t>.3保温管进行保温后，外壳再刷防火漆二道，给水管外刷兰色环，排水管外刷黑环； </w:t>
      </w:r>
    </w:p>
    <w:p>
      <w:pPr>
        <w:pageBreakBefore w:val="0"/>
        <w:kinsoku/>
        <w:topLinePunct w:val="0"/>
        <w:autoSpaceDE w:val="0"/>
        <w:autoSpaceDN w:val="0"/>
        <w:bidi w:val="0"/>
        <w:adjustRightInd w:val="0"/>
        <w:spacing w:line="360" w:lineRule="auto"/>
        <w:ind w:right="-175" w:rightChars="-73" w:firstLine="420"/>
        <w:textAlignment w:val="auto"/>
        <w:rPr>
          <w:rFonts w:hint="eastAsia" w:ascii="宋体" w:hAnsi="宋体" w:eastAsia="宋体" w:cs="宋体"/>
          <w:sz w:val="24"/>
          <w:szCs w:val="24"/>
          <w:lang w:val="zh-CN"/>
        </w:rPr>
      </w:pPr>
      <w:bookmarkStart w:id="116" w:name="_Toc5996_WPSOffice_Level3"/>
      <w:r>
        <w:rPr>
          <w:rFonts w:hint="eastAsia" w:ascii="宋体" w:hAnsi="宋体" w:eastAsia="宋体" w:cs="宋体"/>
          <w:kern w:val="0"/>
          <w:sz w:val="24"/>
          <w:szCs w:val="24"/>
        </w:rPr>
        <w:t>4.2.4</w:t>
      </w:r>
      <w:r>
        <w:rPr>
          <w:rFonts w:hint="eastAsia" w:ascii="宋体" w:hAnsi="宋体" w:eastAsia="宋体" w:cs="宋体"/>
          <w:kern w:val="0"/>
          <w:sz w:val="24"/>
          <w:szCs w:val="24"/>
          <w:lang w:val="zh-CN"/>
        </w:rPr>
        <w:t>管道支架除锈后刷樟丹二道，灰色调和漆二道。</w:t>
      </w:r>
      <w:bookmarkEnd w:id="116"/>
    </w:p>
    <w:p>
      <w:pPr>
        <w:pStyle w:val="100"/>
        <w:pageBreakBefore w:val="0"/>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（九）空调设备及控制系统 </w:t>
      </w:r>
    </w:p>
    <w:p>
      <w:pPr>
        <w:pageBreakBefore w:val="0"/>
        <w:kinsoku/>
        <w:topLinePunct w:val="0"/>
        <w:bidi w:val="0"/>
        <w:spacing w:line="360" w:lineRule="auto"/>
        <w:ind w:firstLine="420"/>
        <w:textAlignment w:val="auto"/>
        <w:rPr>
          <w:rFonts w:hint="eastAsia" w:ascii="宋体" w:hAnsi="宋体" w:eastAsia="宋体" w:cs="宋体"/>
          <w:b/>
          <w:bCs/>
          <w:sz w:val="24"/>
          <w:szCs w:val="24"/>
        </w:rPr>
      </w:pPr>
      <w:r>
        <w:rPr>
          <w:rFonts w:hint="eastAsia" w:ascii="宋体" w:hAnsi="宋体" w:eastAsia="宋体" w:cs="宋体"/>
          <w:b/>
          <w:bCs/>
          <w:sz w:val="24"/>
          <w:szCs w:val="24"/>
        </w:rPr>
        <w:t>1、空调机组技术参数：</w:t>
      </w:r>
    </w:p>
    <w:p>
      <w:pPr>
        <w:pageBreakBefore w:val="0"/>
        <w:kinsoku/>
        <w:topLinePunct w:val="0"/>
        <w:bidi w:val="0"/>
        <w:spacing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型号：组合式净化空调机组</w:t>
      </w:r>
    </w:p>
    <w:p>
      <w:pPr>
        <w:pageBreakBefore w:val="0"/>
        <w:kinsoku/>
        <w:topLinePunct w:val="0"/>
        <w:bidi w:val="0"/>
        <w:spacing w:line="360" w:lineRule="auto"/>
        <w:ind w:left="420" w:firstLine="420"/>
        <w:textAlignment w:val="auto"/>
        <w:rPr>
          <w:rFonts w:hint="eastAsia" w:ascii="宋体" w:hAnsi="宋体" w:eastAsia="宋体" w:cs="宋体"/>
          <w:sz w:val="24"/>
          <w:szCs w:val="24"/>
        </w:rPr>
      </w:pPr>
      <w:r>
        <w:rPr>
          <w:rFonts w:hint="eastAsia" w:ascii="宋体" w:hAnsi="宋体" w:eastAsia="宋体" w:cs="宋体"/>
          <w:sz w:val="24"/>
          <w:szCs w:val="24"/>
        </w:rPr>
        <w:t>功能段：机组空气处理功能段有新风、均流、过滤、冷却、加热、送风机、等单元体。</w:t>
      </w:r>
    </w:p>
    <w:p>
      <w:pPr>
        <w:pageBreakBefore w:val="0"/>
        <w:kinsoku/>
        <w:topLinePunct w:val="0"/>
        <w:bidi w:val="0"/>
        <w:spacing w:line="360" w:lineRule="auto"/>
        <w:ind w:left="4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制冷量：61.00KW;制热量68.00KW  </w:t>
      </w:r>
    </w:p>
    <w:p>
      <w:pPr>
        <w:pageBreakBefore w:val="0"/>
        <w:kinsoku/>
        <w:topLinePunct w:val="0"/>
        <w:bidi w:val="0"/>
        <w:spacing w:line="360" w:lineRule="auto"/>
        <w:ind w:left="4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风  量：7000m3/h </w:t>
      </w:r>
    </w:p>
    <w:p>
      <w:pPr>
        <w:pageBreakBefore w:val="0"/>
        <w:kinsoku/>
        <w:topLinePunct w:val="0"/>
        <w:bidi w:val="0"/>
        <w:spacing w:line="360" w:lineRule="auto"/>
        <w:ind w:left="4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功  率：25Kw</w:t>
      </w:r>
    </w:p>
    <w:p>
      <w:pPr>
        <w:pageBreakBefore w:val="0"/>
        <w:kinsoku/>
        <w:topLinePunct w:val="0"/>
        <w:bidi w:val="0"/>
        <w:spacing w:line="360" w:lineRule="auto"/>
        <w:ind w:left="4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温度控制范围：20-26</w:t>
      </w:r>
      <w:r>
        <w:rPr>
          <w:rFonts w:hint="eastAsia" w:ascii="宋体" w:hAnsi="宋体" w:eastAsia="宋体" w:cs="宋体"/>
          <w:sz w:val="24"/>
          <w:szCs w:val="24"/>
          <w:vertAlign w:val="superscript"/>
        </w:rPr>
        <w:t>0</w:t>
      </w:r>
      <w:r>
        <w:rPr>
          <w:rFonts w:hint="eastAsia" w:ascii="宋体" w:hAnsi="宋体" w:eastAsia="宋体" w:cs="宋体"/>
          <w:sz w:val="24"/>
          <w:szCs w:val="24"/>
        </w:rPr>
        <w:t>C ±2</w:t>
      </w:r>
      <w:r>
        <w:rPr>
          <w:rFonts w:hint="eastAsia" w:ascii="宋体" w:hAnsi="宋体" w:eastAsia="宋体" w:cs="宋体"/>
          <w:sz w:val="24"/>
          <w:szCs w:val="24"/>
          <w:vertAlign w:val="superscript"/>
        </w:rPr>
        <w:t>0</w:t>
      </w:r>
      <w:r>
        <w:rPr>
          <w:rFonts w:hint="eastAsia" w:ascii="宋体" w:hAnsi="宋体" w:eastAsia="宋体" w:cs="宋体"/>
          <w:sz w:val="24"/>
          <w:szCs w:val="24"/>
        </w:rPr>
        <w:t>C</w:t>
      </w:r>
    </w:p>
    <w:p>
      <w:pPr>
        <w:pageBreakBefore w:val="0"/>
        <w:kinsoku/>
        <w:topLinePunct w:val="0"/>
        <w:bidi w:val="0"/>
        <w:spacing w:line="360" w:lineRule="auto"/>
        <w:ind w:firstLine="420"/>
        <w:textAlignment w:val="auto"/>
        <w:rPr>
          <w:rFonts w:hint="eastAsia" w:ascii="宋体" w:hAnsi="宋体" w:eastAsia="宋体" w:cs="宋体"/>
          <w:b/>
          <w:bCs/>
          <w:sz w:val="24"/>
          <w:szCs w:val="24"/>
        </w:rPr>
      </w:pPr>
      <w:bookmarkStart w:id="117" w:name="_Toc19514_WPSOffice_Level2"/>
      <w:bookmarkStart w:id="118" w:name="_Toc13380"/>
      <w:bookmarkStart w:id="119" w:name="_Toc8339_WPSOffice_Level1"/>
      <w:bookmarkStart w:id="120" w:name="_Toc2176"/>
      <w:bookmarkStart w:id="121" w:name="_Toc5264"/>
      <w:r>
        <w:rPr>
          <w:rFonts w:hint="eastAsia" w:ascii="宋体" w:hAnsi="宋体" w:eastAsia="宋体" w:cs="宋体"/>
          <w:b/>
          <w:bCs/>
          <w:sz w:val="24"/>
          <w:szCs w:val="24"/>
        </w:rPr>
        <w:t>2、空调机组技术要求：</w:t>
      </w:r>
      <w:bookmarkEnd w:id="117"/>
      <w:bookmarkEnd w:id="118"/>
      <w:bookmarkEnd w:id="119"/>
      <w:bookmarkEnd w:id="120"/>
      <w:bookmarkEnd w:id="121"/>
      <w:r>
        <w:rPr>
          <w:rFonts w:hint="eastAsia" w:ascii="宋体" w:hAnsi="宋体" w:eastAsia="宋体" w:cs="宋体"/>
          <w:b/>
          <w:bCs/>
          <w:sz w:val="24"/>
          <w:szCs w:val="24"/>
        </w:rPr>
        <w:t>（投标时投标单位需提供厂家的所有专利证书及检测报告）</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箱板为无框架结构，采用螺栓螺母紧固，具有拆装灵活性，提供相应的专利证书；</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箱体保温性能好，箱板保温达T2级；</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冷桥因子达到TB1级；</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箱体密封性好，漏风率低，漏风率可达L1级；</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风机电机采用国内知名品牌，风机有美国AMCA认证且风机电机性能质量符合或由于招标要求，制造商需拥有八年以上生产资质。</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冷盘管冷凝排水盘安装时需含≥5°的倾斜角，便于冷凝水排放；</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机组底部的型钢上设计调节平衡的模块，便于微调地基的不平整度，并提供相应的专利证书；</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压差计连管采用不锈钢管，接点处采用橡胶密封套密封；</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通过欧盟Eurovent认证；</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具有制冷空调产品认证证书（CRAA）认证；</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设备生产企业具有合肥通用所或者国家质量监督检测中心出具的针对洁净手术室净化机组的检测报告；</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设备生产企业拥有国家认可的最大测试风量＞10万m3/h的风量测试台；</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具有美国空调制冷协会的AHRI认证。</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设备生产企业具有ISO 9001产品质量认证体系；</w:t>
      </w:r>
    </w:p>
    <w:p>
      <w:pPr>
        <w:pageBreakBefore w:val="0"/>
        <w:numPr>
          <w:ilvl w:val="0"/>
          <w:numId w:val="90"/>
        </w:numPr>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设备生产企业具有国家认可委的实验室认可证书；</w:t>
      </w:r>
    </w:p>
    <w:p>
      <w:pPr>
        <w:pStyle w:val="649"/>
        <w:pageBreakBefore w:val="0"/>
        <w:kinsoku/>
        <w:topLinePunct w:val="0"/>
        <w:bidi w:val="0"/>
        <w:spacing w:line="360" w:lineRule="auto"/>
        <w:ind w:left="480" w:leftChars="200" w:firstLine="0" w:firstLineChars="0"/>
        <w:textAlignment w:val="auto"/>
        <w:rPr>
          <w:rFonts w:hint="eastAsia" w:ascii="宋体" w:hAnsi="宋体" w:eastAsia="宋体" w:cs="宋体"/>
          <w:bCs/>
          <w:kern w:val="44"/>
          <w:sz w:val="24"/>
          <w:szCs w:val="24"/>
          <w:lang w:val="zh-CN"/>
        </w:rPr>
      </w:pPr>
      <w:r>
        <w:rPr>
          <w:rFonts w:hint="eastAsia"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322580</wp:posOffset>
            </wp:positionH>
            <wp:positionV relativeFrom="paragraph">
              <wp:posOffset>48895</wp:posOffset>
            </wp:positionV>
            <wp:extent cx="3968750" cy="2143760"/>
            <wp:effectExtent l="0" t="0" r="12700" b="8890"/>
            <wp:wrapNone/>
            <wp:docPr id="34" name="图片 34" descr="空调机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空调机组"/>
                    <pic:cNvPicPr>
                      <a:picLocks noChangeAspect="1"/>
                    </pic:cNvPicPr>
                  </pic:nvPicPr>
                  <pic:blipFill>
                    <a:blip r:embed="rId38" cstate="print"/>
                    <a:stretch>
                      <a:fillRect/>
                    </a:stretch>
                  </pic:blipFill>
                  <pic:spPr>
                    <a:xfrm>
                      <a:off x="0" y="0"/>
                      <a:ext cx="3968750" cy="2143760"/>
                    </a:xfrm>
                    <a:prstGeom prst="rect">
                      <a:avLst/>
                    </a:prstGeom>
                  </pic:spPr>
                </pic:pic>
              </a:graphicData>
            </a:graphic>
          </wp:anchor>
        </w:drawing>
      </w:r>
    </w:p>
    <w:p>
      <w:pPr>
        <w:pageBreakBefore w:val="0"/>
        <w:kinsoku/>
        <w:topLinePunct w:val="0"/>
        <w:autoSpaceDE w:val="0"/>
        <w:autoSpaceDN w:val="0"/>
        <w:bidi w:val="0"/>
        <w:adjustRightInd w:val="0"/>
        <w:spacing w:line="360" w:lineRule="auto"/>
        <w:ind w:right="-175" w:rightChars="-73"/>
        <w:textAlignment w:val="auto"/>
        <w:rPr>
          <w:rFonts w:hint="eastAsia" w:ascii="宋体" w:hAnsi="宋体" w:eastAsia="宋体" w:cs="宋体"/>
          <w:kern w:val="0"/>
          <w:sz w:val="24"/>
          <w:szCs w:val="24"/>
          <w:lang w:val="zh-CN"/>
        </w:rPr>
      </w:pPr>
    </w:p>
    <w:p>
      <w:pPr>
        <w:pageBreakBefore w:val="0"/>
        <w:kinsoku/>
        <w:topLinePunct w:val="0"/>
        <w:autoSpaceDE w:val="0"/>
        <w:autoSpaceDN w:val="0"/>
        <w:bidi w:val="0"/>
        <w:adjustRightInd w:val="0"/>
        <w:spacing w:line="360" w:lineRule="auto"/>
        <w:ind w:right="-175" w:rightChars="-73"/>
        <w:textAlignment w:val="auto"/>
        <w:rPr>
          <w:rFonts w:hint="eastAsia" w:ascii="宋体" w:hAnsi="宋体" w:eastAsia="宋体" w:cs="宋体"/>
          <w:b/>
          <w:kern w:val="0"/>
          <w:sz w:val="24"/>
          <w:szCs w:val="24"/>
          <w:lang w:val="zh-CN"/>
        </w:rPr>
      </w:pPr>
    </w:p>
    <w:p>
      <w:pPr>
        <w:pageBreakBefore w:val="0"/>
        <w:kinsoku/>
        <w:topLinePunct w:val="0"/>
        <w:autoSpaceDE w:val="0"/>
        <w:autoSpaceDN w:val="0"/>
        <w:bidi w:val="0"/>
        <w:adjustRightInd w:val="0"/>
        <w:spacing w:line="360" w:lineRule="auto"/>
        <w:ind w:right="-175" w:rightChars="-73"/>
        <w:textAlignment w:val="auto"/>
        <w:rPr>
          <w:rFonts w:hint="eastAsia" w:ascii="宋体" w:hAnsi="宋体" w:eastAsia="宋体" w:cs="宋体"/>
          <w:b/>
          <w:kern w:val="0"/>
          <w:sz w:val="24"/>
          <w:szCs w:val="24"/>
          <w:lang w:val="zh-CN"/>
        </w:rPr>
      </w:pPr>
    </w:p>
    <w:p>
      <w:pPr>
        <w:pageBreakBefore w:val="0"/>
        <w:kinsoku/>
        <w:topLinePunct w:val="0"/>
        <w:autoSpaceDE w:val="0"/>
        <w:autoSpaceDN w:val="0"/>
        <w:bidi w:val="0"/>
        <w:adjustRightInd w:val="0"/>
        <w:spacing w:line="360" w:lineRule="auto"/>
        <w:ind w:right="-175" w:rightChars="-73"/>
        <w:textAlignment w:val="auto"/>
        <w:rPr>
          <w:rFonts w:hint="eastAsia" w:ascii="宋体" w:hAnsi="宋体" w:eastAsia="宋体" w:cs="宋体"/>
          <w:b/>
          <w:kern w:val="0"/>
          <w:sz w:val="24"/>
          <w:szCs w:val="24"/>
          <w:lang w:val="zh-CN"/>
        </w:rPr>
      </w:pPr>
    </w:p>
    <w:p>
      <w:pPr>
        <w:pStyle w:val="100"/>
        <w:pageBreakBefore w:val="0"/>
        <w:kinsoku/>
        <w:topLinePunct w:val="0"/>
        <w:bidi w:val="0"/>
        <w:spacing w:line="360" w:lineRule="auto"/>
        <w:ind w:left="420"/>
        <w:textAlignment w:val="auto"/>
        <w:outlineLvl w:val="2"/>
        <w:rPr>
          <w:rFonts w:hint="eastAsia" w:ascii="宋体" w:hAnsi="宋体" w:eastAsia="宋体" w:cs="宋体"/>
          <w:b/>
          <w:bCs/>
          <w:sz w:val="24"/>
          <w:szCs w:val="24"/>
        </w:rPr>
      </w:pPr>
    </w:p>
    <w:p>
      <w:pPr>
        <w:pStyle w:val="100"/>
        <w:pageBreakBefore w:val="0"/>
        <w:kinsoku/>
        <w:topLinePunct w:val="0"/>
        <w:bidi w:val="0"/>
        <w:spacing w:line="360" w:lineRule="auto"/>
        <w:ind w:left="420"/>
        <w:textAlignment w:val="auto"/>
        <w:outlineLvl w:val="2"/>
        <w:rPr>
          <w:rFonts w:hint="eastAsia" w:ascii="宋体" w:hAnsi="宋体" w:eastAsia="宋体" w:cs="宋体"/>
          <w:b/>
          <w:bCs/>
          <w:sz w:val="24"/>
          <w:szCs w:val="24"/>
        </w:rPr>
      </w:pPr>
    </w:p>
    <w:p>
      <w:pPr>
        <w:pStyle w:val="100"/>
        <w:pageBreakBefore w:val="0"/>
        <w:kinsoku/>
        <w:topLinePunct w:val="0"/>
        <w:bidi w:val="0"/>
        <w:spacing w:line="360" w:lineRule="auto"/>
        <w:ind w:left="420"/>
        <w:textAlignment w:val="auto"/>
        <w:outlineLvl w:val="2"/>
        <w:rPr>
          <w:rFonts w:hint="eastAsia" w:ascii="宋体" w:hAnsi="宋体" w:eastAsia="宋体" w:cs="宋体"/>
          <w:b/>
          <w:bCs/>
          <w:sz w:val="24"/>
          <w:szCs w:val="24"/>
        </w:rPr>
      </w:pPr>
    </w:p>
    <w:p>
      <w:pPr>
        <w:pStyle w:val="100"/>
        <w:pageBreakBefore w:val="0"/>
        <w:kinsoku/>
        <w:topLinePunct w:val="0"/>
        <w:bidi w:val="0"/>
        <w:spacing w:line="360" w:lineRule="auto"/>
        <w:ind w:left="420"/>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（十）PLC控制系统</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采用组态灵活的 西门子PLC控制系列和人机界面，实现空调的恒温恒湿控制要求，满足各种工作工况，达到所需的要求。</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1、初、中、高效滤网压差检测: 设置压差开关对滤网前后的压差进行检测，当压差达到设定值时，人机界面发出报警信息提醒工作人员进行清洗或更换；维护人员也可在电脑或操作屏处查看当前的过滤器的状态，可提前做好清洗过滤器或更换的准备；过滤报警时在实验室内触摸屏上可显示报警；</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2、新风阀门控制：随空调机组连锁起停；</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3、空调箱内风压保护：在风机前后设置压差开关，当压差小于设定值时报警并停止制冷、加热设备；</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4、新风机控制：空调机组风机采用恒风压变频控制，在送风管设压差传感器，根据风压控制变频器的频率，保证当过滤器有堵塞的情况下也能够保证房间的风量（或者提醒更换）；</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5、机组电加热控制：在送排风低于设定值时，开启电加热；</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6、排风机控制:排风机起停与空调机组联动；</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7、值机控制:系统值机时机组半风量恒温恒湿控制，适当运用效果明显的节能措施，变频技术及新风采集技术，既能达到有实验时马上能使用的目的，又能达到节约能源的效果；</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8、实验室定时消毒控制：根据实验室具体使用情况定时启动/关闭消毒系统，做好手动和自动两种控制系统；</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采用国际著名品牌系列的可编程控制器，人机界面，温、湿度传感器，压差传感器，风阀执行器，电动比例积分调节阀等对系统的风量及温湿度进行控制；净化空调控制系统的控制满足机房本地控制和使用房间触摸屏远程控制以及预留接口和通讯（modbus rs485）；    10、本地控制柜配置人机界面；自控系统包括强电控制及弱电控制二项。控制柜采用强弱电一体化设计，减少外部接线，控制柜RS485通讯接口10、使用房间内空调控制面板可以实现以下的控制功能：</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（1）空调机组启、停；</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（2）值班运行/全风量运行转换；</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（3）温、湿度的设定；</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（4）室内温、湿度、压差的显示；</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（5）机组运转状态；</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（6）机组故障指示；</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（7）恒温恒湿空调自动控制系统中央监控示例</w:t>
      </w:r>
    </w:p>
    <w:p>
      <w:pPr>
        <w:pStyle w:val="100"/>
        <w:pageBreakBefore w:val="0"/>
        <w:kinsoku/>
        <w:topLinePunct w:val="0"/>
        <w:bidi w:val="0"/>
        <w:spacing w:line="360" w:lineRule="auto"/>
        <w:textAlignment w:val="auto"/>
        <w:rPr>
          <w:rFonts w:hint="eastAsia" w:ascii="宋体" w:hAnsi="宋体" w:eastAsia="宋体" w:cs="宋体"/>
          <w:color w:val="auto"/>
          <w:sz w:val="24"/>
          <w:szCs w:val="24"/>
        </w:rPr>
      </w:pPr>
    </w:p>
    <w:p>
      <w:pPr>
        <w:pageBreakBefore w:val="0"/>
        <w:kinsoku/>
        <w:topLinePunct w:val="0"/>
        <w:autoSpaceDE w:val="0"/>
        <w:autoSpaceDN w:val="0"/>
        <w:bidi w:val="0"/>
        <w:adjustRightInd w:val="0"/>
        <w:spacing w:line="360" w:lineRule="auto"/>
        <w:ind w:right="-175" w:rightChars="-73"/>
        <w:textAlignment w:val="auto"/>
        <w:rPr>
          <w:rFonts w:hint="eastAsia" w:ascii="宋体" w:hAnsi="宋体" w:eastAsia="宋体" w:cs="宋体"/>
          <w:b/>
          <w:kern w:val="0"/>
          <w:sz w:val="24"/>
          <w:szCs w:val="24"/>
          <w:lang w:val="zh-CN"/>
        </w:rPr>
      </w:pPr>
      <w:r>
        <w:rPr>
          <w:rFonts w:hint="eastAsia" w:ascii="宋体" w:hAnsi="宋体" w:eastAsia="宋体" w:cs="宋体"/>
          <w:b/>
          <w:kern w:val="0"/>
          <w:sz w:val="24"/>
          <w:szCs w:val="24"/>
        </w:rPr>
        <w:drawing>
          <wp:anchor distT="0" distB="0" distL="114300" distR="114300" simplePos="0" relativeHeight="251680768" behindDoc="0" locked="0" layoutInCell="1" allowOverlap="1">
            <wp:simplePos x="0" y="0"/>
            <wp:positionH relativeFrom="column">
              <wp:posOffset>-90170</wp:posOffset>
            </wp:positionH>
            <wp:positionV relativeFrom="paragraph">
              <wp:posOffset>26670</wp:posOffset>
            </wp:positionV>
            <wp:extent cx="5092065" cy="2121535"/>
            <wp:effectExtent l="0" t="0" r="13335" b="12065"/>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92065" cy="2121535"/>
                    </a:xfrm>
                    <a:prstGeom prst="rect">
                      <a:avLst/>
                    </a:prstGeom>
                  </pic:spPr>
                </pic:pic>
              </a:graphicData>
            </a:graphic>
          </wp:anchor>
        </w:drawing>
      </w:r>
    </w:p>
    <w:p>
      <w:pPr>
        <w:pageBreakBefore w:val="0"/>
        <w:kinsoku/>
        <w:topLinePunct w:val="0"/>
        <w:autoSpaceDE w:val="0"/>
        <w:autoSpaceDN w:val="0"/>
        <w:bidi w:val="0"/>
        <w:adjustRightInd w:val="0"/>
        <w:spacing w:line="360" w:lineRule="auto"/>
        <w:ind w:right="-175" w:rightChars="-73"/>
        <w:textAlignment w:val="auto"/>
        <w:rPr>
          <w:rFonts w:hint="eastAsia" w:ascii="宋体" w:hAnsi="宋体" w:eastAsia="宋体" w:cs="宋体"/>
          <w:b/>
          <w:kern w:val="0"/>
          <w:sz w:val="24"/>
          <w:szCs w:val="24"/>
          <w:lang w:val="zh-CN"/>
        </w:rPr>
      </w:pPr>
      <w:r>
        <w:rPr>
          <w:rFonts w:hint="eastAsia" w:ascii="宋体" w:hAnsi="宋体" w:eastAsia="宋体" w:cs="宋体"/>
          <w:b/>
          <w:sz w:val="24"/>
          <w:szCs w:val="24"/>
        </w:rPr>
        <w:drawing>
          <wp:anchor distT="0" distB="0" distL="114300" distR="114300" simplePos="0" relativeHeight="251681792" behindDoc="0" locked="0" layoutInCell="1" allowOverlap="1">
            <wp:simplePos x="0" y="0"/>
            <wp:positionH relativeFrom="column">
              <wp:posOffset>7722870</wp:posOffset>
            </wp:positionH>
            <wp:positionV relativeFrom="paragraph">
              <wp:posOffset>-2599055</wp:posOffset>
            </wp:positionV>
            <wp:extent cx="4083685" cy="3063875"/>
            <wp:effectExtent l="0" t="0" r="3175" b="12065"/>
            <wp:wrapNone/>
            <wp:docPr id="35" name="图片 35" descr="空调机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空调机组"/>
                    <pic:cNvPicPr>
                      <a:picLocks noChangeAspect="1"/>
                    </pic:cNvPicPr>
                  </pic:nvPicPr>
                  <pic:blipFill>
                    <a:blip r:embed="rId40" cstate="print"/>
                    <a:stretch>
                      <a:fillRect/>
                    </a:stretch>
                  </pic:blipFill>
                  <pic:spPr>
                    <a:xfrm rot="5400000">
                      <a:off x="0" y="0"/>
                      <a:ext cx="4083685" cy="3063875"/>
                    </a:xfrm>
                    <a:prstGeom prst="rect">
                      <a:avLst/>
                    </a:prstGeom>
                  </pic:spPr>
                </pic:pic>
              </a:graphicData>
            </a:graphic>
          </wp:anchor>
        </w:drawing>
      </w:r>
    </w:p>
    <w:p>
      <w:pPr>
        <w:pStyle w:val="100"/>
        <w:pageBreakBefore w:val="0"/>
        <w:kinsoku/>
        <w:topLinePunct w:val="0"/>
        <w:bidi w:val="0"/>
        <w:spacing w:line="360" w:lineRule="auto"/>
        <w:ind w:left="420"/>
        <w:textAlignment w:val="auto"/>
        <w:rPr>
          <w:rFonts w:hint="eastAsia" w:ascii="宋体" w:hAnsi="宋体" w:eastAsia="宋体" w:cs="宋体"/>
          <w:b/>
          <w:bCs/>
          <w:sz w:val="24"/>
          <w:szCs w:val="24"/>
        </w:rPr>
      </w:pPr>
    </w:p>
    <w:p>
      <w:pPr>
        <w:pStyle w:val="100"/>
        <w:pageBreakBefore w:val="0"/>
        <w:kinsoku/>
        <w:topLinePunct w:val="0"/>
        <w:bidi w:val="0"/>
        <w:spacing w:line="360" w:lineRule="auto"/>
        <w:ind w:left="420"/>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sz w:val="24"/>
          <w:szCs w:val="24"/>
        </w:rPr>
        <w:drawing>
          <wp:anchor distT="0" distB="0" distL="114300" distR="114300" simplePos="0" relativeHeight="251682816" behindDoc="0" locked="0" layoutInCell="1" allowOverlap="1">
            <wp:simplePos x="0" y="0"/>
            <wp:positionH relativeFrom="column">
              <wp:posOffset>152400</wp:posOffset>
            </wp:positionH>
            <wp:positionV relativeFrom="paragraph">
              <wp:posOffset>33655</wp:posOffset>
            </wp:positionV>
            <wp:extent cx="4839970" cy="2552700"/>
            <wp:effectExtent l="0" t="0" r="1778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39970" cy="2552700"/>
                    </a:xfrm>
                    <a:prstGeom prst="rect">
                      <a:avLst/>
                    </a:prstGeom>
                  </pic:spPr>
                </pic:pic>
              </a:graphicData>
            </a:graphic>
          </wp:anchor>
        </w:drawing>
      </w: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控制系统---PLC控制柜</w:t>
      </w:r>
    </w:p>
    <w:p>
      <w:pPr>
        <w:pStyle w:val="100"/>
        <w:pageBreakBefore w:val="0"/>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4766310" cy="2463165"/>
            <wp:effectExtent l="0" t="0" r="15240" b="13335"/>
            <wp:docPr id="33796" name="图片 33795" descr="PLC控制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图片 33795" descr="PLC控制器"/>
                    <pic:cNvPicPr>
                      <a:picLocks noChangeAspect="1"/>
                    </pic:cNvPicPr>
                  </pic:nvPicPr>
                  <pic:blipFill>
                    <a:blip r:embed="rId42" cstate="print"/>
                    <a:stretch>
                      <a:fillRect/>
                    </a:stretch>
                  </pic:blipFill>
                  <pic:spPr>
                    <a:xfrm>
                      <a:off x="0" y="0"/>
                      <a:ext cx="4766310" cy="2463165"/>
                    </a:xfrm>
                    <a:prstGeom prst="rect">
                      <a:avLst/>
                    </a:prstGeom>
                    <a:noFill/>
                    <a:ln w="9525">
                      <a:noFill/>
                    </a:ln>
                  </pic:spPr>
                </pic:pic>
              </a:graphicData>
            </a:graphic>
          </wp:inline>
        </w:drawing>
      </w:r>
    </w:p>
    <w:p>
      <w:pPr>
        <w:pStyle w:val="100"/>
        <w:pageBreakBefore w:val="0"/>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负压系统---压差控制</w:t>
      </w:r>
    </w:p>
    <w:p>
      <w:pPr>
        <w:pStyle w:val="100"/>
        <w:pageBreakBefore w:val="0"/>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drawing>
          <wp:anchor distT="0" distB="0" distL="114300" distR="114300" simplePos="0" relativeHeight="251683840" behindDoc="0" locked="0" layoutInCell="1" allowOverlap="1">
            <wp:simplePos x="0" y="0"/>
            <wp:positionH relativeFrom="column">
              <wp:posOffset>162560</wp:posOffset>
            </wp:positionH>
            <wp:positionV relativeFrom="paragraph">
              <wp:posOffset>92075</wp:posOffset>
            </wp:positionV>
            <wp:extent cx="4708525" cy="2455545"/>
            <wp:effectExtent l="0" t="0" r="15875" b="1905"/>
            <wp:wrapNone/>
            <wp:docPr id="86" name="图片 86" descr="压差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压差表"/>
                    <pic:cNvPicPr>
                      <a:picLocks noChangeAspect="1"/>
                    </pic:cNvPicPr>
                  </pic:nvPicPr>
                  <pic:blipFill>
                    <a:blip r:embed="rId43" cstate="print"/>
                    <a:stretch>
                      <a:fillRect/>
                    </a:stretch>
                  </pic:blipFill>
                  <pic:spPr>
                    <a:xfrm>
                      <a:off x="0" y="0"/>
                      <a:ext cx="4708525" cy="2455545"/>
                    </a:xfrm>
                    <a:prstGeom prst="rect">
                      <a:avLst/>
                    </a:prstGeom>
                  </pic:spPr>
                </pic:pic>
              </a:graphicData>
            </a:graphic>
          </wp:anchor>
        </w:drawing>
      </w: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（十一）洁净通风系统</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送排风系统设计考虑实验室的使用条件，实验室产生污染气溶胶的设备不应向室内排风。</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空调净化系统送、排风支管安装阀门控制，满足调节室内压差。</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送风系统采用粗、中、高效三级空气过滤，中效过滤器在空调机组的正压段。</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排风系统与送风连锁，送风先于排风开启，后于排风关闭。</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各个有洁净度相邻实验动物房间不应使用同一回风墙作为排风道。</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气流组织采用上送下回的方式，涉及通风管道材料、配件等必须符合GB14925-2010、GB50447-2008规范要求。</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房间送排风系统流程:</w:t>
      </w: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130040" cy="624840"/>
            <wp:effectExtent l="0" t="0" r="3810" b="3810"/>
            <wp:docPr id="89" name="图片 89" descr="1589335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589335005(1)"/>
                    <pic:cNvPicPr>
                      <a:picLocks noChangeAspect="1"/>
                    </pic:cNvPicPr>
                  </pic:nvPicPr>
                  <pic:blipFill>
                    <a:blip r:embed="rId44" cstate="print"/>
                    <a:stretch>
                      <a:fillRect/>
                    </a:stretch>
                  </pic:blipFill>
                  <pic:spPr>
                    <a:xfrm>
                      <a:off x="0" y="0"/>
                      <a:ext cx="4130040" cy="624840"/>
                    </a:xfrm>
                    <a:prstGeom prst="rect">
                      <a:avLst/>
                    </a:prstGeom>
                  </pic:spPr>
                </pic:pic>
              </a:graphicData>
            </a:graphic>
          </wp:inline>
        </w:drawing>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排风系统:：实验室 →带过滤器百叶风口 →排风机组 →过滤系统→室外。</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通风管为优质型钢和镀锌板制作。</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防气流倒灌系统：实验室新风管上均安装电动密闭阀（连锁送、回风机控制，送、回风机开即电动密闭阀打开，送、回风机关即电动密闭阀关闭）以防止关机时空气回流。并能封闭消毒。</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风管部分的清洁要求：通风管吊装前先用清洁剂或酒精将内壁洗干净，再吊装。</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排风机组：SDKT初中效净化离心式排风风机，采用前向多翼式叶轮,配用外转子电机,具有风量大、噪声低、结构紧凑、外形美观、安装使用方便的特点。</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电动风阀：采用优质电动风阀，转动角度0-90°，采用电动执行机构控制，可任意调节转动角度</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通风送排风风阀: 材质：碳钢制品，烤漆处理；防腐防锈处理。</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通风送排风风口:材质：铝合金喷塑成品；防腐防锈处理。</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通风高效送风口:箱体材质：碳钢喷塑成品；防腐防锈处理；配铝合金喷塑散流板、箱体压件；铝合金框，厚度70mm无隔板过滤器等，过滤效率99.99%；</w:t>
      </w:r>
    </w:p>
    <w:p>
      <w:pPr>
        <w:pStyle w:val="100"/>
        <w:pageBreakBefore w:val="0"/>
        <w:numPr>
          <w:ilvl w:val="0"/>
          <w:numId w:val="91"/>
        </w:numPr>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空调风管部分: 空调送风、排风、新风管须保温，保温均采用厚度30mm的B1级橡塑复合保温管材及专用胶水粘贴保温。橡塑复合保温管材导热系数≤0.035W/m.k。室外明敷保温风管需外室外风管外包0.5mm铝板保护层</w:t>
      </w: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r>
        <w:rPr>
          <w:rFonts w:hint="eastAsia" w:ascii="宋体" w:hAnsi="宋体" w:eastAsia="宋体" w:cs="宋体"/>
          <w:b/>
          <w:bCs/>
          <w:sz w:val="24"/>
          <w:szCs w:val="24"/>
        </w:rPr>
        <w:drawing>
          <wp:anchor distT="0" distB="0" distL="114300" distR="114300" simplePos="0" relativeHeight="251684864" behindDoc="0" locked="0" layoutInCell="1" allowOverlap="1">
            <wp:simplePos x="0" y="0"/>
            <wp:positionH relativeFrom="column">
              <wp:posOffset>535940</wp:posOffset>
            </wp:positionH>
            <wp:positionV relativeFrom="paragraph">
              <wp:posOffset>106045</wp:posOffset>
            </wp:positionV>
            <wp:extent cx="3903345" cy="2192020"/>
            <wp:effectExtent l="0" t="0" r="1905" b="17780"/>
            <wp:wrapNone/>
            <wp:docPr id="90" name="图片 90"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风管"/>
                    <pic:cNvPicPr>
                      <a:picLocks noChangeAspect="1"/>
                    </pic:cNvPicPr>
                  </pic:nvPicPr>
                  <pic:blipFill>
                    <a:blip r:embed="rId45" cstate="print"/>
                    <a:stretch>
                      <a:fillRect/>
                    </a:stretch>
                  </pic:blipFill>
                  <pic:spPr>
                    <a:xfrm>
                      <a:off x="0" y="0"/>
                      <a:ext cx="3903345" cy="2192020"/>
                    </a:xfrm>
                    <a:prstGeom prst="rect">
                      <a:avLst/>
                    </a:prstGeom>
                  </pic:spPr>
                </pic:pic>
              </a:graphicData>
            </a:graphic>
          </wp:anchor>
        </w:drawing>
      </w: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85888" behindDoc="0" locked="0" layoutInCell="1" allowOverlap="1">
            <wp:simplePos x="0" y="0"/>
            <wp:positionH relativeFrom="column">
              <wp:posOffset>264160</wp:posOffset>
            </wp:positionH>
            <wp:positionV relativeFrom="paragraph">
              <wp:posOffset>220345</wp:posOffset>
            </wp:positionV>
            <wp:extent cx="4624705" cy="2337435"/>
            <wp:effectExtent l="0" t="0" r="4445" b="5715"/>
            <wp:wrapNone/>
            <wp:docPr id="91" name="图片 91" descr="初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初小"/>
                    <pic:cNvPicPr>
                      <a:picLocks noChangeAspect="1"/>
                    </pic:cNvPicPr>
                  </pic:nvPicPr>
                  <pic:blipFill>
                    <a:blip r:embed="rId46" cstate="print"/>
                    <a:stretch>
                      <a:fillRect/>
                    </a:stretch>
                  </pic:blipFill>
                  <pic:spPr>
                    <a:xfrm>
                      <a:off x="0" y="0"/>
                      <a:ext cx="4624705" cy="2337435"/>
                    </a:xfrm>
                    <a:prstGeom prst="rect">
                      <a:avLst/>
                    </a:prstGeom>
                  </pic:spPr>
                </pic:pic>
              </a:graphicData>
            </a:graphic>
          </wp:anchor>
        </w:drawing>
      </w: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ind w:firstLine="420"/>
        <w:textAlignment w:val="auto"/>
        <w:rPr>
          <w:rFonts w:hint="eastAsia" w:ascii="宋体" w:hAnsi="宋体" w:eastAsia="宋体" w:cs="宋体"/>
          <w:sz w:val="24"/>
          <w:szCs w:val="24"/>
        </w:rPr>
      </w:pPr>
    </w:p>
    <w:p>
      <w:pPr>
        <w:pStyle w:val="100"/>
        <w:pageBreakBefore w:val="0"/>
        <w:kinsoku/>
        <w:topLinePunct w:val="0"/>
        <w:bidi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（十二）台柜设备技术参数</w:t>
      </w:r>
    </w:p>
    <w:p>
      <w:pPr>
        <w:pageBreakBefore w:val="0"/>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1、全钢结构，承重限制：≥400KG/M。</w:t>
      </w:r>
    </w:p>
    <w:p>
      <w:pPr>
        <w:pageBreakBefore w:val="0"/>
        <w:kinsoku/>
        <w:topLinePunct w:val="0"/>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2、颜色要求：实验室整体风格要求统一，颜色做到美观大方，实验台柜体颜色由甲方选定、确认后方可进行安装。</w:t>
      </w:r>
    </w:p>
    <w:p>
      <w:pPr>
        <w:pageBreakBefore w:val="0"/>
        <w:kinsoku/>
        <w:topLinePunct w:val="0"/>
        <w:bidi w:val="0"/>
        <w:spacing w:line="360" w:lineRule="auto"/>
        <w:textAlignment w:val="auto"/>
        <w:rPr>
          <w:rFonts w:hint="eastAsia" w:ascii="宋体" w:hAnsi="宋体" w:eastAsia="宋体" w:cs="宋体"/>
          <w:sz w:val="24"/>
          <w:szCs w:val="24"/>
          <w:lang w:val="zh-TW" w:eastAsia="zh-TW"/>
        </w:rPr>
      </w:pPr>
      <w:r>
        <w:rPr>
          <w:rFonts w:hint="eastAsia" w:ascii="宋体" w:hAnsi="宋体" w:eastAsia="宋体" w:cs="宋体"/>
          <w:sz w:val="24"/>
          <w:szCs w:val="24"/>
        </w:rPr>
        <w:t>3、</w:t>
      </w:r>
      <w:r>
        <w:rPr>
          <w:rFonts w:hint="eastAsia" w:ascii="宋体" w:hAnsi="宋体" w:eastAsia="宋体" w:cs="宋体"/>
          <w:sz w:val="24"/>
          <w:szCs w:val="24"/>
          <w:lang w:val="zh-TW" w:eastAsia="zh-TW"/>
        </w:rPr>
        <w:t>实验室等级钢制家具钢材表面处理要求</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rPr>
        <w:t>3</w:t>
      </w:r>
      <w:r>
        <w:rPr>
          <w:rFonts w:hint="eastAsia" w:ascii="宋体" w:hAnsi="宋体" w:eastAsia="宋体" w:cs="宋体"/>
          <w:sz w:val="24"/>
          <w:szCs w:val="24"/>
          <w:lang w:val="zh-TW"/>
        </w:rPr>
        <w:t>.1所有钢制实验台柜体表面必须经静电环氧树脂粉末喷涂处理，涂层平整光滑，不允许有喷涂层脱落、鼓泡、凹陷、压痕以及表面划伤、麻点、裂痕、崩角和刃口等。</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rPr>
        <w:t>3</w:t>
      </w:r>
      <w:r>
        <w:rPr>
          <w:rFonts w:hint="eastAsia" w:ascii="宋体" w:hAnsi="宋体" w:eastAsia="宋体" w:cs="宋体"/>
          <w:sz w:val="24"/>
          <w:szCs w:val="24"/>
          <w:lang w:val="zh-TW"/>
        </w:rPr>
        <w:t>.2预处理：脱脂、水洗、酸洗、水洗中和、磷化、水洗等过程或纳米陶化前处理技术。</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rPr>
        <w:t>3</w:t>
      </w:r>
      <w:r>
        <w:rPr>
          <w:rFonts w:hint="eastAsia" w:ascii="宋体" w:hAnsi="宋体" w:eastAsia="宋体" w:cs="宋体"/>
          <w:sz w:val="24"/>
          <w:szCs w:val="24"/>
          <w:lang w:val="zh-TW"/>
        </w:rPr>
        <w:t>.3表面喷涂：阿克苏诺贝尔或等同于、高于该粉末质量的环氧树酯粉末静电喷涂，涂层厚度≥50μm，在180度高温烘箱内固成光滑表面。</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eastAsia="zh-TW"/>
        </w:rPr>
      </w:pPr>
      <w:r>
        <w:rPr>
          <w:rFonts w:hint="eastAsia" w:ascii="宋体" w:hAnsi="宋体" w:eastAsia="宋体" w:cs="宋体"/>
          <w:sz w:val="24"/>
          <w:szCs w:val="24"/>
        </w:rPr>
        <w:t>3.4</w:t>
      </w:r>
      <w:r>
        <w:rPr>
          <w:rFonts w:hint="eastAsia" w:ascii="宋体" w:hAnsi="宋体" w:eastAsia="宋体" w:cs="宋体"/>
          <w:sz w:val="24"/>
          <w:szCs w:val="24"/>
          <w:lang w:val="zh-TW" w:eastAsia="zh-TW"/>
        </w:rPr>
        <w:t>喷涂后的金属表面抗一定的化学物质，能达到如下性能</w:t>
      </w:r>
      <w:r>
        <w:rPr>
          <w:rFonts w:hint="eastAsia" w:ascii="宋体" w:hAnsi="宋体" w:eastAsia="宋体" w:cs="宋体"/>
          <w:sz w:val="24"/>
          <w:szCs w:val="24"/>
          <w:lang w:val="zh-TW"/>
        </w:rPr>
        <w:t>（提供合格的检测报告证明）</w:t>
      </w:r>
      <w:r>
        <w:rPr>
          <w:rFonts w:hint="eastAsia" w:ascii="宋体" w:hAnsi="宋体" w:eastAsia="宋体" w:cs="宋体"/>
          <w:sz w:val="24"/>
          <w:szCs w:val="24"/>
          <w:lang w:val="zh-TW" w:eastAsia="zh-TW"/>
        </w:rPr>
        <w:t>：</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lang w:val="zh-TW"/>
        </w:rPr>
        <w:t>附着性能：交叉刻画（1.6mm X 1.6mm），没有掉漆。</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lang w:val="zh-TW"/>
        </w:rPr>
        <w:t>防腐性能：盐喷实验200小时没有变化。</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lang w:val="zh-TW"/>
        </w:rPr>
        <w:t>磨损性能：Taber磨损实验100次循环不超过5.5mg。</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lang w:val="zh-TW"/>
        </w:rPr>
        <w:t>硬度性能：表面硬度相当于甚至好于4H铅笔。</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lang w:val="zh-TW"/>
        </w:rPr>
        <w:t>防潮性能：华氏100度、饱和湿度情况下，可以抵抗1000小时的暴露。</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lang w:val="zh-TW"/>
        </w:rPr>
        <w:t>湿度性能：热水45度角冲淋5分钟没有变化。水持续浸湿100小时没有变化。</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lang w:val="zh-TW"/>
        </w:rPr>
        <w:t>耐腐蚀及耐酸碱功能：满足SEFA 8M抗腐蚀功能，耐指定的49种化学试剂，漆面结果是等级3的情况不应多于4个；</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rPr>
        <w:t>3.5</w:t>
      </w:r>
      <w:r>
        <w:rPr>
          <w:rFonts w:hint="eastAsia" w:ascii="宋体" w:hAnsi="宋体" w:eastAsia="宋体" w:cs="宋体"/>
          <w:sz w:val="24"/>
          <w:szCs w:val="24"/>
          <w:lang w:val="zh-TW" w:eastAsia="zh-TW"/>
        </w:rPr>
        <w:t>最大</w:t>
      </w:r>
      <w:r>
        <w:rPr>
          <w:rFonts w:hint="eastAsia" w:ascii="宋体" w:hAnsi="宋体" w:eastAsia="宋体" w:cs="宋体"/>
          <w:sz w:val="24"/>
          <w:szCs w:val="24"/>
          <w:lang w:val="zh-TW"/>
        </w:rPr>
        <w:t>承</w:t>
      </w:r>
      <w:r>
        <w:rPr>
          <w:rFonts w:hint="eastAsia" w:ascii="宋体" w:hAnsi="宋体" w:eastAsia="宋体" w:cs="宋体"/>
          <w:sz w:val="24"/>
          <w:szCs w:val="24"/>
          <w:lang w:val="zh-TW" w:eastAsia="zh-TW"/>
        </w:rPr>
        <w:t>重</w:t>
      </w:r>
      <w:r>
        <w:rPr>
          <w:rFonts w:hint="eastAsia" w:ascii="宋体" w:hAnsi="宋体" w:eastAsia="宋体" w:cs="宋体"/>
          <w:sz w:val="24"/>
          <w:szCs w:val="24"/>
          <w:lang w:val="zh-TW"/>
        </w:rPr>
        <w:t>，</w:t>
      </w:r>
      <w:r>
        <w:rPr>
          <w:rFonts w:hint="eastAsia" w:ascii="宋体" w:hAnsi="宋体" w:eastAsia="宋体" w:cs="宋体"/>
          <w:sz w:val="24"/>
          <w:szCs w:val="24"/>
          <w:lang w:val="zh-TW" w:eastAsia="zh-TW"/>
        </w:rPr>
        <w:t>实验室</w:t>
      </w:r>
      <w:r>
        <w:rPr>
          <w:rFonts w:hint="eastAsia" w:ascii="宋体" w:hAnsi="宋体" w:eastAsia="宋体" w:cs="宋体"/>
          <w:sz w:val="24"/>
          <w:szCs w:val="24"/>
          <w:lang w:val="zh-TW"/>
        </w:rPr>
        <w:t>等级</w:t>
      </w:r>
      <w:r>
        <w:rPr>
          <w:rFonts w:hint="eastAsia" w:ascii="宋体" w:hAnsi="宋体" w:eastAsia="宋体" w:cs="宋体"/>
          <w:sz w:val="24"/>
          <w:szCs w:val="24"/>
          <w:lang w:val="zh-TW" w:eastAsia="zh-TW"/>
        </w:rPr>
        <w:t>钢制家具应能承受以下最大</w:t>
      </w:r>
      <w:r>
        <w:rPr>
          <w:rFonts w:hint="eastAsia" w:ascii="宋体" w:hAnsi="宋体" w:eastAsia="宋体" w:cs="宋体"/>
          <w:sz w:val="24"/>
          <w:szCs w:val="24"/>
          <w:lang w:val="zh-TW"/>
        </w:rPr>
        <w:t>重量或性能</w:t>
      </w:r>
      <w:r>
        <w:rPr>
          <w:rFonts w:hint="eastAsia" w:ascii="宋体" w:hAnsi="宋体" w:eastAsia="宋体" w:cs="宋体"/>
          <w:sz w:val="24"/>
          <w:szCs w:val="24"/>
          <w:lang w:val="zh-TW" w:eastAsia="zh-TW"/>
        </w:rPr>
        <w:t>而不变形或影响使用</w:t>
      </w:r>
      <w:r>
        <w:rPr>
          <w:rFonts w:hint="eastAsia" w:ascii="宋体" w:hAnsi="宋体" w:eastAsia="宋体" w:cs="宋体"/>
          <w:sz w:val="24"/>
          <w:szCs w:val="24"/>
          <w:lang w:val="zh-TW"/>
        </w:rPr>
        <w:t>（要求通过SEFA 8M-2016标准，并提供合格的检测报告证明）：</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落地式底柜柜体荷重性能检测：</w:t>
      </w:r>
      <w:r>
        <w:rPr>
          <w:rFonts w:hint="eastAsia" w:ascii="宋体" w:hAnsi="宋体" w:eastAsia="宋体" w:cs="宋体"/>
          <w:sz w:val="24"/>
          <w:szCs w:val="24"/>
        </w:rPr>
        <w:t>≥900</w:t>
      </w:r>
      <w:r>
        <w:rPr>
          <w:rFonts w:hint="eastAsia" w:ascii="宋体" w:hAnsi="宋体" w:eastAsia="宋体" w:cs="宋体"/>
          <w:sz w:val="24"/>
          <w:szCs w:val="24"/>
          <w:lang w:val="zh-TW" w:eastAsia="zh-TW"/>
        </w:rPr>
        <w:t>公斤；</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落地式底柜柜体集中荷重性能检测：</w:t>
      </w:r>
      <w:r>
        <w:rPr>
          <w:rFonts w:hint="eastAsia" w:ascii="宋体" w:hAnsi="宋体" w:eastAsia="宋体" w:cs="宋体"/>
          <w:sz w:val="24"/>
          <w:szCs w:val="24"/>
        </w:rPr>
        <w:t>≥90</w:t>
      </w:r>
      <w:r>
        <w:rPr>
          <w:rFonts w:hint="eastAsia" w:ascii="宋体" w:hAnsi="宋体" w:eastAsia="宋体" w:cs="宋体"/>
          <w:sz w:val="24"/>
          <w:szCs w:val="24"/>
          <w:lang w:val="zh-TW" w:eastAsia="zh-TW"/>
        </w:rPr>
        <w:t>公斤；</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框架式底座框架荷重性能检测：</w:t>
      </w:r>
      <w:r>
        <w:rPr>
          <w:rFonts w:hint="eastAsia" w:ascii="宋体" w:hAnsi="宋体" w:eastAsia="宋体" w:cs="宋体"/>
          <w:sz w:val="24"/>
          <w:szCs w:val="24"/>
        </w:rPr>
        <w:t>≥270</w:t>
      </w:r>
      <w:r>
        <w:rPr>
          <w:rFonts w:hint="eastAsia" w:ascii="宋体" w:hAnsi="宋体" w:eastAsia="宋体" w:cs="宋体"/>
          <w:sz w:val="24"/>
          <w:szCs w:val="24"/>
          <w:lang w:val="zh-TW" w:eastAsia="zh-TW"/>
        </w:rPr>
        <w:t>公斤；</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门铰链</w:t>
      </w:r>
      <w:r>
        <w:rPr>
          <w:rFonts w:hint="eastAsia" w:ascii="宋体" w:hAnsi="宋体" w:eastAsia="宋体" w:cs="宋体"/>
          <w:sz w:val="24"/>
          <w:szCs w:val="24"/>
          <w:lang w:val="zh-TW"/>
        </w:rPr>
        <w:t>承</w:t>
      </w:r>
      <w:r>
        <w:rPr>
          <w:rFonts w:hint="eastAsia" w:ascii="宋体" w:hAnsi="宋体" w:eastAsia="宋体" w:cs="宋体"/>
          <w:sz w:val="24"/>
          <w:szCs w:val="24"/>
          <w:lang w:val="zh-TW" w:eastAsia="zh-TW"/>
        </w:rPr>
        <w:t>重性能检测：</w:t>
      </w:r>
      <w:r>
        <w:rPr>
          <w:rFonts w:hint="eastAsia" w:ascii="宋体" w:hAnsi="宋体" w:eastAsia="宋体" w:cs="宋体"/>
          <w:sz w:val="24"/>
          <w:szCs w:val="24"/>
        </w:rPr>
        <w:t>≥90</w:t>
      </w:r>
      <w:r>
        <w:rPr>
          <w:rFonts w:hint="eastAsia" w:ascii="宋体" w:hAnsi="宋体" w:eastAsia="宋体" w:cs="宋体"/>
          <w:sz w:val="24"/>
          <w:szCs w:val="24"/>
          <w:lang w:val="zh-TW" w:eastAsia="zh-TW"/>
        </w:rPr>
        <w:t>公斤；</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lang w:val="zh-TW" w:eastAsia="zh-TW"/>
        </w:rPr>
        <w:t>抽屉</w:t>
      </w:r>
      <w:r>
        <w:rPr>
          <w:rFonts w:hint="eastAsia" w:ascii="宋体" w:hAnsi="宋体" w:eastAsia="宋体" w:cs="宋体"/>
          <w:sz w:val="24"/>
          <w:szCs w:val="24"/>
          <w:lang w:val="zh-TW"/>
        </w:rPr>
        <w:t>静载承重性能</w:t>
      </w:r>
      <w:r>
        <w:rPr>
          <w:rFonts w:hint="eastAsia" w:ascii="宋体" w:hAnsi="宋体" w:eastAsia="宋体" w:cs="宋体"/>
          <w:sz w:val="24"/>
          <w:szCs w:val="24"/>
          <w:lang w:val="zh-TW" w:eastAsia="zh-TW"/>
        </w:rPr>
        <w:t>检测：</w:t>
      </w:r>
      <w:r>
        <w:rPr>
          <w:rFonts w:hint="eastAsia" w:ascii="宋体" w:hAnsi="宋体" w:eastAsia="宋体" w:cs="宋体"/>
          <w:sz w:val="24"/>
          <w:szCs w:val="24"/>
        </w:rPr>
        <w:t>≥68kg</w:t>
      </w:r>
      <w:r>
        <w:rPr>
          <w:rFonts w:hint="eastAsia" w:ascii="宋体" w:hAnsi="宋体" w:eastAsia="宋体" w:cs="宋体"/>
          <w:sz w:val="24"/>
          <w:szCs w:val="24"/>
          <w:lang w:val="zh-TW" w:eastAsia="zh-TW"/>
        </w:rPr>
        <w:t>，抽屉开关</w:t>
      </w:r>
      <w:r>
        <w:rPr>
          <w:rFonts w:hint="eastAsia" w:ascii="宋体" w:hAnsi="宋体" w:eastAsia="宋体" w:cs="宋体"/>
          <w:sz w:val="24"/>
          <w:szCs w:val="24"/>
        </w:rPr>
        <w:t>5</w:t>
      </w:r>
      <w:r>
        <w:rPr>
          <w:rFonts w:hint="eastAsia" w:ascii="宋体" w:hAnsi="宋体" w:eastAsia="宋体" w:cs="宋体"/>
          <w:sz w:val="24"/>
          <w:szCs w:val="24"/>
          <w:lang w:val="zh-TW" w:eastAsia="zh-TW"/>
        </w:rPr>
        <w:t>万次；</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rPr>
      </w:pPr>
      <w:r>
        <w:rPr>
          <w:rFonts w:hint="eastAsia" w:ascii="宋体" w:hAnsi="宋体" w:eastAsia="宋体" w:cs="宋体"/>
          <w:sz w:val="24"/>
          <w:szCs w:val="24"/>
          <w:lang w:val="zh-TW"/>
        </w:rPr>
        <w:t>抽屉循环</w:t>
      </w:r>
      <w:r>
        <w:rPr>
          <w:rFonts w:hint="eastAsia" w:ascii="宋体" w:hAnsi="宋体" w:eastAsia="宋体" w:cs="宋体"/>
          <w:sz w:val="24"/>
          <w:szCs w:val="24"/>
          <w:lang w:val="zh-TW" w:eastAsia="zh-TW"/>
        </w:rPr>
        <w:t>性能检测：</w:t>
      </w:r>
      <w:r>
        <w:rPr>
          <w:rFonts w:hint="eastAsia" w:ascii="宋体" w:hAnsi="宋体" w:eastAsia="宋体" w:cs="宋体"/>
          <w:sz w:val="24"/>
          <w:szCs w:val="24"/>
        </w:rPr>
        <w:t>打开和关闭加载抽屉的推拉力应不超过3.63kg。</w:t>
      </w:r>
    </w:p>
    <w:p>
      <w:pPr>
        <w:pageBreakBefore w:val="0"/>
        <w:kinsoku/>
        <w:topLinePunct w:val="0"/>
        <w:bidi w:val="0"/>
        <w:spacing w:line="360" w:lineRule="auto"/>
        <w:ind w:firstLine="480" w:firstLineChars="200"/>
        <w:textAlignment w:val="auto"/>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底柜层板荷重性能检测：</w:t>
      </w:r>
      <w:r>
        <w:rPr>
          <w:rFonts w:hint="eastAsia" w:ascii="宋体" w:hAnsi="宋体" w:eastAsia="宋体" w:cs="宋体"/>
          <w:sz w:val="24"/>
          <w:szCs w:val="24"/>
        </w:rPr>
        <w:t>≥ 90</w:t>
      </w:r>
      <w:r>
        <w:rPr>
          <w:rFonts w:hint="eastAsia" w:ascii="宋体" w:hAnsi="宋体" w:eastAsia="宋体" w:cs="宋体"/>
          <w:sz w:val="24"/>
          <w:szCs w:val="24"/>
          <w:lang w:val="zh-TW" w:eastAsia="zh-TW"/>
        </w:rPr>
        <w:t>公斤</w:t>
      </w:r>
      <w:r>
        <w:rPr>
          <w:rFonts w:hint="eastAsia" w:ascii="宋体" w:hAnsi="宋体" w:eastAsia="宋体" w:cs="宋体"/>
          <w:sz w:val="24"/>
          <w:szCs w:val="24"/>
        </w:rPr>
        <w:t>/</w:t>
      </w:r>
      <w:r>
        <w:rPr>
          <w:rFonts w:hint="eastAsia" w:ascii="宋体" w:hAnsi="宋体" w:eastAsia="宋体" w:cs="宋体"/>
          <w:sz w:val="24"/>
          <w:szCs w:val="24"/>
          <w:lang w:val="zh-TW" w:eastAsia="zh-TW"/>
        </w:rPr>
        <w:t>平方。</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4、柜体:采用1.0mm厚国家大型钢铁企业生产的优质冷轧钢板，经过数控冲压，数控折弯，酸洗磷化，表面经环氧树脂静电粉末喷涂，要求具有良好的防酸防碱、耐腐蚀、承重以及易清洗等性能。</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5、柜门:柜门为双层结构，中间带隔音层，减低噪音增强抗冲击性。</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6、拉手:内嵌式，与柜体一体折弯制作。表面环氧树脂静电粉末喷涂，耐酸碱防腐蚀、防撞击。</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7、铰链:</w:t>
      </w:r>
      <w:r>
        <w:rPr>
          <w:rFonts w:hint="eastAsia" w:ascii="宋体" w:hAnsi="宋体" w:eastAsia="宋体" w:cs="宋体"/>
          <w:sz w:val="24"/>
          <w:szCs w:val="24"/>
          <w:lang w:val="zh-TW" w:eastAsia="zh-TW"/>
        </w:rPr>
        <w:t>采用不锈钢材质，开启角度</w:t>
      </w:r>
      <w:r>
        <w:rPr>
          <w:rFonts w:hint="eastAsia" w:ascii="宋体" w:hAnsi="宋体" w:eastAsia="宋体" w:cs="宋体"/>
          <w:sz w:val="24"/>
          <w:szCs w:val="24"/>
        </w:rPr>
        <w:t>≥135</w:t>
      </w:r>
      <w:r>
        <w:rPr>
          <w:rFonts w:hint="eastAsia" w:ascii="宋体" w:hAnsi="宋体" w:eastAsia="宋体" w:cs="宋体"/>
          <w:sz w:val="24"/>
          <w:szCs w:val="24"/>
          <w:lang w:val="zh-TW" w:eastAsia="zh-TW"/>
        </w:rPr>
        <w:t>度</w:t>
      </w:r>
      <w:r>
        <w:rPr>
          <w:rFonts w:hint="eastAsia" w:ascii="宋体" w:hAnsi="宋体" w:eastAsia="宋体" w:cs="宋体"/>
          <w:sz w:val="24"/>
          <w:szCs w:val="24"/>
          <w:lang w:val="zh-TW"/>
        </w:rPr>
        <w:t>；</w:t>
      </w:r>
      <w:r>
        <w:rPr>
          <w:rFonts w:hint="eastAsia" w:ascii="宋体" w:hAnsi="宋体" w:eastAsia="宋体" w:cs="宋体"/>
          <w:sz w:val="24"/>
          <w:szCs w:val="24"/>
        </w:rPr>
        <w:t xml:space="preserve">              </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8、滑轨：</w:t>
      </w:r>
      <w:r>
        <w:rPr>
          <w:rFonts w:hint="eastAsia" w:ascii="宋体" w:hAnsi="宋体" w:eastAsia="宋体" w:cs="宋体"/>
          <w:sz w:val="24"/>
          <w:szCs w:val="24"/>
          <w:lang w:val="zh-TW" w:eastAsia="zh-TW"/>
        </w:rPr>
        <w:t>采用高承载导轨，</w:t>
      </w:r>
      <w:r>
        <w:rPr>
          <w:rFonts w:hint="eastAsia" w:ascii="宋体" w:hAnsi="宋体" w:eastAsia="宋体" w:cs="宋体"/>
          <w:sz w:val="24"/>
          <w:szCs w:val="24"/>
          <w:lang w:val="zh-TW"/>
        </w:rPr>
        <w:t>不低于1.8mm</w:t>
      </w:r>
      <w:r>
        <w:rPr>
          <w:rFonts w:hint="eastAsia" w:ascii="宋体" w:hAnsi="宋体" w:eastAsia="宋体" w:cs="宋体"/>
          <w:sz w:val="24"/>
          <w:szCs w:val="24"/>
          <w:lang w:val="zh-TW" w:eastAsia="zh-TW"/>
        </w:rPr>
        <w:t>冷轧钢板模具冲压成型制作，自闭结构设计，表面经环氧树酯粉末静电喷涂，当抽屉关到末端时有自闭功能，滑轨抽屉能抽出至少</w:t>
      </w:r>
      <w:r>
        <w:rPr>
          <w:rFonts w:hint="eastAsia" w:ascii="宋体" w:hAnsi="宋体" w:eastAsia="宋体" w:cs="宋体"/>
          <w:sz w:val="24"/>
          <w:szCs w:val="24"/>
        </w:rPr>
        <w:t>330mm</w:t>
      </w:r>
      <w:r>
        <w:rPr>
          <w:rFonts w:hint="eastAsia" w:ascii="宋体" w:hAnsi="宋体" w:eastAsia="宋体" w:cs="宋体"/>
          <w:sz w:val="24"/>
          <w:szCs w:val="24"/>
          <w:lang w:val="zh-TW" w:eastAsia="zh-TW"/>
        </w:rPr>
        <w:t>；</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9、地脚：采用ABS塑料套，与钢制螺栓浇筑成一体，螺杆必须经镀镍处理并且具备箱内调节功能。套内有橡胶减震垫、承重好、防滑、防潮，耐蚀。</w:t>
      </w:r>
    </w:p>
    <w:p>
      <w:pPr>
        <w:pageBreakBefore w:val="0"/>
        <w:kinsoku/>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10、台面:必须采用≥12.7m厚度的耐腐蚀实芯耐蚀理化板，边缘加厚至25.4mm.(根据技术要求授权）实验台面技术要求如下：</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理化性能：通过100项以上实验室常用化学试剂浓度且在室温24h测试条件下覆盖及不覆盖玻璃板进行测试，其中测试项目包括硫酸98%、、硝酸65%、盐酸37%、磷酸85%、氢氟酸（48%）、氢氧化钠(40%)、王水、四氯化碳、正己烷、无水甲醇、无水乙醇、甲醇、乙酸乙酯、乙酸丁酯、乳酸、过氧化氢、氨水等，检验结果均为“无明显变化”，分级结果为“5级”。同时需提供常规49种化学试剂的检测报告（参照SEFA3.0标准）。</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物理及甲醛性能需提供由国家建筑工程材料质量监督检测中心或同级国家权威检测单位出具的型式检验报告（委托抽样型）（2017年最新版本）；报告中检验项目包含有：甲醛释放量、耐沸水性能、耐干热性能、燃烧性能等。经GB18580-2001标准检测，甲醛释放量（气候箱法）检测结果≤0.053；燃烧性能符合GB8624-2012标准中B1级建筑材料要求。</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抗菌性能：由SGS检测部门或同级国家权威检测单位出具的抗菌性能测试报告（2017年最新版本）（经ISO22196：2011标准测试，表面能抑制以下细菌生长：肺炎克雷伯氏菌抗菌活性值≥5.7，金黄色葡萄球菌抗菌活性值≥5.4，大肠杆菌抗菌活性值≥6.0,粪链球菌抗菌活性值≥2.6，肠沙门氏菌肠亚种抗菌活性值≥4.1。</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（4）资质证明：具有ISO9001质量管理体系认证和、ISO14001环境管理体系认证、FSC、SEFA、PEFC认证，获得“全国产品和服务质量诚信示范企业”称号。</w:t>
      </w:r>
    </w:p>
    <w:p>
      <w:pPr>
        <w:pageBreakBefore w:val="0"/>
        <w:tabs>
          <w:tab w:val="left" w:pos="360"/>
        </w:tabs>
        <w:kinsoku/>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台面材料背面须有不可刮涂和磨灭的产品背标，且具有隐形水印，以便鉴别真伪、验收。</w:t>
      </w: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（6） 投标公司须提供材料同一生产厂家针对本项目授权书、检测报告及证书（电子版授权书或原件）</w:t>
      </w: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sz w:val="24"/>
          <w:szCs w:val="24"/>
          <w:lang w:val="en-US" w:eastAsia="zh-CN"/>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sz w:val="24"/>
          <w:szCs w:val="24"/>
          <w:lang w:val="en-US" w:eastAsia="zh-CN"/>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sz w:val="24"/>
          <w:szCs w:val="24"/>
          <w:lang w:val="en-US" w:eastAsia="zh-CN"/>
        </w:rPr>
      </w:pPr>
    </w:p>
    <w:tbl>
      <w:tblPr>
        <w:tblStyle w:val="59"/>
        <w:tblW w:w="8800" w:type="dxa"/>
        <w:jc w:val="center"/>
        <w:shd w:val="clear" w:color="auto" w:fill="auto"/>
        <w:tblLayout w:type="autofit"/>
        <w:tblCellMar>
          <w:top w:w="0" w:type="dxa"/>
          <w:left w:w="0" w:type="dxa"/>
          <w:bottom w:w="0" w:type="dxa"/>
          <w:right w:w="0" w:type="dxa"/>
        </w:tblCellMar>
      </w:tblPr>
      <w:tblGrid>
        <w:gridCol w:w="666"/>
        <w:gridCol w:w="1888"/>
        <w:gridCol w:w="4171"/>
        <w:gridCol w:w="1173"/>
        <w:gridCol w:w="902"/>
      </w:tblGrid>
      <w:tr>
        <w:tblPrEx>
          <w:shd w:val="clear" w:color="auto" w:fill="auto"/>
          <w:tblCellMar>
            <w:top w:w="0" w:type="dxa"/>
            <w:left w:w="0" w:type="dxa"/>
            <w:bottom w:w="0" w:type="dxa"/>
            <w:right w:w="0" w:type="dxa"/>
          </w:tblCellMar>
        </w:tblPrEx>
        <w:trPr>
          <w:trHeight w:val="508" w:hRule="atLeast"/>
          <w:jc w:val="center"/>
        </w:trPr>
        <w:tc>
          <w:tcPr>
            <w:tcW w:w="880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PCR洁净实验室装饰工程量（新建彩钢板实验室）</w:t>
            </w:r>
          </w:p>
        </w:tc>
      </w:tr>
      <w:tr>
        <w:tblPrEx>
          <w:shd w:val="clear" w:color="auto" w:fill="auto"/>
          <w:tblCellMar>
            <w:top w:w="0" w:type="dxa"/>
            <w:left w:w="0" w:type="dxa"/>
            <w:bottom w:w="0" w:type="dxa"/>
            <w:right w:w="0" w:type="dxa"/>
          </w:tblCellMar>
        </w:tblPrEx>
        <w:trPr>
          <w:trHeight w:val="312" w:hRule="atLeas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888"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171"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项目特征描述</w:t>
            </w:r>
          </w:p>
        </w:tc>
        <w:tc>
          <w:tcPr>
            <w:tcW w:w="1173"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计量单位</w:t>
            </w:r>
          </w:p>
        </w:tc>
        <w:tc>
          <w:tcPr>
            <w:tcW w:w="902"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工程量</w:t>
            </w:r>
          </w:p>
        </w:tc>
      </w:tr>
      <w:tr>
        <w:tblPrEx>
          <w:shd w:val="clear" w:color="auto" w:fill="auto"/>
          <w:tblCellMar>
            <w:top w:w="0" w:type="dxa"/>
            <w:left w:w="0" w:type="dxa"/>
            <w:bottom w:w="0" w:type="dxa"/>
            <w:right w:w="0" w:type="dxa"/>
          </w:tblCellMar>
        </w:tblPrEx>
        <w:trPr>
          <w:trHeight w:val="312"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8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171"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17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2"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312"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8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171"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17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2"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651"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8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地面草坪处理</w:t>
            </w:r>
          </w:p>
        </w:tc>
        <w:tc>
          <w:tcPr>
            <w:tcW w:w="417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原地面草坪铲除</w:t>
            </w:r>
          </w:p>
        </w:tc>
        <w:tc>
          <w:tcPr>
            <w:tcW w:w="11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r>
      <w:tr>
        <w:tblPrEx>
          <w:shd w:val="clear" w:color="auto" w:fill="auto"/>
          <w:tblCellMar>
            <w:top w:w="0" w:type="dxa"/>
            <w:left w:w="0" w:type="dxa"/>
            <w:bottom w:w="0" w:type="dxa"/>
            <w:right w:w="0" w:type="dxa"/>
          </w:tblCellMar>
        </w:tblPrEx>
        <w:trPr>
          <w:trHeight w:val="629"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8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地面夯实</w:t>
            </w:r>
          </w:p>
        </w:tc>
        <w:tc>
          <w:tcPr>
            <w:tcW w:w="417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1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w:t>
            </w:r>
          </w:p>
        </w:tc>
      </w:tr>
      <w:tr>
        <w:tblPrEx>
          <w:shd w:val="clear" w:color="auto" w:fill="auto"/>
          <w:tblCellMar>
            <w:top w:w="0" w:type="dxa"/>
            <w:left w:w="0" w:type="dxa"/>
            <w:bottom w:w="0" w:type="dxa"/>
            <w:right w:w="0" w:type="dxa"/>
          </w:tblCellMar>
        </w:tblPrEx>
        <w:trPr>
          <w:trHeight w:val="629"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8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地面找平</w:t>
            </w:r>
          </w:p>
        </w:tc>
        <w:tc>
          <w:tcPr>
            <w:tcW w:w="417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水泥砂浆找平</w:t>
            </w:r>
          </w:p>
        </w:tc>
        <w:tc>
          <w:tcPr>
            <w:tcW w:w="11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r>
      <w:tr>
        <w:tblPrEx>
          <w:shd w:val="clear" w:color="auto" w:fill="auto"/>
          <w:tblCellMar>
            <w:top w:w="0" w:type="dxa"/>
            <w:left w:w="0" w:type="dxa"/>
            <w:bottom w:w="0" w:type="dxa"/>
            <w:right w:w="0" w:type="dxa"/>
          </w:tblCellMar>
        </w:tblPrEx>
        <w:trPr>
          <w:trHeight w:val="629"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8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龙骨基层</w:t>
            </w:r>
          </w:p>
        </w:tc>
        <w:tc>
          <w:tcPr>
            <w:tcW w:w="417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1.型材品种、规格：轻钢龙骨</w:t>
            </w:r>
          </w:p>
        </w:tc>
        <w:tc>
          <w:tcPr>
            <w:tcW w:w="11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w:t>
            </w:r>
          </w:p>
        </w:tc>
      </w:tr>
      <w:tr>
        <w:tblPrEx>
          <w:shd w:val="clear" w:color="auto" w:fill="auto"/>
          <w:tblCellMar>
            <w:top w:w="0" w:type="dxa"/>
            <w:left w:w="0" w:type="dxa"/>
            <w:bottom w:w="0" w:type="dxa"/>
            <w:right w:w="0" w:type="dxa"/>
          </w:tblCellMar>
        </w:tblPrEx>
        <w:trPr>
          <w:trHeight w:val="629"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8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围护结构</w:t>
            </w:r>
          </w:p>
        </w:tc>
        <w:tc>
          <w:tcPr>
            <w:tcW w:w="417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1.保温板墙、顶填充</w:t>
            </w:r>
          </w:p>
        </w:tc>
        <w:tc>
          <w:tcPr>
            <w:tcW w:w="11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w:t>
            </w:r>
          </w:p>
        </w:tc>
      </w:tr>
      <w:tr>
        <w:tblPrEx>
          <w:shd w:val="clear" w:color="auto" w:fill="auto"/>
          <w:tblCellMar>
            <w:top w:w="0" w:type="dxa"/>
            <w:left w:w="0" w:type="dxa"/>
            <w:bottom w:w="0" w:type="dxa"/>
            <w:right w:w="0" w:type="dxa"/>
          </w:tblCellMar>
        </w:tblPrEx>
        <w:trPr>
          <w:trHeight w:val="629"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8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彩钢板</w:t>
            </w:r>
          </w:p>
        </w:tc>
        <w:tc>
          <w:tcPr>
            <w:tcW w:w="417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1.彩钢板墙、顶维护</w:t>
            </w:r>
          </w:p>
        </w:tc>
        <w:tc>
          <w:tcPr>
            <w:tcW w:w="11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w:t>
            </w:r>
          </w:p>
        </w:tc>
      </w:tr>
      <w:tr>
        <w:tblPrEx>
          <w:shd w:val="clear" w:color="auto" w:fill="auto"/>
          <w:tblCellMar>
            <w:top w:w="0" w:type="dxa"/>
            <w:left w:w="0" w:type="dxa"/>
            <w:bottom w:w="0" w:type="dxa"/>
            <w:right w:w="0" w:type="dxa"/>
          </w:tblCellMar>
        </w:tblPrEx>
        <w:trPr>
          <w:trHeight w:val="639"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8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五金件</w:t>
            </w:r>
          </w:p>
        </w:tc>
        <w:tc>
          <w:tcPr>
            <w:tcW w:w="417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1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w:t>
            </w:r>
          </w:p>
        </w:tc>
        <w:tc>
          <w:tcPr>
            <w:tcW w:w="90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bl>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bl>
      <w:tblPr>
        <w:tblStyle w:val="59"/>
        <w:tblW w:w="8663" w:type="dxa"/>
        <w:jc w:val="center"/>
        <w:shd w:val="clear" w:color="auto" w:fill="auto"/>
        <w:tblLayout w:type="fixed"/>
        <w:tblCellMar>
          <w:top w:w="0" w:type="dxa"/>
          <w:left w:w="0" w:type="dxa"/>
          <w:bottom w:w="0" w:type="dxa"/>
          <w:right w:w="0" w:type="dxa"/>
        </w:tblCellMar>
      </w:tblPr>
      <w:tblGrid>
        <w:gridCol w:w="705"/>
        <w:gridCol w:w="1740"/>
        <w:gridCol w:w="4105"/>
        <w:gridCol w:w="1075"/>
        <w:gridCol w:w="1038"/>
      </w:tblGrid>
      <w:tr>
        <w:tblPrEx>
          <w:shd w:val="clear" w:color="auto" w:fill="auto"/>
          <w:tblCellMar>
            <w:top w:w="0" w:type="dxa"/>
            <w:left w:w="0" w:type="dxa"/>
            <w:bottom w:w="0" w:type="dxa"/>
            <w:right w:w="0" w:type="dxa"/>
          </w:tblCellMar>
        </w:tblPrEx>
        <w:trPr>
          <w:trHeight w:val="480" w:hRule="atLeast"/>
          <w:jc w:val="center"/>
        </w:trPr>
        <w:tc>
          <w:tcPr>
            <w:tcW w:w="8663"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PCR洁净实验室装饰工程量（净化实验室）</w:t>
            </w:r>
          </w:p>
        </w:tc>
      </w:tr>
      <w:tr>
        <w:tblPrEx>
          <w:shd w:val="clear" w:color="auto" w:fill="auto"/>
          <w:tblCellMar>
            <w:top w:w="0" w:type="dxa"/>
            <w:left w:w="0" w:type="dxa"/>
            <w:bottom w:w="0" w:type="dxa"/>
            <w:right w:w="0" w:type="dxa"/>
          </w:tblCellMar>
        </w:tblPrEx>
        <w:trPr>
          <w:trHeight w:val="480" w:hRule="atLeast"/>
          <w:jc w:val="center"/>
        </w:trPr>
        <w:tc>
          <w:tcPr>
            <w:tcW w:w="866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一、基础装饰工程</w:t>
            </w:r>
          </w:p>
        </w:tc>
      </w:tr>
      <w:tr>
        <w:tblPrEx>
          <w:shd w:val="clear" w:color="auto" w:fill="auto"/>
          <w:tblCellMar>
            <w:top w:w="0" w:type="dxa"/>
            <w:left w:w="0" w:type="dxa"/>
            <w:bottom w:w="0" w:type="dxa"/>
            <w:right w:w="0" w:type="dxa"/>
          </w:tblCellMar>
        </w:tblPrEx>
        <w:trPr>
          <w:trHeight w:val="200" w:hRule="atLeast"/>
          <w:jc w:val="center"/>
        </w:trPr>
        <w:tc>
          <w:tcPr>
            <w:tcW w:w="70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10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项目特征描述</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计量单位</w:t>
            </w:r>
          </w:p>
        </w:tc>
        <w:tc>
          <w:tcPr>
            <w:tcW w:w="1038"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工程量</w:t>
            </w:r>
          </w:p>
        </w:tc>
      </w:tr>
      <w:tr>
        <w:tblPrEx>
          <w:shd w:val="clear" w:color="auto" w:fill="auto"/>
          <w:tblCellMar>
            <w:top w:w="0" w:type="dxa"/>
            <w:left w:w="0" w:type="dxa"/>
            <w:bottom w:w="0" w:type="dxa"/>
            <w:right w:w="0" w:type="dxa"/>
          </w:tblCellMar>
        </w:tblPrEx>
        <w:trPr>
          <w:trHeight w:val="200" w:hRule="atLeast"/>
          <w:jc w:val="center"/>
        </w:trPr>
        <w:tc>
          <w:tcPr>
            <w:tcW w:w="7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1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3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00" w:hRule="atLeast"/>
          <w:jc w:val="center"/>
        </w:trPr>
        <w:tc>
          <w:tcPr>
            <w:tcW w:w="7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1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3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硫氧镁隔断维护（净化专用）</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1.型材品种、规格：50mm厚，含损耗</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2.彩钢板固定槽：50 系列δ=1mm，</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硫氧镁吊顶（净化专用）</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1.型材品种、规格：50厚，</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吊顶紧固接件</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1.名称、规格、颜色：铝合金圆角，50系列，常熟灰白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围护隔断接件</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1.名称、规格、颜色：铝合金圆角，50系列，常熟灰白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铝合金辅料</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1.名称、规格、颜色：铝合金圆角，50系列，常熟灰白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425</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密封材料</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1.名称、规格、颜色：铝合金圆角，50系列，常熟灰白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425</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铝合金圆角</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1.名称、规格、颜色：铝合金圆角，50系列，常熟灰白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铝合金立柱</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1.名称、规格、颜色：铝合金立柱，50系列，常熟灰白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只</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铝合金三通</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1.名称、规格、颜色：铝合金三通，50系列，常熟灰白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只</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116</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铝合金二通</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1.名称、规格、颜色：铝合金三通，50系列，常熟灰白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只</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铝合金门封头</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1.名称、规格、颜色：铝合金T梁，50系列，常熟灰白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对</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铝合金T梁</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1.名称、颜色：铝合金T梁，常熟灰白</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支</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成品钢制喷塑净化单门</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1.门代号及洞口尺寸:喷塑冷轧钢板密封门</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樘</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PVC地面</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1.面层材料品种、规格、品牌、颜色：PVC地面</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w:t>
            </w:r>
          </w:p>
        </w:tc>
      </w:tr>
      <w:tr>
        <w:tblPrEx>
          <w:shd w:val="clear" w:color="auto" w:fill="auto"/>
          <w:tblCellMar>
            <w:top w:w="0" w:type="dxa"/>
            <w:left w:w="0" w:type="dxa"/>
            <w:bottom w:w="0" w:type="dxa"/>
            <w:right w:w="0" w:type="dxa"/>
          </w:tblCellMar>
        </w:tblPrEx>
        <w:trPr>
          <w:trHeight w:val="72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304不锈钢传递窗</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1.窗类型：不锈钢传递窗</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2.框材质、外围尺寸600*600*600</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3.电子互锁，紫外线杀菌</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净化玻璃观察窗</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1.窗代号及洞口尺寸:玻璃观察窗</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2.玻璃品种、厚度:5mm</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480" w:hRule="atLeast"/>
          <w:jc w:val="center"/>
        </w:trPr>
        <w:tc>
          <w:tcPr>
            <w:tcW w:w="866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二、电气工程</w:t>
            </w:r>
          </w:p>
        </w:tc>
      </w:tr>
      <w:tr>
        <w:tblPrEx>
          <w:shd w:val="clear" w:color="auto" w:fill="auto"/>
          <w:tblCellMar>
            <w:top w:w="0" w:type="dxa"/>
            <w:left w:w="0" w:type="dxa"/>
            <w:bottom w:w="0" w:type="dxa"/>
            <w:right w:w="0" w:type="dxa"/>
          </w:tblCellMar>
        </w:tblPrEx>
        <w:trPr>
          <w:trHeight w:val="200" w:hRule="atLeast"/>
          <w:jc w:val="center"/>
        </w:trPr>
        <w:tc>
          <w:tcPr>
            <w:tcW w:w="70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10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项目特征描述</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计量单位</w:t>
            </w:r>
          </w:p>
        </w:tc>
        <w:tc>
          <w:tcPr>
            <w:tcW w:w="1038"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工程量</w:t>
            </w:r>
          </w:p>
        </w:tc>
      </w:tr>
      <w:tr>
        <w:tblPrEx>
          <w:shd w:val="clear" w:color="auto" w:fill="auto"/>
          <w:tblCellMar>
            <w:top w:w="0" w:type="dxa"/>
            <w:left w:w="0" w:type="dxa"/>
            <w:bottom w:w="0" w:type="dxa"/>
            <w:right w:w="0" w:type="dxa"/>
          </w:tblCellMar>
        </w:tblPrEx>
        <w:trPr>
          <w:trHeight w:val="200" w:hRule="atLeast"/>
          <w:jc w:val="center"/>
        </w:trPr>
        <w:tc>
          <w:tcPr>
            <w:tcW w:w="7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1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3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00" w:hRule="atLeast"/>
          <w:jc w:val="center"/>
        </w:trPr>
        <w:tc>
          <w:tcPr>
            <w:tcW w:w="7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1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3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配电箱</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净化灯</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1.名称:净化灯，40w</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杀菌灯</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1.名称:杀菌灯，30w</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照明开关</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1.名称:双联单控开关</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插座</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1.名称:电源插座，220v-5孔</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118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电力电缆</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1.名称:电缆</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2.型号:YJV-3x10+2x6 </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3.材质:铜芯</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4.敷设方式、部位:桥架上铺设、室内</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w:t>
            </w:r>
          </w:p>
        </w:tc>
      </w:tr>
      <w:tr>
        <w:tblPrEx>
          <w:shd w:val="clear" w:color="auto" w:fill="auto"/>
          <w:tblCellMar>
            <w:top w:w="0" w:type="dxa"/>
            <w:left w:w="0" w:type="dxa"/>
            <w:bottom w:w="0" w:type="dxa"/>
            <w:right w:w="0" w:type="dxa"/>
          </w:tblCellMar>
        </w:tblPrEx>
        <w:trPr>
          <w:trHeight w:val="102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配管</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2.材质：PVC</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3.规格：￠20 </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4.配置形式及部位：沿墙、板暗敷</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500</w:t>
            </w:r>
          </w:p>
        </w:tc>
      </w:tr>
      <w:tr>
        <w:tblPrEx>
          <w:shd w:val="clear" w:color="auto" w:fill="auto"/>
          <w:tblCellMar>
            <w:top w:w="0" w:type="dxa"/>
            <w:left w:w="0" w:type="dxa"/>
            <w:bottom w:w="0" w:type="dxa"/>
            <w:right w:w="0" w:type="dxa"/>
          </w:tblCellMar>
        </w:tblPrEx>
        <w:trPr>
          <w:trHeight w:val="8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配线</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1.配线形式：管内穿线</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2.导线型号规格：BV2.5mm2  </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3.敷设位置：暗敷</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260</w:t>
            </w:r>
          </w:p>
        </w:tc>
      </w:tr>
      <w:tr>
        <w:tblPrEx>
          <w:shd w:val="clear" w:color="auto" w:fill="auto"/>
          <w:tblCellMar>
            <w:top w:w="0" w:type="dxa"/>
            <w:left w:w="0" w:type="dxa"/>
            <w:bottom w:w="0" w:type="dxa"/>
            <w:right w:w="0" w:type="dxa"/>
          </w:tblCellMar>
        </w:tblPrEx>
        <w:trPr>
          <w:trHeight w:val="8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配线</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1.配线形式：管内穿线</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2.导线型号、规格：BV4mm2  </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3.敷设位置：暗敷</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300</w:t>
            </w:r>
          </w:p>
        </w:tc>
      </w:tr>
      <w:tr>
        <w:tblPrEx>
          <w:shd w:val="clear" w:color="auto" w:fill="auto"/>
          <w:tblCellMar>
            <w:top w:w="0" w:type="dxa"/>
            <w:left w:w="0" w:type="dxa"/>
            <w:bottom w:w="0" w:type="dxa"/>
            <w:right w:w="0" w:type="dxa"/>
          </w:tblCellMar>
        </w:tblPrEx>
        <w:trPr>
          <w:trHeight w:val="8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配线</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1.配线形式：管内穿线</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2.导线型号、规格：BV6mm2  </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3.敷设位置：暗敷</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五金件</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480" w:hRule="atLeast"/>
          <w:jc w:val="center"/>
        </w:trPr>
        <w:tc>
          <w:tcPr>
            <w:tcW w:w="866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三、给排水工程</w:t>
            </w:r>
          </w:p>
        </w:tc>
      </w:tr>
      <w:tr>
        <w:tblPrEx>
          <w:shd w:val="clear" w:color="auto" w:fill="auto"/>
          <w:tblCellMar>
            <w:top w:w="0" w:type="dxa"/>
            <w:left w:w="0" w:type="dxa"/>
            <w:bottom w:w="0" w:type="dxa"/>
            <w:right w:w="0" w:type="dxa"/>
          </w:tblCellMar>
        </w:tblPrEx>
        <w:trPr>
          <w:trHeight w:val="200" w:hRule="atLeast"/>
          <w:jc w:val="center"/>
        </w:trPr>
        <w:tc>
          <w:tcPr>
            <w:tcW w:w="70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10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项目特征描述</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计量单位</w:t>
            </w:r>
          </w:p>
        </w:tc>
        <w:tc>
          <w:tcPr>
            <w:tcW w:w="1038"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工程量</w:t>
            </w:r>
          </w:p>
        </w:tc>
      </w:tr>
      <w:tr>
        <w:tblPrEx>
          <w:shd w:val="clear" w:color="auto" w:fill="auto"/>
          <w:tblCellMar>
            <w:top w:w="0" w:type="dxa"/>
            <w:left w:w="0" w:type="dxa"/>
            <w:bottom w:w="0" w:type="dxa"/>
            <w:right w:w="0" w:type="dxa"/>
          </w:tblCellMar>
        </w:tblPrEx>
        <w:trPr>
          <w:trHeight w:val="200" w:hRule="atLeast"/>
          <w:jc w:val="center"/>
        </w:trPr>
        <w:tc>
          <w:tcPr>
            <w:tcW w:w="7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1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3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00" w:hRule="atLeast"/>
          <w:jc w:val="center"/>
        </w:trPr>
        <w:tc>
          <w:tcPr>
            <w:tcW w:w="7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10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3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给水管（PPR管)</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DN20</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给水管（PPR管)</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DN32</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排水管（PP静音管)</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DN50</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排水管（PP静音管)</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DN75</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球阀</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DN20</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球阀</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DN32</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辅材排水部分</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墙、地面、开凿、打洞</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480" w:hRule="atLeast"/>
          <w:jc w:val="center"/>
        </w:trPr>
        <w:tc>
          <w:tcPr>
            <w:tcW w:w="866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四、暖通工程</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碳钢通风管道制作安装</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武钢0.75mm</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碳钢通风管道制作安装</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武钢0.5mm</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法兰、角钢</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40角钢，表面防腐处理</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kg</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20mm橡塑风管保温　</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PEF</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高效过滤器</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GKF-10A</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高效过滤器</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GKF-05A</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铝合金排风口</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400*300</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防雨百叶新风口</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600*300</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只</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多叶调节阀</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1.规格:320*250</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多叶调节阀</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1.规格:250*160</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70℃防火阀</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充满管道</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只</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电动阀</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充满管道</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只</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止回阀</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充满管道</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只</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480" w:hRule="atLeast"/>
          <w:jc w:val="center"/>
        </w:trPr>
        <w:tc>
          <w:tcPr>
            <w:tcW w:w="866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五、设备工程</w:t>
            </w:r>
          </w:p>
        </w:tc>
      </w:tr>
      <w:tr>
        <w:tblPrEx>
          <w:shd w:val="clear" w:color="auto" w:fill="auto"/>
          <w:tblCellMar>
            <w:top w:w="0" w:type="dxa"/>
            <w:left w:w="0" w:type="dxa"/>
            <w:bottom w:w="0" w:type="dxa"/>
            <w:right w:w="0" w:type="dxa"/>
          </w:tblCellMar>
        </w:tblPrEx>
        <w:trPr>
          <w:trHeight w:val="66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净化空调机组</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1、类型：组合式洁净空调机组；</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2、规格：风量为7000M3/h</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净化空调隔音机箱</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1.名称:净化空调隔音机箱</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中效过滤箱</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1.名称:中效过滤箱 </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2.规格:满足净化10000级</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初效过滤段</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1.名称:初效过滤段 </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2.规格:满足净化10000级</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紫铜管</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软接</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压差控制系统</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-30Pa～+30Pa</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系统控制开关箱</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涉及各实验室电气回路及空调控制及控制显示</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92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排风净化过滤机组</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1.名称:排风机箱</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2.规格:风量满足实验室需求</w:t>
            </w:r>
          </w:p>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3.带病毒过滤装置</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4.送排风联动自动控制</w:t>
            </w: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4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系统调试</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系统</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66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门禁系统</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8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电子互锁装置</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当该门关闭时，另一扇的电控锁开始解锁，同时指示灯会发亮，表示另一扇门可以打开。</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8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洁净电话</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80" w:hRule="atLeast"/>
          <w:jc w:val="center"/>
        </w:trPr>
        <w:tc>
          <w:tcPr>
            <w:tcW w:w="866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六、台柜设施</w:t>
            </w:r>
          </w:p>
        </w:tc>
      </w:tr>
      <w:tr>
        <w:tblPrEx>
          <w:shd w:val="clear" w:color="auto" w:fill="auto"/>
          <w:tblCellMar>
            <w:top w:w="0" w:type="dxa"/>
            <w:left w:w="0" w:type="dxa"/>
            <w:bottom w:w="0" w:type="dxa"/>
            <w:right w:w="0" w:type="dxa"/>
          </w:tblCellMar>
        </w:tblPrEx>
        <w:trPr>
          <w:trHeight w:val="84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实验边台</w:t>
            </w:r>
          </w:p>
        </w:tc>
        <w:tc>
          <w:tcPr>
            <w:tcW w:w="4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1.材质：全钢结构，选用0.8mm厚的冷轧钢，12.7mm厚实芯理化板台面</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2.规格：4000*750*830mm</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水盆水嘴</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PP水池，水嘴</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洗眼器</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1.洗眼器</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2.桌上型，直立单头</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塔式插座</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1.塔式电源盒</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2.实验室专用插座</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r>
      <w:tr>
        <w:tblPrEx>
          <w:shd w:val="clear" w:color="auto" w:fill="auto"/>
          <w:tblCellMar>
            <w:top w:w="0" w:type="dxa"/>
            <w:left w:w="0" w:type="dxa"/>
            <w:bottom w:w="0" w:type="dxa"/>
            <w:right w:w="0"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实验凳</w:t>
            </w:r>
          </w:p>
        </w:tc>
        <w:tc>
          <w:tcPr>
            <w:tcW w:w="41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全钢结构，PU皮面</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r>
    </w:tbl>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bookmarkStart w:id="122" w:name="_Toc511205940"/>
      <w:r>
        <w:rPr>
          <w:rFonts w:hint="eastAsia" w:ascii="宋体" w:hAnsi="宋体" w:eastAsia="宋体" w:cs="宋体"/>
          <w:b/>
          <w:bCs/>
          <w:color w:val="000000" w:themeColor="text1"/>
          <w:sz w:val="36"/>
          <w:szCs w:val="36"/>
          <w:highlight w:val="none"/>
          <w14:textFill>
            <w14:solidFill>
              <w14:schemeClr w14:val="tx1"/>
            </w14:solidFill>
          </w14:textFill>
        </w:rPr>
        <w:t>第四部分  评标办法</w:t>
      </w:r>
      <w:bookmarkEnd w:id="122"/>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评标委员会</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1.1招标代理机构将按照《中华人民共和国政府采购法》、《中华人民共和国政府采购法实施条例》、《政府采购货物和服务招标投标管理办法》（财政部令第 87 号）及有关规定组建评标委员会。</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1.2评标委员会由招标人代表及有关技术、经济等方面的专家组成。</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1.3评标委员会负责评标工作，对投标文件进行审查和评估，并向招标方提交书面评标报告。</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1.4投标文件的澄清</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1.4.1在评标期间，评标委员会可要求投标人对其投标文件中含义不明确的内容作必要的澄清或说明，但澄清或说明不得超出投标文件的范围或改变投标文件实质性内容。有关澄清的要求和答复均应以书面形式提交，澄清的内容为投标文件的组成部分。</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投标文件的初审（符合性检查）</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2.1采购人和招标代理机构将审查投标文件是否完整、资格证明文件是否齐全、合格，投标保证金是否足额、有无计算上的错误等。</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算术错误将按以下方法更正：若单价计算的结果与总价不一致，以单价为准修改总价；若用文字表示的数值与数字表示的数值不一致，以文字表示的数值为准。如果投标人不接受对其错误的更正，其投标将被拒绝。</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2.3对于投标文件中不构成实质性偏差的不正规、不一致或不规则，招标方可以接受，但这种接受将影响投标人的综合得分。</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在详细评标之前，根据本须知的规定评标委员会要审查每份投标文件是否实质上响应了招标文件的要求。实质上响应的投标应该是与招标文件要求的全部条款、条件和技术参数相符，没有重大偏离的投标。对关键条文的偏离、保留或反对将被认为是实质上的偏离。评标委员会决定投标的响应性只根据投标文件本身的内容，而不寻求外部的证据。</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2.5评标委员会不接受有选择的报价。</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2.6实质上没有响应招标文件要求的投标将被拒绝。</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  投标文件的详细评审</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3.1评标委员会将只对确定为实质上响应招标文件要求的投标进行详细评审。</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3.2详细评审即以招标文件为依据，对所有实质上响应的投标分别从“技术”、“价格”和“商务”等方面进行评审并按照百分制进行综合打分。</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3.3综合评分法中的价格分统一采用低价优先法计算，即满足招标文件要求且投标价格最低的投标报价为评标基准价。</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评标委员会对各投标人的投标报价按照招标文件的要求，在同一基础上进行比较并作相应调整。</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价格调整的原则是：</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1）投标人的报价必须包含供货范围内所有内容。</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必须根据招标文件要求和产品技术状况列出质量保证期内所需备品备件的清单和价格，并将该备品备件计入投标总价，若所提供的产品不需备品备件或免费提供，应在投标文件中说明。否则按漏项处理。</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3）投标人报价如有漏项，则须将其他投标人报价中该项价格的最高价计入该投标人的投标总价。</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4）供应商如果是小型和微型企业须提供财库〔2011〕181号《中小企业声明函》，其生产的产品价格给予6%的扣除，用扣除后的价格参与评审。 </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对小微企业执行财库【2011】181 号文件的规定，对其提供的自产产品或提供的其他小微企业生产的产品的投标报价按 6%扣除后的价格作为其评价。</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对监狱企业提供的自产产品或提供的其他监狱企业生产的产品的投标报价给予6%的扣除，用扣除后的价格作为评标价。</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对符合条件的节能产品和环保标志产品，其投标报价按 6%扣除后的价格作为其评标价，需提供证明材料，否则产品价格不予扣除。</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对残疾人福利性单位提供的自产产品或提供其他残疾人福利性单位制造的产品的投标报价给予6%的扣除，用扣除后的价格作为评标价。</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调整后的价格作为投标人的评标价。根据评标价按下述方法测算各投标人的价格分值。</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5）综合评分法中的价格分统一采用低价优先法计算，即满足招标文件要求且投标价格最低的投标报价为评标基准价，其价格分为满分。</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3.4综合评审</w:t>
      </w:r>
    </w:p>
    <w:p>
      <w:pPr>
        <w:pStyle w:val="21"/>
        <w:pageBreakBefore w:val="0"/>
        <w:kinsoku/>
        <w:topLinePunct w:val="0"/>
        <w:bidi w:val="0"/>
        <w:spacing w:line="360" w:lineRule="auto"/>
        <w:ind w:left="0" w:leftChars="0" w:firstLine="0" w:firstLineChars="0"/>
        <w:textAlignment w:val="auto"/>
        <w:rPr>
          <w:rFonts w:hint="eastAsia" w:ascii="宋体" w:hAnsi="宋体" w:eastAsia="宋体" w:cs="宋体"/>
          <w:b/>
          <w:bCs/>
          <w:lang w:val="en-US" w:eastAsia="zh-CN"/>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第一包：</w:t>
      </w:r>
    </w:p>
    <w:tbl>
      <w:tblPr>
        <w:tblStyle w:val="59"/>
        <w:tblpPr w:leftFromText="180" w:rightFromText="180" w:vertAnchor="text" w:horzAnchor="page" w:tblpXSpec="center" w:tblpY="312"/>
        <w:tblOverlap w:val="never"/>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1130"/>
        <w:gridCol w:w="1113"/>
        <w:gridCol w:w="1192"/>
        <w:gridCol w:w="5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jc w:val="center"/>
        </w:trPr>
        <w:tc>
          <w:tcPr>
            <w:tcW w:w="2243" w:type="dxa"/>
            <w:gridSpan w:val="2"/>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评分因素</w:t>
            </w: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b/>
                <w:color w:val="auto"/>
                <w:sz w:val="21"/>
                <w:szCs w:val="21"/>
                <w:lang w:val="en-US" w:eastAsia="zh-CN"/>
              </w:rPr>
              <w:t>基础分值</w:t>
            </w:r>
          </w:p>
        </w:tc>
        <w:tc>
          <w:tcPr>
            <w:tcW w:w="5898"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624" w:hRule="atLeast"/>
          <w:jc w:val="center"/>
        </w:trPr>
        <w:tc>
          <w:tcPr>
            <w:tcW w:w="1130" w:type="dxa"/>
            <w:vMerge w:val="restart"/>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详细评审</w:t>
            </w:r>
          </w:p>
        </w:tc>
        <w:tc>
          <w:tcPr>
            <w:tcW w:w="1113"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价格评审（30分）</w:t>
            </w: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30分</w:t>
            </w:r>
          </w:p>
        </w:tc>
        <w:tc>
          <w:tcPr>
            <w:tcW w:w="5898" w:type="dxa"/>
            <w:vAlign w:val="center"/>
          </w:tcPr>
          <w:p>
            <w:pPr>
              <w:pStyle w:val="1025"/>
              <w:pageBreakBefore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在价格评分时满足招标文件要求且投标价格最低的投标报价为评标基准价，其价格分为满分。其他投标</w:t>
            </w:r>
            <w:r>
              <w:rPr>
                <w:rFonts w:hint="eastAsia" w:ascii="宋体" w:hAnsi="宋体" w:eastAsia="宋体" w:cs="宋体"/>
                <w:color w:val="auto"/>
                <w:sz w:val="21"/>
                <w:szCs w:val="21"/>
                <w:lang w:val="en-US" w:eastAsia="zh-CN"/>
              </w:rPr>
              <w:t>供应商</w:t>
            </w:r>
            <w:r>
              <w:rPr>
                <w:rFonts w:hint="eastAsia" w:ascii="宋体" w:hAnsi="宋体" w:eastAsia="宋体" w:cs="宋体"/>
                <w:color w:val="auto"/>
                <w:sz w:val="21"/>
                <w:szCs w:val="21"/>
              </w:rPr>
              <w:t>的价格分统一按照下列公式计算：投标报价得分=（评标基准价/投标报价）×30%×100。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11" w:hRule="atLeast"/>
          <w:jc w:val="center"/>
        </w:trPr>
        <w:tc>
          <w:tcPr>
            <w:tcW w:w="1130"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13" w:type="dxa"/>
            <w:vMerge w:val="restart"/>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商务评审（</w:t>
            </w:r>
            <w:r>
              <w:rPr>
                <w:rFonts w:hint="eastAsia" w:ascii="宋体" w:hAnsi="宋体" w:eastAsia="宋体" w:cs="宋体"/>
                <w:color w:val="auto"/>
                <w:sz w:val="21"/>
                <w:szCs w:val="21"/>
                <w:lang w:val="en-US" w:eastAsia="zh-CN"/>
              </w:rPr>
              <w:t>17</w:t>
            </w:r>
            <w:r>
              <w:rPr>
                <w:rFonts w:hint="eastAsia" w:ascii="宋体" w:hAnsi="宋体" w:eastAsia="宋体" w:cs="宋体"/>
                <w:color w:val="auto"/>
                <w:sz w:val="21"/>
                <w:szCs w:val="21"/>
              </w:rPr>
              <w:t>分）</w:t>
            </w: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投标人提供近三年同类货物业绩，每有一项得 2 分最高得 6 分。（以中标通知书或合同复印件为准）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4797" w:hRule="atLeast"/>
          <w:jc w:val="center"/>
        </w:trPr>
        <w:tc>
          <w:tcPr>
            <w:tcW w:w="1130"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1.投标产品被认定为节能产品的得 2 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2.投标产品被认定为环保产品的得 2 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有多个投标产品被认定为节能、环保产品的，视为 1</w:t>
            </w:r>
          </w:p>
          <w:p>
            <w:pPr>
              <w:pStyle w:val="1025"/>
              <w:pageBreakBefore w:val="0"/>
              <w:widowControl/>
              <w:kinsoku/>
              <w:wordWrap/>
              <w:topLinePunct w:val="0"/>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个产品，不重复加分。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（须提供有效的认证证书和相应《节能产品政府采购清单》、《环境标志产品政府采购清单》。</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《节能产品政府采购清单》中的产品有效时间，以国家节能产品认证证书有效截止日期为准，超过认证证书有效截止日期的自动失效。</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《环境标志产品政府采购清单》中的产品有效时间，以中国环境标志产品认证证书有效截止日期为准，超过认证证书有效截止日期的自动失效。）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160" w:hRule="atLeast"/>
          <w:jc w:val="center"/>
        </w:trPr>
        <w:tc>
          <w:tcPr>
            <w:tcW w:w="1130"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Cs/>
                <w:color w:val="auto"/>
                <w:spacing w:val="-3"/>
                <w:sz w:val="21"/>
                <w:szCs w:val="21"/>
                <w:lang w:val="en-US" w:eastAsia="zh-CN"/>
              </w:rPr>
              <w:t>2</w:t>
            </w:r>
            <w:r>
              <w:rPr>
                <w:rFonts w:hint="eastAsia" w:ascii="宋体" w:hAnsi="宋体" w:eastAsia="宋体" w:cs="宋体"/>
                <w:bCs/>
                <w:color w:val="auto"/>
                <w:spacing w:val="-3"/>
                <w:sz w:val="21"/>
                <w:szCs w:val="21"/>
              </w:rPr>
              <w:t>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投标文件具有有效的目录索引，页码连续无错乱。标题、编号、正文、表格、签字盖章等排版规范，证书复印清晰的得 2 分，不满足不得分。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105" w:hRule="atLeast"/>
          <w:jc w:val="center"/>
        </w:trPr>
        <w:tc>
          <w:tcPr>
            <w:tcW w:w="1130"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bCs/>
                <w:color w:val="auto"/>
                <w:spacing w:val="-3"/>
                <w:sz w:val="21"/>
                <w:szCs w:val="21"/>
                <w:lang w:val="en-US" w:eastAsia="zh-CN"/>
              </w:rPr>
            </w:pPr>
            <w:r>
              <w:rPr>
                <w:rFonts w:hint="eastAsia" w:ascii="宋体" w:hAnsi="宋体" w:eastAsia="宋体" w:cs="宋体"/>
                <w:bCs/>
                <w:color w:val="auto"/>
                <w:spacing w:val="-3"/>
                <w:sz w:val="21"/>
                <w:szCs w:val="21"/>
                <w:lang w:val="en-US" w:eastAsia="zh-CN"/>
              </w:rPr>
              <w:t>5分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1.获得 ISO13485 质量管理体系认证得 2 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2.获得 ISO9001 环境管理体系认证得 2 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3.获得 OHSAS18001 职业健康安全管理体系得 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609" w:hRule="atLeast"/>
          <w:jc w:val="center"/>
        </w:trPr>
        <w:tc>
          <w:tcPr>
            <w:tcW w:w="1130"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13" w:type="dxa"/>
            <w:vMerge w:val="restart"/>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技术评审（5</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35</w:t>
            </w:r>
            <w:r>
              <w:rPr>
                <w:rFonts w:hint="eastAsia" w:ascii="宋体" w:hAnsi="宋体" w:eastAsia="宋体" w:cs="宋体"/>
                <w:color w:val="auto"/>
                <w:sz w:val="21"/>
                <w:szCs w:val="21"/>
              </w:rPr>
              <w:t>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根据投标文件的技术参数对投标产品进行综合评价：</w:t>
            </w:r>
          </w:p>
          <w:p>
            <w:pPr>
              <w:pStyle w:val="1025"/>
              <w:pageBreakBefore w:val="0"/>
              <w:widowControl/>
              <w:numPr>
                <w:ilvl w:val="0"/>
                <w:numId w:val="0"/>
              </w:numPr>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投标文件的技术参数满足招标文件要求的得 </w:t>
            </w:r>
            <w:r>
              <w:rPr>
                <w:rFonts w:hint="eastAsia" w:ascii="宋体" w:hAnsi="宋体" w:eastAsia="宋体" w:cs="宋体"/>
                <w:color w:val="auto"/>
                <w:sz w:val="21"/>
                <w:szCs w:val="21"/>
                <w:lang w:val="en-US" w:eastAsia="zh-CN"/>
              </w:rPr>
              <w:t>35</w:t>
            </w:r>
            <w:r>
              <w:rPr>
                <w:rFonts w:hint="eastAsia" w:ascii="宋体" w:hAnsi="宋体" w:eastAsia="宋体" w:cs="宋体"/>
                <w:color w:val="auto"/>
                <w:sz w:val="21"/>
                <w:szCs w:val="21"/>
              </w:rPr>
              <w:t xml:space="preserve"> 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2.投标文件的技术参数基本满足招标文件要求，其中“★”不满足一项扣 </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 xml:space="preserve"> 分，一般技术指标不满足一项扣 3 分，扣完为止。（负偏离影响采购人使用的为无效投标）。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609" w:hRule="atLeast"/>
          <w:jc w:val="center"/>
        </w:trPr>
        <w:tc>
          <w:tcPr>
            <w:tcW w:w="1130"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供应商须提供所投产品的技术支持文件如产品彩页、技术参数、注册证或检验报告的，全部提供且满足招标技术要求的得5分，未提供或提供不全的不得分。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504" w:hRule="atLeast"/>
          <w:jc w:val="center"/>
        </w:trPr>
        <w:tc>
          <w:tcPr>
            <w:tcW w:w="1130"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92" w:type="dxa"/>
            <w:vAlign w:val="center"/>
          </w:tcPr>
          <w:p>
            <w:pPr>
              <w:pageBreakBefore w:val="0"/>
              <w:widowControl w:val="0"/>
              <w:kinsoku/>
              <w:topLinePunct w:val="0"/>
              <w:bidi w:val="0"/>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r>
              <w:rPr>
                <w:rFonts w:hint="eastAsia" w:ascii="宋体" w:hAnsi="宋体" w:eastAsia="宋体" w:cs="宋体"/>
                <w:color w:val="auto"/>
                <w:sz w:val="21"/>
                <w:szCs w:val="21"/>
                <w:lang w:val="en-US" w:eastAsia="zh-CN"/>
              </w:rPr>
              <w:t xml:space="preserve"> </w:t>
            </w:r>
          </w:p>
        </w:tc>
        <w:tc>
          <w:tcPr>
            <w:tcW w:w="5898" w:type="dxa"/>
            <w:vAlign w:val="center"/>
          </w:tcPr>
          <w:p>
            <w:pPr>
              <w:pageBreakBefore w:val="0"/>
              <w:widowControl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实施方案：</w:t>
            </w:r>
          </w:p>
          <w:p>
            <w:pPr>
              <w:pageBreakBefore w:val="0"/>
              <w:widowControl w:val="0"/>
              <w:kinsoku/>
              <w:topLinePunct w:val="0"/>
              <w:bidi w:val="0"/>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投标人针对本项目需求提供设备安装、调试、运行保证等</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方案</w:t>
            </w:r>
            <w:r>
              <w:rPr>
                <w:rFonts w:hint="eastAsia" w:ascii="宋体" w:hAnsi="宋体" w:eastAsia="宋体" w:cs="宋体"/>
                <w:color w:val="auto"/>
                <w:sz w:val="21"/>
                <w:szCs w:val="21"/>
                <w:lang w:eastAsia="zh-CN"/>
              </w:rPr>
              <w:t>。</w:t>
            </w:r>
          </w:p>
          <w:p>
            <w:pPr>
              <w:pageBreakBefore w:val="0"/>
              <w:widowControl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w:t>
            </w:r>
            <w:r>
              <w:rPr>
                <w:rFonts w:hint="eastAsia" w:ascii="宋体" w:hAnsi="宋体" w:eastAsia="宋体" w:cs="宋体"/>
                <w:color w:val="auto"/>
                <w:sz w:val="21"/>
                <w:szCs w:val="21"/>
                <w:lang w:val="en-US" w:eastAsia="zh-CN"/>
              </w:rPr>
              <w:t>详细明确，具有</w:t>
            </w:r>
            <w:r>
              <w:rPr>
                <w:rFonts w:hint="eastAsia" w:ascii="宋体" w:hAnsi="宋体" w:eastAsia="宋体" w:cs="宋体"/>
                <w:color w:val="auto"/>
                <w:sz w:val="21"/>
                <w:szCs w:val="21"/>
              </w:rPr>
              <w:t>先进性、安全性、稳定性、易用、易维护性</w:t>
            </w:r>
            <w:r>
              <w:rPr>
                <w:rFonts w:hint="eastAsia" w:ascii="宋体" w:hAnsi="宋体" w:eastAsia="宋体" w:cs="宋体"/>
                <w:color w:val="auto"/>
                <w:sz w:val="21"/>
                <w:szCs w:val="21"/>
                <w:lang w:val="en-US" w:eastAsia="zh-CN"/>
              </w:rPr>
              <w:t>的得5分</w:t>
            </w:r>
            <w:r>
              <w:rPr>
                <w:rFonts w:hint="eastAsia" w:ascii="宋体" w:hAnsi="宋体" w:eastAsia="宋体" w:cs="宋体"/>
                <w:color w:val="auto"/>
                <w:sz w:val="21"/>
                <w:szCs w:val="21"/>
              </w:rPr>
              <w:t>。</w:t>
            </w:r>
          </w:p>
          <w:p>
            <w:pPr>
              <w:pageBreakBefore w:val="0"/>
              <w:widowControl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w:t>
            </w:r>
            <w:r>
              <w:rPr>
                <w:rFonts w:hint="eastAsia" w:ascii="宋体" w:hAnsi="宋体" w:eastAsia="宋体" w:cs="宋体"/>
                <w:color w:val="auto"/>
                <w:sz w:val="21"/>
                <w:szCs w:val="21"/>
                <w:lang w:val="en-US" w:eastAsia="zh-CN"/>
              </w:rPr>
              <w:t>基本明确，</w:t>
            </w:r>
            <w:r>
              <w:rPr>
                <w:rFonts w:hint="eastAsia" w:ascii="宋体" w:hAnsi="宋体" w:eastAsia="宋体" w:cs="宋体"/>
                <w:color w:val="auto"/>
                <w:sz w:val="21"/>
                <w:szCs w:val="21"/>
              </w:rPr>
              <w:t>先进性、安全性、稳定性、易用、易维护性</w:t>
            </w:r>
            <w:r>
              <w:rPr>
                <w:rFonts w:hint="eastAsia" w:ascii="宋体" w:hAnsi="宋体" w:eastAsia="宋体" w:cs="宋体"/>
                <w:color w:val="auto"/>
                <w:sz w:val="21"/>
                <w:szCs w:val="21"/>
                <w:lang w:val="en-US" w:eastAsia="zh-CN"/>
              </w:rPr>
              <w:t>不突出的得2分</w:t>
            </w:r>
            <w:r>
              <w:rPr>
                <w:rFonts w:hint="eastAsia" w:ascii="宋体" w:hAnsi="宋体" w:eastAsia="宋体" w:cs="宋体"/>
                <w:color w:val="auto"/>
                <w:sz w:val="21"/>
                <w:szCs w:val="21"/>
              </w:rPr>
              <w:t>。</w:t>
            </w:r>
          </w:p>
          <w:p>
            <w:pPr>
              <w:pageBreakBefore w:val="0"/>
              <w:widowControl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554" w:hRule="atLeast"/>
          <w:jc w:val="center"/>
        </w:trPr>
        <w:tc>
          <w:tcPr>
            <w:tcW w:w="1130"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分</w:t>
            </w:r>
          </w:p>
        </w:tc>
        <w:tc>
          <w:tcPr>
            <w:tcW w:w="5898" w:type="dxa"/>
            <w:vAlign w:val="center"/>
          </w:tcPr>
          <w:p>
            <w:pPr>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1.对投标文件中提供的售后服务承诺、质保期、维修期、备品备件、优惠条件、售后服务响应时间及长期维护情况等综合评分：</w:t>
            </w:r>
          </w:p>
          <w:p>
            <w:pPr>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全部优于招标文件要求得 3 分；</w:t>
            </w:r>
          </w:p>
          <w:p>
            <w:pPr>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满足招标文件要求得 1 分；</w:t>
            </w:r>
          </w:p>
          <w:p>
            <w:pPr>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未达到招标文件要求不得分；</w:t>
            </w:r>
          </w:p>
          <w:p>
            <w:pPr>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2.质保期为 </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年（含 </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年）的得 3 分。不足</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 年不得分。在 </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年基础上每增加 1 年得 1 分，最高 2 分。</w:t>
            </w:r>
          </w:p>
        </w:tc>
      </w:tr>
    </w:tbl>
    <w:p>
      <w:pPr>
        <w:pStyle w:val="2"/>
        <w:pageBreakBefore w:val="0"/>
        <w:kinsoku/>
        <w:topLinePunct w:val="0"/>
        <w:bidi w:val="0"/>
        <w:spacing w:line="360" w:lineRule="auto"/>
        <w:ind w:left="0" w:leftChars="0" w:firstLine="0" w:firstLineChars="0"/>
        <w:textAlignment w:val="auto"/>
        <w:rPr>
          <w:rFonts w:hint="eastAsia" w:ascii="宋体" w:hAnsi="宋体" w:eastAsia="宋体" w:cs="宋体"/>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pStyle w:val="21"/>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rPr>
          <w:rFonts w:hint="eastAsia" w:ascii="宋体" w:hAnsi="宋体" w:eastAsia="宋体" w:cs="宋体"/>
          <w:lang w:val="en-US" w:eastAsia="zh-CN"/>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pStyle w:val="21"/>
        <w:pageBreakBefore w:val="0"/>
        <w:kinsoku/>
        <w:topLinePunct w:val="0"/>
        <w:bidi w:val="0"/>
        <w:spacing w:line="360" w:lineRule="auto"/>
        <w:ind w:left="0" w:leftChars="0" w:firstLine="0" w:firstLineChars="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第二包：</w:t>
      </w:r>
    </w:p>
    <w:tbl>
      <w:tblPr>
        <w:tblStyle w:val="59"/>
        <w:tblpPr w:leftFromText="180" w:rightFromText="180" w:vertAnchor="text" w:horzAnchor="page" w:tblpXSpec="center" w:tblpY="312"/>
        <w:tblOverlap w:val="never"/>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1130"/>
        <w:gridCol w:w="1113"/>
        <w:gridCol w:w="1192"/>
        <w:gridCol w:w="5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jc w:val="center"/>
        </w:trPr>
        <w:tc>
          <w:tcPr>
            <w:tcW w:w="2243" w:type="dxa"/>
            <w:gridSpan w:val="2"/>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评分因素</w:t>
            </w: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b/>
                <w:color w:val="auto"/>
                <w:sz w:val="21"/>
                <w:szCs w:val="21"/>
                <w:lang w:val="en-US" w:eastAsia="zh-CN"/>
              </w:rPr>
              <w:t>基础分值</w:t>
            </w:r>
          </w:p>
        </w:tc>
        <w:tc>
          <w:tcPr>
            <w:tcW w:w="5898"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5722" w:hRule="atLeast"/>
          <w:jc w:val="center"/>
        </w:trPr>
        <w:tc>
          <w:tcPr>
            <w:tcW w:w="1130" w:type="dxa"/>
            <w:vMerge w:val="restart"/>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详细评审</w:t>
            </w:r>
          </w:p>
        </w:tc>
        <w:tc>
          <w:tcPr>
            <w:tcW w:w="1113"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价格评审（30分）</w:t>
            </w: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30分</w:t>
            </w:r>
          </w:p>
        </w:tc>
        <w:tc>
          <w:tcPr>
            <w:tcW w:w="5898" w:type="dxa"/>
            <w:vAlign w:val="center"/>
          </w:tcPr>
          <w:p>
            <w:pPr>
              <w:pStyle w:val="1025"/>
              <w:pageBreakBefore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对满足招标文件要求的投标人， 以投标报价的最低报价为评审基准价， 其他投标人的价格分统一按照下列公式计算： 投标报价得分=( 基准价／ 投标报价) ×30； 结果四舍五入， 小数点后保留两位。</w:t>
            </w:r>
          </w:p>
          <w:p>
            <w:pPr>
              <w:pStyle w:val="1025"/>
              <w:pageBreakBefore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pStyle w:val="1025"/>
              <w:pageBreakBefore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超出采购预算的不得参加价格评分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按无效标处理；</w:t>
            </w:r>
          </w:p>
          <w:p>
            <w:pPr>
              <w:pStyle w:val="1025"/>
              <w:pageBreakBefore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投标报价指扣除后的报价；</w:t>
            </w:r>
          </w:p>
          <w:p>
            <w:pPr>
              <w:pStyle w:val="1025"/>
              <w:pageBreakBefore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 对小型和微型企业的产品价格给予6% 的扣除</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用扣除后的产品价格参与评审。</w:t>
            </w:r>
          </w:p>
          <w:p>
            <w:pPr>
              <w:pStyle w:val="1025"/>
              <w:pageBreakBefore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 评标委员会认为投标人的报价明显低于其他通过符合性审查投标人的报价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有可能影响产品质量或者不能诚信履约的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应当要求其在评标现场合理的时间内提供书面说明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必要时提交相关证明材料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投标人不能证明其报价合理性的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11" w:hRule="atLeast"/>
          <w:jc w:val="center"/>
        </w:trPr>
        <w:tc>
          <w:tcPr>
            <w:tcW w:w="1130"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13" w:type="dxa"/>
            <w:vMerge w:val="restart"/>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商务评审（</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w:t>
            </w: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lang w:val="en-US" w:eastAsia="zh-CN"/>
              </w:rPr>
              <w:t>能够</w:t>
            </w:r>
            <w:r>
              <w:rPr>
                <w:rFonts w:hint="eastAsia" w:ascii="宋体" w:hAnsi="宋体" w:eastAsia="宋体" w:cs="宋体"/>
                <w:color w:val="auto"/>
                <w:sz w:val="21"/>
                <w:szCs w:val="21"/>
              </w:rPr>
              <w:t>提供ISO9001质量管理体系认证证书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ISO14001 环境管理体系认证证书</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职业健康安全管理体系认证证书</w:t>
            </w:r>
            <w:r>
              <w:rPr>
                <w:rFonts w:hint="eastAsia" w:ascii="宋体" w:hAnsi="宋体" w:eastAsia="宋体" w:cs="宋体"/>
                <w:color w:val="auto"/>
                <w:sz w:val="21"/>
                <w:szCs w:val="21"/>
                <w:lang w:val="en-US" w:eastAsia="zh-CN"/>
              </w:rPr>
              <w:t>的得3分，提供不全或未提供的不得分。</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提供证书复印件并加盖公章，</w:t>
            </w:r>
            <w:r>
              <w:rPr>
                <w:rFonts w:hint="eastAsia" w:ascii="宋体" w:hAnsi="宋体" w:eastAsia="宋体" w:cs="宋体"/>
                <w:color w:val="auto"/>
                <w:sz w:val="21"/>
                <w:szCs w:val="21"/>
              </w:rPr>
              <w:t>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11" w:hRule="atLeast"/>
          <w:jc w:val="center"/>
        </w:trPr>
        <w:tc>
          <w:tcPr>
            <w:tcW w:w="1130"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投标人能</w:t>
            </w:r>
            <w:r>
              <w:rPr>
                <w:rFonts w:hint="eastAsia" w:ascii="宋体" w:hAnsi="宋体" w:eastAsia="宋体" w:cs="宋体"/>
                <w:color w:val="auto"/>
                <w:sz w:val="21"/>
                <w:szCs w:val="21"/>
                <w:lang w:val="en-US" w:eastAsia="zh-CN"/>
              </w:rPr>
              <w:t>够</w:t>
            </w:r>
            <w:r>
              <w:rPr>
                <w:rFonts w:hint="eastAsia" w:ascii="宋体" w:hAnsi="宋体" w:eastAsia="宋体" w:cs="宋体"/>
                <w:color w:val="auto"/>
                <w:sz w:val="21"/>
                <w:szCs w:val="21"/>
              </w:rPr>
              <w:t>提供</w:t>
            </w:r>
            <w:r>
              <w:rPr>
                <w:rFonts w:hint="eastAsia" w:ascii="宋体" w:hAnsi="宋体" w:eastAsia="宋体" w:cs="宋体"/>
                <w:color w:val="auto"/>
                <w:sz w:val="21"/>
                <w:szCs w:val="21"/>
                <w:lang w:val="en-US" w:eastAsia="zh-CN"/>
              </w:rPr>
              <w:t>完整的项目人员配备表及相应证明材料的得6分；</w:t>
            </w:r>
            <w:r>
              <w:rPr>
                <w:rFonts w:hint="eastAsia" w:ascii="宋体" w:hAnsi="宋体" w:eastAsia="宋体" w:cs="宋体"/>
                <w:color w:val="auto"/>
                <w:sz w:val="21"/>
                <w:szCs w:val="21"/>
              </w:rPr>
              <w:t>提供</w:t>
            </w:r>
            <w:r>
              <w:rPr>
                <w:rFonts w:hint="eastAsia" w:ascii="宋体" w:hAnsi="宋体" w:eastAsia="宋体" w:cs="宋体"/>
                <w:color w:val="auto"/>
                <w:sz w:val="21"/>
                <w:szCs w:val="21"/>
                <w:lang w:val="en-US" w:eastAsia="zh-CN"/>
              </w:rPr>
              <w:t>的项目人员配备表及相应证明材料不完整或不清晰的得3分；不提供不得分。(开标现场提供证书原件，没有原件不得分）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2、投标人拟投入本项目的项目人员具有国际洁净室工程师认证或洁净室工程师认证者，每提供1个得2分，满分4分；不提供不得分。(开标现场提供证书原件，没有原件不得分）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11" w:hRule="atLeast"/>
          <w:jc w:val="center"/>
        </w:trPr>
        <w:tc>
          <w:tcPr>
            <w:tcW w:w="1130"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投标文件制作完整、规范，目录及证件复印件清晰的得 2 分，其他不得分。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11" w:hRule="atLeast"/>
          <w:jc w:val="center"/>
        </w:trPr>
        <w:tc>
          <w:tcPr>
            <w:tcW w:w="1130"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rPr>
            </w:pP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投标人提供近两年净化工程同类项目业绩（以投标人提供的合同原件及中标通知书原件为准）每提供一份得1分，满分5分。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609" w:hRule="atLeast"/>
          <w:jc w:val="center"/>
        </w:trPr>
        <w:tc>
          <w:tcPr>
            <w:tcW w:w="1130"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13" w:type="dxa"/>
            <w:vMerge w:val="restart"/>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技术评审（5</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分）</w:t>
            </w: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投标人施工组织设计方案内容完整、严密、科学、能针对本项目特点合理安排工期， 资源配置满足工期、质量控制要求的得满分</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投标人施工组织设计方案内容较为完整、较为严密、较为科学、针对本工程特点安排工期合理性一般，资源配置较为满足工期、质量控制要求的得</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投标人施工组织设计方案内容不完整、不严密、不科学、没有针对本工程特点合理安排工期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资源配置不满足工期、质量控制要求的得</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609" w:hRule="atLeast"/>
          <w:jc w:val="center"/>
        </w:trPr>
        <w:tc>
          <w:tcPr>
            <w:tcW w:w="1130"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92" w:type="dxa"/>
            <w:vAlign w:val="center"/>
          </w:tcPr>
          <w:p>
            <w:pPr>
              <w:pStyle w:val="1025"/>
              <w:pageBreakBefore w:val="0"/>
              <w:kinsoku/>
              <w:topLinePunct w:val="0"/>
              <w:bidi w:val="0"/>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30分</w:t>
            </w:r>
          </w:p>
        </w:tc>
        <w:tc>
          <w:tcPr>
            <w:tcW w:w="5898" w:type="dxa"/>
            <w:vAlign w:val="center"/>
          </w:tcPr>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根据投标人对招标文件要求的技术参数响应程度进行打分，（满分30分）。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1、技术要求每有一项不满足扣 1.5分，扣完为止（满分15分）负偏离影响采购人使用的为无效投标。</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2、投标人能够提供本单位送检至第三方建筑材料质量监督检验中心出具的净化板防火等级检测报告的得4分，检测报告中耐火极限≥1h的得4分，本项满分8分。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3、投标人提供符合各项实验需求的完整的设计方案及图纸（满分7分）。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1）设计方案科学合理，设计风格亮点突出，能够满足实验室实际需求的得5分；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设计方案合理，设计风格亮点基本突出，基本满足实验室实际需求的得2分；</w:t>
            </w:r>
          </w:p>
          <w:p>
            <w:pPr>
              <w:pStyle w:val="1025"/>
              <w:pageBreakBefore w:val="0"/>
              <w:widowControl/>
              <w:kinsoku/>
              <w:wordWrap/>
              <w:topLinePunct w:val="0"/>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2）投标人提供的图纸清晰明确的得2分，其他不得分。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504" w:hRule="atLeast"/>
          <w:jc w:val="center"/>
        </w:trPr>
        <w:tc>
          <w:tcPr>
            <w:tcW w:w="1130"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13" w:type="dxa"/>
            <w:vMerge w:val="continue"/>
            <w:vAlign w:val="center"/>
          </w:tcPr>
          <w:p>
            <w:pPr>
              <w:pStyle w:val="1025"/>
              <w:pageBreakBefore w:val="0"/>
              <w:kinsoku/>
              <w:topLinePunct w:val="0"/>
              <w:bidi w:val="0"/>
              <w:spacing w:line="360" w:lineRule="auto"/>
              <w:textAlignment w:val="auto"/>
              <w:rPr>
                <w:rFonts w:hint="eastAsia" w:ascii="宋体" w:hAnsi="宋体" w:eastAsia="宋体" w:cs="宋体"/>
                <w:color w:val="auto"/>
                <w:sz w:val="21"/>
                <w:szCs w:val="21"/>
              </w:rPr>
            </w:pPr>
          </w:p>
        </w:tc>
        <w:tc>
          <w:tcPr>
            <w:tcW w:w="1192" w:type="dxa"/>
            <w:vAlign w:val="center"/>
          </w:tcPr>
          <w:p>
            <w:pPr>
              <w:pageBreakBefore w:val="0"/>
              <w:widowControl w:val="0"/>
              <w:kinsoku/>
              <w:topLinePunct w:val="0"/>
              <w:bidi w:val="0"/>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10分</w:t>
            </w:r>
          </w:p>
        </w:tc>
        <w:tc>
          <w:tcPr>
            <w:tcW w:w="5898" w:type="dxa"/>
            <w:vAlign w:val="center"/>
          </w:tcPr>
          <w:p>
            <w:pPr>
              <w:pageBreakBefore w:val="0"/>
              <w:widowControl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对服务机构设置、服务方案（ 包括服务人员的配备、响应时间、响应程度、解决问题的能力、紧急故障处理预案等） 进行综合评价。售后服务机构设置、服务方案合理的得</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分；售后服务机构设置、服务方案较为合理的得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分；不合理或不提供的不得分。</w:t>
            </w:r>
          </w:p>
          <w:p>
            <w:pPr>
              <w:pageBreakBefore w:val="0"/>
              <w:widowControl w:val="0"/>
              <w:kinsoku/>
              <w:topLinePunct w:val="0"/>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投标人承诺售后服务一年得1 分， 每增加一年加1 分， 满分2分。以投标人投标文件内售后服务承诺为准， 售后服务承诺应由投标人法定代表人或委托代理人签字， 并加盖投标人公章鲜章。</w:t>
            </w:r>
          </w:p>
        </w:tc>
      </w:tr>
    </w:tbl>
    <w:p>
      <w:pPr>
        <w:rPr>
          <w:rFonts w:hint="eastAsia" w:ascii="宋体" w:hAnsi="宋体" w:eastAsia="宋体" w:cs="宋体"/>
          <w:lang w:val="en-US" w:eastAsia="zh-CN"/>
        </w:rPr>
      </w:pPr>
    </w:p>
    <w:p>
      <w:pPr>
        <w:keepNext w:val="0"/>
        <w:keepLines w:val="0"/>
        <w:pageBreakBefore w:val="0"/>
        <w:kinsoku/>
        <w:topLinePunct w:val="0"/>
        <w:autoSpaceDE/>
        <w:autoSpaceDN/>
        <w:bidi w:val="0"/>
        <w:spacing w:line="360" w:lineRule="auto"/>
        <w:ind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注：</w:t>
      </w:r>
      <w:r>
        <w:rPr>
          <w:rFonts w:hint="eastAsia" w:ascii="宋体" w:hAnsi="宋体" w:eastAsia="宋体" w:cs="宋体"/>
          <w:b/>
          <w:bCs/>
          <w:color w:val="000000" w:themeColor="text1"/>
          <w:sz w:val="24"/>
          <w:szCs w:val="24"/>
          <w:highlight w:val="none"/>
          <w14:textFill>
            <w14:solidFill>
              <w14:schemeClr w14:val="tx1"/>
            </w14:solidFill>
          </w14:textFill>
        </w:rPr>
        <w:t>所有PCR工程建设最终要通过甘肃省临床检验中心PCR实验室验收标准，如验收不达标将进行工程改造，费用由承接施工方自行承担。</w:t>
      </w: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3.5评标委员会对进入详细评审的投标人进行综合评分并作出排序，得分最高排名第一的投标人将被确认为中标供应商。如果得分最高的二个投标人得分相同时，取投标价格低者为中标供应商。</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p>
      <w:pPr>
        <w:pStyle w:val="2"/>
        <w:rPr>
          <w:rFonts w:hint="eastAsia" w:ascii="宋体" w:hAnsi="宋体" w:eastAsia="宋体" w:cs="宋体"/>
          <w:color w:val="000000" w:themeColor="text1"/>
          <w:sz w:val="21"/>
          <w:szCs w:val="21"/>
          <w:highlight w:val="none"/>
          <w14:textFill>
            <w14:solidFill>
              <w14:schemeClr w14:val="tx1"/>
            </w14:solidFill>
          </w14:textFill>
        </w:rPr>
      </w:pPr>
    </w:p>
    <w:bookmarkEnd w:id="36"/>
    <w:bookmarkEnd w:id="37"/>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bookmarkStart w:id="123" w:name="_Toc480203889"/>
      <w:bookmarkStart w:id="124" w:name="_Toc511205941"/>
      <w:bookmarkStart w:id="125" w:name="_Toc361769640"/>
      <w:bookmarkStart w:id="126" w:name="_Toc361769774"/>
      <w:bookmarkStart w:id="127" w:name="_Toc365276924"/>
      <w:bookmarkStart w:id="128" w:name="_Toc505270716"/>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第五部分  投标文件格式</w:t>
      </w:r>
      <w:bookmarkEnd w:id="123"/>
      <w:bookmarkEnd w:id="124"/>
      <w:bookmarkEnd w:id="125"/>
      <w:bookmarkEnd w:id="126"/>
      <w:bookmarkEnd w:id="127"/>
      <w:bookmarkEnd w:id="128"/>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封面格式：  </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jc w:val="right"/>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（正本/副本）</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56"/>
          <w:szCs w:val="56"/>
          <w:highlight w:val="none"/>
          <w14:textFill>
            <w14:solidFill>
              <w14:schemeClr w14:val="tx1"/>
            </w14:solidFill>
          </w14:textFill>
        </w:rPr>
      </w:pPr>
      <w:r>
        <w:rPr>
          <w:rFonts w:hint="eastAsia" w:ascii="宋体" w:hAnsi="宋体" w:eastAsia="宋体" w:cs="宋体"/>
          <w:b/>
          <w:bCs/>
          <w:color w:val="000000" w:themeColor="text1"/>
          <w:sz w:val="56"/>
          <w:szCs w:val="56"/>
          <w:highlight w:val="none"/>
          <w14:textFill>
            <w14:solidFill>
              <w14:schemeClr w14:val="tx1"/>
            </w14:solidFill>
          </w14:textFill>
        </w:rPr>
        <w:t>投标文件</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ind w:firstLine="48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项目名称：</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 xml:space="preserve">招标文件编号： </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投标人名称：                   （盖章）</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地   址：</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联 系 人：</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联 系 电 话：</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目  录</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投标人基本情况及投标文件应答表…………………………………………………………（ ）</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二、报价格式…………………………………………………………………………………（ ）</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资格证明文件…………………………………………………………………………………（ ）</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技术部分文件…………………………………………………………………………………（ ）</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商务部分文件…………………………………………………………………………………（ ）</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其他部分及密封要求…………………………………………………………………………（ ）</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一、投标人基本情况及投标文件应答表</w:t>
      </w: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highlight w:val="none"/>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widowControl/>
        <w:numPr>
          <w:ilvl w:val="0"/>
          <w:numId w:val="0"/>
        </w:numPr>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bCs/>
          <w:color w:val="000000" w:themeColor="text1"/>
          <w:sz w:val="28"/>
          <w:szCs w:val="28"/>
          <w:highlight w:val="none"/>
          <w14:textFill>
            <w14:solidFill>
              <w14:schemeClr w14:val="tx1"/>
            </w14:solidFill>
          </w14:textFill>
        </w:rPr>
        <w:t>投标人基本情况表格式</w:t>
      </w:r>
    </w:p>
    <w:p>
      <w:pPr>
        <w:pStyle w:val="2"/>
        <w:keepNext w:val="0"/>
        <w:keepLines w:val="0"/>
        <w:pageBreakBefore w:val="0"/>
        <w:widowControl/>
        <w:kinsoku/>
        <w:topLinePunct w:val="0"/>
        <w:autoSpaceDE/>
        <w:autoSpaceDN/>
        <w:bidi w:val="0"/>
        <w:spacing w:line="360" w:lineRule="auto"/>
        <w:ind w:firstLine="0" w:firstLineChars="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投标人基本情况表</w:t>
      </w:r>
    </w:p>
    <w:tbl>
      <w:tblPr>
        <w:tblStyle w:val="59"/>
        <w:tblW w:w="8320" w:type="dxa"/>
        <w:jc w:val="center"/>
        <w:tblLayout w:type="fixed"/>
        <w:tblCellMar>
          <w:top w:w="0" w:type="dxa"/>
          <w:left w:w="0" w:type="dxa"/>
          <w:bottom w:w="0" w:type="dxa"/>
          <w:right w:w="0" w:type="dxa"/>
        </w:tblCellMar>
      </w:tblPr>
      <w:tblGrid>
        <w:gridCol w:w="1749"/>
        <w:gridCol w:w="1040"/>
        <w:gridCol w:w="1323"/>
        <w:gridCol w:w="1385"/>
        <w:gridCol w:w="1380"/>
        <w:gridCol w:w="1443"/>
      </w:tblGrid>
      <w:tr>
        <w:tblPrEx>
          <w:tblCellMar>
            <w:top w:w="0" w:type="dxa"/>
            <w:left w:w="0" w:type="dxa"/>
            <w:bottom w:w="0" w:type="dxa"/>
            <w:right w:w="0" w:type="dxa"/>
          </w:tblCellMar>
        </w:tblPrEx>
        <w:trPr>
          <w:trHeight w:val="767" w:hRule="exact"/>
          <w:jc w:val="center"/>
        </w:trPr>
        <w:tc>
          <w:tcPr>
            <w:tcW w:w="1749" w:type="dxa"/>
            <w:tcBorders>
              <w:top w:val="single" w:color="000000" w:sz="18"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w:t>
            </w:r>
          </w:p>
        </w:tc>
        <w:tc>
          <w:tcPr>
            <w:tcW w:w="6571" w:type="dxa"/>
            <w:gridSpan w:val="5"/>
            <w:tcBorders>
              <w:top w:val="single" w:color="000000" w:sz="18"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51"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3748"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p>
        </w:tc>
        <w:tc>
          <w:tcPr>
            <w:tcW w:w="1443" w:type="dxa"/>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54" w:hRule="exact"/>
          <w:jc w:val="center"/>
        </w:trPr>
        <w:tc>
          <w:tcPr>
            <w:tcW w:w="1749" w:type="dxa"/>
            <w:vMerge w:val="restart"/>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p>
        </w:tc>
        <w:tc>
          <w:tcPr>
            <w:tcW w:w="1040"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tc>
        <w:tc>
          <w:tcPr>
            <w:tcW w:w="270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1443" w:type="dxa"/>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52" w:hRule="exact"/>
          <w:jc w:val="center"/>
        </w:trPr>
        <w:tc>
          <w:tcPr>
            <w:tcW w:w="1749" w:type="dxa"/>
            <w:vMerge w:val="continue"/>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0"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p>
        </w:tc>
        <w:tc>
          <w:tcPr>
            <w:tcW w:w="270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网址</w:t>
            </w:r>
          </w:p>
        </w:tc>
        <w:tc>
          <w:tcPr>
            <w:tcW w:w="1443" w:type="dxa"/>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51"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企业性质</w:t>
            </w:r>
          </w:p>
        </w:tc>
        <w:tc>
          <w:tcPr>
            <w:tcW w:w="6571" w:type="dxa"/>
            <w:gridSpan w:val="5"/>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54"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p>
        </w:tc>
        <w:tc>
          <w:tcPr>
            <w:tcW w:w="1040"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132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技术职称</w:t>
            </w:r>
          </w:p>
        </w:tc>
        <w:tc>
          <w:tcPr>
            <w:tcW w:w="1380"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43" w:type="dxa"/>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r>
      <w:tr>
        <w:tblPrEx>
          <w:tblCellMar>
            <w:top w:w="0" w:type="dxa"/>
            <w:left w:w="0" w:type="dxa"/>
            <w:bottom w:w="0" w:type="dxa"/>
            <w:right w:w="0" w:type="dxa"/>
          </w:tblCellMar>
        </w:tblPrEx>
        <w:trPr>
          <w:trHeight w:val="751"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技术负责人</w:t>
            </w:r>
          </w:p>
        </w:tc>
        <w:tc>
          <w:tcPr>
            <w:tcW w:w="1040"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132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技术职称</w:t>
            </w:r>
          </w:p>
        </w:tc>
        <w:tc>
          <w:tcPr>
            <w:tcW w:w="1380"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43" w:type="dxa"/>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r>
      <w:tr>
        <w:tblPrEx>
          <w:tblCellMar>
            <w:top w:w="0" w:type="dxa"/>
            <w:left w:w="0" w:type="dxa"/>
            <w:bottom w:w="0" w:type="dxa"/>
            <w:right w:w="0" w:type="dxa"/>
          </w:tblCellMar>
        </w:tblPrEx>
        <w:trPr>
          <w:trHeight w:val="752"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p>
        </w:tc>
        <w:tc>
          <w:tcPr>
            <w:tcW w:w="2363"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4208" w:type="dxa"/>
            <w:gridSpan w:val="3"/>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员工总人数：</w:t>
            </w:r>
          </w:p>
        </w:tc>
      </w:tr>
      <w:tr>
        <w:tblPrEx>
          <w:tblCellMar>
            <w:top w:w="0" w:type="dxa"/>
            <w:left w:w="0" w:type="dxa"/>
            <w:bottom w:w="0" w:type="dxa"/>
            <w:right w:w="0" w:type="dxa"/>
          </w:tblCellMar>
        </w:tblPrEx>
        <w:trPr>
          <w:trHeight w:val="754"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营业执照号</w:t>
            </w:r>
          </w:p>
        </w:tc>
        <w:tc>
          <w:tcPr>
            <w:tcW w:w="6571" w:type="dxa"/>
            <w:gridSpan w:val="5"/>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51"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注册资金</w:t>
            </w:r>
          </w:p>
        </w:tc>
        <w:tc>
          <w:tcPr>
            <w:tcW w:w="6571" w:type="dxa"/>
            <w:gridSpan w:val="5"/>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51"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p>
        </w:tc>
        <w:tc>
          <w:tcPr>
            <w:tcW w:w="6571" w:type="dxa"/>
            <w:gridSpan w:val="5"/>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54"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p>
        </w:tc>
        <w:tc>
          <w:tcPr>
            <w:tcW w:w="6571" w:type="dxa"/>
            <w:gridSpan w:val="5"/>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51" w:hRule="exact"/>
          <w:jc w:val="center"/>
        </w:trPr>
        <w:tc>
          <w:tcPr>
            <w:tcW w:w="1749" w:type="dxa"/>
            <w:tcBorders>
              <w:top w:val="single" w:color="000000" w:sz="4" w:space="0"/>
              <w:left w:val="single" w:color="000000" w:sz="16"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经营范围</w:t>
            </w:r>
          </w:p>
        </w:tc>
        <w:tc>
          <w:tcPr>
            <w:tcW w:w="6571" w:type="dxa"/>
            <w:gridSpan w:val="5"/>
            <w:tcBorders>
              <w:top w:val="single" w:color="000000" w:sz="4" w:space="0"/>
              <w:left w:val="single" w:color="000000" w:sz="4" w:space="0"/>
              <w:bottom w:val="single" w:color="000000" w:sz="4"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766" w:hRule="exact"/>
          <w:jc w:val="center"/>
        </w:trPr>
        <w:tc>
          <w:tcPr>
            <w:tcW w:w="1749" w:type="dxa"/>
            <w:tcBorders>
              <w:top w:val="single" w:color="000000" w:sz="4" w:space="0"/>
              <w:left w:val="single" w:color="000000" w:sz="16" w:space="0"/>
              <w:bottom w:val="single" w:color="000000" w:sz="16"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c>
          <w:tcPr>
            <w:tcW w:w="6571" w:type="dxa"/>
            <w:gridSpan w:val="5"/>
            <w:tcBorders>
              <w:top w:val="single" w:color="000000" w:sz="4" w:space="0"/>
              <w:left w:val="single" w:color="000000" w:sz="4" w:space="0"/>
              <w:bottom w:val="single" w:color="000000" w:sz="16" w:space="0"/>
              <w:right w:val="single" w:color="000000" w:sz="16"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投标人（盖章）：</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2、投标文件应答表格式</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投标文件应答表</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(投标人根据投标文件的内容将重要内容填写在此表中，方便专家查找)</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bl>
      <w:tblPr>
        <w:tblStyle w:val="59"/>
        <w:tblW w:w="8332" w:type="dxa"/>
        <w:tblInd w:w="104" w:type="dxa"/>
        <w:tblLayout w:type="fixed"/>
        <w:tblCellMar>
          <w:top w:w="0" w:type="dxa"/>
          <w:left w:w="0" w:type="dxa"/>
          <w:bottom w:w="0" w:type="dxa"/>
          <w:right w:w="0" w:type="dxa"/>
        </w:tblCellMar>
      </w:tblPr>
      <w:tblGrid>
        <w:gridCol w:w="4154"/>
        <w:gridCol w:w="1515"/>
        <w:gridCol w:w="2663"/>
      </w:tblGrid>
      <w:tr>
        <w:tblPrEx>
          <w:tblCellMar>
            <w:top w:w="0" w:type="dxa"/>
            <w:left w:w="0" w:type="dxa"/>
            <w:bottom w:w="0" w:type="dxa"/>
            <w:right w:w="0" w:type="dxa"/>
          </w:tblCellMar>
        </w:tblPrEx>
        <w:trPr>
          <w:trHeight w:val="466"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投标文件的重要内容</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是否有</w:t>
            </w: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投标文件页码</w:t>
            </w:r>
          </w:p>
        </w:tc>
      </w:tr>
      <w:tr>
        <w:tblPrEx>
          <w:tblCellMar>
            <w:top w:w="0" w:type="dxa"/>
            <w:left w:w="0" w:type="dxa"/>
            <w:bottom w:w="0" w:type="dxa"/>
            <w:right w:w="0" w:type="dxa"/>
          </w:tblCellMar>
        </w:tblPrEx>
        <w:trPr>
          <w:trHeight w:val="463"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投标函</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63"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开标一览表</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63"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936"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有效的营业执照、组织机构代码证、</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税务登记证（三证合一有效）</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850"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财务状况报告，依法缴纳税收和社会保</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障资金的相关材料</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848"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参加政府采购活动前 3 年内在经营活动</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中没有重大违法记录的书面声明</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19"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631"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技术偏离表</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634"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商务偏离表</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63"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63"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66" w:hRule="exact"/>
        </w:trPr>
        <w:tc>
          <w:tcPr>
            <w:tcW w:w="4154"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151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66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投标人（盖章）：</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1"/>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1"/>
        <w:pageBreakBefore w:val="0"/>
        <w:kinsoku/>
        <w:topLinePunct w:val="0"/>
        <w:bidi w:val="0"/>
        <w:spacing w:line="360" w:lineRule="auto"/>
        <w:textAlignment w:val="auto"/>
        <w:rPr>
          <w:rFonts w:hint="eastAsia" w:ascii="宋体" w:hAnsi="宋体" w:eastAsia="宋体" w:cs="宋体"/>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highlight w:val="none"/>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二、报价格式</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第一包：</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1、投标函格式</w:t>
      </w:r>
    </w:p>
    <w:p>
      <w:pPr>
        <w:keepNext w:val="0"/>
        <w:keepLines w:val="0"/>
        <w:pageBreakBefore w:val="0"/>
        <w:widowControl/>
        <w:kinsoku/>
        <w:topLinePunct w:val="0"/>
        <w:autoSpaceDE/>
        <w:autoSpaceDN/>
        <w:bidi w:val="0"/>
        <w:spacing w:line="360" w:lineRule="auto"/>
        <w:ind w:firstLine="562" w:firstLineChars="200"/>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投    标    函</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r>
        <w:rPr>
          <w:rFonts w:hint="eastAsia" w:ascii="宋体" w:hAnsi="宋体" w:eastAsia="宋体" w:cs="宋体"/>
          <w:color w:val="000000" w:themeColor="text1"/>
          <w:sz w:val="24"/>
          <w:szCs w:val="24"/>
          <w:highlight w:val="none"/>
          <w:u w:val="single"/>
          <w14:textFill>
            <w14:solidFill>
              <w14:schemeClr w14:val="tx1"/>
            </w14:solidFill>
          </w14:textFill>
        </w:rPr>
        <w:t xml:space="preserve">甘肃中远天成项目管理咨询有限公司 </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我方确认收到贵方提供的招标编号：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招标文件的全部内容，我方：（投标人名称）作为投标者正式授权（授权代表全名、职务）代表我方进行有关本投标的一切事宜。</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在此提交的投标文件，正本一份，副本二份，唱标信封一份,电子文本二份</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U盘、光盘</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。包括如下等内容：</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(一）开标一览表；</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(二）投标报价明细表；</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(三）技术、商务响应文件；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(四）技术说明文件；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(五）资格证明文件；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(六）法人授权书及；</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(七）投标人情况介绍文件；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(八）售后服务、优惠条件、关键零部件、易损件、专用件的以后供货价格清单及培训计划承诺书（招标文件未提供格式的，格式自拟）；</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(九）投标保证金。</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(十）其他。</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我方已完全明白招标文件的所有条款要求，并重申以下几点：</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我方决定参加：招标编号为号的投标；</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全部货物供应和有关服务的投标总价为：      （大、小写）；</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本投标文件的有效期在投标截止日后90天有效，如中标，有效期将延至合同终止日为止；</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我方已详细研究了招标文件的所有内容包括修正文（如果有）和所有已提供的参考资料以及有关附件并完全明白，我方放弃在此方面提出含糊意见或误解的一切权力。</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我方明白并愿意在规定的开标时间和日期之后、投标有效期之内撤回投标，则投标保证金将被贵方没收。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我方同意按照贵方可能提出的要求而提供与投标有关的任何其它数据或信息。</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我方理解贵方不一定接受最低标价或任何贵方可能收到的投标。</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我方如果中标，将保证履行招标文件及其补充文件中的全部责任和义务，按质、按量、按期完成《合同书》中的全部任务。</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我方中标，我方将在收到中标通知书之前，按本项目参照国家计委颁发的《招标代理服务收费管理暂行办法》（计价格[2002]1980号）和《国家发展改革委办公厅关于招标代理服务收费有关问题的通知》（发改办价格[2003]857号）文件规定，向甘肃中远天成项目管理咨询有限公司交纳中标服务费及项目场地费。</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所有与本招标有关的函件请发往下列地址：</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bl>
      <w:tblPr>
        <w:tblStyle w:val="59"/>
        <w:tblW w:w="8190" w:type="dxa"/>
        <w:jc w:val="center"/>
        <w:tblLayout w:type="fixed"/>
        <w:tblCellMar>
          <w:top w:w="0" w:type="dxa"/>
          <w:left w:w="108" w:type="dxa"/>
          <w:bottom w:w="0" w:type="dxa"/>
          <w:right w:w="108" w:type="dxa"/>
        </w:tblCellMar>
      </w:tblPr>
      <w:tblGrid>
        <w:gridCol w:w="4680"/>
        <w:gridCol w:w="3510"/>
      </w:tblGrid>
      <w:tr>
        <w:tblPrEx>
          <w:tblCellMar>
            <w:top w:w="0" w:type="dxa"/>
            <w:left w:w="108" w:type="dxa"/>
            <w:bottom w:w="0" w:type="dxa"/>
            <w:right w:w="108" w:type="dxa"/>
          </w:tblCellMar>
        </w:tblPrEx>
        <w:trPr>
          <w:trHeight w:val="714" w:hRule="atLeast"/>
          <w:jc w:val="center"/>
        </w:trPr>
        <w:tc>
          <w:tcPr>
            <w:tcW w:w="46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p>
        </w:tc>
        <w:tc>
          <w:tcPr>
            <w:tcW w:w="351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p>
        </w:tc>
      </w:tr>
      <w:tr>
        <w:tblPrEx>
          <w:tblCellMar>
            <w:top w:w="0" w:type="dxa"/>
            <w:left w:w="108" w:type="dxa"/>
            <w:bottom w:w="0" w:type="dxa"/>
            <w:right w:w="108" w:type="dxa"/>
          </w:tblCellMar>
        </w:tblPrEx>
        <w:trPr>
          <w:trHeight w:val="567" w:hRule="atLeast"/>
          <w:jc w:val="center"/>
        </w:trPr>
        <w:tc>
          <w:tcPr>
            <w:tcW w:w="46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351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电子函件</w:t>
            </w:r>
          </w:p>
        </w:tc>
      </w:tr>
      <w:tr>
        <w:tblPrEx>
          <w:tblCellMar>
            <w:top w:w="0" w:type="dxa"/>
            <w:left w:w="108" w:type="dxa"/>
            <w:bottom w:w="0" w:type="dxa"/>
            <w:right w:w="108" w:type="dxa"/>
          </w:tblCellMar>
        </w:tblPrEx>
        <w:trPr>
          <w:trHeight w:val="567" w:hRule="atLeast"/>
          <w:jc w:val="center"/>
        </w:trPr>
        <w:tc>
          <w:tcPr>
            <w:tcW w:w="46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投标人代表签字</w:t>
            </w:r>
          </w:p>
        </w:tc>
        <w:tc>
          <w:tcPr>
            <w:tcW w:w="351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公章</w:t>
            </w:r>
          </w:p>
        </w:tc>
      </w:tr>
      <w:tr>
        <w:tblPrEx>
          <w:tblCellMar>
            <w:top w:w="0" w:type="dxa"/>
            <w:left w:w="108" w:type="dxa"/>
            <w:bottom w:w="0" w:type="dxa"/>
            <w:right w:w="108" w:type="dxa"/>
          </w:tblCellMar>
        </w:tblPrEx>
        <w:trPr>
          <w:trHeight w:val="567" w:hRule="atLeast"/>
          <w:jc w:val="center"/>
        </w:trPr>
        <w:tc>
          <w:tcPr>
            <w:tcW w:w="46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w:t>
            </w:r>
          </w:p>
        </w:tc>
        <w:tc>
          <w:tcPr>
            <w:tcW w:w="351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567" w:hRule="atLeast"/>
          <w:jc w:val="center"/>
        </w:trPr>
        <w:tc>
          <w:tcPr>
            <w:tcW w:w="46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公章</w:t>
            </w:r>
          </w:p>
        </w:tc>
        <w:tc>
          <w:tcPr>
            <w:tcW w:w="351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567" w:hRule="atLeast"/>
          <w:jc w:val="center"/>
        </w:trPr>
        <w:tc>
          <w:tcPr>
            <w:tcW w:w="46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w:t>
            </w:r>
          </w:p>
        </w:tc>
        <w:tc>
          <w:tcPr>
            <w:tcW w:w="351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sectPr>
          <w:pgSz w:w="11906" w:h="16838"/>
          <w:pgMar w:top="1440" w:right="1800" w:bottom="1440" w:left="1800" w:header="851" w:footer="992" w:gutter="0"/>
          <w:pgNumType w:fmt="numberInDash"/>
          <w:cols w:space="720" w:num="1"/>
          <w:titlePg/>
          <w:docGrid w:linePitch="286" w:charSpace="0"/>
        </w:sectPr>
      </w:pPr>
      <w:bookmarkStart w:id="129" w:name="_Toc60421813"/>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第二包：</w:t>
      </w:r>
    </w:p>
    <w:p>
      <w:pPr>
        <w:pStyle w:val="5"/>
        <w:keepNext/>
        <w:keepLines/>
        <w:pageBreakBefore w:val="0"/>
        <w:widowControl/>
        <w:numPr>
          <w:ilvl w:val="1"/>
          <w:numId w:val="0"/>
        </w:numPr>
        <w:kinsoku/>
        <w:wordWrap/>
        <w:overflowPunct/>
        <w:topLinePunct w:val="0"/>
        <w:autoSpaceDE/>
        <w:autoSpaceDN/>
        <w:bidi w:val="0"/>
        <w:adjustRightInd/>
        <w:snapToGrid/>
        <w:spacing w:before="0" w:after="0" w:line="360" w:lineRule="auto"/>
        <w:ind w:leftChars="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投标函及投标函附录</w:t>
      </w:r>
    </w:p>
    <w:p>
      <w:pPr>
        <w:pageBreakBefore w:val="0"/>
        <w:kinsoku/>
        <w:overflowPunct/>
        <w:topLinePunct w:val="0"/>
        <w:bidi w:val="0"/>
        <w:snapToGrid w:val="0"/>
        <w:spacing w:line="360" w:lineRule="auto"/>
        <w:jc w:val="center"/>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（一）投标函</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致：（招标人名称）</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在考察现场并充分研究（项目名称）（以下简称“本工程”）施工招标文件的全部内容后，我方兹以：</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人民币（大写）：</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RMB￥：元</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的投标价格和按合同约定有权得到的其它金额，并严格按照合同约定，实施和完成本工程并修补其中的任何缺陷。</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如果我方中标，我方保证按照合同文件规定的开工日期开始上述工程的施工，天（日历天）内竣工，并确保工程质量达到标准。我方同意本投标函在招标文件规定的提交投标文件截止时间后，在招标文件规定的投标有效期期满前对我方具有约束力，且随时准备接受你方发出的中标通知书。</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随本投标函递交的投标函附录是本投标函的组成部分，对我方构成约束力。</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在签署协议书之前，你方的中标通知书连同本投标函，包括其所有附属文件，将构成双方之间具有约束力的合同文件。</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w:t>
      </w:r>
    </w:p>
    <w:p>
      <w:pPr>
        <w:pageBreakBefore w:val="0"/>
        <w:kinsoku/>
        <w:overflowPunct/>
        <w:topLinePunct w:val="0"/>
        <w:bidi w:val="0"/>
        <w:snapToGrid w:val="0"/>
        <w:spacing w:line="360" w:lineRule="auto"/>
        <w:ind w:firstLine="48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投标人（盖单位章）：</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法定代表人或委托代理人（签字或盖章）：</w:t>
      </w:r>
    </w:p>
    <w:p>
      <w:pPr>
        <w:pageBreakBefore w:val="0"/>
        <w:kinsoku/>
        <w:overflowPunct/>
        <w:topLinePunct w:val="0"/>
        <w:bidi w:val="0"/>
        <w:snapToGrid w:val="0"/>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日期：年</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月</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日</w:t>
      </w:r>
    </w:p>
    <w:p>
      <w:pPr>
        <w:pageBreakBefore w:val="0"/>
        <w:kinsoku/>
        <w:overflowPunct/>
        <w:topLinePunct w:val="0"/>
        <w:bidi w:val="0"/>
        <w:spacing w:line="360" w:lineRule="auto"/>
        <w:ind w:firstLine="480" w:firstLineChars="200"/>
        <w:textAlignment w:val="auto"/>
        <w:rPr>
          <w:rFonts w:hint="eastAsia" w:ascii="宋体" w:hAnsi="宋体" w:eastAsia="宋体" w:cs="宋体"/>
          <w:color w:val="000000"/>
          <w:szCs w:val="21"/>
          <w:highlight w:val="none"/>
        </w:rPr>
        <w:sectPr>
          <w:pgSz w:w="11906" w:h="16838"/>
          <w:pgMar w:top="1440" w:right="1800" w:bottom="1440" w:left="1800" w:header="851" w:footer="992" w:gutter="0"/>
          <w:pgNumType w:fmt="numberInDash"/>
          <w:cols w:space="720" w:num="1"/>
          <w:docGrid w:type="linesAndChars" w:linePitch="312" w:charSpace="0"/>
        </w:sect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2、开标一览表格式</w:t>
      </w:r>
      <w:bookmarkEnd w:id="129"/>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开标一览表</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项目名称：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招标编号：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30" w:name="_Toc60421814"/>
      <w:r>
        <w:rPr>
          <w:rFonts w:hint="eastAsia" w:ascii="宋体" w:hAnsi="宋体" w:eastAsia="宋体" w:cs="宋体"/>
          <w:color w:val="000000" w:themeColor="text1"/>
          <w:sz w:val="24"/>
          <w:szCs w:val="24"/>
          <w:highlight w:val="none"/>
          <w14:textFill>
            <w14:solidFill>
              <w14:schemeClr w14:val="tx1"/>
            </w14:solidFill>
          </w14:textFill>
        </w:rPr>
        <w:t>投标人名称：</w:t>
      </w:r>
    </w:p>
    <w:tbl>
      <w:tblPr>
        <w:tblStyle w:val="59"/>
        <w:tblW w:w="14655" w:type="dxa"/>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5"/>
        <w:gridCol w:w="1860"/>
        <w:gridCol w:w="1620"/>
        <w:gridCol w:w="1035"/>
        <w:gridCol w:w="1485"/>
        <w:gridCol w:w="1665"/>
        <w:gridCol w:w="1440"/>
        <w:gridCol w:w="1498"/>
        <w:gridCol w:w="1842"/>
        <w:gridCol w:w="1475"/>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cantSplit/>
          <w:trHeight w:val="592" w:hRule="atLeast"/>
          <w:jc w:val="center"/>
        </w:trPr>
        <w:tc>
          <w:tcPr>
            <w:tcW w:w="73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186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162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型号和规格</w:t>
            </w:r>
          </w:p>
        </w:tc>
        <w:tc>
          <w:tcPr>
            <w:tcW w:w="103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数量</w:t>
            </w:r>
          </w:p>
        </w:tc>
        <w:tc>
          <w:tcPr>
            <w:tcW w:w="148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单价(元)</w:t>
            </w:r>
          </w:p>
        </w:tc>
        <w:tc>
          <w:tcPr>
            <w:tcW w:w="166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投标总价(元)</w:t>
            </w:r>
          </w:p>
        </w:tc>
        <w:tc>
          <w:tcPr>
            <w:tcW w:w="144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w:t>
            </w:r>
          </w:p>
        </w:tc>
        <w:tc>
          <w:tcPr>
            <w:tcW w:w="149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制造商名称</w:t>
            </w:r>
          </w:p>
        </w:tc>
        <w:tc>
          <w:tcPr>
            <w:tcW w:w="1842"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供货与安装天数</w:t>
            </w:r>
          </w:p>
        </w:tc>
        <w:tc>
          <w:tcPr>
            <w:tcW w:w="147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cantSplit/>
          <w:trHeight w:val="401" w:hRule="atLeast"/>
          <w:jc w:val="center"/>
        </w:trPr>
        <w:tc>
          <w:tcPr>
            <w:tcW w:w="73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6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2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3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8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6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4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98"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42"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7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73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6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2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3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8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6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4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98"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42"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7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73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6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2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3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8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6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4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98"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42"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7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73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合计</w:t>
            </w:r>
          </w:p>
        </w:tc>
        <w:tc>
          <w:tcPr>
            <w:tcW w:w="10603" w:type="dxa"/>
            <w:gridSpan w:val="7"/>
            <w:tcBorders>
              <w:right w:val="single" w:color="auto" w:sz="4" w:space="0"/>
            </w:tcBorders>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（大写）：  （小写）：</w:t>
            </w:r>
          </w:p>
        </w:tc>
        <w:tc>
          <w:tcPr>
            <w:tcW w:w="1842" w:type="dxa"/>
            <w:tcBorders>
              <w:top w:val="single" w:color="auto" w:sz="4" w:space="0"/>
              <w:left w:val="single" w:color="auto" w:sz="4" w:space="0"/>
              <w:bottom w:val="double" w:color="auto" w:sz="4" w:space="0"/>
              <w:right w:val="single" w:color="auto" w:sz="4" w:space="0"/>
            </w:tcBorders>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75" w:type="dxa"/>
            <w:tcBorders>
              <w:top w:val="single" w:color="auto" w:sz="4" w:space="0"/>
              <w:left w:val="single" w:color="auto" w:sz="4" w:space="0"/>
              <w:bottom w:val="double" w:color="auto" w:sz="4" w:space="0"/>
            </w:tcBorders>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投标人（盖章）：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法定代表人或委托代理人（签字）：</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     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 此开标信应按“投标人须知”的规定密封标记密封单独提交。此表单独分开递交。</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单独提交“开标一览表”为多页的，每页均需由法定代表人或委托代理人签字并盖投标人印章，并必须装订，否则为无效投标。</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投标报价应包括产品费用、随机备品备件、运输费用、安装调试费用、人员培训及投标等全部费用。</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3、投标报价明细表格式</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投标报价明细表</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项目名称：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招标编号：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w:t>
      </w:r>
    </w:p>
    <w:tbl>
      <w:tblPr>
        <w:tblStyle w:val="59"/>
        <w:tblW w:w="13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995"/>
        <w:gridCol w:w="1785"/>
        <w:gridCol w:w="945"/>
        <w:gridCol w:w="1050"/>
        <w:gridCol w:w="1050"/>
        <w:gridCol w:w="949"/>
        <w:gridCol w:w="993"/>
        <w:gridCol w:w="1784"/>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1995"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货物名称</w:t>
            </w:r>
          </w:p>
        </w:tc>
        <w:tc>
          <w:tcPr>
            <w:tcW w:w="1785"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规格型号</w:t>
            </w:r>
          </w:p>
        </w:tc>
        <w:tc>
          <w:tcPr>
            <w:tcW w:w="945"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商标</w:t>
            </w:r>
          </w:p>
        </w:tc>
        <w:tc>
          <w:tcPr>
            <w:tcW w:w="1050"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w:t>
            </w:r>
          </w:p>
        </w:tc>
        <w:tc>
          <w:tcPr>
            <w:tcW w:w="1050"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数量</w:t>
            </w:r>
          </w:p>
        </w:tc>
        <w:tc>
          <w:tcPr>
            <w:tcW w:w="949"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单价</w:t>
            </w:r>
          </w:p>
        </w:tc>
        <w:tc>
          <w:tcPr>
            <w:tcW w:w="993"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总价</w:t>
            </w:r>
          </w:p>
        </w:tc>
        <w:tc>
          <w:tcPr>
            <w:tcW w:w="1784"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制造厂家</w:t>
            </w:r>
          </w:p>
        </w:tc>
        <w:tc>
          <w:tcPr>
            <w:tcW w:w="1650" w:type="dxa"/>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9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9"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3"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4"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9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9"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3"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4"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9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9"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3"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4"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9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9"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3"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4"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9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5"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9"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3"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84"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5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投标人（盖章）：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法定代表人或委托代理人（签字）：</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     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说明：1.投标人必须按“报价明细表”的格式详细报出投标总价的各个组成部分的报价，否则作无效投标处理。</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2.“报价明细表”各分项报价合计应当与“开标一览表”报价合计相等。</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货物说明一栏表格式</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货物说明一览表</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项目名称：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招标编号：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w:t>
      </w:r>
    </w:p>
    <w:tbl>
      <w:tblPr>
        <w:tblStyle w:val="59"/>
        <w:tblW w:w="12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936"/>
        <w:gridCol w:w="3014"/>
        <w:gridCol w:w="1718"/>
        <w:gridCol w:w="1634"/>
        <w:gridCol w:w="1517"/>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193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货物名称</w:t>
            </w:r>
          </w:p>
        </w:tc>
        <w:tc>
          <w:tcPr>
            <w:tcW w:w="301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生产厂家名称及货物型号</w:t>
            </w:r>
          </w:p>
        </w:tc>
        <w:tc>
          <w:tcPr>
            <w:tcW w:w="171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数量（单位）</w:t>
            </w:r>
          </w:p>
        </w:tc>
        <w:tc>
          <w:tcPr>
            <w:tcW w:w="163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交货期</w:t>
            </w:r>
          </w:p>
        </w:tc>
        <w:tc>
          <w:tcPr>
            <w:tcW w:w="151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交货地点</w:t>
            </w:r>
          </w:p>
        </w:tc>
        <w:tc>
          <w:tcPr>
            <w:tcW w:w="18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3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1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1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3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51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3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1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1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3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51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3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1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1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3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51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3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1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1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3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51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3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1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1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3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51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3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1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1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3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51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投标人（盖章）：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法定代表人或委托代理人（签字）：</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     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注：如需要，投标人可以对以上各项货物详细技术性能另页描述。</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sectPr>
          <w:footerReference r:id="rId12" w:type="default"/>
          <w:pgSz w:w="16838" w:h="11906" w:orient="landscape"/>
          <w:pgMar w:top="1440" w:right="1800" w:bottom="1440" w:left="1800" w:header="851" w:footer="992" w:gutter="0"/>
          <w:pgNumType w:fmt="numberInDash"/>
          <w:cols w:space="720" w:num="1"/>
          <w:docGrid w:linePitch="312" w:charSpace="0"/>
        </w:sectPr>
      </w:pPr>
    </w:p>
    <w:bookmarkEnd w:id="130"/>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三、资格证明文件</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1"/>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ageBreakBefore w:val="0"/>
        <w:kinsoku/>
        <w:topLinePunct w:val="0"/>
        <w:bidi w:val="0"/>
        <w:spacing w:line="360" w:lineRule="auto"/>
        <w:textAlignment w:val="auto"/>
        <w:rPr>
          <w:rFonts w:hint="eastAsia" w:ascii="宋体" w:hAnsi="宋体" w:eastAsia="宋体" w:cs="宋体"/>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资格证明文件</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 xml:space="preserve">1、资格证明文件声明的函格式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关于资格证明文件声的函</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致：                       </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关于贵方 20</w:t>
      </w:r>
      <w:r>
        <w:rPr>
          <w:rFonts w:hint="eastAsia" w:ascii="宋体" w:hAnsi="宋体" w:eastAsia="宋体" w:cs="宋体"/>
          <w:color w:val="000000" w:themeColor="text1"/>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年    月     日     项目（编号            ）的招标公告，本签字人（授权代表）愿意参加投标，并声明提供的资格证明文件和说明是准确的和真实的。</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单位名称（公章）：</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法人或法人授权人签字：</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 编：</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 真：</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2、资格证明文件要求</w:t>
      </w:r>
    </w:p>
    <w:p>
      <w:pPr>
        <w:pStyle w:val="58"/>
        <w:pageBreakBefore w:val="0"/>
        <w:numPr>
          <w:ilvl w:val="0"/>
          <w:numId w:val="0"/>
        </w:numPr>
        <w:kinsoku/>
        <w:topLinePunct w:val="0"/>
        <w:bidi w:val="0"/>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b/>
          <w:bCs/>
          <w:lang w:val="en-US" w:eastAsia="zh-CN"/>
        </w:rPr>
        <w:t>第一包：</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符合《中华人民共和国政府采购法》第二十二条的规定，并提供《中华人民共和国政府采购法实施条例》第十七条所要求的材料：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（1）有效的营业执照、税务登记证、组织机构代码证或者“三证合一”的营业执照副本复印件，基本账户开户许可证复印件加盖公章；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（2）近一年（18个月以内）第三方审计的财务审计报告（成立未满一年企业可提供本企业财务报表）复印件加盖公章（以出报告日期为准）或提供银行出具的资信证明原件（原件装入正本中）；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（3）投标人需提供投标截止日前近半年内缴纳的任意一个月的任意一项税种（增值税、营业税、企业所得税）的凭据，依法免税的投标人，应提供相应的证明文件；（复印件加盖公章）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（4）社会保障资金缴纳记录（投标人逐月缴纳社会保障资金的，须提供投标截止日前</w:t>
      </w:r>
      <w:r>
        <w:rPr>
          <w:rFonts w:hint="eastAsia" w:ascii="宋体" w:hAnsi="宋体" w:eastAsia="宋体" w:cs="宋体"/>
          <w:color w:val="000000" w:themeColor="text1"/>
          <w:sz w:val="24"/>
          <w:szCs w:val="24"/>
          <w:highlight w:val="none"/>
          <w:lang w:val="en-US" w:eastAsia="zh-CN"/>
          <w14:textFill>
            <w14:solidFill>
              <w14:schemeClr w14:val="tx1"/>
            </w14:solidFill>
          </w14:textFill>
        </w:rPr>
        <w:t>近半年内任意一个月的</w:t>
      </w:r>
      <w:r>
        <w:rPr>
          <w:rFonts w:hint="eastAsia" w:ascii="宋体" w:hAnsi="宋体" w:eastAsia="宋体" w:cs="宋体"/>
          <w:color w:val="000000" w:themeColor="text1"/>
          <w:sz w:val="24"/>
          <w:szCs w:val="24"/>
          <w:highlight w:val="none"/>
          <w14:textFill>
            <w14:solidFill>
              <w14:schemeClr w14:val="tx1"/>
            </w14:solidFill>
          </w14:textFill>
        </w:rPr>
        <w:t>缴纳社会保障资金的入账票据凭证复印件，投标人逐年缴纳社会保障资金的，须提供投标截止日前上年度缴纳社会保障资金的入账票据凭证复印件，缴纳社会保障资金的入账票据凭证复印件须加盖本单位公章）；</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0000FF"/>
          <w:sz w:val="24"/>
          <w:szCs w:val="24"/>
          <w:highlight w:val="none"/>
        </w:rPr>
      </w:pPr>
      <w:r>
        <w:rPr>
          <w:rFonts w:hint="eastAsia" w:ascii="宋体" w:hAnsi="宋体" w:eastAsia="宋体" w:cs="宋体"/>
          <w:color w:val="000000" w:themeColor="text1"/>
          <w:sz w:val="24"/>
          <w:szCs w:val="24"/>
          <w:highlight w:val="none"/>
          <w14:textFill>
            <w14:solidFill>
              <w14:schemeClr w14:val="tx1"/>
            </w14:solidFill>
          </w14:textFill>
        </w:rPr>
        <w:t>（5）参加本次政府采购活动前3年内在经营活动中没有重大违法记录的书面声明（原件装入投标文件正本中）。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bidi="ar-SA"/>
        </w:rPr>
        <w:t xml:space="preserve">2.2供应商须具有医疗器械生产或经营许可证（备案证）； </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bidi="ar-SA"/>
        </w:rPr>
        <w:t xml:space="preserve">2.3供应商须具有所投产品的医疗器械注册证（备案证）； </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w:t>
      </w:r>
      <w:r>
        <w:rPr>
          <w:rFonts w:hint="eastAsia" w:ascii="宋体" w:hAnsi="宋体" w:eastAsia="宋体" w:cs="宋体"/>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 xml:space="preserve">本项目不接受联合体投标 </w:t>
      </w:r>
      <w:r>
        <w:rPr>
          <w:rFonts w:hint="eastAsia" w:ascii="宋体" w:hAnsi="宋体" w:eastAsia="宋体" w:cs="宋体"/>
          <w:color w:val="auto"/>
          <w:sz w:val="24"/>
          <w:szCs w:val="24"/>
          <w:highlight w:val="none"/>
          <w:lang w:eastAsia="zh-CN"/>
        </w:rPr>
        <w:t>。</w:t>
      </w:r>
    </w:p>
    <w:p>
      <w:pPr>
        <w:pStyle w:val="58"/>
        <w:pageBreakBefore w:val="0"/>
        <w:kinsoku/>
        <w:topLinePunct w:val="0"/>
        <w:bidi w:val="0"/>
        <w:spacing w:line="360" w:lineRule="auto"/>
        <w:ind w:left="0" w:leftChars="0" w:firstLine="482" w:firstLineChars="200"/>
        <w:textAlignment w:val="auto"/>
        <w:rPr>
          <w:rFonts w:hint="eastAsia" w:ascii="宋体" w:hAnsi="宋体" w:eastAsia="宋体" w:cs="宋体"/>
          <w:b/>
          <w:bCs/>
          <w:color w:val="auto"/>
          <w:sz w:val="24"/>
          <w:szCs w:val="24"/>
          <w:highlight w:val="none"/>
          <w:lang w:val="en-US" w:eastAsia="zh-CN"/>
        </w:rPr>
      </w:pPr>
    </w:p>
    <w:p>
      <w:pPr>
        <w:pStyle w:val="58"/>
        <w:pageBreakBefore w:val="0"/>
        <w:kinsoku/>
        <w:topLinePunct w:val="0"/>
        <w:bidi w:val="0"/>
        <w:spacing w:line="360" w:lineRule="auto"/>
        <w:ind w:left="0" w:leftChars="0" w:firstLine="482" w:firstLineChars="200"/>
        <w:textAlignment w:val="auto"/>
        <w:rPr>
          <w:rFonts w:hint="eastAsia" w:ascii="宋体" w:hAnsi="宋体" w:eastAsia="宋体" w:cs="宋体"/>
          <w:b/>
          <w:bCs/>
          <w:color w:val="auto"/>
          <w:sz w:val="24"/>
          <w:szCs w:val="24"/>
          <w:highlight w:val="none"/>
          <w:lang w:val="en-US" w:eastAsia="zh-CN"/>
        </w:rPr>
      </w:pPr>
    </w:p>
    <w:p>
      <w:pPr>
        <w:pStyle w:val="58"/>
        <w:pageBreakBefore w:val="0"/>
        <w:kinsoku/>
        <w:topLinePunct w:val="0"/>
        <w:bidi w:val="0"/>
        <w:spacing w:line="360" w:lineRule="auto"/>
        <w:ind w:left="0" w:lef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第二包：</w:t>
      </w:r>
    </w:p>
    <w:p>
      <w:pPr>
        <w:keepNext w:val="0"/>
        <w:keepLines w:val="0"/>
        <w:pageBreakBefore w:val="0"/>
        <w:widowControl/>
        <w:numPr>
          <w:ilvl w:val="0"/>
          <w:numId w:val="92"/>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符合《中华人民共和国政府采购法》第二十二条的规定，并提供《中华人民共和国政府采购法实施条例》第十七条所要求的材料：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（1）有效的营业执照、税务登记证、组织机构代码证或者“三证合一”的营业执照副本复印件，基本账户开户许可证复印件加盖公章；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（2）近一年（18个月以内）第三方审计的财务审计报告（成立未满一年企业可提供本企业财务报表）复印件加盖公章（以出报告日期为准）或提供银行出具的资信证明原件（原件装入正本中）；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（3）投标人需提供投标截止日前近半年内缴纳的任意一个月的任意一项税种（增值税、营业税、企业所得税）的凭据，依法免税的投标人，应提供相应的证明文件；（复印件加盖公章）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（4）社会保障资金缴纳记录（投标人逐月缴纳社会保障资金的，须提供投标截止日前</w:t>
      </w:r>
      <w:r>
        <w:rPr>
          <w:rFonts w:hint="eastAsia" w:ascii="宋体" w:hAnsi="宋体" w:eastAsia="宋体" w:cs="宋体"/>
          <w:color w:val="000000" w:themeColor="text1"/>
          <w:sz w:val="24"/>
          <w:szCs w:val="24"/>
          <w:highlight w:val="none"/>
          <w:lang w:val="en-US" w:eastAsia="zh-CN"/>
          <w14:textFill>
            <w14:solidFill>
              <w14:schemeClr w14:val="tx1"/>
            </w14:solidFill>
          </w14:textFill>
        </w:rPr>
        <w:t>近半年内任意一个月的</w:t>
      </w:r>
      <w:r>
        <w:rPr>
          <w:rFonts w:hint="eastAsia" w:ascii="宋体" w:hAnsi="宋体" w:eastAsia="宋体" w:cs="宋体"/>
          <w:color w:val="000000" w:themeColor="text1"/>
          <w:sz w:val="24"/>
          <w:szCs w:val="24"/>
          <w:highlight w:val="none"/>
          <w14:textFill>
            <w14:solidFill>
              <w14:schemeClr w14:val="tx1"/>
            </w14:solidFill>
          </w14:textFill>
        </w:rPr>
        <w:t>缴纳社会保障资金的入账票据凭证复印件，投标人逐年缴纳社会保障资金的，须提供投标截止日前上年度缴纳社会保障资金的入账票据凭证复印件，缴纳社会保障资金的入账票据凭证复印件须加盖本单位公章）；</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themeColor="text1"/>
          <w:sz w:val="24"/>
          <w:szCs w:val="24"/>
          <w:highlight w:val="none"/>
          <w14:textFill>
            <w14:solidFill>
              <w14:schemeClr w14:val="tx1"/>
            </w14:solidFill>
          </w14:textFill>
        </w:rPr>
        <w:t>（5）参加本次政府采购活动前3年内在经营活动中没有重大违法记录的书面声明（原件装入投标文件正本中）。</w:t>
      </w:r>
    </w:p>
    <w:p>
      <w:pPr>
        <w:pStyle w:val="48"/>
        <w:keepNext w:val="0"/>
        <w:keepLines w:val="0"/>
        <w:pageBreakBefore w:val="0"/>
        <w:widowControl/>
        <w:kinsoku/>
        <w:wordWrap/>
        <w:overflowPunct/>
        <w:topLinePunct w:val="0"/>
        <w:autoSpaceDE/>
        <w:autoSpaceDN/>
        <w:bidi w:val="0"/>
        <w:adjustRightInd/>
        <w:snapToGrid/>
        <w:spacing w:before="0" w:line="360" w:lineRule="auto"/>
        <w:ind w:left="0" w:firstLine="480" w:firstLineChars="200"/>
        <w:textAlignment w:val="auto"/>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bidi="ar-SA"/>
        </w:rPr>
        <w:t>（二）供应商有施工能力且具有有效的安全生产许可证；</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w:t>
      </w:r>
      <w:r>
        <w:rPr>
          <w:rFonts w:hint="eastAsia" w:ascii="宋体" w:hAnsi="宋体" w:eastAsia="宋体" w:cs="宋体"/>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 xml:space="preserve">）本项目不接受联合体投标 </w:t>
      </w:r>
      <w:r>
        <w:rPr>
          <w:rFonts w:hint="eastAsia" w:ascii="宋体" w:hAnsi="宋体" w:eastAsia="宋体" w:cs="宋体"/>
          <w:color w:val="auto"/>
          <w:sz w:val="24"/>
          <w:szCs w:val="24"/>
          <w:highlight w:val="none"/>
          <w:lang w:eastAsia="zh-CN"/>
        </w:rPr>
        <w:t>。</w:t>
      </w:r>
    </w:p>
    <w:p>
      <w:pPr>
        <w:pStyle w:val="58"/>
        <w:pageBreakBefore w:val="0"/>
        <w:kinsoku/>
        <w:topLinePunct w:val="0"/>
        <w:bidi w:val="0"/>
        <w:spacing w:line="360" w:lineRule="auto"/>
        <w:textAlignment w:val="auto"/>
        <w:rPr>
          <w:rFonts w:hint="eastAsia" w:ascii="宋体" w:hAnsi="宋体" w:eastAsia="宋体" w:cs="宋体"/>
          <w:lang w:eastAsia="zh-CN"/>
        </w:rPr>
      </w:pPr>
    </w:p>
    <w:p>
      <w:pPr>
        <w:pStyle w:val="58"/>
        <w:pageBreakBefore w:val="0"/>
        <w:kinsoku/>
        <w:topLinePunct w:val="0"/>
        <w:bidi w:val="0"/>
        <w:spacing w:line="360" w:lineRule="auto"/>
        <w:textAlignment w:val="auto"/>
        <w:rPr>
          <w:rFonts w:hint="eastAsia" w:ascii="宋体" w:hAnsi="宋体" w:eastAsia="宋体" w:cs="宋体"/>
          <w:lang w:eastAsia="zh-CN"/>
        </w:rPr>
      </w:pPr>
    </w:p>
    <w:p>
      <w:pPr>
        <w:pStyle w:val="58"/>
        <w:pageBreakBefore w:val="0"/>
        <w:kinsoku/>
        <w:topLinePunct w:val="0"/>
        <w:bidi w:val="0"/>
        <w:spacing w:line="360" w:lineRule="auto"/>
        <w:textAlignment w:val="auto"/>
        <w:rPr>
          <w:rFonts w:hint="eastAsia" w:ascii="宋体" w:hAnsi="宋体" w:eastAsia="宋体" w:cs="宋体"/>
          <w:lang w:eastAsia="zh-CN"/>
        </w:rPr>
      </w:pPr>
    </w:p>
    <w:p>
      <w:pPr>
        <w:pStyle w:val="58"/>
        <w:pageBreakBefore w:val="0"/>
        <w:kinsoku/>
        <w:topLinePunct w:val="0"/>
        <w:bidi w:val="0"/>
        <w:spacing w:line="360" w:lineRule="auto"/>
        <w:textAlignment w:val="auto"/>
        <w:rPr>
          <w:rFonts w:hint="eastAsia" w:ascii="宋体" w:hAnsi="宋体" w:eastAsia="宋体" w:cs="宋体"/>
          <w:lang w:eastAsia="zh-CN"/>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3、  3年内在经营活动中没有重大违法记录的书面声明（格式）</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致：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我公司在参加本次政府采购活动前，做出以下郑重声明：</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一、参加本次政府采购活动前三年内，在经营活动中没有重大违法记录。</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在本次政府采购活动前三年内，我公司在甘肃政府采购网等政府采购信息发布平台及当地工商局企业信用查询系统中，无任何重大违法记录。若发现我方上述声明与事实不符，愿按照政府采购相关规定接受相关处罚。 </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特此声明。</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投标人（公章）：                   </w:t>
      </w:r>
    </w:p>
    <w:p>
      <w:pPr>
        <w:pStyle w:val="2"/>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法定代表人或法人授权代表（签字）：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日期：    年    月   日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4、法定代表人身份证明格式</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法定代表人身份证明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供应商名称：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单位性质：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地    址：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         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经营期限：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姓    名：      性别：      年龄：      身份证号码：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    务：              系                  （供应商名称）的法定代表人。</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特此证明。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法人身份证：</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-191135</wp:posOffset>
                </wp:positionH>
                <wp:positionV relativeFrom="paragraph">
                  <wp:posOffset>124460</wp:posOffset>
                </wp:positionV>
                <wp:extent cx="2854960" cy="2010410"/>
                <wp:effectExtent l="7620" t="8255" r="13970" b="19685"/>
                <wp:wrapTopAndBottom/>
                <wp:docPr id="15" name="矩形 6"/>
                <wp:cNvGraphicFramePr/>
                <a:graphic xmlns:a="http://schemas.openxmlformats.org/drawingml/2006/main">
                  <a:graphicData uri="http://schemas.microsoft.com/office/word/2010/wordprocessingShape">
                    <wps:wsp>
                      <wps:cNvSpPr/>
                      <wps:spPr>
                        <a:xfrm>
                          <a:off x="0" y="0"/>
                          <a:ext cx="2854960" cy="1734185"/>
                        </a:xfrm>
                        <a:prstGeom prst="rect">
                          <a:avLst/>
                        </a:prstGeom>
                        <a:solidFill>
                          <a:srgbClr val="FFFFFF"/>
                        </a:solidFill>
                        <a:ln w="15875" cap="flat" cmpd="sng">
                          <a:solidFill>
                            <a:srgbClr val="739CC3"/>
                          </a:solidFill>
                          <a:prstDash val="solid"/>
                          <a:miter/>
                          <a:headEnd type="none" w="med" len="med"/>
                          <a:tailEnd type="none" w="med" len="med"/>
                        </a:ln>
                        <a:effectLst/>
                      </wps:spPr>
                      <wps:txbx>
                        <w:txbxContent>
                          <w:p>
                            <w:pPr>
                              <w:jc w:val="center"/>
                              <w:rPr>
                                <w:sz w:val="32"/>
                              </w:rPr>
                            </w:pPr>
                          </w:p>
                          <w:p>
                            <w:pPr>
                              <w:jc w:val="center"/>
                              <w:rPr>
                                <w:sz w:val="32"/>
                              </w:rPr>
                            </w:pPr>
                          </w:p>
                          <w:p>
                            <w:pPr>
                              <w:jc w:val="cente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身份证复印件（正面）</w:t>
                            </w:r>
                          </w:p>
                          <w:p>
                            <w:pPr>
                              <w:rPr>
                                <w:sz w:val="21"/>
                                <w:szCs w:val="21"/>
                              </w:rPr>
                            </w:pPr>
                          </w:p>
                        </w:txbxContent>
                      </wps:txbx>
                      <wps:bodyPr upright="1"/>
                    </wps:wsp>
                  </a:graphicData>
                </a:graphic>
              </wp:anchor>
            </w:drawing>
          </mc:Choice>
          <mc:Fallback>
            <w:pict>
              <v:rect id="矩形 6" o:spid="_x0000_s1026" o:spt="1" style="position:absolute;left:0pt;margin-left:-15.05pt;margin-top:9.8pt;height:158.3pt;width:224.8pt;mso-wrap-distance-bottom:0pt;mso-wrap-distance-top:0pt;z-index:251659264;mso-width-relative:page;mso-height-relative:page;" fillcolor="#FFFFFF" filled="t" stroked="t" coordsize="21600,21600" o:gfxdata="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xQb2gAAAAoBAAAPAAAAAAAAAAEAIAAA&#10;ACIAAABkcnMvZG93bnJldi54bWxQSwECFAAUAAAACACHTuJAGaE7CwoCAAA6BAAADgAAAAAAAAAB&#10;ACAAAAApAQAAZHJzL2Uyb0RvYy54bWxQSwUGAAAAAAYABgBZAQAApQUAAAAA&#10;">
                <v:fill on="t" focussize="0,0"/>
                <v:stroke weight="1.25pt" color="#739CC3" joinstyle="miter"/>
                <v:imagedata o:title=""/>
                <o:lock v:ext="edit" aspectratio="f"/>
                <v:textbox>
                  <w:txbxContent>
                    <w:p>
                      <w:pPr>
                        <w:jc w:val="center"/>
                        <w:rPr>
                          <w:sz w:val="32"/>
                        </w:rPr>
                      </w:pPr>
                    </w:p>
                    <w:p>
                      <w:pPr>
                        <w:jc w:val="center"/>
                        <w:rPr>
                          <w:sz w:val="32"/>
                        </w:rPr>
                      </w:pPr>
                    </w:p>
                    <w:p>
                      <w:pPr>
                        <w:jc w:val="cente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身份证复印件（正面）</w:t>
                      </w:r>
                    </w:p>
                    <w:p>
                      <w:pPr>
                        <w:rPr>
                          <w:sz w:val="21"/>
                          <w:szCs w:val="21"/>
                        </w:rPr>
                      </w:pPr>
                    </w:p>
                  </w:txbxContent>
                </v:textbox>
                <w10:wrap type="topAndBottom"/>
              </v:rect>
            </w:pict>
          </mc:Fallback>
        </mc:AlternateContent>
      </w:r>
      <w:r>
        <w:rPr>
          <w:rFonts w:hint="eastAsia" w:ascii="宋体" w:hAnsi="宋体" w:eastAsia="宋体" w:cs="宋体"/>
          <w:color w:val="000000" w:themeColor="text1"/>
          <w:sz w:val="28"/>
          <w:szCs w:val="28"/>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3001645</wp:posOffset>
                </wp:positionH>
                <wp:positionV relativeFrom="paragraph">
                  <wp:posOffset>124460</wp:posOffset>
                </wp:positionV>
                <wp:extent cx="2734310" cy="2021840"/>
                <wp:effectExtent l="7620" t="7620" r="20320" b="8890"/>
                <wp:wrapNone/>
                <wp:docPr id="16" name="矩形 18"/>
                <wp:cNvGraphicFramePr/>
                <a:graphic xmlns:a="http://schemas.openxmlformats.org/drawingml/2006/main">
                  <a:graphicData uri="http://schemas.microsoft.com/office/word/2010/wordprocessingShape">
                    <wps:wsp>
                      <wps:cNvSpPr/>
                      <wps:spPr>
                        <a:xfrm>
                          <a:off x="0" y="0"/>
                          <a:ext cx="2734310" cy="1734185"/>
                        </a:xfrm>
                        <a:prstGeom prst="rect">
                          <a:avLst/>
                        </a:prstGeom>
                        <a:solidFill>
                          <a:srgbClr val="FFFFFF"/>
                        </a:solidFill>
                        <a:ln w="15875" cap="flat" cmpd="sng">
                          <a:solidFill>
                            <a:srgbClr val="739CC3"/>
                          </a:solidFill>
                          <a:prstDash val="solid"/>
                          <a:miter/>
                          <a:headEnd type="none" w="med" len="med"/>
                          <a:tailEnd type="none" w="med" len="med"/>
                        </a:ln>
                        <a:effectLst/>
                      </wps:spPr>
                      <wps:txbx>
                        <w:txbxContent>
                          <w:p>
                            <w:pPr>
                              <w:jc w:val="center"/>
                              <w:rPr>
                                <w:sz w:val="32"/>
                              </w:rPr>
                            </w:pPr>
                          </w:p>
                          <w:p>
                            <w:pPr>
                              <w:jc w:val="center"/>
                              <w:rPr>
                                <w:sz w:val="32"/>
                              </w:rPr>
                            </w:pPr>
                          </w:p>
                          <w:p>
                            <w:pPr>
                              <w:jc w:val="cente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身份证复印件（反面）</w:t>
                            </w:r>
                          </w:p>
                          <w:p/>
                        </w:txbxContent>
                      </wps:txbx>
                      <wps:bodyPr upright="1"/>
                    </wps:wsp>
                  </a:graphicData>
                </a:graphic>
              </wp:anchor>
            </w:drawing>
          </mc:Choice>
          <mc:Fallback>
            <w:pict>
              <v:rect id="矩形 18" o:spid="_x0000_s1026" o:spt="1" style="position:absolute;left:0pt;margin-left:236.35pt;margin-top:9.8pt;height:159.2pt;width:215.3pt;z-index:251660288;mso-width-relative:page;mso-height-relative:page;" fillcolor="#FFFFFF" filled="t" stroked="t" coordsize="21600,21600" o:gfxdata="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PTP92gAAAAoBAAAPAAAAAAAAAAEAIAAA&#10;ACIAAABkcnMvZG93bnJldi54bWxQSwECFAAUAAAACACHTuJAaE39mAoCAAA7BAAADgAAAAAAAAAB&#10;ACAAAAApAQAAZHJzL2Uyb0RvYy54bWxQSwUGAAAAAAYABgBZAQAApQUAAAAA&#10;">
                <v:fill on="t" focussize="0,0"/>
                <v:stroke weight="1.25pt" color="#739CC3" joinstyle="miter"/>
                <v:imagedata o:title=""/>
                <o:lock v:ext="edit" aspectratio="f"/>
                <v:textbox>
                  <w:txbxContent>
                    <w:p>
                      <w:pPr>
                        <w:jc w:val="center"/>
                        <w:rPr>
                          <w:sz w:val="32"/>
                        </w:rPr>
                      </w:pPr>
                    </w:p>
                    <w:p>
                      <w:pPr>
                        <w:jc w:val="center"/>
                        <w:rPr>
                          <w:sz w:val="32"/>
                        </w:rPr>
                      </w:pPr>
                    </w:p>
                    <w:p>
                      <w:pPr>
                        <w:jc w:val="cente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身份证复印件（反面）</w:t>
                      </w:r>
                    </w:p>
                    <w:p/>
                  </w:txbxContent>
                </v:textbox>
              </v:rect>
            </w:pict>
          </mc:Fallback>
        </mc:AlternateConten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                      （盖单位章）</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5、授权委托书格式</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授权委托书</w:t>
      </w:r>
    </w:p>
    <w:p>
      <w:pPr>
        <w:keepNext w:val="0"/>
        <w:keepLines w:val="0"/>
        <w:pageBreakBefore w:val="0"/>
        <w:widowControl/>
        <w:kinsoku/>
        <w:topLinePunct w:val="0"/>
        <w:autoSpaceDE/>
        <w:autoSpaceDN/>
        <w:bidi w:val="0"/>
        <w:spacing w:line="360" w:lineRule="auto"/>
        <w:ind w:firstLine="720" w:firstLineChars="3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（姓名） 系</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（供应商名称） 的法定代表人， 现委托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（姓名）为我方代理人。代理人根据授权，以我方名义签署、澄清、说明、补正、递交、撤回、修改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（标段名称）投标文件、签订合同和处理有关事宜，其法律后果由我方承担。</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特此声明。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法人身份证：</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2873375</wp:posOffset>
                </wp:positionH>
                <wp:positionV relativeFrom="paragraph">
                  <wp:posOffset>124460</wp:posOffset>
                </wp:positionV>
                <wp:extent cx="2633345" cy="1417955"/>
                <wp:effectExtent l="7620" t="7620" r="26035" b="22225"/>
                <wp:wrapNone/>
                <wp:docPr id="18" name="矩形 19"/>
                <wp:cNvGraphicFramePr/>
                <a:graphic xmlns:a="http://schemas.openxmlformats.org/drawingml/2006/main">
                  <a:graphicData uri="http://schemas.microsoft.com/office/word/2010/wordprocessingShape">
                    <wps:wsp>
                      <wps:cNvSpPr/>
                      <wps:spPr>
                        <a:xfrm>
                          <a:off x="0" y="0"/>
                          <a:ext cx="2422525" cy="1249045"/>
                        </a:xfrm>
                        <a:prstGeom prst="rect">
                          <a:avLst/>
                        </a:prstGeom>
                        <a:solidFill>
                          <a:srgbClr val="FFFFFF"/>
                        </a:solidFill>
                        <a:ln w="15875" cap="flat" cmpd="sng">
                          <a:solidFill>
                            <a:srgbClr val="739CC3"/>
                          </a:solidFill>
                          <a:prstDash val="solid"/>
                          <a:miter/>
                          <a:headEnd type="none" w="med" len="med"/>
                          <a:tailEnd type="none" w="med" len="med"/>
                        </a:ln>
                        <a:effectLst/>
                      </wps:spPr>
                      <wps:txbx>
                        <w:txbxContent>
                          <w:p>
                            <w:pPr>
                              <w:rPr>
                                <w:sz w:val="32"/>
                              </w:rPr>
                            </w:pPr>
                          </w:p>
                          <w:p>
                            <w:pP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身份证复印件（反面）</w:t>
                            </w:r>
                          </w:p>
                          <w:p/>
                        </w:txbxContent>
                      </wps:txbx>
                      <wps:bodyPr upright="1"/>
                    </wps:wsp>
                  </a:graphicData>
                </a:graphic>
              </wp:anchor>
            </w:drawing>
          </mc:Choice>
          <mc:Fallback>
            <w:pict>
              <v:rect id="矩形 19" o:spid="_x0000_s1026" o:spt="1" style="position:absolute;left:0pt;margin-left:226.25pt;margin-top:9.8pt;height:111.65pt;width:207.35pt;z-index:251662336;mso-width-relative:page;mso-height-relative:page;" fillcolor="#FFFFFF" filled="t" stroked="t" coordsize="21600,21600" o:gfxdata="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97ldoAAAAKAQAADwAAAAAAAAABACAA&#10;AAAiAAAAZHJzL2Rvd25yZXYueG1sUEsBAhQAFAAAAAgAh07iQM+I+CoLAgAAOwQAAA4AAAAAAAAA&#10;AQAgAAAAKQEAAGRycy9lMm9Eb2MueG1sUEsFBgAAAAAGAAYAWQEAAKYFAAAAAA==&#10;">
                <v:fill on="t" focussize="0,0"/>
                <v:stroke weight="1.25pt" color="#739CC3" joinstyle="miter"/>
                <v:imagedata o:title=""/>
                <o:lock v:ext="edit" aspectratio="f"/>
                <v:textbox>
                  <w:txbxContent>
                    <w:p>
                      <w:pPr>
                        <w:rPr>
                          <w:sz w:val="32"/>
                        </w:rPr>
                      </w:pPr>
                    </w:p>
                    <w:p>
                      <w:pP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身份证复印件（反面）</w:t>
                      </w:r>
                    </w:p>
                    <w:p/>
                  </w:txbxContent>
                </v:textbox>
              </v:rect>
            </w:pict>
          </mc:Fallback>
        </mc:AlternateContent>
      </w:r>
      <w:r>
        <w:rPr>
          <w:rFonts w:hint="eastAsia" w:ascii="宋体" w:hAnsi="宋体" w:eastAsia="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-191135</wp:posOffset>
                </wp:positionH>
                <wp:positionV relativeFrom="paragraph">
                  <wp:posOffset>124460</wp:posOffset>
                </wp:positionV>
                <wp:extent cx="2720975" cy="1455420"/>
                <wp:effectExtent l="7620" t="7620" r="14605" b="22860"/>
                <wp:wrapNone/>
                <wp:docPr id="17" name="矩形 20"/>
                <wp:cNvGraphicFramePr/>
                <a:graphic xmlns:a="http://schemas.openxmlformats.org/drawingml/2006/main">
                  <a:graphicData uri="http://schemas.microsoft.com/office/word/2010/wordprocessingShape">
                    <wps:wsp>
                      <wps:cNvSpPr/>
                      <wps:spPr>
                        <a:xfrm>
                          <a:off x="0" y="0"/>
                          <a:ext cx="2422525" cy="1249045"/>
                        </a:xfrm>
                        <a:prstGeom prst="rect">
                          <a:avLst/>
                        </a:prstGeom>
                        <a:solidFill>
                          <a:srgbClr val="FFFFFF"/>
                        </a:solidFill>
                        <a:ln w="15875" cap="flat" cmpd="sng">
                          <a:solidFill>
                            <a:srgbClr val="739CC3"/>
                          </a:solidFill>
                          <a:prstDash val="solid"/>
                          <a:miter/>
                          <a:headEnd type="none" w="med" len="med"/>
                          <a:tailEnd type="none" w="med" len="med"/>
                        </a:ln>
                        <a:effectLst/>
                      </wps:spPr>
                      <wps:txbx>
                        <w:txbxContent>
                          <w:p>
                            <w:pPr>
                              <w:jc w:val="center"/>
                              <w:rPr>
                                <w:sz w:val="32"/>
                              </w:rPr>
                            </w:pPr>
                          </w:p>
                          <w:p>
                            <w:pP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身份证复印件（正面）</w:t>
                            </w:r>
                          </w:p>
                          <w:p/>
                        </w:txbxContent>
                      </wps:txbx>
                      <wps:bodyPr upright="1"/>
                    </wps:wsp>
                  </a:graphicData>
                </a:graphic>
              </wp:anchor>
            </w:drawing>
          </mc:Choice>
          <mc:Fallback>
            <w:pict>
              <v:rect id="矩形 20" o:spid="_x0000_s1026" o:spt="1" style="position:absolute;left:0pt;margin-left:-15.05pt;margin-top:9.8pt;height:114.6pt;width:214.25pt;z-index:251661312;mso-width-relative:page;mso-height-relative:page;" fillcolor="#FFFFFF" filled="t" stroked="t" coordsize="21600,21600" o:gfxdata="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VlFc9oAAAAKAQAADwAAAAAAAAABACAA&#10;AAAiAAAAZHJzL2Rvd25yZXYueG1sUEsBAhQAFAAAAAgAh07iQGIRW+gLAgAAOwQAAA4AAAAAAAAA&#10;AQAgAAAAKQEAAGRycy9lMm9Eb2MueG1sUEsFBgAAAAAGAAYAWQEAAKYFAAAAAA==&#10;">
                <v:fill on="t" focussize="0,0"/>
                <v:stroke weight="1.25pt" color="#739CC3" joinstyle="miter"/>
                <v:imagedata o:title=""/>
                <o:lock v:ext="edit" aspectratio="f"/>
                <v:textbox>
                  <w:txbxContent>
                    <w:p>
                      <w:pPr>
                        <w:jc w:val="center"/>
                        <w:rPr>
                          <w:sz w:val="32"/>
                        </w:rPr>
                      </w:pPr>
                    </w:p>
                    <w:p>
                      <w:pP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身份证复印件（正面）</w:t>
                      </w:r>
                    </w:p>
                    <w:p/>
                  </w:txbxContent>
                </v:textbox>
              </v:rect>
            </w:pict>
          </mc:Fallback>
        </mc:AlternateConten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委托人身份证：</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-191135</wp:posOffset>
                </wp:positionH>
                <wp:positionV relativeFrom="paragraph">
                  <wp:posOffset>30480</wp:posOffset>
                </wp:positionV>
                <wp:extent cx="2720975" cy="1355725"/>
                <wp:effectExtent l="8255" t="7620" r="13970" b="8255"/>
                <wp:wrapNone/>
                <wp:docPr id="19" name="矩形 22"/>
                <wp:cNvGraphicFramePr/>
                <a:graphic xmlns:a="http://schemas.openxmlformats.org/drawingml/2006/main">
                  <a:graphicData uri="http://schemas.microsoft.com/office/word/2010/wordprocessingShape">
                    <wps:wsp>
                      <wps:cNvSpPr/>
                      <wps:spPr>
                        <a:xfrm>
                          <a:off x="0" y="0"/>
                          <a:ext cx="2422525" cy="1249045"/>
                        </a:xfrm>
                        <a:prstGeom prst="rect">
                          <a:avLst/>
                        </a:prstGeom>
                        <a:solidFill>
                          <a:srgbClr val="FFFFFF"/>
                        </a:solidFill>
                        <a:ln w="15875" cap="flat" cmpd="sng">
                          <a:solidFill>
                            <a:srgbClr val="739CC3"/>
                          </a:solidFill>
                          <a:prstDash val="solid"/>
                          <a:miter/>
                          <a:headEnd type="none" w="med" len="med"/>
                          <a:tailEnd type="none" w="med" len="med"/>
                        </a:ln>
                        <a:effectLst/>
                      </wps:spPr>
                      <wps:txbx>
                        <w:txbxContent>
                          <w:p>
                            <w:pPr>
                              <w:jc w:val="center"/>
                              <w:rPr>
                                <w:sz w:val="32"/>
                              </w:rPr>
                            </w:pPr>
                          </w:p>
                          <w:p>
                            <w:pP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身份证复印件（正面）</w:t>
                            </w:r>
                          </w:p>
                          <w:p/>
                        </w:txbxContent>
                      </wps:txbx>
                      <wps:bodyPr upright="1"/>
                    </wps:wsp>
                  </a:graphicData>
                </a:graphic>
              </wp:anchor>
            </w:drawing>
          </mc:Choice>
          <mc:Fallback>
            <w:pict>
              <v:rect id="矩形 22" o:spid="_x0000_s1026" o:spt="1" style="position:absolute;left:0pt;margin-left:-15.05pt;margin-top:2.4pt;height:106.75pt;width:214.25pt;z-index:251663360;mso-width-relative:page;mso-height-relative:page;" fillcolor="#FFFFFF" filled="t" stroked="t" coordsize="21600,21600" o:gfxdata="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P5e2QAAAAkBAAAPAAAAAAAAAAEAIAAA&#10;ACIAAABkcnMvZG93bnJldi54bWxQSwECFAAUAAAACACHTuJAghPTiAsCAAA7BAAADgAAAAAAAAAB&#10;ACAAAAAoAQAAZHJzL2Uyb0RvYy54bWxQSwUGAAAAAAYABgBZAQAApQUAAAAA&#10;">
                <v:fill on="t" focussize="0,0"/>
                <v:stroke weight="1.25pt" color="#739CC3" joinstyle="miter"/>
                <v:imagedata o:title=""/>
                <o:lock v:ext="edit" aspectratio="f"/>
                <v:textbox>
                  <w:txbxContent>
                    <w:p>
                      <w:pPr>
                        <w:jc w:val="center"/>
                        <w:rPr>
                          <w:sz w:val="32"/>
                        </w:rPr>
                      </w:pPr>
                    </w:p>
                    <w:p>
                      <w:pP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身份证复印件（正面）</w:t>
                      </w:r>
                    </w:p>
                    <w:p/>
                  </w:txbxContent>
                </v:textbox>
              </v:rect>
            </w:pict>
          </mc:Fallback>
        </mc:AlternateContent>
      </w:r>
      <w:r>
        <w:rPr>
          <w:rFonts w:hint="eastAsia" w:ascii="宋体" w:hAnsi="宋体" w:eastAsia="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2873375</wp:posOffset>
                </wp:positionH>
                <wp:positionV relativeFrom="paragraph">
                  <wp:posOffset>19050</wp:posOffset>
                </wp:positionV>
                <wp:extent cx="2643505" cy="1334770"/>
                <wp:effectExtent l="7620" t="7620" r="15875" b="10160"/>
                <wp:wrapNone/>
                <wp:docPr id="20" name="矩形 21"/>
                <wp:cNvGraphicFramePr/>
                <a:graphic xmlns:a="http://schemas.openxmlformats.org/drawingml/2006/main">
                  <a:graphicData uri="http://schemas.microsoft.com/office/word/2010/wordprocessingShape">
                    <wps:wsp>
                      <wps:cNvSpPr/>
                      <wps:spPr>
                        <a:xfrm>
                          <a:off x="0" y="0"/>
                          <a:ext cx="2422525" cy="1249045"/>
                        </a:xfrm>
                        <a:prstGeom prst="rect">
                          <a:avLst/>
                        </a:prstGeom>
                        <a:solidFill>
                          <a:srgbClr val="FFFFFF"/>
                        </a:solidFill>
                        <a:ln w="15875" cap="flat" cmpd="sng">
                          <a:solidFill>
                            <a:srgbClr val="739CC3"/>
                          </a:solidFill>
                          <a:prstDash val="solid"/>
                          <a:miter/>
                          <a:headEnd type="none" w="med" len="med"/>
                          <a:tailEnd type="none" w="med" len="med"/>
                        </a:ln>
                        <a:effectLst/>
                      </wps:spPr>
                      <wps:txbx>
                        <w:txbxContent>
                          <w:p>
                            <w:pPr>
                              <w:jc w:val="center"/>
                              <w:rPr>
                                <w:sz w:val="32"/>
                              </w:rPr>
                            </w:pPr>
                          </w:p>
                          <w:p>
                            <w:pP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身份证复印件（反面）</w:t>
                            </w:r>
                          </w:p>
                          <w:p/>
                        </w:txbxContent>
                      </wps:txbx>
                      <wps:bodyPr upright="1"/>
                    </wps:wsp>
                  </a:graphicData>
                </a:graphic>
              </wp:anchor>
            </w:drawing>
          </mc:Choice>
          <mc:Fallback>
            <w:pict>
              <v:rect id="矩形 21" o:spid="_x0000_s1026" o:spt="1" style="position:absolute;left:0pt;margin-left:226.25pt;margin-top:1.5pt;height:105.1pt;width:208.15pt;z-index:251664384;mso-width-relative:page;mso-height-relative:page;" fillcolor="#FFFFFF" filled="t" stroked="t" coordsize="21600,21600" o:gfxdata="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NbkydkAAAAJAQAADwAAAAAAAAABACAA&#10;AAAiAAAAZHJzL2Rvd25yZXYueG1sUEsBAhQAFAAAAAgAh07iQEYYf0EMAgAAOwQAAA4AAAAAAAAA&#10;AQAgAAAAKAEAAGRycy9lMm9Eb2MueG1sUEsFBgAAAAAGAAYAWQEAAKYFAAAAAA==&#10;">
                <v:fill on="t" focussize="0,0"/>
                <v:stroke weight="1.25pt" color="#739CC3" joinstyle="miter"/>
                <v:imagedata o:title=""/>
                <o:lock v:ext="edit" aspectratio="f"/>
                <v:textbox>
                  <w:txbxContent>
                    <w:p>
                      <w:pPr>
                        <w:jc w:val="center"/>
                        <w:rPr>
                          <w:sz w:val="32"/>
                        </w:rPr>
                      </w:pPr>
                    </w:p>
                    <w:p>
                      <w:pPr>
                        <w:rPr>
                          <w:sz w:val="32"/>
                        </w:rPr>
                      </w:pPr>
                    </w:p>
                    <w:p>
                      <w:pPr>
                        <w:jc w:val="center"/>
                        <w:rPr>
                          <w:rFonts w:ascii="仿宋" w:hAnsi="仿宋" w:eastAsia="仿宋" w:cs="仿宋"/>
                          <w:sz w:val="21"/>
                          <w:szCs w:val="21"/>
                        </w:rPr>
                      </w:pPr>
                      <w:r>
                        <w:rPr>
                          <w:rFonts w:hint="eastAsia" w:ascii="仿宋" w:hAnsi="仿宋" w:eastAsia="仿宋" w:cs="仿宋"/>
                          <w:sz w:val="21"/>
                          <w:szCs w:val="21"/>
                        </w:rPr>
                        <w:t>身份证复印件（反面）</w:t>
                      </w:r>
                    </w:p>
                    <w:p/>
                  </w:txbxContent>
                </v:textbox>
              </v:rect>
            </w:pict>
          </mc:Fallback>
        </mc:AlternateConten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58"/>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58"/>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  应  商：                      （盖单位章）</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法定代表人：                          （签字）</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委托代理人：                          （签字）</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       期：      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*法人代表与被授权人身份证（复印件）需附在投标文件中。</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被授权人需携带身份证原件至现场 </w:t>
      </w:r>
      <w:r>
        <w:rPr>
          <w:rFonts w:hint="eastAsia" w:ascii="宋体" w:hAnsi="宋体" w:eastAsia="宋体" w:cs="宋体"/>
          <w:color w:val="000000" w:themeColor="text1"/>
          <w:sz w:val="28"/>
          <w:szCs w:val="28"/>
          <w:highlight w:val="none"/>
          <w14:textFill>
            <w14:solidFill>
              <w14:schemeClr w14:val="tx1"/>
            </w14:solidFill>
          </w14:textFill>
        </w:rPr>
        <w:t xml:space="preserve">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6、中小企业声明函格式</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中小企业声明函</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本公司郑重声明，根据《政府采购促进中小企业发展暂行办法》（财库[2011]181号）的规定，本公司为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（请填写：中型、小型、微型）企业。即，本公司同时满足以下条件：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1.根据《工业和信息化部、国家统计局、国家发展和改革委员会、财政部关于印发中小企业划型标准规定的通知》（工信部联企业[2011]300号）规定的划分标准，本公司为     （请填写：中型、小型、微型）企业。</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2.本公司参加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单位的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项目采购活动提供本企业制造的货物，由本企业承担工程、提供服务，或者提供其他</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（请填写：中型、小型、微型）企业制造的货物。本条所称货物不包括使用大型企业注册商标的货物。</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本公司对上述声明的真实性负责。如有虚假，将依法承担相应责任。</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投标人（盖章）：</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法定代表人或委托代理人（签字）：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     年     月     日</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说明：1.填写前请认真阅读《工业和信息化部、国家统计局、国家发展和改革委员会、财政部关于印发中小企业划型标准规定的通知》（工信部联企业[2011]300号）和《财政部 工业和信息化部关于印发＜政府采购促进中小企业发展暂行办法＞的通知》(财库[2011]181号)相关规定。</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2.中小企业部分提供其他中小企业制造货物的应另附说明，并与后面的开标一栏表保持一致。</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3.未按上述要求提供、填写的，评审时不予以考虑。</w:t>
      </w: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0" w:firstLineChars="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四、技术部分文件</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1、技术规格响应偏离表</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技术规格偏离表</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〔说明〕投标人应按照招标文件要求，根据“招标要求及技术参数”内容做出全面响应，对响应有差异的，则说明差异的内容 ，无差异的填写无偏离。</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投标人名称：              招标编号：                 </w:t>
      </w:r>
    </w:p>
    <w:tbl>
      <w:tblPr>
        <w:tblStyle w:val="59"/>
        <w:tblW w:w="91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024"/>
        <w:gridCol w:w="2324"/>
        <w:gridCol w:w="1943"/>
        <w:gridCol w:w="1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6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30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标书要求</w:t>
            </w:r>
          </w:p>
        </w:tc>
        <w:tc>
          <w:tcPr>
            <w:tcW w:w="23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投标响应</w:t>
            </w:r>
          </w:p>
        </w:tc>
        <w:tc>
          <w:tcPr>
            <w:tcW w:w="19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偏离</w:t>
            </w:r>
          </w:p>
        </w:tc>
        <w:tc>
          <w:tcPr>
            <w:tcW w:w="100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3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3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3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3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3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3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3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6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0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32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4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注：请对招标文件中“招标要求及技术参数”内容逐条响应</w:t>
      </w:r>
    </w:p>
    <w:p>
      <w:pPr>
        <w:keepNext w:val="0"/>
        <w:keepLines w:val="0"/>
        <w:pageBreakBefore w:val="0"/>
        <w:widowControl/>
        <w:kinsoku/>
        <w:topLinePunct w:val="0"/>
        <w:autoSpaceDE/>
        <w:autoSpaceDN/>
        <w:bidi w:val="0"/>
        <w:spacing w:line="360" w:lineRule="auto"/>
        <w:ind w:right="840" w:firstLine="6720" w:firstLineChars="280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right="840" w:firstLine="6720" w:firstLineChars="280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right="84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投标人（盖章）：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法定代表人或委托代理人（签字）：</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日期：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 xml:space="preserve">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2. 投标产品的品牌、型号、配置；</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 详细的技术指标和参数；</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 投标货物说明；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 售后服务方案；</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6. 投标人觉得有必要提供的其它证明材料。</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8"/>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rPr>
      </w:pPr>
    </w:p>
    <w:p>
      <w:pPr>
        <w:pageBreakBefore w:val="0"/>
        <w:kinsoku/>
        <w:topLinePunct w:val="0"/>
        <w:bidi w:val="0"/>
        <w:spacing w:line="360" w:lineRule="auto"/>
        <w:textAlignment w:val="auto"/>
        <w:rPr>
          <w:rFonts w:hint="eastAsia" w:ascii="宋体" w:hAnsi="宋体" w:eastAsia="宋体" w:cs="宋体"/>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五、商务部分文件</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8"/>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8"/>
        <w:pageBreakBefore w:val="0"/>
        <w:kinsoku/>
        <w:topLinePunct w:val="0"/>
        <w:bidi w:val="0"/>
        <w:spacing w:line="360" w:lineRule="auto"/>
        <w:textAlignment w:val="auto"/>
        <w:rPr>
          <w:rFonts w:hint="eastAsia" w:ascii="宋体" w:hAnsi="宋体" w:eastAsia="宋体" w:cs="宋体"/>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1、商务偏离表格式</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商务条款偏离表</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〔说明〕投标人应根据其提供的货物和服务，对照招标文件除“招标要求及技术要求”外的要求，有差异的，则在差异表中写明实际响应的具体内容，无差异的填写无偏离。</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投标人名称：                   招标编号：                       </w:t>
      </w:r>
    </w:p>
    <w:tbl>
      <w:tblPr>
        <w:tblStyle w:val="59"/>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460"/>
        <w:gridCol w:w="3416"/>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jc w:val="center"/>
        </w:trPr>
        <w:tc>
          <w:tcPr>
            <w:tcW w:w="1188" w:type="dxa"/>
            <w:tcBorders>
              <w:top w:val="double" w:color="auto" w:sz="4" w:space="0"/>
              <w:lef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460" w:type="dxa"/>
            <w:tcBorders>
              <w:top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招标文件要求</w:t>
            </w:r>
          </w:p>
        </w:tc>
        <w:tc>
          <w:tcPr>
            <w:tcW w:w="3416" w:type="dxa"/>
            <w:tcBorders>
              <w:top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投标文件内容</w:t>
            </w:r>
          </w:p>
        </w:tc>
        <w:tc>
          <w:tcPr>
            <w:tcW w:w="2175" w:type="dxa"/>
            <w:tcBorders>
              <w:top w:val="double" w:color="auto" w:sz="4" w:space="0"/>
              <w:righ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实际响应的具体内容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88" w:type="dxa"/>
            <w:tcBorders>
              <w:lef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46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投标有效期</w:t>
            </w:r>
          </w:p>
        </w:tc>
        <w:tc>
          <w:tcPr>
            <w:tcW w:w="341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175" w:type="dxa"/>
            <w:tcBorders>
              <w:righ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88" w:type="dxa"/>
            <w:tcBorders>
              <w:lef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46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付款条件</w:t>
            </w:r>
          </w:p>
        </w:tc>
        <w:tc>
          <w:tcPr>
            <w:tcW w:w="341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175" w:type="dxa"/>
            <w:tcBorders>
              <w:righ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88" w:type="dxa"/>
            <w:tcBorders>
              <w:lef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46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资格条件</w:t>
            </w:r>
          </w:p>
        </w:tc>
        <w:tc>
          <w:tcPr>
            <w:tcW w:w="341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175" w:type="dxa"/>
            <w:tcBorders>
              <w:righ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188" w:type="dxa"/>
            <w:tcBorders>
              <w:lef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46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341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175" w:type="dxa"/>
            <w:tcBorders>
              <w:righ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88" w:type="dxa"/>
            <w:tcBorders>
              <w:lef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46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41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175" w:type="dxa"/>
            <w:tcBorders>
              <w:righ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88" w:type="dxa"/>
            <w:tcBorders>
              <w:lef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46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41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175" w:type="dxa"/>
            <w:tcBorders>
              <w:righ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88" w:type="dxa"/>
            <w:tcBorders>
              <w:lef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46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416"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175" w:type="dxa"/>
            <w:tcBorders>
              <w:right w:val="double" w:color="auto" w:sz="4" w:space="0"/>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right="84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投标人（盖章）：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法定代表人或委托代理人（签字）：</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日期：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2、拟投入本项目实施人员简历表</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2.1拟投入本项目负责人简历表</w:t>
      </w:r>
    </w:p>
    <w:tbl>
      <w:tblPr>
        <w:tblStyle w:val="59"/>
        <w:tblW w:w="8940" w:type="dxa"/>
        <w:jc w:val="center"/>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Layout w:type="fixed"/>
        <w:tblCellMar>
          <w:top w:w="0" w:type="dxa"/>
          <w:left w:w="0" w:type="dxa"/>
          <w:bottom w:w="0" w:type="dxa"/>
          <w:right w:w="0" w:type="dxa"/>
        </w:tblCellMar>
      </w:tblPr>
      <w:tblGrid>
        <w:gridCol w:w="795"/>
        <w:gridCol w:w="996"/>
        <w:gridCol w:w="996"/>
        <w:gridCol w:w="996"/>
        <w:gridCol w:w="1043"/>
        <w:gridCol w:w="1359"/>
        <w:gridCol w:w="859"/>
        <w:gridCol w:w="1045"/>
        <w:gridCol w:w="851"/>
      </w:tblGrid>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897" w:hRule="exact"/>
          <w:jc w:val="center"/>
        </w:trPr>
        <w:tc>
          <w:tcPr>
            <w:tcW w:w="795" w:type="dxa"/>
            <w:vMerge w:val="restart"/>
            <w:tcBorders>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类别</w:t>
            </w:r>
          </w:p>
        </w:tc>
        <w:tc>
          <w:tcPr>
            <w:tcW w:w="996" w:type="dxa"/>
            <w:vMerge w:val="restart"/>
            <w:tcBorders>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职务</w:t>
            </w:r>
          </w:p>
        </w:tc>
        <w:tc>
          <w:tcPr>
            <w:tcW w:w="996" w:type="dxa"/>
            <w:vMerge w:val="restart"/>
            <w:tcBorders>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996" w:type="dxa"/>
            <w:vMerge w:val="restart"/>
            <w:tcBorders>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职称</w:t>
            </w:r>
          </w:p>
        </w:tc>
        <w:tc>
          <w:tcPr>
            <w:tcW w:w="1043" w:type="dxa"/>
            <w:vMerge w:val="restart"/>
            <w:tcBorders>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常住地</w:t>
            </w:r>
          </w:p>
        </w:tc>
        <w:tc>
          <w:tcPr>
            <w:tcW w:w="4114" w:type="dxa"/>
            <w:gridSpan w:val="4"/>
            <w:tcBorders>
              <w:left w:val="single" w:color="000000" w:sz="4" w:space="0"/>
              <w:bottom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资格证明</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（如果有需附复印件）</w:t>
            </w:r>
          </w:p>
        </w:tc>
      </w:tr>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901" w:hRule="exact"/>
          <w:jc w:val="center"/>
        </w:trPr>
        <w:tc>
          <w:tcPr>
            <w:tcW w:w="795" w:type="dxa"/>
            <w:vMerge w:val="continue"/>
            <w:tcBorders>
              <w:top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证书名称</w:t>
            </w:r>
          </w:p>
        </w:tc>
        <w:tc>
          <w:tcPr>
            <w:tcW w:w="8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级别</w:t>
            </w:r>
          </w:p>
        </w:tc>
        <w:tc>
          <w:tcPr>
            <w:tcW w:w="104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证号</w:t>
            </w:r>
          </w:p>
        </w:tc>
        <w:tc>
          <w:tcPr>
            <w:tcW w:w="851" w:type="dxa"/>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专业</w:t>
            </w:r>
          </w:p>
        </w:tc>
      </w:tr>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899" w:hRule="exact"/>
          <w:jc w:val="center"/>
        </w:trPr>
        <w:tc>
          <w:tcPr>
            <w:tcW w:w="795" w:type="dxa"/>
            <w:vMerge w:val="restart"/>
            <w:tcBorders>
              <w:top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管 理 人 员</w:t>
            </w: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1" w:type="dxa"/>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897" w:hRule="exact"/>
          <w:jc w:val="center"/>
        </w:trPr>
        <w:tc>
          <w:tcPr>
            <w:tcW w:w="795" w:type="dxa"/>
            <w:vMerge w:val="continue"/>
            <w:tcBorders>
              <w:top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1" w:type="dxa"/>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897" w:hRule="exact"/>
          <w:jc w:val="center"/>
        </w:trPr>
        <w:tc>
          <w:tcPr>
            <w:tcW w:w="795" w:type="dxa"/>
            <w:vMerge w:val="continue"/>
            <w:tcBorders>
              <w:top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1" w:type="dxa"/>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901" w:hRule="exact"/>
          <w:jc w:val="center"/>
        </w:trPr>
        <w:tc>
          <w:tcPr>
            <w:tcW w:w="795" w:type="dxa"/>
            <w:vMerge w:val="restart"/>
            <w:tcBorders>
              <w:top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 术 人 员</w:t>
            </w: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1" w:type="dxa"/>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899" w:hRule="exact"/>
          <w:jc w:val="center"/>
        </w:trPr>
        <w:tc>
          <w:tcPr>
            <w:tcW w:w="795" w:type="dxa"/>
            <w:vMerge w:val="continue"/>
            <w:tcBorders>
              <w:top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1" w:type="dxa"/>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897" w:hRule="exact"/>
          <w:jc w:val="center"/>
        </w:trPr>
        <w:tc>
          <w:tcPr>
            <w:tcW w:w="795" w:type="dxa"/>
            <w:vMerge w:val="restart"/>
            <w:tcBorders>
              <w:top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售 后 服 务 人 员</w:t>
            </w: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1" w:type="dxa"/>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901" w:hRule="exact"/>
          <w:jc w:val="center"/>
        </w:trPr>
        <w:tc>
          <w:tcPr>
            <w:tcW w:w="795" w:type="dxa"/>
            <w:vMerge w:val="continue"/>
            <w:tcBorders>
              <w:top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9"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5" w:type="dxa"/>
            <w:tcBorders>
              <w:top w:val="single" w:color="000000" w:sz="4" w:space="0"/>
              <w:left w:val="single" w:color="000000" w:sz="4" w:space="0"/>
              <w:bottom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1" w:type="dxa"/>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0" w:type="dxa"/>
            <w:bottom w:w="0" w:type="dxa"/>
            <w:right w:w="0" w:type="dxa"/>
          </w:tblCellMar>
        </w:tblPrEx>
        <w:trPr>
          <w:trHeight w:val="970" w:hRule="exact"/>
          <w:jc w:val="center"/>
        </w:trPr>
        <w:tc>
          <w:tcPr>
            <w:tcW w:w="795" w:type="dxa"/>
            <w:vMerge w:val="continue"/>
            <w:tcBorders>
              <w:top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96" w:type="dxa"/>
            <w:tcBorders>
              <w:top w:val="single" w:color="000000" w:sz="4" w:space="0"/>
              <w:left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3" w:type="dxa"/>
            <w:tcBorders>
              <w:top w:val="single" w:color="000000" w:sz="4" w:space="0"/>
              <w:left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59" w:type="dxa"/>
            <w:tcBorders>
              <w:top w:val="single" w:color="000000" w:sz="4" w:space="0"/>
              <w:left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9" w:type="dxa"/>
            <w:tcBorders>
              <w:top w:val="single" w:color="000000" w:sz="4" w:space="0"/>
              <w:left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045" w:type="dxa"/>
            <w:tcBorders>
              <w:top w:val="single" w:color="000000" w:sz="4" w:space="0"/>
              <w:left w:val="single" w:color="000000" w:sz="4" w:space="0"/>
              <w:righ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51" w:type="dxa"/>
            <w:tcBorders>
              <w:top w:val="single" w:color="000000" w:sz="4" w:space="0"/>
              <w:left w:val="single" w:color="000000" w:sz="4" w:space="0"/>
              <w:tl2br w:val="nil"/>
              <w:tr2bl w:val="nil"/>
            </w:tcBorders>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p>
      <w:pPr>
        <w:keepNext w:val="0"/>
        <w:keepLines w:val="0"/>
        <w:pageBreakBefore w:val="0"/>
        <w:widowControl/>
        <w:kinsoku/>
        <w:topLinePunct w:val="0"/>
        <w:autoSpaceDE/>
        <w:autoSpaceDN/>
        <w:bidi w:val="0"/>
        <w:spacing w:line="360" w:lineRule="auto"/>
        <w:ind w:right="84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right="84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投标人（盖章）：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法定代表人或委托代理人（签字）：</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日期： </w:t>
      </w:r>
    </w:p>
    <w:p>
      <w:pPr>
        <w:keepNext w:val="0"/>
        <w:keepLines w:val="0"/>
        <w:pageBreakBefore w:val="0"/>
        <w:widowControl/>
        <w:kinsoku/>
        <w:wordWrap w:val="0"/>
        <w:topLinePunct w:val="0"/>
        <w:autoSpaceDE/>
        <w:autoSpaceDN/>
        <w:bidi w:val="0"/>
        <w:spacing w:line="360" w:lineRule="auto"/>
        <w:ind w:right="210"/>
        <w:jc w:val="right"/>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3、类似业绩证明材料</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（1）投标人类似业绩一览表</w:t>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类似业绩一栏表</w:t>
      </w:r>
    </w:p>
    <w:tbl>
      <w:tblPr>
        <w:tblStyle w:val="59"/>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987"/>
        <w:gridCol w:w="1800"/>
        <w:gridCol w:w="1641"/>
        <w:gridCol w:w="1754"/>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项目地址及电话</w:t>
            </w: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合同内容</w:t>
            </w: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合同总价</w:t>
            </w: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93"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87"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800"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41"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754"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5" w:type="dxa"/>
            <w:vAlign w:val="center"/>
          </w:tcPr>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投标人相关资料和业绩证明材料（以提供合同或中标通知书为准）</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（2）投标人认为有必要提供的其他有关资料</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sz w:val="24"/>
          <w:szCs w:val="24"/>
          <w:highlight w:val="none"/>
          <w:u w:val="none"/>
          <w14:textFill>
            <w14:solidFill>
              <w14:schemeClr w14:val="tx1"/>
            </w14:solidFill>
          </w14:textFill>
        </w:rPr>
        <w:t>（3）新成立的公司如无业绩证明材料需提供声明（格式自拟）</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u w:val="singl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4、优惠、培训、售后服务承诺</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4.1优惠条件承诺书</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经仔细阅读你们的招标文件，我们同意招标文件中有关优惠条件的要求，对所投标项目向贵单位特作如下优惠条件承诺：</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特此承诺！</w:t>
      </w: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承诺方授权代表签字：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职   务：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承诺方名称：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承诺方印章：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地址：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邮编：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电话：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传真：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4.2培训计划承诺</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经仔细阅读你们的招标文件，我们同意招标文件中有关培训计划的要求，对所投标项目向贵单位特作如下培训计划承诺：</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特此承诺！</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承诺方授权代表签字：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职   务：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承诺方名称：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承诺方印章：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地址：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邮编：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电话：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传真：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4.3售后服务承诺</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投标人应详细说明售后服务保证内容，备品备件供应情况，出现故障响应时间及售后服务人员情况，并填写下表：</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售后服务承诺</w:t>
      </w:r>
    </w:p>
    <w:tbl>
      <w:tblPr>
        <w:tblStyle w:val="59"/>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86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厂商（电话、地址、联系人）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886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现行售后服务的主要内容：（可附宣传材料）</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86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投标人（电话、地址、联系人）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886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现行售后服务的主要内容：（可附宣传材料）</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7" w:hRule="atLeast"/>
        </w:trPr>
        <w:tc>
          <w:tcPr>
            <w:tcW w:w="8860" w:type="dxa"/>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售后服务技术人员简历：（姓名，性别，年龄，身份证号，学历，毕业院校，专业，联系电话，资格或培训证明，从事与本次采购相关项目的售后服务技术工作经历）</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特此承诺！</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承诺方授权代表签字：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职   务：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承诺方名称（公章）：                 </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日期：  年   月   日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4.4投标人承诺提供不低于一年原厂免费质保，并出具承诺函（原件装订于投标文件正本中）。</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六、其他部分及密封要求</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其他部分内容及格式</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1）投标保证金交付凭证复印件；</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2）同意招标文件条款声明；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3）虚假应标承担责任声明；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4）投标保证金特别情况延长退还时间承诺函；</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5）招标文件代理服务费确认书格式。</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1、投标保证金交付凭证复印件</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2、同意招标文件条款声明格式</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同意招标文件条款声明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致: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为响应你方组织的项目的货物及服务的招标采购，项目编号为：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,我方在参与投标前已详细研究了招标文件的所有内容，包括修改或更改（正）文件（如果有的话）和所有已提供的参考资料以及有关附件，我方完全明白并认为此招标文 件没有倾向性，也没有存在排斥潜在投标人的内容，我方同意招标文件的相关条 款并承诺参与投标后不再对招标文件的任何条款提出质疑或异议。</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特此声明！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供应商（法人公章）：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授权代表（签名或盖章）：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日期：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3、虚假应标承担责任声明格式</w:t>
      </w: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虚假应标承担责任声明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致: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我公司承诺所提供的投标文件（包括一切技术资料、技术承诺、商务承诺等）均真实有效，若在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项目招标过程中（包括开评标、中标公示过程）及履行合同期间（包括验收过程）发现我公司产品（或服务）与投标响应（文件）不一致，或 发现我公司提供了不真实的投标文件（虚假材料），我公司愿意承担一切法律责 任并认可采购人或采购代理机构作出的取消中标资格、罚没保证金等决定。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特此声明！</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供应商（法人公章）：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授权代表（签名或盖章）：              </w:t>
      </w:r>
    </w:p>
    <w:p>
      <w:pPr>
        <w:keepNext w:val="0"/>
        <w:keepLines w:val="0"/>
        <w:pageBreakBefore w:val="0"/>
        <w:widowControl/>
        <w:kinsoku/>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日期：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4、投标保证金特别情况延长退还时间承诺函格式</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投标保证金特别情况延长退还时间承诺函</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致: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为响应你方组织的采购项目的货物及相关服务的招标，项目编号为：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我方承诺，若出现特别情况，同意你方延长投标保证金的退还时间。特别情况包括牵涉质疑投诉（包括质疑投诉或被质疑投诉）、采购人验收要求、监管部门要求、不能在规定时间内确定中标（成交）投标人的其他特殊情况。</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特此承诺！</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right="84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投标人（盖章）：</w:t>
      </w:r>
    </w:p>
    <w:p>
      <w:pPr>
        <w:keepNext w:val="0"/>
        <w:keepLines w:val="0"/>
        <w:pageBreakBefore w:val="0"/>
        <w:widowControl/>
        <w:kinsoku/>
        <w:topLinePunct w:val="0"/>
        <w:autoSpaceDE/>
        <w:autoSpaceDN/>
        <w:bidi w:val="0"/>
        <w:spacing w:line="360" w:lineRule="auto"/>
        <w:ind w:right="84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法定代表人或委托代理人（签字）：</w:t>
      </w:r>
    </w:p>
    <w:p>
      <w:pPr>
        <w:pStyle w:val="2"/>
        <w:keepNext w:val="0"/>
        <w:keepLines w:val="0"/>
        <w:pageBreakBefore w:val="0"/>
        <w:kinsoku/>
        <w:wordWrap/>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日期：  </w:t>
      </w:r>
      <w:r>
        <w:rPr>
          <w:rFonts w:hint="eastAsia" w:ascii="宋体" w:hAnsi="宋体" w:eastAsia="宋体" w:cs="宋体"/>
          <w:color w:val="000000" w:themeColor="text1"/>
          <w:sz w:val="28"/>
          <w:szCs w:val="28"/>
          <w:highlight w:val="none"/>
          <w14:textFill>
            <w14:solidFill>
              <w14:schemeClr w14:val="tx1"/>
            </w14:solidFill>
          </w14:textFill>
        </w:rPr>
        <w:t xml:space="preserve">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5、招标文件代理服务费确认书格式</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代理服务费确认书</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致: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参照国家计委《招标代理服务收费管理暂行办法》（计价格[2002]1980号）和国家发改委《国家发展改革委办公厅关于招标代理服务费有关问题的通知》（发改办价格[2003]857号）文件的有关规定，经采购人、采购代理机构和投标人协商，同意本次招标（招标项目名称）（项目编号：）的招标代理服务费向中标供应商收取。</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若我单位中标，将按招标文件中规定的内容向贵单位支付代理服务费。</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right="84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投标人（盖章）：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法定代表人或委托代理人（签字）：</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日期：   </w:t>
      </w:r>
      <w:r>
        <w:rPr>
          <w:rFonts w:hint="eastAsia" w:ascii="宋体" w:hAnsi="宋体" w:eastAsia="宋体" w:cs="宋体"/>
          <w:color w:val="000000" w:themeColor="text1"/>
          <w:sz w:val="28"/>
          <w:szCs w:val="28"/>
          <w:highlight w:val="none"/>
          <w14:textFill>
            <w14:solidFill>
              <w14:schemeClr w14:val="tx1"/>
            </w14:solidFill>
          </w14:textFill>
        </w:rPr>
        <w:t xml:space="preserve"> </w:t>
      </w:r>
    </w:p>
    <w:p>
      <w:pPr>
        <w:keepNext w:val="0"/>
        <w:keepLines w:val="0"/>
        <w:pageBreakBefore w:val="0"/>
        <w:widowControl/>
        <w:kinsoku/>
        <w:wordWrap w:val="0"/>
        <w:topLinePunct w:val="0"/>
        <w:autoSpaceDE/>
        <w:autoSpaceDN/>
        <w:bidi w:val="0"/>
        <w:spacing w:line="360" w:lineRule="auto"/>
        <w:jc w:val="right"/>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bCs/>
          <w:color w:val="000000" w:themeColor="text1"/>
          <w:sz w:val="28"/>
          <w:szCs w:val="28"/>
          <w:highlight w:val="none"/>
          <w14:textFill>
            <w14:solidFill>
              <w14:schemeClr w14:val="tx1"/>
            </w14:solidFill>
          </w14:textFill>
        </w:rPr>
      </w:pPr>
      <w:bookmarkStart w:id="131" w:name="_Toc60421812"/>
      <w:r>
        <w:rPr>
          <w:rFonts w:hint="eastAsia" w:ascii="宋体" w:hAnsi="宋体" w:eastAsia="宋体" w:cs="宋体"/>
          <w:b/>
          <w:bCs/>
          <w:color w:val="000000" w:themeColor="text1"/>
          <w:sz w:val="28"/>
          <w:szCs w:val="28"/>
          <w:highlight w:val="none"/>
          <w14:textFill>
            <w14:solidFill>
              <w14:schemeClr w14:val="tx1"/>
            </w14:solidFill>
          </w14:textFill>
        </w:rPr>
        <w:t>密封格式要求</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1、开标一览表信封（内放开标一览表，提交时须单独密封）；</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2、投标文件电子版U盘一份、电子光盘一份（提交时须单独密封）</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3、投标纸质文件一式三份（正本1份，副本2份）1份正本单独密封，2份副本可选择单独或一起密封；</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开标一栏标信封及投标电子版信封格式</w:t>
      </w:r>
      <w:bookmarkEnd w:id="131"/>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请按以下内容填写开标信信封电子版信封抬头，并将黑框剪下，贴在开标信信封及电子版信封外面，除非特殊情况，否则请不要更改信封格式:</w:t>
      </w:r>
    </w:p>
    <w:tbl>
      <w:tblPr>
        <w:tblStyle w:val="59"/>
        <w:tblW w:w="8600"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3375"/>
        <w:gridCol w:w="522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775" w:hRule="atLeast"/>
          <w:jc w:val="center"/>
        </w:trPr>
        <w:tc>
          <w:tcPr>
            <w:tcW w:w="8600" w:type="dxa"/>
            <w:gridSpan w:val="2"/>
            <w:tcBorders>
              <w:tl2br w:val="nil"/>
              <w:tr2bl w:val="nil"/>
            </w:tcBorders>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开标一览表                               单独提交</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61" w:hRule="atLeast"/>
          <w:jc w:val="center"/>
        </w:trPr>
        <w:tc>
          <w:tcPr>
            <w:tcW w:w="8600" w:type="dxa"/>
            <w:gridSpan w:val="2"/>
            <w:tcBorders>
              <w:tl2br w:val="nil"/>
              <w:tr2bl w:val="nil"/>
            </w:tcBorders>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致：  甘肃中远天成项目管理咨询有限公司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61" w:hRule="atLeast"/>
          <w:jc w:val="center"/>
        </w:trPr>
        <w:tc>
          <w:tcPr>
            <w:tcW w:w="3375" w:type="dxa"/>
            <w:tcBorders>
              <w:tl2br w:val="nil"/>
              <w:tr2bl w:val="nil"/>
            </w:tcBorders>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5225" w:type="dxa"/>
            <w:tcBorders>
              <w:tl2br w:val="nil"/>
              <w:tr2bl w:val="nil"/>
            </w:tcBorders>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61" w:hRule="atLeast"/>
          <w:jc w:val="center"/>
        </w:trPr>
        <w:tc>
          <w:tcPr>
            <w:tcW w:w="3375" w:type="dxa"/>
            <w:tcBorders>
              <w:tl2br w:val="nil"/>
              <w:tr2bl w:val="nil"/>
            </w:tcBorders>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招标编号：</w:t>
            </w:r>
          </w:p>
        </w:tc>
        <w:tc>
          <w:tcPr>
            <w:tcW w:w="5225" w:type="dxa"/>
            <w:tcBorders>
              <w:tl2br w:val="nil"/>
              <w:tr2bl w:val="nil"/>
            </w:tcBorders>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98" w:hRule="atLeast"/>
          <w:jc w:val="center"/>
        </w:trPr>
        <w:tc>
          <w:tcPr>
            <w:tcW w:w="3375" w:type="dxa"/>
            <w:tcBorders>
              <w:tl2br w:val="nil"/>
              <w:tr2bl w:val="nil"/>
            </w:tcBorders>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 标 人：</w:t>
            </w:r>
          </w:p>
        </w:tc>
        <w:tc>
          <w:tcPr>
            <w:tcW w:w="5225" w:type="dxa"/>
            <w:tcBorders>
              <w:tl2br w:val="nil"/>
              <w:tr2bl w:val="nil"/>
            </w:tcBorders>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（盖章）</w:t>
            </w: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bl>
      <w:tblPr>
        <w:tblStyle w:val="59"/>
        <w:tblW w:w="85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79"/>
        <w:gridCol w:w="42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jc w:val="center"/>
        </w:trPr>
        <w:tc>
          <w:tcPr>
            <w:tcW w:w="8560" w:type="dxa"/>
            <w:gridSpan w:val="2"/>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电子版（U盘）                           单独提交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7" w:hRule="atLeast"/>
          <w:jc w:val="center"/>
        </w:trPr>
        <w:tc>
          <w:tcPr>
            <w:tcW w:w="8560" w:type="dxa"/>
            <w:gridSpan w:val="2"/>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致：  甘肃中远天成项目管理咨询有限公司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7" w:hRule="atLeast"/>
          <w:jc w:val="center"/>
        </w:trPr>
        <w:tc>
          <w:tcPr>
            <w:tcW w:w="4279"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4281"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7" w:hRule="atLeast"/>
          <w:jc w:val="center"/>
        </w:trPr>
        <w:tc>
          <w:tcPr>
            <w:tcW w:w="4279"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招标编号：</w:t>
            </w:r>
          </w:p>
        </w:tc>
        <w:tc>
          <w:tcPr>
            <w:tcW w:w="4281"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jc w:val="center"/>
        </w:trPr>
        <w:tc>
          <w:tcPr>
            <w:tcW w:w="4279"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 标 人：</w:t>
            </w:r>
          </w:p>
        </w:tc>
        <w:tc>
          <w:tcPr>
            <w:tcW w:w="4281"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（盖章）</w:t>
            </w: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bl>
      <w:tblPr>
        <w:tblStyle w:val="59"/>
        <w:tblW w:w="84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30"/>
        <w:gridCol w:w="42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2" w:hRule="atLeast"/>
          <w:jc w:val="center"/>
        </w:trPr>
        <w:tc>
          <w:tcPr>
            <w:tcW w:w="8460" w:type="dxa"/>
            <w:gridSpan w:val="2"/>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电子版（光盘）                           单独提交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7" w:hRule="atLeast"/>
          <w:jc w:val="center"/>
        </w:trPr>
        <w:tc>
          <w:tcPr>
            <w:tcW w:w="8460" w:type="dxa"/>
            <w:gridSpan w:val="2"/>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致：  甘肃中远天成项目管理咨询有限公司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7" w:hRule="atLeast"/>
          <w:jc w:val="center"/>
        </w:trPr>
        <w:tc>
          <w:tcPr>
            <w:tcW w:w="4230"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4230"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7" w:hRule="atLeast"/>
          <w:jc w:val="center"/>
        </w:trPr>
        <w:tc>
          <w:tcPr>
            <w:tcW w:w="4230"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招标编号：</w:t>
            </w:r>
          </w:p>
        </w:tc>
        <w:tc>
          <w:tcPr>
            <w:tcW w:w="4230"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2" w:hRule="atLeast"/>
          <w:jc w:val="center"/>
        </w:trPr>
        <w:tc>
          <w:tcPr>
            <w:tcW w:w="4230"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 标 人：</w:t>
            </w:r>
          </w:p>
        </w:tc>
        <w:tc>
          <w:tcPr>
            <w:tcW w:w="4230"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（盖章）</w:t>
            </w: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pStyle w:val="2"/>
        <w:pageBreakBefore w:val="0"/>
        <w:kinsoku/>
        <w:topLinePunct w:val="0"/>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纸质文件（正本及副本）内外封套必须标明以下内容：</w:t>
      </w:r>
    </w:p>
    <w:p>
      <w:pPr>
        <w:keepNext w:val="0"/>
        <w:keepLines w:val="0"/>
        <w:pageBreakBefore w:val="0"/>
        <w:widowControl/>
        <w:kinsoku/>
        <w:topLinePunct w:val="0"/>
        <w:autoSpaceDE/>
        <w:autoSpaceDN/>
        <w:bidi w:val="0"/>
        <w:spacing w:line="360" w:lineRule="auto"/>
        <w:ind w:firstLine="20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项目名称：</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right="1120" w:firstLine="200"/>
        <w:jc w:val="righ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正本或副本</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包    号：</w:t>
      </w:r>
    </w:p>
    <w:p>
      <w:pPr>
        <w:keepNext w:val="0"/>
        <w:keepLines w:val="0"/>
        <w:pageBreakBefore w:val="0"/>
        <w:widowControl/>
        <w:kinsoku/>
        <w:topLinePunct w:val="0"/>
        <w:autoSpaceDE/>
        <w:autoSpaceDN/>
        <w:bidi w:val="0"/>
        <w:spacing w:line="360" w:lineRule="auto"/>
        <w:ind w:firstLine="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招标文件编号：</w:t>
      </w: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招标代理机构：甘肃中远天成项目管理咨询有限公司</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投标人名称：（盖章）</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投标人地址：</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法定代表人或委托代理人（签字）：</w:t>
      </w: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投标文件在  年  月  日  时 分前不得开启</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36"/>
          <w:szCs w:val="36"/>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36"/>
          <w:szCs w:val="36"/>
          <w:highlight w:val="none"/>
          <w14:textFill>
            <w14:solidFill>
              <w14:schemeClr w14:val="tx1"/>
            </w14:solidFill>
          </w14:textFill>
        </w:rPr>
      </w:pPr>
    </w:p>
    <w:p>
      <w:pPr>
        <w:pStyle w:val="2"/>
        <w:keepNext w:val="0"/>
        <w:keepLines w:val="0"/>
        <w:pageBreakBefore w:val="0"/>
        <w:kinsoku/>
        <w:topLinePunct w:val="0"/>
        <w:autoSpaceDE/>
        <w:autoSpaceDN/>
        <w:bidi w:val="0"/>
        <w:spacing w:line="360" w:lineRule="auto"/>
        <w:textAlignment w:val="auto"/>
        <w:rPr>
          <w:rFonts w:hint="eastAsia" w:ascii="宋体" w:hAnsi="宋体" w:eastAsia="宋体" w:cs="宋体"/>
          <w:color w:val="000000" w:themeColor="text1"/>
          <w:sz w:val="36"/>
          <w:szCs w:val="36"/>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bookmarkStart w:id="132" w:name="_Toc511205942"/>
      <w:r>
        <w:rPr>
          <w:rFonts w:hint="eastAsia" w:ascii="宋体" w:hAnsi="宋体" w:eastAsia="宋体" w:cs="宋体"/>
          <w:b/>
          <w:bCs/>
          <w:color w:val="000000" w:themeColor="text1"/>
          <w:sz w:val="36"/>
          <w:szCs w:val="36"/>
          <w:highlight w:val="none"/>
          <w14:textFill>
            <w14:solidFill>
              <w14:schemeClr w14:val="tx1"/>
            </w14:solidFill>
          </w14:textFill>
        </w:rPr>
        <w:t>第六部分  合同文件</w:t>
      </w:r>
      <w:bookmarkEnd w:id="132"/>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本合同文本为格式合同，其涉及到的条款主要为通用条款。采购人及中标人在签订正式合同时，可根据项目特点、属性、要求等需要，对项目实施过程中的供货周期、质量控制、工艺流程、检测检验、验收标准等内容，在不违反招标文件的原则下进行详细约定，或签订补充协议。</w:t>
      </w:r>
    </w:p>
    <w:p>
      <w:pPr>
        <w:pStyle w:val="2"/>
        <w:keepNext w:val="0"/>
        <w:keepLines w:val="0"/>
        <w:pageBreakBefore w:val="0"/>
        <w:widowControl/>
        <w:kinsoku/>
        <w:topLinePunct w:val="0"/>
        <w:autoSpaceDE/>
        <w:autoSpaceDN/>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40"/>
          <w:szCs w:val="40"/>
          <w:highlight w:val="none"/>
          <w:lang w:eastAsia="zh-CN"/>
          <w14:textFill>
            <w14:solidFill>
              <w14:schemeClr w14:val="tx1"/>
            </w14:solidFill>
          </w14:textFill>
        </w:rPr>
        <w:t>甘肃省康复中心PCR标准化实验室建设项目</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     备案号：</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t>采购合同</w:t>
      </w:r>
    </w:p>
    <w:p>
      <w:pPr>
        <w:keepNext w:val="0"/>
        <w:keepLines w:val="0"/>
        <w:pageBreakBefore w:val="0"/>
        <w:widowControl/>
        <w:kinsoku/>
        <w:topLinePunct w:val="0"/>
        <w:autoSpaceDE/>
        <w:autoSpaceDN/>
        <w:bidi w:val="0"/>
        <w:spacing w:line="360" w:lineRule="auto"/>
        <w:ind w:firstLine="1400" w:firstLineChars="50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招标文件编号：</w:t>
      </w:r>
    </w:p>
    <w:p>
      <w:pPr>
        <w:keepNext w:val="0"/>
        <w:keepLines w:val="0"/>
        <w:pageBreakBefore w:val="0"/>
        <w:widowControl/>
        <w:kinsoku/>
        <w:topLinePunct w:val="0"/>
        <w:autoSpaceDE/>
        <w:autoSpaceDN/>
        <w:bidi w:val="0"/>
        <w:spacing w:line="360" w:lineRule="auto"/>
        <w:ind w:firstLine="1400" w:firstLineChars="50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合同编号：</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8"/>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8"/>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8"/>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Style w:val="48"/>
        <w:pageBreakBefore w:val="0"/>
        <w:kinsoku/>
        <w:topLinePunct w:val="0"/>
        <w:bidi w:val="0"/>
        <w:spacing w:line="360" w:lineRule="auto"/>
        <w:textAlignment w:val="auto"/>
        <w:rPr>
          <w:rFonts w:hint="eastAsia" w:ascii="宋体" w:hAnsi="宋体" w:eastAsia="宋体" w:cs="宋体"/>
          <w:color w:val="000000" w:themeColor="text1"/>
          <w:sz w:val="28"/>
          <w:szCs w:val="28"/>
          <w:highlight w:val="none"/>
          <w14:textFill>
            <w14:solidFill>
              <w14:schemeClr w14:val="tx1"/>
            </w14:solidFill>
          </w14:textFill>
        </w:rPr>
      </w:pPr>
    </w:p>
    <w:p>
      <w:pPr>
        <w:pageBreakBefore w:val="0"/>
        <w:kinsoku/>
        <w:topLinePunct w:val="0"/>
        <w:bidi w:val="0"/>
        <w:spacing w:line="360" w:lineRule="auto"/>
        <w:textAlignment w:val="auto"/>
        <w:rPr>
          <w:rFonts w:hint="eastAsia" w:ascii="宋体" w:hAnsi="宋体" w:eastAsia="宋体" w:cs="宋体"/>
        </w:rPr>
      </w:pPr>
    </w:p>
    <w:p>
      <w:pPr>
        <w:keepNext w:val="0"/>
        <w:keepLines w:val="0"/>
        <w:pageBreakBefore w:val="0"/>
        <w:widowControl/>
        <w:kinsoku/>
        <w:topLinePunct w:val="0"/>
        <w:autoSpaceDE/>
        <w:autoSpaceDN/>
        <w:bidi w:val="0"/>
        <w:spacing w:line="360" w:lineRule="auto"/>
        <w:ind w:firstLine="560" w:firstLineChars="200"/>
        <w:textAlignment w:val="auto"/>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采 购 人：</w:t>
      </w:r>
      <w:r>
        <w:rPr>
          <w:rFonts w:hint="eastAsia" w:ascii="宋体" w:hAnsi="宋体" w:eastAsia="宋体" w:cs="宋体"/>
          <w:color w:val="000000" w:themeColor="text1"/>
          <w:sz w:val="28"/>
          <w:szCs w:val="28"/>
          <w:highlight w:val="none"/>
          <w:lang w:eastAsia="zh-CN"/>
          <w14:textFill>
            <w14:solidFill>
              <w14:schemeClr w14:val="tx1"/>
            </w14:solidFill>
          </w14:textFill>
        </w:rPr>
        <w:t>甘肃省康复中心</w:t>
      </w:r>
    </w:p>
    <w:p>
      <w:pPr>
        <w:keepNext w:val="0"/>
        <w:keepLines w:val="0"/>
        <w:pageBreakBefore w:val="0"/>
        <w:widowControl/>
        <w:kinsoku/>
        <w:topLinePunct w:val="0"/>
        <w:autoSpaceDE/>
        <w:autoSpaceDN/>
        <w:bidi w:val="0"/>
        <w:spacing w:line="360" w:lineRule="auto"/>
        <w:ind w:firstLine="560" w:firstLineChars="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供 应 商：×  ×  ×  ×  ×  ×  ×</w:t>
      </w:r>
    </w:p>
    <w:p>
      <w:pPr>
        <w:keepNext w:val="0"/>
        <w:keepLines w:val="0"/>
        <w:pageBreakBefore w:val="0"/>
        <w:widowControl/>
        <w:kinsoku/>
        <w:topLinePunct w:val="0"/>
        <w:autoSpaceDE/>
        <w:autoSpaceDN/>
        <w:bidi w:val="0"/>
        <w:spacing w:line="360" w:lineRule="auto"/>
        <w:ind w:firstLine="560" w:firstLineChars="20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招标代理：甘肃中远天成项目管理咨询有限公司 </w:t>
      </w:r>
      <w:r>
        <w:rPr>
          <w:rFonts w:hint="eastAsia" w:ascii="宋体" w:hAnsi="宋体" w:eastAsia="宋体" w:cs="宋体"/>
          <w:color w:val="000000" w:themeColor="text1"/>
          <w:sz w:val="28"/>
          <w:szCs w:val="28"/>
          <w:highlight w:val="none"/>
          <w14:textFill>
            <w14:solidFill>
              <w14:schemeClr w14:val="tx1"/>
            </w14:solidFill>
          </w14:textFill>
        </w:rPr>
        <w:br w:type="page"/>
      </w:r>
    </w:p>
    <w:p>
      <w:pPr>
        <w:keepNext w:val="0"/>
        <w:keepLines w:val="0"/>
        <w:pageBreakBefore w:val="0"/>
        <w:widowControl/>
        <w:kinsoku/>
        <w:topLinePunct w:val="0"/>
        <w:autoSpaceDE/>
        <w:autoSpaceDN/>
        <w:bidi w:val="0"/>
        <w:spacing w:line="360" w:lineRule="auto"/>
        <w:jc w:val="center"/>
        <w:textAlignment w:val="auto"/>
        <w:rPr>
          <w:rFonts w:hint="eastAsia" w:ascii="宋体" w:hAnsi="宋体" w:eastAsia="宋体" w:cs="宋体"/>
          <w:b/>
          <w:color w:val="000000" w:themeColor="text1"/>
          <w:w w:val="99"/>
          <w:sz w:val="32"/>
          <w:szCs w:val="32"/>
          <w:highlight w:val="none"/>
          <w14:textFill>
            <w14:solidFill>
              <w14:schemeClr w14:val="tx1"/>
            </w14:solidFill>
          </w14:textFill>
        </w:rPr>
      </w:pPr>
      <w:r>
        <w:rPr>
          <w:rFonts w:hint="eastAsia" w:ascii="宋体" w:hAnsi="宋体" w:eastAsia="宋体" w:cs="宋体"/>
          <w:b/>
          <w:color w:val="000000" w:themeColor="text1"/>
          <w:spacing w:val="2"/>
          <w:w w:val="99"/>
          <w:sz w:val="32"/>
          <w:szCs w:val="32"/>
          <w:highlight w:val="none"/>
          <w14:textFill>
            <w14:solidFill>
              <w14:schemeClr w14:val="tx1"/>
            </w14:solidFill>
          </w14:textFill>
        </w:rPr>
        <w:t xml:space="preserve">合  </w:t>
      </w:r>
      <w:r>
        <w:rPr>
          <w:rFonts w:hint="eastAsia" w:ascii="宋体" w:hAnsi="宋体" w:eastAsia="宋体" w:cs="宋体"/>
          <w:b/>
          <w:color w:val="000000" w:themeColor="text1"/>
          <w:w w:val="99"/>
          <w:sz w:val="32"/>
          <w:szCs w:val="32"/>
          <w:highlight w:val="none"/>
          <w14:textFill>
            <w14:solidFill>
              <w14:schemeClr w14:val="tx1"/>
            </w14:solidFill>
          </w14:textFill>
        </w:rPr>
        <w:t>同</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合同编号：</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采购人（全称）：           （买方）</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供应商（全称）：       </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（卖方）</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为了保护采购人、供应商双方合法权益，根据《中华人民共和国合同法》、《中华人民共和国政府采购法》和《中华人民共和国政府采购法实施条例》及其他有关法律、法规、规章，双方签订本合同协议书。</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1.项目信息</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（1）项目名称：                                         </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（2）招标文件编号：                            </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（3）项目内容：                             </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2.货物清单（附件）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3.合同金额</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（1）合同金额小写：     万元 </w:t>
      </w:r>
    </w:p>
    <w:p>
      <w:pPr>
        <w:keepNext w:val="0"/>
        <w:keepLines w:val="0"/>
        <w:pageBreakBefore w:val="0"/>
        <w:widowControl/>
        <w:kinsoku/>
        <w:topLinePunct w:val="0"/>
        <w:autoSpaceDE/>
        <w:autoSpaceDN/>
        <w:bidi w:val="0"/>
        <w:spacing w:line="360" w:lineRule="auto"/>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大        写：                        </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（2）合同价格形式：合同价格包括成本、税款、包装、运费及装卸费、售后服务等货物交付使用前的全部费用，价格一次确定不再变更。  </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4.履行合同的时间、地点 </w:t>
      </w:r>
    </w:p>
    <w:p>
      <w:pPr>
        <w:keepNext w:val="0"/>
        <w:keepLines w:val="0"/>
        <w:pageBreakBefore w:val="0"/>
        <w:widowControl/>
        <w:kinsoku/>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起始日期：     年    月     日，完成日期：     年    月     日。   </w:t>
      </w:r>
    </w:p>
    <w:p>
      <w:pPr>
        <w:keepNext w:val="0"/>
        <w:keepLines w:val="0"/>
        <w:pageBreakBefore w:val="0"/>
        <w:widowControl/>
        <w:kinsoku/>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总日历天数：     天。</w:t>
      </w:r>
    </w:p>
    <w:p>
      <w:pPr>
        <w:keepNext w:val="0"/>
        <w:keepLines w:val="0"/>
        <w:pageBreakBefore w:val="0"/>
        <w:widowControl/>
        <w:tabs>
          <w:tab w:val="left" w:pos="2280"/>
        </w:tabs>
        <w:kinsoku/>
        <w:overflowPunct w:val="0"/>
        <w:topLinePunct w:val="0"/>
        <w:autoSpaceDE/>
        <w:autoSpaceDN/>
        <w:bidi w:val="0"/>
        <w:spacing w:line="360" w:lineRule="auto"/>
        <w:ind w:left="648" w:leftChars="27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地点：     </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5.付款方式及履约保证金：</w:t>
      </w:r>
    </w:p>
    <w:p>
      <w:pPr>
        <w:pStyle w:val="21"/>
        <w:pageBreakBefore w:val="0"/>
        <w:kinsoku/>
        <w:topLinePunct w:val="0"/>
        <w:bidi w:val="0"/>
        <w:spacing w:line="360" w:lineRule="auto"/>
        <w:textAlignment w:val="auto"/>
        <w:rPr>
          <w:rFonts w:hint="eastAsia"/>
          <w:color w:val="auto"/>
          <w:lang w:val="en-US" w:eastAsia="zh-CN"/>
        </w:rPr>
      </w:pPr>
      <w:r>
        <w:rPr>
          <w:rFonts w:hint="eastAsia"/>
          <w:color w:val="auto"/>
          <w:lang w:val="en-US" w:eastAsia="zh-CN"/>
        </w:rPr>
        <w:t>第一包：付款方式及质量保证金：货物安装调试完毕、验收合格并签署《验收报告单》后，凭验收报告单及按合同总价开具的发票（完税价），采购人支付合同总价款的70%，6个月后无质量问题支付合同总价款的20%，剩余的10%作为质量保证金（中标供应商的质量保证金不计利息）；待设备正常运行二年（24个月）无任何质量问题后，买方支付剩余的合同货款。</w:t>
      </w:r>
    </w:p>
    <w:p>
      <w:pPr>
        <w:keepNext w:val="0"/>
        <w:keepLines w:val="0"/>
        <w:pageBreakBefore w:val="0"/>
        <w:widowControl/>
        <w:kinsoku/>
        <w:topLinePunct w:val="0"/>
        <w:autoSpaceDE/>
        <w:autoSpaceDN/>
        <w:bidi w:val="0"/>
        <w:spacing w:line="360" w:lineRule="auto"/>
        <w:ind w:firstLine="480" w:firstLineChars="200"/>
        <w:textAlignment w:val="auto"/>
        <w:rPr>
          <w:rFonts w:hint="eastAsia"/>
          <w:color w:val="auto"/>
          <w:lang w:val="en-US" w:eastAsia="zh-CN"/>
        </w:rPr>
      </w:pPr>
      <w:r>
        <w:rPr>
          <w:rFonts w:hint="eastAsia"/>
          <w:color w:val="auto"/>
          <w:lang w:val="en-US" w:eastAsia="zh-CN"/>
        </w:rPr>
        <w:t>第二包：以实际造价审核结果为准，付实际结算款的97%，留3%作为质量保证金，质保期结束后付清。</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6.解决合同纠纷方式</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首先通过双方协商解决，协商解决不成，则通过以下途径之一解决纠纷：提请仲裁向人民法院提起诉讼。</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7.组成合同的文件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本协议书与下列文件一起构成合同文件，如下述文件之间有任何抵触、矛盾或歧义，应按以下顺序解释：</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（1）在采购或合同履行过程中卖方做出的承诺以及双方协商达成的变更或补充协议</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（2）中标通知书</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（3）投标文件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（4）政府采购合同格式条款及其附件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（5）合同条款</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（6）合同条款附件</w:t>
      </w:r>
    </w:p>
    <w:p>
      <w:pPr>
        <w:keepNext w:val="0"/>
        <w:keepLines w:val="0"/>
        <w:pageBreakBefore w:val="0"/>
        <w:widowControl/>
        <w:tabs>
          <w:tab w:val="left" w:pos="8820"/>
          <w:tab w:val="left" w:pos="9345"/>
          <w:tab w:val="left" w:pos="9765"/>
        </w:tabs>
        <w:kinsoku/>
        <w:topLinePunct w:val="0"/>
        <w:autoSpaceDE/>
        <w:autoSpaceDN/>
        <w:bidi w:val="0"/>
        <w:adjustRightInd w:val="0"/>
        <w:snapToGrid w:val="0"/>
        <w:spacing w:line="360" w:lineRule="auto"/>
        <w:ind w:right="439" w:rightChars="183" w:firstLine="1200" w:firstLineChars="5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附件 1开标一览表</w:t>
      </w:r>
    </w:p>
    <w:p>
      <w:pPr>
        <w:keepNext w:val="0"/>
        <w:keepLines w:val="0"/>
        <w:pageBreakBefore w:val="0"/>
        <w:widowControl/>
        <w:tabs>
          <w:tab w:val="left" w:pos="8820"/>
          <w:tab w:val="left" w:pos="9345"/>
          <w:tab w:val="left" w:pos="9765"/>
        </w:tabs>
        <w:kinsoku/>
        <w:topLinePunct w:val="0"/>
        <w:autoSpaceDE/>
        <w:autoSpaceDN/>
        <w:bidi w:val="0"/>
        <w:adjustRightInd w:val="0"/>
        <w:snapToGrid w:val="0"/>
        <w:spacing w:line="360" w:lineRule="auto"/>
        <w:ind w:right="439" w:rightChars="183"/>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附件 2报价明细表</w:t>
      </w:r>
    </w:p>
    <w:p>
      <w:pPr>
        <w:keepNext w:val="0"/>
        <w:keepLines w:val="0"/>
        <w:pageBreakBefore w:val="0"/>
        <w:widowControl/>
        <w:tabs>
          <w:tab w:val="left" w:pos="8820"/>
          <w:tab w:val="left" w:pos="9345"/>
          <w:tab w:val="left" w:pos="9765"/>
        </w:tabs>
        <w:kinsoku/>
        <w:topLinePunct w:val="0"/>
        <w:autoSpaceDE/>
        <w:autoSpaceDN/>
        <w:bidi w:val="0"/>
        <w:adjustRightInd w:val="0"/>
        <w:snapToGrid w:val="0"/>
        <w:spacing w:line="360" w:lineRule="auto"/>
        <w:ind w:right="439" w:rightChars="183"/>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附件 3技术规格偏离表</w:t>
      </w:r>
    </w:p>
    <w:p>
      <w:pPr>
        <w:keepNext w:val="0"/>
        <w:keepLines w:val="0"/>
        <w:pageBreakBefore w:val="0"/>
        <w:widowControl/>
        <w:tabs>
          <w:tab w:val="left" w:pos="8820"/>
          <w:tab w:val="left" w:pos="9345"/>
          <w:tab w:val="left" w:pos="9765"/>
        </w:tabs>
        <w:kinsoku/>
        <w:topLinePunct w:val="0"/>
        <w:autoSpaceDE/>
        <w:autoSpaceDN/>
        <w:bidi w:val="0"/>
        <w:adjustRightInd w:val="0"/>
        <w:snapToGrid w:val="0"/>
        <w:spacing w:line="360" w:lineRule="auto"/>
        <w:ind w:right="439" w:rightChars="183" w:firstLine="1200" w:firstLineChars="5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附件 4质量保证、售后承诺及相关内容</w:t>
      </w:r>
    </w:p>
    <w:p>
      <w:pPr>
        <w:keepNext w:val="0"/>
        <w:keepLines w:val="0"/>
        <w:pageBreakBefore w:val="0"/>
        <w:widowControl/>
        <w:tabs>
          <w:tab w:val="left" w:pos="8820"/>
          <w:tab w:val="left" w:pos="9345"/>
          <w:tab w:val="left" w:pos="9765"/>
        </w:tabs>
        <w:kinsoku/>
        <w:topLinePunct w:val="0"/>
        <w:autoSpaceDE/>
        <w:autoSpaceDN/>
        <w:bidi w:val="0"/>
        <w:adjustRightInd w:val="0"/>
        <w:snapToGrid w:val="0"/>
        <w:spacing w:line="360" w:lineRule="auto"/>
        <w:ind w:right="439" w:rightChars="183"/>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附件 5中标通知书</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（7）其他合同文件。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9.合同生效</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本合同自  采购人、供应商双方代表签字，并加盖公章后 生效。</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10.合同份数</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本合同一式</w:t>
      </w:r>
      <w:r>
        <w:rPr>
          <w:rFonts w:hint="eastAsia" w:ascii="宋体" w:hAnsi="宋体" w:eastAsia="宋体" w:cs="宋体"/>
          <w:color w:val="000000" w:themeColor="text1"/>
          <w:sz w:val="24"/>
          <w:szCs w:val="24"/>
          <w:highlight w:val="none"/>
          <w:lang w:val="en-US" w:eastAsia="zh-CN"/>
          <w14:textFill>
            <w14:solidFill>
              <w14:schemeClr w14:val="tx1"/>
            </w14:solidFill>
          </w14:textFill>
        </w:rPr>
        <w:t>陆</w:t>
      </w:r>
      <w:r>
        <w:rPr>
          <w:rFonts w:hint="eastAsia" w:ascii="宋体" w:hAnsi="宋体" w:eastAsia="宋体" w:cs="宋体"/>
          <w:color w:val="000000" w:themeColor="text1"/>
          <w:sz w:val="24"/>
          <w:szCs w:val="24"/>
          <w:highlight w:val="none"/>
          <w14:textFill>
            <w14:solidFill>
              <w14:schemeClr w14:val="tx1"/>
            </w14:solidFill>
          </w14:textFill>
        </w:rPr>
        <w:t>份，采购人执</w:t>
      </w:r>
      <w:r>
        <w:rPr>
          <w:rFonts w:hint="eastAsia" w:ascii="宋体" w:hAnsi="宋体" w:eastAsia="宋体" w:cs="宋体"/>
          <w:color w:val="000000" w:themeColor="text1"/>
          <w:sz w:val="24"/>
          <w:szCs w:val="24"/>
          <w:highlight w:val="none"/>
          <w:lang w:val="en-US" w:eastAsia="zh-CN"/>
          <w14:textFill>
            <w14:solidFill>
              <w14:schemeClr w14:val="tx1"/>
            </w14:solidFill>
          </w14:textFill>
        </w:rPr>
        <w:t>贰</w:t>
      </w:r>
      <w:r>
        <w:rPr>
          <w:rFonts w:hint="eastAsia" w:ascii="宋体" w:hAnsi="宋体" w:eastAsia="宋体" w:cs="宋体"/>
          <w:color w:val="000000" w:themeColor="text1"/>
          <w:sz w:val="24"/>
          <w:szCs w:val="24"/>
          <w:highlight w:val="none"/>
          <w14:textFill>
            <w14:solidFill>
              <w14:schemeClr w14:val="tx1"/>
            </w14:solidFill>
          </w14:textFill>
        </w:rPr>
        <w:t>份，供应商执</w:t>
      </w:r>
      <w:r>
        <w:rPr>
          <w:rFonts w:hint="eastAsia" w:ascii="宋体" w:hAnsi="宋体" w:eastAsia="宋体" w:cs="宋体"/>
          <w:color w:val="000000" w:themeColor="text1"/>
          <w:sz w:val="24"/>
          <w:szCs w:val="24"/>
          <w:highlight w:val="none"/>
          <w:lang w:val="en-US" w:eastAsia="zh-CN"/>
          <w14:textFill>
            <w14:solidFill>
              <w14:schemeClr w14:val="tx1"/>
            </w14:solidFill>
          </w14:textFill>
        </w:rPr>
        <w:t>贰</w:t>
      </w:r>
      <w:r>
        <w:rPr>
          <w:rFonts w:hint="eastAsia" w:ascii="宋体" w:hAnsi="宋体" w:eastAsia="宋体" w:cs="宋体"/>
          <w:color w:val="000000" w:themeColor="text1"/>
          <w:sz w:val="24"/>
          <w:szCs w:val="24"/>
          <w:highlight w:val="none"/>
          <w14:textFill>
            <w14:solidFill>
              <w14:schemeClr w14:val="tx1"/>
            </w14:solidFill>
          </w14:textFill>
        </w:rPr>
        <w:t>份，代理机构</w:t>
      </w:r>
      <w:r>
        <w:rPr>
          <w:rFonts w:hint="eastAsia" w:ascii="宋体" w:hAnsi="宋体" w:eastAsia="宋体" w:cs="宋体"/>
          <w:color w:val="000000" w:themeColor="text1"/>
          <w:sz w:val="24"/>
          <w:szCs w:val="24"/>
          <w:highlight w:val="none"/>
          <w:lang w:val="en-US" w:eastAsia="zh-CN"/>
          <w14:textFill>
            <w14:solidFill>
              <w14:schemeClr w14:val="tx1"/>
            </w14:solidFill>
          </w14:textFill>
        </w:rPr>
        <w:t>贰</w:t>
      </w:r>
      <w:r>
        <w:rPr>
          <w:rFonts w:hint="eastAsia" w:ascii="宋体" w:hAnsi="宋体" w:eastAsia="宋体" w:cs="宋体"/>
          <w:color w:val="000000" w:themeColor="text1"/>
          <w:sz w:val="24"/>
          <w:szCs w:val="24"/>
          <w:highlight w:val="none"/>
          <w14:textFill>
            <w14:solidFill>
              <w14:schemeClr w14:val="tx1"/>
            </w14:solidFill>
          </w14:textFill>
        </w:rPr>
        <w:t>份，均具有同等法律效力。</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合同订立时间：         年      月      日</w:t>
      </w:r>
      <w:r>
        <w:rPr>
          <w:rFonts w:hint="eastAsia" w:ascii="宋体" w:hAnsi="宋体" w:eastAsia="宋体" w:cs="宋体"/>
          <w:color w:val="000000" w:themeColor="text1"/>
          <w:sz w:val="24"/>
          <w:szCs w:val="24"/>
          <w:highlight w:val="none"/>
          <w14:textFill>
            <w14:solidFill>
              <w14:schemeClr w14:val="tx1"/>
            </w14:solidFill>
          </w14:textFill>
        </w:rPr>
        <w:tab/>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合同订立地点：___________________________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此页无正文</w:t>
      </w:r>
    </w:p>
    <w:tbl>
      <w:tblPr>
        <w:tblStyle w:val="59"/>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4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94" w:hRule="atLeast"/>
          <w:jc w:val="center"/>
        </w:trPr>
        <w:tc>
          <w:tcPr>
            <w:tcW w:w="4537"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采购人（公章）：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邮编：</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签字日期:      年    月    日</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 办 人:</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签字日期：     年    月    日</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开户行： </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p>
        </w:tc>
        <w:tc>
          <w:tcPr>
            <w:tcW w:w="4542" w:type="dxa"/>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供应商（公章）：  </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邮编：</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签字日期:      年    月    日</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 办 人:</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签字日期：     年    月    日</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开户行： </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4" w:hRule="exact"/>
          <w:jc w:val="center"/>
        </w:trPr>
        <w:tc>
          <w:tcPr>
            <w:tcW w:w="9079" w:type="dxa"/>
            <w:gridSpan w:val="2"/>
            <w:vAlign w:val="center"/>
          </w:tcPr>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招标代理机构：甘肃中远天成项目管理咨询有限公司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盖</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章：</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址：兰州市城关区盐场路陇能家园B区17号楼（写字楼）东单元16层</w:t>
            </w:r>
          </w:p>
          <w:p>
            <w:pPr>
              <w:pStyle w:val="2"/>
              <w:keepNext w:val="0"/>
              <w:keepLines w:val="0"/>
              <w:pageBreakBefore w:val="0"/>
              <w:widowControl/>
              <w:kinsoku/>
              <w:topLinePunct w:val="0"/>
              <w:autoSpaceDE/>
              <w:autoSpaceDN/>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话：0931-8362129</w:t>
            </w:r>
            <w:r>
              <w:rPr>
                <w:rFonts w:hint="eastAsia" w:ascii="宋体" w:hAnsi="宋体" w:eastAsia="宋体" w:cs="宋体"/>
                <w:color w:val="000000" w:themeColor="text1"/>
                <w:sz w:val="24"/>
                <w:szCs w:val="24"/>
                <w:highlight w:val="none"/>
                <w14:textFill>
                  <w14:solidFill>
                    <w14:schemeClr w14:val="tx1"/>
                  </w14:solidFill>
                </w14:textFill>
              </w:rPr>
              <w:tab/>
            </w:r>
          </w:p>
          <w:p>
            <w:pPr>
              <w:pStyle w:val="2"/>
              <w:keepNext w:val="0"/>
              <w:keepLines w:val="0"/>
              <w:pageBreakBefore w:val="0"/>
              <w:widowControl/>
              <w:kinsoku/>
              <w:topLinePunct w:val="0"/>
              <w:autoSpaceDE/>
              <w:autoSpaceDN/>
              <w:bidi w:val="0"/>
              <w:spacing w:line="360" w:lineRule="auto"/>
              <w:ind w:left="0" w:leftChars="0"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招标代理机构代表签字：</w:t>
            </w:r>
          </w:p>
        </w:tc>
      </w:tr>
    </w:tbl>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二、政府采购合同通用条款</w:t>
      </w:r>
    </w:p>
    <w:p>
      <w:pPr>
        <w:keepNext w:val="0"/>
        <w:keepLines w:val="0"/>
        <w:pageBreakBefore w:val="0"/>
        <w:widowControl/>
        <w:kinsoku/>
        <w:topLinePunct w:val="0"/>
        <w:autoSpaceDE/>
        <w:autoSpaceDN/>
        <w:bidi w:val="0"/>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1.定义</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1.1合同当事人</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（1）采购人(以下称买方)是指使用财政性资金，通过政府采购程序向供应商购买货物、服务的国家机关、事业单位、团体组织。</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（2）供应商(以下称卖方)是指参加政府采购活动而取得投标资格，并向采购人提供货物、服务的法人、其他组织或者自然人。</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1.2本合同下列术语应解释为：</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（1）“合同”系指采购人供应商双方签署的、政府采购合同协议书中载明的采购人供应商双方所达成的协议，包括所有的附件、附录和上述文件所提到的构成合同的所有文件。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（2）“合同价”系指根据本合同规定卖方在正确地完全履行合同义务后买方应支付给卖方的价款。</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（3）“货物”系指卖方根据本合同规定须向买方提供的各种形态和种类的物品，包括原材料、设备、产品(包括软件)及相关的其备品备件、工具、手册及其它技术资料和材料。</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（4）“伴随服务”系指根据本合同规定卖方承担与供货有关的辅助服务，如运输、保险以及其它的伴随服务，例如安装、调试、提供技术协助、培训和合同中规定卖方应承担的其它义务。</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（5）“合同条款”系指本合同条款。</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（6）“项目现场”系指本合同项下货物安装、运行的现场，其名称在政府采购合同专用条款指明。</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2.合同的适用范围</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 本合同条款适用于没有被本合同其他部分的条款所取代的范围。</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 合同内容根据招标文件、投标文件而确定。</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3.合同标的及金额</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 合同标的及金额应与招标结果一致，具体的(服务)货物名称、规格、型号、数量和价格见政府采购合同专用条款。</w:t>
      </w:r>
    </w:p>
    <w:p>
      <w:pPr>
        <w:keepNext w:val="0"/>
        <w:keepLines w:val="0"/>
        <w:pageBreakBefore w:val="0"/>
        <w:widowControl/>
        <w:kinsoku/>
        <w:topLinePunct w:val="0"/>
        <w:autoSpaceDE/>
        <w:autoSpaceDN/>
        <w:bidi w:val="0"/>
        <w:spacing w:line="360" w:lineRule="auto"/>
        <w:ind w:firstLine="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4.合同价款</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4.1具体合同价款见本合同第3.1项。卖方为履行本合同而发生的所有费用均应包含在合同价款中，买方不再另行支付其它任何费用。</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5.履行合同的时间、地点和方式</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 卖方应当在买方确定的时间、指定的地点履行合同，具体的交货时间、地点和方式见政府采购合同专用条款。</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 卖方提供服务的应当在买方指定的地点完成服务项目。</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6.货物的验收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 买方在收到卖方交付的货物后应当及时组织验收。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 货物的表面瑕疵，买方应在验收时当面提出；对质量问题有异议的应在安装调试后十个工作日内提出。</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6.3 在验收过程中发现数量不足或有质量、技术等问题，卖方应负责按照买方的要求采取补足、更换或退货等处理措施，并承担由此发生的一切费用和损失。</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6.4 买方在卖方按合同规定交货或安装、调试后，无正当理由而拖延接收、验收或拒绝接收、验收的，应承担因此给卖方造成的直接损失。</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6.5 买方对货物进行检查验收合格后，应当收取发票并在验收报告上签署验收意见及加盖单位印章。</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6.6 大型或者复杂的货物采购项目，买方可以邀请国家认可的质量检测机构参加验收工作，并由其出具验收报告单。</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6.7 卖方提供的进口产品，卖方应出示中华人民共和国进出口商品检验部门出具的检验证书（招标文件另有约定的除外）。</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7.货物包装要求</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 卖方所出售的全部货物均应按标准保护措施进行包装，包装应适应于远距离运输、防潮、防震、防锈和防野蛮装卸等要求，以确保货物安全无损地运抵指定现场。由于包装防护措施不妥而引起的损坏、丢失由卖方负责。</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 每一个包装箱内应附一份详细装箱单、质量证书和保修保养证书。</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8.运输和保险</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8.1卖方负责办理将货物运抵本合同第五条规定的交货地点的一切运输事项，相关费用应包括在合同总价中。</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8.2卖方应向保险公司投保以买方为受益人的发运合同货物发票金额的110％运输一切险。</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9.质量标准和保证</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9.1 质量标准</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（1）本合同下交付的货物应符合第八章采购需求所述的标准。如果没有提及适用标准，则应符合中华人民共和国有关机构发布的最新版本的标准。</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（2）采用中华人民共和国法定计量单位。</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（3）卖方所出售的货物还应符合国家有关安全、环保、卫生之规定。</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9.2 保证</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卖方应保证所供货物是全新的、未使用过的，并完全符合合同规定的质量、规格和性能的要求。卖方应保证其货物在正确安装、正常使用和保养条件下，在其使用寿命期内应具有满意的性能，或者没有因卖方的行为或疏忽而产生的缺陷。在货物最终交付验收后不少于政府采购合同专用条款规定或卖方承诺（两者以较长的为准）的质量保证期内，本保证保持有效。</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（2）在质量保证期内所发现的缺陷，买方应尽快以书面形式通知卖方。</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（3）卖方收到通知后应在政府采购合同专用条款规定的响应时间内以合理的速度免费维修或更换有缺陷的货物或部件。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（4）在质量保证期内，如果货物的质量或规格与合同不符，或证实货物是有缺陷的，包括潜在的缺陷或使用不符合要求的材料等，买方可以根据本合同第15.1项规定以书面形式向卖方提出补救措施或索赔。</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（5）卖方在约定的时间内未能弥补缺陷，买方可采取必要的补救措施，但其风险和费用将由卖方承担，买方根据合同规定对卖方行使的其他权利不受影响。</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10.权利瑕疵担保</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10.1 卖方保证对其出售的货物享有合法的权利。</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10.2 卖方保证在其出售的货物上不存在任何未曾向买方透露的担保物权，如抵押权、质押权、留置权等。</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10.3 如买方使用该货物构成上述侵权的，则由卖方承担全部责任。</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11.知识产权保护</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 卖方对其所销售的货物应当享有知识产权或经权利人合法授权，保证没有侵犯任何第三人的知识产权和商业秘密等权利。</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 买方使用卖方提供的货物对第三人构成侵权的，应当由卖方承担全部法律责任，给买方造成损害的，卖方应当承担赔偿责任。</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 买方委托卖方开发的产品，买方享有知识产权，未经买方许可不得转让任何第三人。</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12.保密义务</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12.1 采购人、供应商双方在采购和履行合同过程中所获悉的对方属于保密的内容，采购人供应商双方均有保密义务。</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13.合同价款支付</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13.1验收合格后，卖方出具正规发票给买方，凭买方开具的《政府采购合同验收报告单》办理合同价款结算手续。</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13.2 合同价款构成中应当由财政支付的部分，买方应当在货物验收合格后的十五个工作日内向管理部门申请支付，经管理部门审核后直接支付给卖方。</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13.3 合同价款构成中应当由买方自行支付的部分，买方应当在货物验收合格后十五个工作内支付。</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13.4支付合同价款时，一律不向卖方以外的任何第三方办理付款手续。开户行和帐号以签订的政府采购合同为准，如果卖方要求变更，则卖方必须提供加盖财务专用章、法人代表签字的证明文件，报经买方审查核准，并报财政部门备案。</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13.5 合同价款支付方式和条件在政府采购合同专用条款中另有规定。</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14.伴随服务</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14.1 卖方应向买方提交所提供货物的技术文件，包括相应的中文技术文件，如：产品目录、图纸、操作手册、使用说明、维护手册或服务指南。这些文件应包装好随同货物一起发运。</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14.2 卖方还应提供下列服务：</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（1）货物的现场移动、安装、调试、启动监督及技术支持；</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（2）提供货物组装和维修所需的专用工具和辅助材料；</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（3）在合同各方商定的一定期限内对所有的货物实施运行监督、维修，但前提条件是该服务并不能免除卖方在质量保证期内所承担的义务；</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（4）在制造商或项目现场就货物的安装、启动、运营、维护对买方操作人员进行培训。</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（5）政府采购合同专用条款与第四章项目采购需求规定的其他伴随服务</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14.3 卖方提供的伴随服务的费用应包含在合同价款中，买方不再另行支付。</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15.违约责任</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15.1质量瑕疵的补救措施和索赔</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如果卖方提供的产品不符合质量标准或存在产品质量缺陷，而买方在合同条款第9条或合同的其他条款规定的检验、安装、调试、验收和质量保证期内，根据法定质量检测部门出具的检验证书向卖方提出了索赔，卖方应按照买方同意的下列一种或几种方式结合起来解决索赔事宜：</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①卖方同意退货并将货款退还给买方，由此发生的一切费用和损失由卖方承担。</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②根据货物的质量状况以及买方所遭受的损失，经过采购人供应商双方商定降低货物的价格。</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卖方应在接到买方通知后七日内负责采用符合合同规定的规格、质量和性能要求的新零件、部件和设备来更换有缺陷的部分或修补缺陷部分，其费用由卖方负担。同时，卖方应在约定的质量保证期基础上相应延长修补和更换件的质量保证期。</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如果在买方发出索赔通知后十日内卖方未作答复，上述索赔应视为已被卖方接受。如果卖方未能在买方发出索赔通知后十日内或买方同意延长的期限内，按照上述规定的任何一种方法采取补救措施，买方有权从应付货款中扣除索赔金额或者没收质量保证金，如不足以弥补买方损失的，买方有权进一步要求卖方赔偿。</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15.2 迟延交货的违约责任</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卖方应按照本合同规定的时间、地点交货和提供服务。在履行合同过程中，如果卖方遇到可能妨碍按时交货和提供服务的情形时，应及时以书面形式将迟延的事实、可能迟延的期限和理由通知买方。买方在收到卖方通知后，应尽快对情况进行评价，并确定是否同意迟延交货时间或延期提供服务。</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除本合同第19条规定情况外，如果卖方没有按照合同规定的时间交货和提供服务，买方有权从货款中扣除误期赔偿费而不影响合同项下的其他补救方法，赔偿费按每周（一周按七日计算，不足七日按一周计算）赔偿迟交货物的交货价或延期服务的服务费用的百分之零点五（0.5%）计收，直至交货或提供服务为止。但误期赔偿费的最高限额不超过合同价的百分之五（5%）。一旦达到误期赔偿的最高限额，买方可以终止合同。</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如果卖方迟延交货，买方有权终止全部或部分合同，并依其认为适当的条件和方法购买与未交货物类似的货物，卖方应对购买类似货物所超出的那部分费用负责。但是，卖方应继续执行合同中未终止的部分。</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16.合同的变更</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16.1 在合同履行过程中，采购人、供应商双方可就合同履行的时间、地点和方式等协商进行变更。协商一致后，双方应签订书面的补充协议。</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16.2 在不改变合同其他条款的前提下，买方有权在合同价款百分之十的范围内追加与合同标的相同的货物或服务，并就此与卖方签订补充合同，卖方不得拒绝。</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16.3 除双方签署书面协议，并成为合同不可分割的一部分外，本合同条件不得有任何变更。</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17.合同中止与终止</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17.1合同的中止</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（1）合同在履行过程中，因采购计划调整，买方可以要求中止履行，待计划确定后继续履行；</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（2）合同履行过程中因供应商就采购过程或结果提起投诉的，买方认为有必要或财政部门责令中止的，应当中止合同的履行。</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17.2合同的终止</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（1）合同因有效期限届满而终止；</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（2）卖方未能依照本合同约定条件履行合同，已构成根本性违约的，买方有权终止本合同，并追究卖方的违约责任。</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（3）如果卖方丧失履约能力或被宣告破产，买方可在任何时候以书面形式通知卖方终止合同而不给卖方补偿。</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（4）如果卖方在履行合同过程中有不正当竞争行为，买方有权解除合同，并按《中华人民共和国反不正当竞争法》规定由有关部门追究其法律责任。</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（5）如果合同的履行将损害国家利益或社会公共利益，买方有权终止合同的履行，给卖方造成损失的予以相应补偿。</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18.合同转让和分包</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18.1 卖方不得以任何形式将合同转包。</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18.2 卖方未在响应文件中说明，且未经买方书面同意，卖方不得将合同的主体、关键性工作分包给他人。</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18.3 根据政府采购支持中小企业发展政策规定，经买方同意，获得政府采购合同的大型企业可依法向中小企业分包。</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19.不可抗力</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19.1 不可抗力是指合同双方不可预见、不可避免、不可克服的自然灾害和社会事件。</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19.2 任何一方对由于不可抗力造成的部分或全部不能履行合同不承担违约责任。但迟延履行后发生不可抗力的，不能免除责任。</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19.3 遇有不可抗力的一方，应在三日内将事件的情况以书面形式通知另一方，并在事件发生后十日内，向另一方提交合同不能履行或部分不能履行或需要延期履行理由的报告。</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20.解决争议的方法</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20.1 合同各方应通过友好协商，解决在执行合同过程中所发生的或与合同有关的一切争端。如从协商开始后十日内仍不能解决，可以向财政部门提请调解。</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20.2 调解不成可以按政府采购合同专用条款中规定下列方式之一提起仲裁或诉讼：</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（1）向买方所在地仲裁机构提起仲裁；</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（2）向买方所在地人民法院提起诉讼。</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20.3 如仲裁或诉讼事项不影响合同其它部分的履行，则在仲裁或诉讼期间，除正在进行仲裁或诉讼的部分外，合同的其它部分应继续执行。</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21.法律适用</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21.1 本合同适用中华人民共和国现行法律、行政法规和规章，如合同条款与法律、行政法规和规章不一致的，按照法律、行政法规和规章修改本合同。</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22.通知</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22.1本合同一方给另一方的通知均应采用书面形式，传真或快递送到本合同中规定的对方的地址和办理签收手续。</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22.2通知以送到之日或通知书中规定的生效之日起生效，两者中以较迟之日为准。</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23.合同生效</w:t>
      </w:r>
    </w:p>
    <w:p>
      <w:pPr>
        <w:keepNext w:val="0"/>
        <w:keepLines w:val="0"/>
        <w:pageBreakBefore w:val="0"/>
        <w:widowControl/>
        <w:kinsoku/>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23.1 本合同在合同各方签字盖章后生效。</w:t>
      </w:r>
    </w:p>
    <w:sectPr>
      <w:footerReference r:id="rId13" w:type="default"/>
      <w:footerReference r:id="rId14" w:type="even"/>
      <w:type w:val="continuous"/>
      <w:pgSz w:w="11906" w:h="16838"/>
      <w:pgMar w:top="1440" w:right="1800" w:bottom="1440" w:left="1800" w:header="850" w:footer="992" w:gutter="0"/>
      <w:paperSrc w:first="25441" w:other="25441"/>
      <w:pgNumType w:fmt="numberInDash"/>
      <w:cols w:space="720" w:num="1"/>
      <w:titlePg/>
      <w:docGrid w:linePitch="406" w:charSpace="31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宋体-18030">
    <w:altName w:val="宋体"/>
    <w:panose1 w:val="00000000000000000000"/>
    <w:charset w:val="86"/>
    <w:family w:val="modern"/>
    <w:pitch w:val="default"/>
    <w:sig w:usb0="00000000" w:usb1="00000000" w:usb2="00000010" w:usb3="00000000" w:csb0="00040000" w:csb1="00000000"/>
  </w:font>
  <w:font w:name="FuturaA Md BT">
    <w:altName w:val="Lucida Sans Unicode"/>
    <w:panose1 w:val="00000000000000000000"/>
    <w:charset w:val="00"/>
    <w:family w:val="swiss"/>
    <w:pitch w:val="default"/>
    <w:sig w:usb0="00000000" w:usb1="00000000" w:usb2="00000000" w:usb3="00000000" w:csb0="00000001" w:csb1="00000000"/>
  </w:font>
  <w:font w:name="ヒラギノ角ゴ Pro W3">
    <w:altName w:val="Times New Roman"/>
    <w:panose1 w:val="00000000000000000000"/>
    <w:charset w:val="00"/>
    <w:family w:val="decorative"/>
    <w:pitch w:val="default"/>
    <w:sig w:usb0="00000000" w:usb1="00000000" w:usb2="00000000" w:usb3="00000000" w:csb0="00040001" w:csb1="00000000"/>
  </w:font>
  <w:font w:name="Arial Bold">
    <w:altName w:val="Arial"/>
    <w:panose1 w:val="020B0704020202020204"/>
    <w:charset w:val="00"/>
    <w:family w:val="roman"/>
    <w:pitch w:val="default"/>
    <w:sig w:usb0="00000000"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Trebuchet MS">
    <w:panose1 w:val="020B0603020202020204"/>
    <w:charset w:val="00"/>
    <w:family w:val="swiss"/>
    <w:pitch w:val="default"/>
    <w:sig w:usb0="00000687" w:usb1="00000000" w:usb2="00000000" w:usb3="00000000" w:csb0="2000009F" w:csb1="00000000"/>
  </w:font>
  <w:font w:name="昆仑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Futura Bk">
    <w:altName w:val="Arial"/>
    <w:panose1 w:val="00000000000000000000"/>
    <w:charset w:val="00"/>
    <w:family w:val="swiss"/>
    <w:pitch w:val="default"/>
    <w:sig w:usb0="00000000" w:usb1="00000000" w:usb2="00000000" w:usb3="00000000" w:csb0="00000001" w:csb1="00000000"/>
  </w:font>
  <w:font w:name="ˎ̥">
    <w:altName w:val="Times New Roman"/>
    <w:panose1 w:val="00000000000000000000"/>
    <w:charset w:val="00"/>
    <w:family w:val="decorative"/>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长城仿宋">
    <w:altName w:val="仿宋"/>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Franklin Gothic Medium">
    <w:panose1 w:val="020B0603020102020204"/>
    <w:charset w:val="00"/>
    <w:family w:val="swiss"/>
    <w:pitch w:val="default"/>
    <w:sig w:usb0="00000287" w:usb1="00000000" w:usb2="00000000" w:usb3="00000000" w:csb0="2000009F" w:csb1="DFD70000"/>
  </w:font>
  <w:font w:name="FuturaA Bk BT">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thickThinMediumGap" w:color="808080" w:sz="18" w:space="1"/>
      </w:pBdr>
      <w:tabs>
        <w:tab w:val="center" w:pos="4156"/>
        <w:tab w:val="clear" w:pos="4153"/>
      </w:tabs>
      <w:jc w:val="both"/>
      <w:rPr>
        <w:rFonts w:ascii="Cambria" w:hAnsi="Cambria"/>
        <w:sz w:val="10"/>
        <w:szCs w:val="10"/>
      </w:rPr>
    </w:pPr>
    <w:r>
      <w:rPr>
        <w:rFonts w:hint="eastAsia" w:ascii="Cambria" w:hAnsi="Cambria"/>
        <w:sz w:val="10"/>
        <w:szCs w:val="10"/>
      </w:rPr>
      <w:tab/>
    </w:r>
  </w:p>
  <w:p>
    <w:pPr>
      <w:pStyle w:val="38"/>
    </w:pPr>
    <w:r>
      <w:drawing>
        <wp:inline distT="0" distB="0" distL="114300" distR="114300">
          <wp:extent cx="1645920" cy="297180"/>
          <wp:effectExtent l="0" t="0" r="11430" b="7620"/>
          <wp:docPr id="11" name="图片 11" descr="图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标3"/>
                  <pic:cNvPicPr>
                    <a:picLocks noChangeAspect="1"/>
                  </pic:cNvPicPr>
                </pic:nvPicPr>
                <pic:blipFill>
                  <a:blip r:embed="rId1"/>
                  <a:stretch>
                    <a:fillRect/>
                  </a:stretch>
                </pic:blipFill>
                <pic:spPr>
                  <a:xfrm>
                    <a:off x="0" y="0"/>
                    <a:ext cx="1645920" cy="297180"/>
                  </a:xfrm>
                  <a:prstGeom prst="rect">
                    <a:avLst/>
                  </a:prstGeom>
                </pic:spPr>
              </pic:pic>
            </a:graphicData>
          </a:graphic>
        </wp:inline>
      </w:drawing>
    </w:r>
    <w:r>
      <w:rPr>
        <w:rStyle w:val="67"/>
        <w:rFonts w:hint="eastAsia" w:ascii="宋体" w:hAnsi="宋体"/>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tabs>
        <w:tab w:val="left" w:pos="1482"/>
        <w:tab w:val="center" w:pos="4496"/>
      </w:tabs>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thickThinMediumGap" w:color="808080" w:sz="18" w:space="1"/>
      </w:pBdr>
      <w:tabs>
        <w:tab w:val="center" w:pos="4156"/>
        <w:tab w:val="clear" w:pos="4153"/>
      </w:tabs>
      <w:jc w:val="both"/>
    </w:pPr>
    <w:r>
      <w:drawing>
        <wp:inline distT="0" distB="0" distL="114300" distR="114300">
          <wp:extent cx="1645920" cy="297180"/>
          <wp:effectExtent l="0" t="0" r="11430" b="7620"/>
          <wp:docPr id="1" name="图片 1" descr="图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标3"/>
                  <pic:cNvPicPr>
                    <a:picLocks noChangeAspect="1"/>
                  </pic:cNvPicPr>
                </pic:nvPicPr>
                <pic:blipFill>
                  <a:blip r:embed="rId1"/>
                  <a:stretch>
                    <a:fillRect/>
                  </a:stretch>
                </pic:blipFill>
                <pic:spPr>
                  <a:xfrm>
                    <a:off x="0" y="0"/>
                    <a:ext cx="1645920" cy="29718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tabs>
        <w:tab w:val="left" w:pos="1482"/>
        <w:tab w:val="center" w:pos="4496"/>
      </w:tabs>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thickThinMediumGap" w:color="808080" w:sz="18" w:space="1"/>
      </w:pBdr>
      <w:jc w:val="both"/>
      <w:rPr>
        <w:rFonts w:hint="default" w:ascii="宋体" w:hAnsi="宋体" w:eastAsia="宋体"/>
        <w:color w:val="FF0000"/>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- 3 -</w:t>
                          </w:r>
                          <w:r>
                            <w:rPr>
                              <w:rFonts w:hint="eastAsia"/>
                              <w:lang w:eastAsia="zh-CN"/>
                            </w:rPr>
                            <w:fldChar w:fldCharType="end"/>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Wr1MgBAACaAwAADgAAAGRycy9lMm9Eb2MueG1srVPNjtMwEL4j8Q6W&#10;79TZI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pISxy0O/PL92+XHr8vPr2Rd&#10;Z32GAA2m3QdMTOMbP+LWLH5AZ6Y9qmjzFwkRjKO656u6ckxE5Ef1uq4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TVq9TIAQAAmgMAAA4AAAAAAAAAAQAgAAAAHgEAAGRycy9lMm9Eb2Mu&#10;eG1sUEsFBgAAAAAGAAYAWQEAAFgFAAAAAA==&#10;">
              <v:fill on="f" focussize="0,0"/>
              <v:stroke on="f"/>
              <v:imagedata o:title=""/>
              <o:lock v:ext="edit" aspectratio="f"/>
              <v:textbox inset="0mm,0mm,0mm,0mm" style="mso-fit-shape-to-text:t;">
                <w:txbxContent>
                  <w:p>
                    <w:pPr>
                      <w:pStyle w:val="3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- 3 -</w:t>
                    </w:r>
                    <w:r>
                      <w:rPr>
                        <w:rFonts w:hint="eastAsia"/>
                        <w:lang w:eastAsia="zh-CN"/>
                      </w:rPr>
                      <w:fldChar w:fldCharType="end"/>
                    </w:r>
                  </w:p>
                </w:txbxContent>
              </v:textbox>
            </v:shape>
          </w:pict>
        </mc:Fallback>
      </mc:AlternateContent>
    </w:r>
    <w:r>
      <w:drawing>
        <wp:inline distT="0" distB="0" distL="114300" distR="114300">
          <wp:extent cx="1645920" cy="297180"/>
          <wp:effectExtent l="0" t="0" r="11430" b="7620"/>
          <wp:docPr id="26" name="图片 26" descr="图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标3"/>
                  <pic:cNvPicPr>
                    <a:picLocks noChangeAspect="1"/>
                  </pic:cNvPicPr>
                </pic:nvPicPr>
                <pic:blipFill>
                  <a:blip r:embed="rId1"/>
                  <a:stretch>
                    <a:fillRect/>
                  </a:stretch>
                </pic:blipFill>
                <pic:spPr>
                  <a:xfrm>
                    <a:off x="0" y="0"/>
                    <a:ext cx="1645920" cy="29718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thickThinMediumGap" w:color="808080" w:sz="18" w:space="1"/>
      </w:pBdr>
      <w:jc w:val="both"/>
      <w:rPr>
        <w:rFonts w:ascii="宋体" w:hAnsi="宋体"/>
        <w:color w:val="FF0000"/>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E0fHckBAACa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fL&#10;t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wTR8dyQEAAJoDAAAOAAAAAAAAAAEAIAAAAB4BAABkcnMvZTJvRG9j&#10;LnhtbFBLBQYAAAAABgAGAFkBAABZBQAAAAA=&#10;">
              <v:fill on="f" focussize="0,0"/>
              <v:stroke on="f"/>
              <v:imagedata o:title=""/>
              <o:lock v:ext="edit" aspectratio="f"/>
              <v:textbox inset="0mm,0mm,0mm,0mm" style="mso-fit-shape-to-text:t;">
                <w:txbxContent>
                  <w:p>
                    <w:pPr>
                      <w:pStyle w:val="3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w:drawing>
        <wp:inline distT="0" distB="0" distL="114300" distR="114300">
          <wp:extent cx="1645920" cy="297180"/>
          <wp:effectExtent l="0" t="0" r="11430" b="7620"/>
          <wp:docPr id="27" name="图片 27" descr="图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标3"/>
                  <pic:cNvPicPr>
                    <a:picLocks noChangeAspect="1"/>
                  </pic:cNvPicPr>
                </pic:nvPicPr>
                <pic:blipFill>
                  <a:blip r:embed="rId1"/>
                  <a:stretch>
                    <a:fillRect/>
                  </a:stretch>
                </pic:blipFill>
                <pic:spPr>
                  <a:xfrm>
                    <a:off x="0" y="0"/>
                    <a:ext cx="1645920" cy="29718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thickThinMediumGap" w:color="808080" w:sz="18" w:space="1"/>
      </w:pBdr>
      <w:jc w:val="both"/>
      <w:rPr>
        <w:rFonts w:ascii="宋体"/>
        <w:color w:val="FF0000"/>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- 71 -</w:t>
                          </w:r>
                          <w:r>
                            <w:rPr>
                              <w:rFonts w:hint="eastAsia"/>
                              <w:lang w:eastAsia="zh-CN"/>
                            </w:rPr>
                            <w:fldChar w:fldCharType="end"/>
                          </w:r>
                        </w:p>
                      </w:txbxContent>
                    </wps:txbx>
                    <wps:bodyPr wrap="none" lIns="0" tIns="0" rIns="0" bIns="0" upright="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AuAS/IAQAAmgMAAA4AAAAAAAAAAQAgAAAAHgEAAGRycy9lMm9Eb2Mu&#10;eG1sUEsFBgAAAAAGAAYAWQEAAFgFAAAAAA==&#10;">
              <v:fill on="f" focussize="0,0"/>
              <v:stroke on="f"/>
              <v:imagedata o:title=""/>
              <o:lock v:ext="edit" aspectratio="f"/>
              <v:textbox inset="0mm,0mm,0mm,0mm" style="mso-fit-shape-to-text:t;">
                <w:txbxContent>
                  <w:p>
                    <w:pPr>
                      <w:pStyle w:val="3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- 71 -</w:t>
                    </w:r>
                    <w:r>
                      <w:rPr>
                        <w:rFonts w:hint="eastAsia"/>
                        <w:lang w:eastAsia="zh-CN"/>
                      </w:rPr>
                      <w:fldChar w:fldCharType="end"/>
                    </w:r>
                  </w:p>
                </w:txbxContent>
              </v:textbox>
            </v:shape>
          </w:pict>
        </mc:Fallback>
      </mc:AlternateContent>
    </w:r>
    <w:r>
      <w:rPr>
        <w:rStyle w:val="67"/>
        <w:rFonts w:ascii="宋体" w:hAnsi="宋体"/>
      </w:rPr>
      <w:t xml:space="preserve">        </w:t>
    </w:r>
    <w:r>
      <w:drawing>
        <wp:inline distT="0" distB="0" distL="114300" distR="114300">
          <wp:extent cx="1647825" cy="295275"/>
          <wp:effectExtent l="0" t="0" r="9525" b="9525"/>
          <wp:docPr id="25" name="图片 11" descr="图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图标3"/>
                  <pic:cNvPicPr>
                    <a:picLocks noChangeAspect="1"/>
                  </pic:cNvPicPr>
                </pic:nvPicPr>
                <pic:blipFill>
                  <a:blip r:embed="rId1"/>
                  <a:stretch>
                    <a:fillRect/>
                  </a:stretch>
                </pic:blipFill>
                <pic:spPr>
                  <a:xfrm>
                    <a:off x="0" y="0"/>
                    <a:ext cx="1647825" cy="295275"/>
                  </a:xfrm>
                  <a:prstGeom prst="rect">
                    <a:avLst/>
                  </a:prstGeom>
                  <a:noFill/>
                  <a:ln w="9525">
                    <a:noFill/>
                  </a:ln>
                </pic:spPr>
              </pic:pic>
            </a:graphicData>
          </a:graphic>
        </wp:inline>
      </w:drawing>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thickThinMediumGap" w:color="808080" w:sz="18" w:space="1"/>
      </w:pBdr>
      <w:jc w:val="both"/>
      <w:rPr>
        <w:rFonts w:ascii="宋体" w:hAnsi="宋体"/>
        <w:color w:val="FF0000"/>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- 75 -</w:t>
                          </w:r>
                          <w:r>
                            <w:rPr>
                              <w:rFonts w:hint="eastAsia"/>
                              <w:lang w:eastAsia="zh-CN"/>
                            </w:rPr>
                            <w:fldChar w:fldCharType="end"/>
                          </w:r>
                        </w:p>
                      </w:txbxContent>
                    </wps:txbx>
                    <wps:bodyPr wrap="none" lIns="0" tIns="0" rIns="0" bIns="0" upright="0">
                      <a:spAutoFit/>
                    </wps:bodyPr>
                  </wps:wsp>
                </a:graphicData>
              </a:graphic>
            </wp:anchor>
          </w:drawing>
        </mc:Choice>
        <mc:Fallback>
          <w:pict>
            <v:shape id="文本框 3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3E/skBAACa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bEcYsDv3z/dvnx6/LzK3m5&#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4TcT+yQEAAJoDAAAOAAAAAAAAAAEAIAAAAB4BAABkcnMvZTJvRG9j&#10;LnhtbFBLBQYAAAAABgAGAFkBAABZBQAAAAA=&#10;">
              <v:fill on="f" focussize="0,0"/>
              <v:stroke on="f"/>
              <v:imagedata o:title=""/>
              <o:lock v:ext="edit" aspectratio="f"/>
              <v:textbox inset="0mm,0mm,0mm,0mm" style="mso-fit-shape-to-text:t;">
                <w:txbxContent>
                  <w:p>
                    <w:pPr>
                      <w:pStyle w:val="3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- 75 -</w:t>
                    </w:r>
                    <w:r>
                      <w:rPr>
                        <w:rFonts w:hint="eastAsia"/>
                        <w:lang w:eastAsia="zh-CN"/>
                      </w:rPr>
                      <w:fldChar w:fldCharType="end"/>
                    </w:r>
                  </w:p>
                </w:txbxContent>
              </v:textbox>
            </v:shape>
          </w:pict>
        </mc:Fallback>
      </mc:AlternateContent>
    </w:r>
    <w:r>
      <w:drawing>
        <wp:inline distT="0" distB="0" distL="114300" distR="114300">
          <wp:extent cx="1645920" cy="297180"/>
          <wp:effectExtent l="0" t="0" r="11430" b="7620"/>
          <wp:docPr id="23" name="图片 23" descr="图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标3"/>
                  <pic:cNvPicPr>
                    <a:picLocks noChangeAspect="1"/>
                  </pic:cNvPicPr>
                </pic:nvPicPr>
                <pic:blipFill>
                  <a:blip r:embed="rId1"/>
                  <a:stretch>
                    <a:fillRect/>
                  </a:stretch>
                </pic:blipFill>
                <pic:spPr>
                  <a:xfrm>
                    <a:off x="0" y="0"/>
                    <a:ext cx="1645920" cy="297180"/>
                  </a:xfrm>
                  <a:prstGeom prst="rect">
                    <a:avLst/>
                  </a:prstGeom>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center" w:y="1"/>
      <w:rPr>
        <w:rStyle w:val="67"/>
      </w:rPr>
    </w:pPr>
    <w:r>
      <w:fldChar w:fldCharType="begin"/>
    </w:r>
    <w:r>
      <w:rPr>
        <w:rStyle w:val="67"/>
      </w:rPr>
      <w:instrText xml:space="preserve">PAGE  </w:instrText>
    </w:r>
    <w:r>
      <w:fldChar w:fldCharType="separate"/>
    </w:r>
    <w:r>
      <w:rPr>
        <w:rStyle w:val="67"/>
      </w:rPr>
      <w:t>4</w:t>
    </w:r>
    <w:r>
      <w:fldChar w:fldCharType="end"/>
    </w:r>
  </w:p>
  <w:p>
    <w:pPr>
      <w:pStyle w:val="3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pBdr>
        <w:bottom w:val="thinThickSmallGap" w:color="800000" w:sz="12" w:space="0"/>
      </w:pBdr>
      <w:kinsoku/>
      <w:topLinePunct w:val="0"/>
      <w:autoSpaceDE/>
      <w:autoSpaceDN/>
      <w:bidi w:val="0"/>
      <w:spacing w:line="360" w:lineRule="auto"/>
      <w:jc w:val="right"/>
      <w:rPr>
        <w:rFonts w:hint="default"/>
        <w:b w:val="0"/>
        <w:bCs w:val="0"/>
        <w:sz w:val="15"/>
        <w:szCs w:val="15"/>
        <w:lang w:val="en-US" w:eastAsia="zh-CN"/>
      </w:rPr>
    </w:pPr>
    <w:r>
      <w:rPr>
        <w:sz w:val="15"/>
      </w:rPr>
      <w:pict>
        <v:shape id="PowerPlusWaterMarkObject18253" o:spid="_x0000_s2049" o:spt="136" type="#_x0000_t136" style="position:absolute;left:0pt;height:145.9pt;width:511.85pt;mso-position-horizontal:center;mso-position-horizontal-relative:margin;mso-position-vertical:center;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中远天成" style="font-family:楷体;font-size:145pt;v-same-letter-heights:f;v-text-align:center;"/>
        </v:shape>
      </w:pict>
    </w:r>
    <w:r>
      <w:rPr>
        <w:rFonts w:hint="eastAsia" w:ascii="宋体" w:hAnsi="宋体" w:cs="宋体"/>
        <w:b w:val="0"/>
        <w:bCs w:val="0"/>
        <w:color w:val="000000" w:themeColor="text1"/>
        <w:sz w:val="15"/>
        <w:szCs w:val="15"/>
        <w:highlight w:val="none"/>
        <w:lang w:eastAsia="zh-CN"/>
        <w14:textFill>
          <w14:solidFill>
            <w14:schemeClr w14:val="tx1"/>
          </w14:solidFill>
        </w14:textFill>
      </w:rPr>
      <w:t>甘肃省康复中心PCR标准化实验室建设项目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thinThickSmallGap" w:color="800000" w:sz="12" w:space="6"/>
      </w:pBdr>
      <w:ind w:firstLine="640"/>
      <w:jc w:val="right"/>
    </w:pPr>
    <w:r>
      <w:rPr>
        <w:sz w:val="15"/>
      </w:rPr>
      <w:pict>
        <v:shape id="PowerPlusWaterMarkObject30577" o:spid="_x0000_s2050" o:spt="136" type="#_x0000_t136" style="position:absolute;left:0pt;height:145.9pt;width:511.85pt;mso-position-horizontal:center;mso-position-horizontal-relative:margin;mso-position-vertical:center;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中远天成" style="font-family:楷体;font-size:145pt;v-same-letter-heights:f;v-text-align:center;"/>
        </v:shape>
      </w:pict>
    </w:r>
    <w:r>
      <w:rPr>
        <w:rFonts w:hint="eastAsia" w:ascii="宋体" w:hAnsi="宋体" w:cs="宋体"/>
        <w:b/>
        <w:color w:val="000000" w:themeColor="text1"/>
        <w:sz w:val="15"/>
        <w:szCs w:val="15"/>
        <w:lang w:eastAsia="zh-CN"/>
        <w14:textFill>
          <w14:solidFill>
            <w14:schemeClr w14:val="tx1"/>
          </w14:solidFill>
        </w14:textFill>
      </w:rPr>
      <w:t>甘肃省康复中心PCR标准化实验室建设项目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pBdr>
        <w:bottom w:val="thinThickSmallGap" w:color="800000" w:sz="12" w:space="0"/>
      </w:pBdr>
      <w:kinsoku/>
      <w:topLinePunct w:val="0"/>
      <w:autoSpaceDE/>
      <w:autoSpaceDN/>
      <w:bidi w:val="0"/>
      <w:spacing w:line="360" w:lineRule="auto"/>
      <w:jc w:val="right"/>
      <w:rPr>
        <w:rFonts w:ascii="仿宋" w:hAnsi="仿宋" w:eastAsia="仿宋" w:cs="仿宋"/>
        <w:b/>
        <w:w w:val="96"/>
        <w:sz w:val="22"/>
        <w:szCs w:val="44"/>
      </w:rPr>
    </w:pPr>
    <w:r>
      <w:rPr>
        <w:rFonts w:hint="eastAsia" w:ascii="宋体" w:hAnsi="宋体" w:cs="宋体"/>
        <w:b w:val="0"/>
        <w:bCs w:val="0"/>
        <w:color w:val="000000" w:themeColor="text1"/>
        <w:sz w:val="15"/>
        <w:szCs w:val="15"/>
        <w:highlight w:val="none"/>
        <w:lang w:eastAsia="zh-CN"/>
        <w14:textFill>
          <w14:solidFill>
            <w14:schemeClr w14:val="tx1"/>
          </w14:solidFill>
        </w14:textFill>
      </w:rPr>
      <w:t>甘肃省康复中心PCR标准化实验室建设项目</w:t>
    </w:r>
    <w:sdt>
      <w:sdtPr>
        <w:rPr>
          <w:rFonts w:hint="eastAsia" w:ascii="宋体" w:hAnsi="宋体" w:eastAsia="宋体" w:cs="宋体"/>
          <w:b w:val="0"/>
          <w:bCs w:val="0"/>
          <w:color w:val="000000" w:themeColor="text1"/>
          <w:sz w:val="15"/>
          <w:szCs w:val="15"/>
          <w14:textFill>
            <w14:solidFill>
              <w14:schemeClr w14:val="tx1"/>
            </w14:solidFill>
          </w14:textFill>
        </w:rPr>
        <w:alias w:val="标题"/>
        <w:id w:val="363978844"/>
        <w:showingPlcHdr/>
        <w:text/>
      </w:sdtPr>
      <w:sdtEndPr>
        <w:rPr>
          <w:rFonts w:hint="eastAsia" w:ascii="仿宋" w:hAnsi="仿宋" w:eastAsia="仿宋" w:cs="仿宋"/>
          <w:b/>
          <w:bCs w:val="0"/>
          <w:color w:val="FF0000"/>
          <w:sz w:val="15"/>
          <w:szCs w:val="15"/>
        </w:rPr>
      </w:sdtEndPr>
      <w:sdtContent/>
    </w:sdt>
    <w:r>
      <w:rPr>
        <w:rFonts w:hint="eastAsia" w:ascii="仿宋" w:hAnsi="仿宋" w:eastAsia="仿宋"/>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DF20B"/>
    <w:multiLevelType w:val="singleLevel"/>
    <w:tmpl w:val="880DF20B"/>
    <w:lvl w:ilvl="0" w:tentative="0">
      <w:start w:val="1"/>
      <w:numFmt w:val="decimalEnclosedCircleChinese"/>
      <w:suff w:val="nothing"/>
      <w:lvlText w:val="%1　"/>
      <w:lvlJc w:val="left"/>
      <w:pPr>
        <w:ind w:left="0" w:firstLine="400"/>
      </w:pPr>
      <w:rPr>
        <w:rFonts w:hint="eastAsia"/>
      </w:rPr>
    </w:lvl>
  </w:abstractNum>
  <w:abstractNum w:abstractNumId="1">
    <w:nsid w:val="891D9E48"/>
    <w:multiLevelType w:val="singleLevel"/>
    <w:tmpl w:val="891D9E48"/>
    <w:lvl w:ilvl="0" w:tentative="0">
      <w:start w:val="2"/>
      <w:numFmt w:val="decimal"/>
      <w:suff w:val="nothing"/>
      <w:lvlText w:val="%1、"/>
      <w:lvlJc w:val="left"/>
    </w:lvl>
  </w:abstractNum>
  <w:abstractNum w:abstractNumId="2">
    <w:nsid w:val="8EDB0D5A"/>
    <w:multiLevelType w:val="singleLevel"/>
    <w:tmpl w:val="8EDB0D5A"/>
    <w:lvl w:ilvl="0" w:tentative="0">
      <w:start w:val="1"/>
      <w:numFmt w:val="decimal"/>
      <w:lvlText w:val="%1)"/>
      <w:lvlJc w:val="left"/>
      <w:pPr>
        <w:ind w:left="425" w:hanging="425"/>
      </w:pPr>
      <w:rPr>
        <w:rFonts w:hint="default"/>
      </w:rPr>
    </w:lvl>
  </w:abstractNum>
  <w:abstractNum w:abstractNumId="3">
    <w:nsid w:val="ADF5F012"/>
    <w:multiLevelType w:val="singleLevel"/>
    <w:tmpl w:val="ADF5F012"/>
    <w:lvl w:ilvl="0" w:tentative="0">
      <w:start w:val="1"/>
      <w:numFmt w:val="chineseCounting"/>
      <w:suff w:val="nothing"/>
      <w:lvlText w:val="（%1）"/>
      <w:lvlJc w:val="left"/>
      <w:pPr>
        <w:ind w:left="0" w:firstLine="420"/>
      </w:pPr>
      <w:rPr>
        <w:rFonts w:hint="eastAsia"/>
      </w:rPr>
    </w:lvl>
  </w:abstractNum>
  <w:abstractNum w:abstractNumId="4">
    <w:nsid w:val="B9E6F1D6"/>
    <w:multiLevelType w:val="singleLevel"/>
    <w:tmpl w:val="B9E6F1D6"/>
    <w:lvl w:ilvl="0" w:tentative="0">
      <w:start w:val="1"/>
      <w:numFmt w:val="decimalEnclosedCircleChinese"/>
      <w:suff w:val="nothing"/>
      <w:lvlText w:val="%1　"/>
      <w:lvlJc w:val="left"/>
      <w:pPr>
        <w:ind w:left="0" w:firstLine="400"/>
      </w:pPr>
      <w:rPr>
        <w:rFonts w:hint="eastAsia"/>
      </w:rPr>
    </w:lvl>
  </w:abstractNum>
  <w:abstractNum w:abstractNumId="5">
    <w:nsid w:val="C3383C1E"/>
    <w:multiLevelType w:val="singleLevel"/>
    <w:tmpl w:val="C3383C1E"/>
    <w:lvl w:ilvl="0" w:tentative="0">
      <w:start w:val="1"/>
      <w:numFmt w:val="decimal"/>
      <w:suff w:val="nothing"/>
      <w:lvlText w:val="%1、"/>
      <w:lvlJc w:val="left"/>
    </w:lvl>
  </w:abstractNum>
  <w:abstractNum w:abstractNumId="6">
    <w:nsid w:val="C62FDFB0"/>
    <w:multiLevelType w:val="singleLevel"/>
    <w:tmpl w:val="C62FDFB0"/>
    <w:lvl w:ilvl="0" w:tentative="0">
      <w:start w:val="2"/>
      <w:numFmt w:val="decimal"/>
      <w:suff w:val="nothing"/>
      <w:lvlText w:val="%1、"/>
      <w:lvlJc w:val="left"/>
    </w:lvl>
  </w:abstractNum>
  <w:abstractNum w:abstractNumId="7">
    <w:nsid w:val="DAD7F024"/>
    <w:multiLevelType w:val="singleLevel"/>
    <w:tmpl w:val="DAD7F024"/>
    <w:lvl w:ilvl="0" w:tentative="0">
      <w:start w:val="5"/>
      <w:numFmt w:val="decimal"/>
      <w:suff w:val="nothing"/>
      <w:lvlText w:val="%1、"/>
      <w:lvlJc w:val="left"/>
      <w:pPr>
        <w:widowControl/>
        <w:textAlignment w:val="baseline"/>
      </w:pPr>
    </w:lvl>
  </w:abstractNum>
  <w:abstractNum w:abstractNumId="8">
    <w:nsid w:val="00000012"/>
    <w:multiLevelType w:val="multilevel"/>
    <w:tmpl w:val="00000012"/>
    <w:lvl w:ilvl="0" w:tentative="0">
      <w:start w:val="1"/>
      <w:numFmt w:val="decimal"/>
      <w:pStyle w:val="429"/>
      <w:lvlText w:val="(%1)"/>
      <w:lvlJc w:val="left"/>
      <w:pPr>
        <w:tabs>
          <w:tab w:val="left" w:pos="1179"/>
        </w:tabs>
        <w:ind w:left="1179" w:hanging="420"/>
      </w:pPr>
      <w:rPr>
        <w:rFonts w:hint="eastAsia"/>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japaneseCounting"/>
      <w:lvlText w:val="（%3）"/>
      <w:lvlJc w:val="left"/>
      <w:pPr>
        <w:tabs>
          <w:tab w:val="left" w:pos="2120"/>
        </w:tabs>
        <w:ind w:left="2120" w:hanging="720"/>
      </w:pPr>
      <w:rPr>
        <w:rFonts w:hint="default"/>
      </w:r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9">
    <w:nsid w:val="00000018"/>
    <w:multiLevelType w:val="multilevel"/>
    <w:tmpl w:val="00000018"/>
    <w:lvl w:ilvl="0" w:tentative="0">
      <w:start w:val="1"/>
      <w:numFmt w:val="decimal"/>
      <w:pStyle w:val="464"/>
      <w:isLgl/>
      <w:suff w:val="space"/>
      <w:lvlText w:val="%1."/>
      <w:lvlJc w:val="left"/>
      <w:pPr>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isLg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02C32350"/>
    <w:multiLevelType w:val="multilevel"/>
    <w:tmpl w:val="02C32350"/>
    <w:lvl w:ilvl="0" w:tentative="0">
      <w:start w:val="1"/>
      <w:numFmt w:val="bullet"/>
      <w:pStyle w:val="279"/>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1">
    <w:nsid w:val="04C237D8"/>
    <w:multiLevelType w:val="multilevel"/>
    <w:tmpl w:val="04C237D8"/>
    <w:lvl w:ilvl="0" w:tentative="0">
      <w:start w:val="1"/>
      <w:numFmt w:val="decimal"/>
      <w:lvlText w:val="%1、"/>
      <w:lvlJc w:val="left"/>
      <w:pPr>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5611C5B"/>
    <w:multiLevelType w:val="multilevel"/>
    <w:tmpl w:val="05611C5B"/>
    <w:lvl w:ilvl="0" w:tentative="0">
      <w:start w:val="2"/>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6BAFDCD"/>
    <w:multiLevelType w:val="singleLevel"/>
    <w:tmpl w:val="06BAFDCD"/>
    <w:lvl w:ilvl="0" w:tentative="0">
      <w:start w:val="1"/>
      <w:numFmt w:val="chineseCounting"/>
      <w:suff w:val="nothing"/>
      <w:lvlText w:val="（%1）"/>
      <w:lvlJc w:val="left"/>
      <w:rPr>
        <w:rFonts w:hint="eastAsia"/>
      </w:rPr>
    </w:lvl>
  </w:abstractNum>
  <w:abstractNum w:abstractNumId="14">
    <w:nsid w:val="09E75F0F"/>
    <w:multiLevelType w:val="singleLevel"/>
    <w:tmpl w:val="09E75F0F"/>
    <w:lvl w:ilvl="0" w:tentative="0">
      <w:start w:val="1"/>
      <w:numFmt w:val="decimalEnclosedCircleChinese"/>
      <w:suff w:val="nothing"/>
      <w:lvlText w:val="%1　"/>
      <w:lvlJc w:val="left"/>
      <w:pPr>
        <w:ind w:left="0" w:firstLine="400"/>
      </w:pPr>
      <w:rPr>
        <w:rFonts w:hint="eastAsia"/>
      </w:rPr>
    </w:lvl>
  </w:abstractNum>
  <w:abstractNum w:abstractNumId="15">
    <w:nsid w:val="0AE10CFE"/>
    <w:multiLevelType w:val="multilevel"/>
    <w:tmpl w:val="0AE10CFE"/>
    <w:lvl w:ilvl="0" w:tentative="0">
      <w:start w:val="1"/>
      <w:numFmt w:val="chineseCountingThousand"/>
      <w:pStyle w:val="541"/>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AFE68FB"/>
    <w:multiLevelType w:val="multilevel"/>
    <w:tmpl w:val="0AFE68FB"/>
    <w:lvl w:ilvl="0" w:tentative="0">
      <w:start w:val="1"/>
      <w:numFmt w:val="decimal"/>
      <w:pStyle w:val="246"/>
      <w:lvlText w:val="%1."/>
      <w:lvlJc w:val="left"/>
      <w:pPr>
        <w:ind w:left="420" w:hanging="420"/>
      </w:pPr>
      <w:rPr>
        <w:rFonts w:hint="eastAsia"/>
      </w:rPr>
    </w:lvl>
    <w:lvl w:ilvl="1" w:tentative="0">
      <w:start w:val="1"/>
      <w:numFmt w:val="decimal"/>
      <w:lvlText w:val="%1.%2"/>
      <w:lvlJc w:val="left"/>
      <w:pPr>
        <w:ind w:left="576" w:hanging="576"/>
      </w:pPr>
    </w:lvl>
    <w:lvl w:ilvl="2" w:tentative="0">
      <w:start w:val="1"/>
      <w:numFmt w:val="decimal"/>
      <w:lvlText w:val="%1.%2.%3"/>
      <w:lvlJc w:val="left"/>
      <w:pPr>
        <w:ind w:left="1997"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7">
    <w:nsid w:val="0B0B47B1"/>
    <w:multiLevelType w:val="multilevel"/>
    <w:tmpl w:val="0B0B47B1"/>
    <w:lvl w:ilvl="0" w:tentative="0">
      <w:start w:val="1"/>
      <w:numFmt w:val="bullet"/>
      <w:lvlText w:val=""/>
      <w:lvlJc w:val="left"/>
      <w:pPr>
        <w:tabs>
          <w:tab w:val="left" w:pos="908"/>
        </w:tabs>
        <w:ind w:left="908" w:hanging="426"/>
      </w:pPr>
      <w:rPr>
        <w:rFonts w:hint="default" w:ascii="Wingdings" w:hAnsi="Wingdings"/>
      </w:rPr>
    </w:lvl>
    <w:lvl w:ilvl="1" w:tentative="0">
      <w:start w:val="1"/>
      <w:numFmt w:val="bullet"/>
      <w:pStyle w:val="281"/>
      <w:lvlText w:val=""/>
      <w:lvlJc w:val="left"/>
      <w:pPr>
        <w:tabs>
          <w:tab w:val="left" w:pos="902"/>
        </w:tabs>
        <w:ind w:left="902" w:hanging="420"/>
      </w:pPr>
      <w:rPr>
        <w:rFonts w:hint="default" w:ascii="Wingdings" w:hAnsi="Wingdings"/>
      </w:rPr>
    </w:lvl>
    <w:lvl w:ilvl="2" w:tentative="0">
      <w:start w:val="1"/>
      <w:numFmt w:val="bullet"/>
      <w:pStyle w:val="268"/>
      <w:lvlText w:val=""/>
      <w:lvlJc w:val="left"/>
      <w:pPr>
        <w:tabs>
          <w:tab w:val="left" w:pos="902"/>
        </w:tabs>
        <w:ind w:left="902"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8">
    <w:nsid w:val="0B228D09"/>
    <w:multiLevelType w:val="singleLevel"/>
    <w:tmpl w:val="0B228D09"/>
    <w:lvl w:ilvl="0" w:tentative="0">
      <w:start w:val="1"/>
      <w:numFmt w:val="decimal"/>
      <w:lvlText w:val="%1)"/>
      <w:lvlJc w:val="left"/>
      <w:pPr>
        <w:ind w:left="425" w:hanging="425"/>
      </w:pPr>
      <w:rPr>
        <w:rFonts w:hint="default"/>
      </w:rPr>
    </w:lvl>
  </w:abstractNum>
  <w:abstractNum w:abstractNumId="19">
    <w:nsid w:val="0C9D1AFF"/>
    <w:multiLevelType w:val="multilevel"/>
    <w:tmpl w:val="0C9D1AFF"/>
    <w:lvl w:ilvl="0" w:tentative="0">
      <w:start w:val="1"/>
      <w:numFmt w:val="bullet"/>
      <w:pStyle w:val="883"/>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0EDE166B"/>
    <w:multiLevelType w:val="multilevel"/>
    <w:tmpl w:val="0EDE166B"/>
    <w:lvl w:ilvl="0" w:tentative="0">
      <w:start w:val="1"/>
      <w:numFmt w:val="decimal"/>
      <w:pStyle w:val="665"/>
      <w:lvlText w:val="%1. "/>
      <w:lvlJc w:val="left"/>
      <w:pPr>
        <w:ind w:left="432" w:hanging="432"/>
      </w:pPr>
      <w:rPr>
        <w:rFonts w:hint="default" w:ascii="Calibri Light" w:hAnsi="Calibri Light" w:eastAsia="宋体"/>
        <w:b/>
        <w:i w:val="0"/>
        <w:sz w:val="32"/>
      </w:rPr>
    </w:lvl>
    <w:lvl w:ilvl="1" w:tentative="0">
      <w:start w:val="1"/>
      <w:numFmt w:val="decimal"/>
      <w:lvlText w:val="%1.%2. "/>
      <w:lvlJc w:val="left"/>
      <w:pPr>
        <w:ind w:left="576" w:hanging="576"/>
      </w:pPr>
      <w:rPr>
        <w:rFonts w:hint="default" w:ascii="Calibri Light" w:hAnsi="Calibri Light" w:eastAsia="宋体"/>
        <w:b/>
        <w:i w:val="0"/>
        <w:sz w:val="30"/>
      </w:rPr>
    </w:lvl>
    <w:lvl w:ilvl="2" w:tentative="0">
      <w:start w:val="1"/>
      <w:numFmt w:val="decimal"/>
      <w:lvlText w:val="%1.%2.%3. "/>
      <w:lvlJc w:val="left"/>
      <w:pPr>
        <w:ind w:left="720" w:hanging="720"/>
      </w:pPr>
      <w:rPr>
        <w:rFonts w:hint="default" w:ascii="Calibri Light" w:hAnsi="Calibri Light" w:eastAsia="宋体"/>
        <w:b/>
        <w:i w:val="0"/>
        <w:sz w:val="28"/>
      </w:rPr>
    </w:lvl>
    <w:lvl w:ilvl="3" w:tentative="0">
      <w:start w:val="1"/>
      <w:numFmt w:val="decimal"/>
      <w:lvlText w:val="%1.%2.%3.%4. "/>
      <w:lvlJc w:val="left"/>
      <w:pPr>
        <w:ind w:left="864" w:hanging="864"/>
      </w:pPr>
      <w:rPr>
        <w:rFonts w:hint="default" w:ascii="Calibri Light" w:hAnsi="Calibri Light" w:eastAsia="宋体"/>
        <w:b/>
        <w:i w:val="0"/>
        <w:sz w:val="24"/>
      </w:rPr>
    </w:lvl>
    <w:lvl w:ilvl="4" w:tentative="0">
      <w:start w:val="1"/>
      <w:numFmt w:val="decimal"/>
      <w:lvlText w:val="%1.%2.%3.%4.%5. "/>
      <w:lvlJc w:val="left"/>
      <w:pPr>
        <w:ind w:left="1008" w:hanging="1008"/>
      </w:pPr>
      <w:rPr>
        <w:rFonts w:hint="default" w:ascii="Calibri Light" w:hAnsi="Calibri Light" w:eastAsia="宋体"/>
        <w:b/>
        <w:i w:val="0"/>
        <w:sz w:val="28"/>
      </w:rPr>
    </w:lvl>
    <w:lvl w:ilvl="5" w:tentative="0">
      <w:start w:val="1"/>
      <w:numFmt w:val="decimal"/>
      <w:lvlText w:val="%1.%2.%3.%4.%5.%6. "/>
      <w:lvlJc w:val="left"/>
      <w:pPr>
        <w:ind w:left="1152" w:hanging="1152"/>
      </w:pPr>
      <w:rPr>
        <w:rFonts w:hint="default" w:ascii="Calibri Light" w:hAnsi="Calibri Light" w:eastAsia="宋体"/>
        <w:b/>
        <w:i w:val="0"/>
        <w:sz w:val="24"/>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1">
    <w:nsid w:val="1143627F"/>
    <w:multiLevelType w:val="multilevel"/>
    <w:tmpl w:val="1143627F"/>
    <w:lvl w:ilvl="0" w:tentative="0">
      <w:start w:val="1"/>
      <w:numFmt w:val="bullet"/>
      <w:pStyle w:val="421"/>
      <w:lvlText w:val=""/>
      <w:lvlJc w:val="left"/>
      <w:pPr>
        <w:tabs>
          <w:tab w:val="left" w:pos="0"/>
        </w:tabs>
        <w:ind w:left="0" w:hanging="420"/>
      </w:pPr>
      <w:rPr>
        <w:rFonts w:hint="default" w:ascii="Wingdings" w:hAnsi="Wingdings"/>
      </w:rPr>
    </w:lvl>
    <w:lvl w:ilvl="1" w:tentative="0">
      <w:start w:val="1"/>
      <w:numFmt w:val="japaneseCounting"/>
      <w:lvlText w:val="%2、"/>
      <w:lvlJc w:val="left"/>
      <w:pPr>
        <w:tabs>
          <w:tab w:val="left" w:pos="0"/>
        </w:tabs>
        <w:ind w:left="0" w:hanging="420"/>
      </w:pPr>
    </w:lvl>
    <w:lvl w:ilvl="2" w:tentative="0">
      <w:start w:val="1"/>
      <w:numFmt w:val="lowerRoman"/>
      <w:lvlText w:val="%3."/>
      <w:lvlJc w:val="right"/>
      <w:pPr>
        <w:ind w:left="420" w:hanging="420"/>
      </w:pPr>
    </w:lvl>
    <w:lvl w:ilvl="3" w:tentative="0">
      <w:start w:val="1"/>
      <w:numFmt w:val="decimal"/>
      <w:lvlText w:val="%4."/>
      <w:lvlJc w:val="left"/>
      <w:pPr>
        <w:ind w:left="840" w:hanging="420"/>
      </w:pPr>
    </w:lvl>
    <w:lvl w:ilvl="4" w:tentative="0">
      <w:start w:val="1"/>
      <w:numFmt w:val="lowerLetter"/>
      <w:lvlText w:val="%5)"/>
      <w:lvlJc w:val="left"/>
      <w:pPr>
        <w:ind w:left="1260" w:hanging="420"/>
      </w:pPr>
    </w:lvl>
    <w:lvl w:ilvl="5" w:tentative="0">
      <w:start w:val="1"/>
      <w:numFmt w:val="lowerRoman"/>
      <w:lvlText w:val="%6."/>
      <w:lvlJc w:val="right"/>
      <w:pPr>
        <w:ind w:left="1680" w:hanging="420"/>
      </w:pPr>
    </w:lvl>
    <w:lvl w:ilvl="6" w:tentative="0">
      <w:start w:val="1"/>
      <w:numFmt w:val="decimal"/>
      <w:lvlText w:val="%7."/>
      <w:lvlJc w:val="left"/>
      <w:pPr>
        <w:ind w:left="2100" w:hanging="420"/>
      </w:pPr>
    </w:lvl>
    <w:lvl w:ilvl="7" w:tentative="0">
      <w:start w:val="1"/>
      <w:numFmt w:val="lowerLetter"/>
      <w:lvlText w:val="%8)"/>
      <w:lvlJc w:val="left"/>
      <w:pPr>
        <w:ind w:left="2520" w:hanging="420"/>
      </w:pPr>
    </w:lvl>
    <w:lvl w:ilvl="8" w:tentative="0">
      <w:start w:val="1"/>
      <w:numFmt w:val="lowerRoman"/>
      <w:lvlText w:val="%9."/>
      <w:lvlJc w:val="right"/>
      <w:pPr>
        <w:ind w:left="2940" w:hanging="420"/>
      </w:pPr>
    </w:lvl>
  </w:abstractNum>
  <w:abstractNum w:abstractNumId="22">
    <w:nsid w:val="13002D28"/>
    <w:multiLevelType w:val="multilevel"/>
    <w:tmpl w:val="13002D28"/>
    <w:lvl w:ilvl="0" w:tentative="0">
      <w:start w:val="1"/>
      <w:numFmt w:val="chineseCountingThousand"/>
      <w:pStyle w:val="304"/>
      <w:lvlText w:val="第%1章"/>
      <w:lvlJc w:val="left"/>
      <w:pPr>
        <w:tabs>
          <w:tab w:val="left" w:pos="425"/>
        </w:tabs>
        <w:ind w:left="425" w:hanging="425"/>
      </w:pPr>
      <w:rPr>
        <w:rFonts w:hint="eastAsia"/>
      </w:rPr>
    </w:lvl>
    <w:lvl w:ilvl="1" w:tentative="0">
      <w:start w:val="1"/>
      <w:numFmt w:val="chineseCountingThousand"/>
      <w:pStyle w:val="305"/>
      <w:lvlText w:val="第%2节"/>
      <w:lvlJc w:val="left"/>
      <w:pPr>
        <w:tabs>
          <w:tab w:val="left" w:pos="0"/>
        </w:tabs>
        <w:ind w:left="0" w:firstLine="0"/>
      </w:pPr>
      <w:rPr>
        <w:rFonts w:hint="eastAsia"/>
      </w:rPr>
    </w:lvl>
    <w:lvl w:ilvl="2" w:tentative="0">
      <w:start w:val="1"/>
      <w:numFmt w:val="chineseCountingThousand"/>
      <w:pStyle w:val="306"/>
      <w:lvlText w:val="%3、"/>
      <w:lvlJc w:val="left"/>
      <w:pPr>
        <w:tabs>
          <w:tab w:val="left" w:pos="0"/>
        </w:tabs>
        <w:ind w:left="0" w:firstLine="0"/>
      </w:pPr>
      <w:rPr>
        <w:rFonts w:hint="eastAsia"/>
      </w:rPr>
    </w:lvl>
    <w:lvl w:ilvl="3" w:tentative="0">
      <w:start w:val="1"/>
      <w:numFmt w:val="chineseCountingThousand"/>
      <w:lvlText w:val="(%4)"/>
      <w:lvlJc w:val="left"/>
      <w:pPr>
        <w:tabs>
          <w:tab w:val="left" w:pos="0"/>
        </w:tabs>
        <w:ind w:left="0" w:firstLine="0"/>
      </w:pPr>
      <w:rPr>
        <w:rFonts w:hint="eastAsia"/>
      </w:rPr>
    </w:lvl>
    <w:lvl w:ilvl="4" w:tentative="0">
      <w:start w:val="1"/>
      <w:numFmt w:val="decimal"/>
      <w:pStyle w:val="308"/>
      <w:lvlText w:val="%5、"/>
      <w:lvlJc w:val="left"/>
      <w:pPr>
        <w:tabs>
          <w:tab w:val="left" w:pos="0"/>
        </w:tabs>
        <w:ind w:left="0" w:firstLine="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23">
    <w:nsid w:val="1B664B70"/>
    <w:multiLevelType w:val="multilevel"/>
    <w:tmpl w:val="1B664B70"/>
    <w:lvl w:ilvl="0" w:tentative="0">
      <w:start w:val="1"/>
      <w:numFmt w:val="decimal"/>
      <w:pStyle w:val="507"/>
      <w:lvlText w:val="第%1章"/>
      <w:lvlJc w:val="left"/>
      <w:pPr>
        <w:ind w:left="425" w:hanging="425"/>
      </w:pPr>
      <w:rPr>
        <w:b w:val="0"/>
        <w:bCs w:val="0"/>
        <w:i w:val="0"/>
        <w:iCs w:val="0"/>
        <w:caps w:val="0"/>
        <w:smallCaps w:val="0"/>
        <w:strike w:val="0"/>
        <w:dstrike w:val="0"/>
        <w:vanish w:val="0"/>
        <w:color w:val="000000"/>
        <w:spacing w:val="0"/>
        <w:position w:val="0"/>
        <w:u w:val="none"/>
        <w:vertAlign w:val="baseline"/>
      </w:rPr>
    </w:lvl>
    <w:lvl w:ilvl="1" w:tentative="0">
      <w:start w:val="1"/>
      <w:numFmt w:val="decimal"/>
      <w:pStyle w:val="508"/>
      <w:lvlText w:val="%1.%2"/>
      <w:lvlJc w:val="left"/>
      <w:pPr>
        <w:ind w:left="850" w:hanging="425"/>
      </w:pPr>
      <w:rPr>
        <w:rFonts w:hint="default" w:ascii="Cambria" w:hAnsi="Cambria" w:eastAsia="宋体"/>
        <w:b/>
        <w:i w:val="0"/>
        <w:sz w:val="36"/>
      </w:rPr>
    </w:lvl>
    <w:lvl w:ilvl="2" w:tentative="0">
      <w:start w:val="1"/>
      <w:numFmt w:val="decimal"/>
      <w:pStyle w:val="509"/>
      <w:lvlText w:val="%1.%2.%3"/>
      <w:lvlJc w:val="left"/>
      <w:pPr>
        <w:ind w:left="1418"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pStyle w:val="511"/>
      <w:lvlText w:val="%1.%2.%3.%4"/>
      <w:lvlJc w:val="left"/>
      <w:pPr>
        <w:ind w:left="1700" w:hanging="425"/>
      </w:pPr>
      <w:rPr>
        <w:rFonts w:hint="default" w:ascii="Cambria" w:hAnsi="Cambria" w:eastAsia="宋体"/>
        <w:b/>
        <w:i w:val="0"/>
        <w:sz w:val="30"/>
      </w:rPr>
    </w:lvl>
    <w:lvl w:ilvl="4" w:tentative="0">
      <w:start w:val="1"/>
      <w:numFmt w:val="decimal"/>
      <w:pStyle w:val="512"/>
      <w:lvlText w:val="%1.%2.%3.%4.%5"/>
      <w:lvlJc w:val="left"/>
      <w:pPr>
        <w:ind w:left="2125" w:hanging="425"/>
      </w:pPr>
      <w:rPr>
        <w:rFonts w:hint="default" w:ascii="Cambria" w:hAnsi="Cambria" w:eastAsia="宋体"/>
        <w:b/>
        <w:i w:val="0"/>
        <w:sz w:val="28"/>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24">
    <w:nsid w:val="1EE26B78"/>
    <w:multiLevelType w:val="multilevel"/>
    <w:tmpl w:val="1EE26B78"/>
    <w:lvl w:ilvl="0" w:tentative="0">
      <w:start w:val="1"/>
      <w:numFmt w:val="bullet"/>
      <w:pStyle w:val="56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5">
    <w:nsid w:val="1F7A3B89"/>
    <w:multiLevelType w:val="multilevel"/>
    <w:tmpl w:val="1F7A3B89"/>
    <w:lvl w:ilvl="0" w:tentative="0">
      <w:start w:val="1"/>
      <w:numFmt w:val="bullet"/>
      <w:pStyle w:val="62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6">
    <w:nsid w:val="200E01F3"/>
    <w:multiLevelType w:val="multilevel"/>
    <w:tmpl w:val="200E01F3"/>
    <w:lvl w:ilvl="0" w:tentative="0">
      <w:start w:val="1"/>
      <w:numFmt w:val="bullet"/>
      <w:pStyle w:val="80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7">
    <w:nsid w:val="216E2471"/>
    <w:multiLevelType w:val="multilevel"/>
    <w:tmpl w:val="216E2471"/>
    <w:lvl w:ilvl="0" w:tentative="0">
      <w:start w:val="1"/>
      <w:numFmt w:val="chineseCountingThousand"/>
      <w:pStyle w:val="336"/>
      <w:lvlText w:val="第%1部分"/>
      <w:lvlJc w:val="left"/>
      <w:pPr>
        <w:tabs>
          <w:tab w:val="left" w:pos="284"/>
        </w:tabs>
        <w:ind w:left="284" w:hanging="284"/>
      </w:pPr>
      <w:rPr>
        <w:rFonts w:hint="eastAsia"/>
      </w:rPr>
    </w:lvl>
    <w:lvl w:ilvl="1" w:tentative="0">
      <w:start w:val="1"/>
      <w:numFmt w:val="decimal"/>
      <w:pStyle w:val="337"/>
      <w:lvlText w:val="第%2章 "/>
      <w:lvlJc w:val="left"/>
      <w:pPr>
        <w:tabs>
          <w:tab w:val="left" w:pos="1985"/>
        </w:tabs>
        <w:ind w:left="1985" w:hanging="567"/>
      </w:pPr>
      <w:rPr>
        <w:rFonts w:hint="eastAsia"/>
      </w:rPr>
    </w:lvl>
    <w:lvl w:ilvl="2" w:tentative="0">
      <w:start w:val="1"/>
      <w:numFmt w:val="decimal"/>
      <w:pStyle w:val="338"/>
      <w:lvlText w:val="第%3节 "/>
      <w:lvlJc w:val="left"/>
      <w:pPr>
        <w:tabs>
          <w:tab w:val="left" w:pos="851"/>
        </w:tabs>
        <w:ind w:left="851" w:hanging="851"/>
      </w:pPr>
      <w:rPr>
        <w:rFonts w:hint="default"/>
      </w:rPr>
    </w:lvl>
    <w:lvl w:ilvl="3" w:tentative="0">
      <w:start w:val="1"/>
      <w:numFmt w:val="decimal"/>
      <w:pStyle w:val="339"/>
      <w:lvlText w:val="%4）"/>
      <w:lvlJc w:val="left"/>
      <w:pPr>
        <w:tabs>
          <w:tab w:val="left" w:pos="1134"/>
        </w:tabs>
        <w:ind w:left="1134" w:hanging="1134"/>
      </w:pPr>
      <w:rPr>
        <w:rFonts w:hint="eastAsia"/>
      </w:rPr>
    </w:lvl>
    <w:lvl w:ilvl="4" w:tentative="0">
      <w:start w:val="1"/>
      <w:numFmt w:val="lowerLetter"/>
      <w:pStyle w:val="340"/>
      <w:lvlText w:val="%5）"/>
      <w:lvlJc w:val="left"/>
      <w:pPr>
        <w:tabs>
          <w:tab w:val="left" w:pos="1418"/>
        </w:tabs>
        <w:ind w:left="1418" w:hanging="1418"/>
      </w:pPr>
      <w:rPr>
        <w:rFonts w:hint="eastAsia"/>
      </w:rPr>
    </w:lvl>
    <w:lvl w:ilvl="5" w:tentative="0">
      <w:start w:val="1"/>
      <w:numFmt w:val="decimal"/>
      <w:lvlText w:val="%1.%2.%3.%4.%5.%6"/>
      <w:lvlJc w:val="left"/>
      <w:pPr>
        <w:tabs>
          <w:tab w:val="left" w:pos="3078"/>
        </w:tabs>
        <w:ind w:left="3078" w:hanging="3078"/>
      </w:pPr>
      <w:rPr>
        <w:rFonts w:hint="eastAsia"/>
      </w:rPr>
    </w:lvl>
    <w:lvl w:ilvl="6" w:tentative="0">
      <w:start w:val="1"/>
      <w:numFmt w:val="decimal"/>
      <w:lvlText w:val="%1.%2.%3.%4.%5.%6.%7"/>
      <w:lvlJc w:val="left"/>
      <w:pPr>
        <w:tabs>
          <w:tab w:val="left" w:pos="3222"/>
        </w:tabs>
        <w:ind w:left="3222" w:hanging="3222"/>
      </w:pPr>
      <w:rPr>
        <w:rFonts w:hint="eastAsia"/>
      </w:rPr>
    </w:lvl>
    <w:lvl w:ilvl="7" w:tentative="0">
      <w:start w:val="1"/>
      <w:numFmt w:val="decimal"/>
      <w:lvlText w:val="%1.%2.%3.%4.%5.%6.%7.%8"/>
      <w:lvlJc w:val="left"/>
      <w:pPr>
        <w:tabs>
          <w:tab w:val="left" w:pos="3366"/>
        </w:tabs>
        <w:ind w:left="3366" w:hanging="3366"/>
      </w:pPr>
      <w:rPr>
        <w:rFonts w:hint="eastAsia"/>
      </w:rPr>
    </w:lvl>
    <w:lvl w:ilvl="8" w:tentative="0">
      <w:start w:val="1"/>
      <w:numFmt w:val="decimal"/>
      <w:lvlText w:val="%1.%2.%3.%4.%5.%6.%7.%8.%9"/>
      <w:lvlJc w:val="left"/>
      <w:pPr>
        <w:tabs>
          <w:tab w:val="left" w:pos="3510"/>
        </w:tabs>
        <w:ind w:left="3510" w:hanging="3510"/>
      </w:pPr>
      <w:rPr>
        <w:rFonts w:hint="eastAsia"/>
      </w:rPr>
    </w:lvl>
  </w:abstractNum>
  <w:abstractNum w:abstractNumId="28">
    <w:nsid w:val="24D774CB"/>
    <w:multiLevelType w:val="multilevel"/>
    <w:tmpl w:val="24D774C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27727B63"/>
    <w:multiLevelType w:val="multilevel"/>
    <w:tmpl w:val="27727B63"/>
    <w:lvl w:ilvl="0" w:tentative="0">
      <w:start w:val="1"/>
      <w:numFmt w:val="bullet"/>
      <w:pStyle w:val="824"/>
      <w:lvlText w:val=""/>
      <w:lvlJc w:val="left"/>
      <w:pPr>
        <w:tabs>
          <w:tab w:val="left" w:pos="340"/>
        </w:tabs>
        <w:ind w:left="340" w:hanging="170"/>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0">
    <w:nsid w:val="28446EB3"/>
    <w:multiLevelType w:val="singleLevel"/>
    <w:tmpl w:val="28446EB3"/>
    <w:lvl w:ilvl="0" w:tentative="0">
      <w:start w:val="1"/>
      <w:numFmt w:val="decimalEnclosedCircleChinese"/>
      <w:suff w:val="nothing"/>
      <w:lvlText w:val="%1　"/>
      <w:lvlJc w:val="left"/>
      <w:pPr>
        <w:ind w:left="0" w:firstLine="400"/>
      </w:pPr>
      <w:rPr>
        <w:rFonts w:hint="eastAsia"/>
      </w:rPr>
    </w:lvl>
  </w:abstractNum>
  <w:abstractNum w:abstractNumId="31">
    <w:nsid w:val="28BB538C"/>
    <w:multiLevelType w:val="multilevel"/>
    <w:tmpl w:val="28BB538C"/>
    <w:lvl w:ilvl="0" w:tentative="0">
      <w:start w:val="1"/>
      <w:numFmt w:val="none"/>
      <w:suff w:val="space"/>
      <w:lvlText w:val=""/>
      <w:lvlJc w:val="left"/>
      <w:pPr>
        <w:ind w:left="0" w:firstLine="0"/>
      </w:pPr>
      <w:rPr>
        <w:rFonts w:hint="eastAsia"/>
      </w:rPr>
    </w:lvl>
    <w:lvl w:ilvl="1" w:tentative="0">
      <w:start w:val="1"/>
      <w:numFmt w:val="decimal"/>
      <w:suff w:val="space"/>
      <w:lvlText w:val="%2 "/>
      <w:lvlJc w:val="left"/>
      <w:pPr>
        <w:ind w:left="200" w:firstLine="0"/>
      </w:pPr>
      <w:rPr>
        <w:rFonts w:hint="eastAsia" w:ascii="宋体" w:eastAsia="宋体"/>
        <w:b/>
        <w:i w:val="0"/>
        <w:spacing w:val="10"/>
        <w:w w:val="95"/>
        <w:position w:val="0"/>
        <w:sz w:val="28"/>
      </w:rPr>
    </w:lvl>
    <w:lvl w:ilvl="2" w:tentative="0">
      <w:start w:val="1"/>
      <w:numFmt w:val="decimal"/>
      <w:pStyle w:val="936"/>
      <w:suff w:val="space"/>
      <w:lvlText w:val="%2.%3 "/>
      <w:lvlJc w:val="left"/>
      <w:pPr>
        <w:ind w:left="0" w:firstLine="0"/>
      </w:pPr>
      <w:rPr>
        <w:rFonts w:hint="eastAsia"/>
        <w:b/>
        <w:i w:val="0"/>
        <w:spacing w:val="10"/>
        <w:w w:val="95"/>
        <w:position w:val="0"/>
        <w:sz w:val="32"/>
        <w:szCs w:val="32"/>
      </w:rPr>
    </w:lvl>
    <w:lvl w:ilvl="3" w:tentative="0">
      <w:start w:val="1"/>
      <w:numFmt w:val="decimal"/>
      <w:pStyle w:val="937"/>
      <w:suff w:val="space"/>
      <w:lvlText w:val="%2.%3.%4 "/>
      <w:lvlJc w:val="left"/>
      <w:pPr>
        <w:ind w:left="0" w:firstLine="0"/>
      </w:pPr>
      <w:rPr>
        <w:rFonts w:hint="eastAsia" w:ascii="宋体" w:eastAsia="宋体"/>
        <w:b/>
        <w:i w:val="0"/>
        <w:spacing w:val="10"/>
        <w:w w:val="95"/>
        <w:position w:val="0"/>
        <w:sz w:val="30"/>
        <w:szCs w:val="30"/>
      </w:rPr>
    </w:lvl>
    <w:lvl w:ilvl="4" w:tentative="0">
      <w:start w:val="1"/>
      <w:numFmt w:val="decimal"/>
      <w:pStyle w:val="938"/>
      <w:suff w:val="space"/>
      <w:lvlText w:val="%2.%3.%4 "/>
      <w:lvlJc w:val="left"/>
      <w:pPr>
        <w:ind w:left="0" w:firstLine="0"/>
      </w:pPr>
      <w:rPr>
        <w:rFonts w:hint="eastAsia" w:ascii="宋体" w:eastAsia="宋体"/>
        <w:b/>
        <w:i w:val="0"/>
        <w:spacing w:val="6"/>
        <w:w w:val="95"/>
        <w:position w:val="0"/>
        <w:sz w:val="28"/>
        <w:szCs w:val="28"/>
      </w:rPr>
    </w:lvl>
    <w:lvl w:ilvl="5" w:tentative="0">
      <w:start w:val="1"/>
      <w:numFmt w:val="decimal"/>
      <w:pStyle w:val="939"/>
      <w:suff w:val="space"/>
      <w:lvlText w:val="%6)"/>
      <w:lvlJc w:val="left"/>
      <w:pPr>
        <w:ind w:left="0" w:firstLine="0"/>
      </w:pPr>
      <w:rPr>
        <w:rFonts w:hint="eastAsia"/>
        <w:b w:val="0"/>
        <w:i w:val="0"/>
        <w:spacing w:val="6"/>
        <w:w w:val="95"/>
        <w:position w:val="0"/>
        <w:sz w:val="24"/>
        <w:szCs w:val="24"/>
      </w:rPr>
    </w:lvl>
    <w:lvl w:ilvl="6" w:tentative="0">
      <w:start w:val="1"/>
      <w:numFmt w:val="upperLetter"/>
      <w:suff w:val="space"/>
      <w:lvlText w:val="%7)"/>
      <w:lvlJc w:val="left"/>
      <w:pPr>
        <w:ind w:left="0" w:firstLine="0"/>
      </w:pPr>
      <w:rPr>
        <w:rFonts w:hint="eastAsia" w:ascii="宋体" w:eastAsia="宋体"/>
        <w:spacing w:val="10"/>
        <w:w w:val="95"/>
        <w:sz w:val="21"/>
      </w:rPr>
    </w:lvl>
    <w:lvl w:ilvl="7" w:tentative="0">
      <w:start w:val="1"/>
      <w:numFmt w:val="upperLetter"/>
      <w:lvlText w:val="%8）"/>
      <w:lvlJc w:val="left"/>
      <w:pPr>
        <w:tabs>
          <w:tab w:val="left" w:pos="560"/>
        </w:tabs>
        <w:ind w:left="200" w:firstLine="0"/>
      </w:pPr>
      <w:rPr>
        <w:rFonts w:hint="eastAsia" w:ascii="宋体" w:eastAsia="宋体"/>
        <w:b w:val="0"/>
        <w:i w:val="0"/>
        <w:color w:val="auto"/>
        <w:spacing w:val="10"/>
        <w:w w:val="95"/>
        <w:sz w:val="21"/>
      </w:rPr>
    </w:lvl>
    <w:lvl w:ilvl="8" w:tentative="0">
      <w:start w:val="1"/>
      <w:numFmt w:val="decimal"/>
      <w:lvlText w:val="%1.%2.%3.%4.%5.%6.%7.%8.%9."/>
      <w:lvlJc w:val="left"/>
      <w:pPr>
        <w:tabs>
          <w:tab w:val="left" w:pos="7780"/>
        </w:tabs>
        <w:ind w:left="7780" w:hanging="1559"/>
      </w:pPr>
      <w:rPr>
        <w:rFonts w:hint="eastAsia"/>
      </w:rPr>
    </w:lvl>
  </w:abstractNum>
  <w:abstractNum w:abstractNumId="32">
    <w:nsid w:val="2A2A3870"/>
    <w:multiLevelType w:val="multilevel"/>
    <w:tmpl w:val="2A2A3870"/>
    <w:lvl w:ilvl="0" w:tentative="0">
      <w:start w:val="1"/>
      <w:numFmt w:val="japaneseCounting"/>
      <w:lvlText w:val="%1．"/>
      <w:lvlJc w:val="left"/>
      <w:pPr>
        <w:tabs>
          <w:tab w:val="left" w:pos="1080"/>
        </w:tabs>
        <w:ind w:left="1080" w:hanging="480"/>
      </w:pPr>
      <w:rPr>
        <w:rFonts w:hint="eastAsia"/>
      </w:rPr>
    </w:lvl>
    <w:lvl w:ilvl="1" w:tentative="0">
      <w:start w:val="1"/>
      <w:numFmt w:val="lowerLetter"/>
      <w:lvlText w:val="%2)"/>
      <w:lvlJc w:val="left"/>
      <w:pPr>
        <w:tabs>
          <w:tab w:val="left" w:pos="1440"/>
        </w:tabs>
        <w:ind w:left="1440" w:hanging="420"/>
      </w:pPr>
    </w:lvl>
    <w:lvl w:ilvl="2" w:tentative="0">
      <w:start w:val="1"/>
      <w:numFmt w:val="japaneseCounting"/>
      <w:lvlText w:val="（%3）"/>
      <w:lvlJc w:val="left"/>
      <w:pPr>
        <w:tabs>
          <w:tab w:val="left" w:pos="2160"/>
        </w:tabs>
        <w:ind w:left="2160" w:hanging="720"/>
      </w:pPr>
      <w:rPr>
        <w:rFonts w:hint="eastAsia"/>
      </w:r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3">
    <w:nsid w:val="2BF80CDF"/>
    <w:multiLevelType w:val="multilevel"/>
    <w:tmpl w:val="2BF80CDF"/>
    <w:lvl w:ilvl="0" w:tentative="0">
      <w:start w:val="1"/>
      <w:numFmt w:val="upperRoman"/>
      <w:pStyle w:val="542"/>
      <w:lvlText w:val="第 %1 条"/>
      <w:lvlJc w:val="left"/>
      <w:pPr>
        <w:tabs>
          <w:tab w:val="left" w:pos="1440"/>
        </w:tabs>
        <w:ind w:left="0" w:firstLine="0"/>
      </w:pPr>
    </w:lvl>
    <w:lvl w:ilvl="1" w:tentative="0">
      <w:start w:val="1"/>
      <w:numFmt w:val="decimalZero"/>
      <w:isLgl/>
      <w:lvlText w:val="节 %1.%2"/>
      <w:lvlJc w:val="left"/>
      <w:pPr>
        <w:tabs>
          <w:tab w:val="left" w:pos="1080"/>
        </w:tabs>
        <w:ind w:left="0" w:firstLine="0"/>
      </w:pPr>
    </w:lvl>
    <w:lvl w:ilvl="2" w:tentative="0">
      <w:start w:val="1"/>
      <w:numFmt w:val="lowerLetter"/>
      <w:lvlText w:val="(%3)"/>
      <w:lvlJc w:val="left"/>
      <w:pPr>
        <w:tabs>
          <w:tab w:val="left" w:pos="720"/>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34">
    <w:nsid w:val="2D7EA228"/>
    <w:multiLevelType w:val="singleLevel"/>
    <w:tmpl w:val="2D7EA228"/>
    <w:lvl w:ilvl="0" w:tentative="0">
      <w:start w:val="1"/>
      <w:numFmt w:val="decimal"/>
      <w:suff w:val="nothing"/>
      <w:lvlText w:val="%1、"/>
      <w:lvlJc w:val="left"/>
    </w:lvl>
  </w:abstractNum>
  <w:abstractNum w:abstractNumId="35">
    <w:nsid w:val="2E4F501B"/>
    <w:multiLevelType w:val="multilevel"/>
    <w:tmpl w:val="2E4F501B"/>
    <w:lvl w:ilvl="0" w:tentative="0">
      <w:start w:val="1"/>
      <w:numFmt w:val="decimal"/>
      <w:pStyle w:val="19"/>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30864B4C"/>
    <w:multiLevelType w:val="multilevel"/>
    <w:tmpl w:val="30864B4C"/>
    <w:lvl w:ilvl="0" w:tentative="0">
      <w:start w:val="5"/>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318C0DD1"/>
    <w:multiLevelType w:val="multilevel"/>
    <w:tmpl w:val="318C0DD1"/>
    <w:lvl w:ilvl="0" w:tentative="0">
      <w:start w:val="1"/>
      <w:numFmt w:val="decimal"/>
      <w:pStyle w:val="860"/>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32CB486B"/>
    <w:multiLevelType w:val="multilevel"/>
    <w:tmpl w:val="32CB486B"/>
    <w:lvl w:ilvl="0" w:tentative="0">
      <w:start w:val="1"/>
      <w:numFmt w:val="bullet"/>
      <w:pStyle w:val="278"/>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39">
    <w:nsid w:val="33550B5A"/>
    <w:multiLevelType w:val="multilevel"/>
    <w:tmpl w:val="33550B5A"/>
    <w:lvl w:ilvl="0" w:tentative="0">
      <w:start w:val="1"/>
      <w:numFmt w:val="decimal"/>
      <w:pStyle w:val="593"/>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931"/>
        </w:tabs>
        <w:ind w:left="1418" w:hanging="567"/>
      </w:pPr>
    </w:lvl>
    <w:lvl w:ilvl="3" w:tentative="0">
      <w:start w:val="1"/>
      <w:numFmt w:val="decimal"/>
      <w:lvlText w:val="%1.%2.%3.%4"/>
      <w:lvlJc w:val="left"/>
      <w:pPr>
        <w:tabs>
          <w:tab w:val="left" w:pos="2716"/>
        </w:tabs>
        <w:ind w:left="1984" w:hanging="708"/>
      </w:pPr>
    </w:lvl>
    <w:lvl w:ilvl="4" w:tentative="0">
      <w:start w:val="1"/>
      <w:numFmt w:val="decimal"/>
      <w:lvlText w:val="%1.%2.%3.%4.%5"/>
      <w:lvlJc w:val="left"/>
      <w:pPr>
        <w:tabs>
          <w:tab w:val="left" w:pos="3501"/>
        </w:tabs>
        <w:ind w:left="2551" w:hanging="850"/>
      </w:pPr>
    </w:lvl>
    <w:lvl w:ilvl="5" w:tentative="0">
      <w:start w:val="1"/>
      <w:numFmt w:val="decimal"/>
      <w:lvlText w:val="%1.%2.%3.%4.%5.%6"/>
      <w:lvlJc w:val="left"/>
      <w:pPr>
        <w:tabs>
          <w:tab w:val="left" w:pos="4286"/>
        </w:tabs>
        <w:ind w:left="3260" w:hanging="1134"/>
      </w:pPr>
    </w:lvl>
    <w:lvl w:ilvl="6" w:tentative="0">
      <w:start w:val="1"/>
      <w:numFmt w:val="decimal"/>
      <w:lvlText w:val="%1.%2.%3.%4.%5.%6.%7"/>
      <w:lvlJc w:val="left"/>
      <w:pPr>
        <w:tabs>
          <w:tab w:val="left" w:pos="5071"/>
        </w:tabs>
        <w:ind w:left="3827" w:hanging="1276"/>
      </w:pPr>
    </w:lvl>
    <w:lvl w:ilvl="7" w:tentative="0">
      <w:start w:val="1"/>
      <w:numFmt w:val="decimal"/>
      <w:lvlText w:val="%1.%2.%3.%4.%5.%6.%7.%8"/>
      <w:lvlJc w:val="left"/>
      <w:pPr>
        <w:tabs>
          <w:tab w:val="left" w:pos="5856"/>
        </w:tabs>
        <w:ind w:left="4394" w:hanging="1418"/>
      </w:pPr>
    </w:lvl>
    <w:lvl w:ilvl="8" w:tentative="0">
      <w:start w:val="1"/>
      <w:numFmt w:val="decimal"/>
      <w:lvlText w:val="%1.%2.%3.%4.%5.%6.%7.%8.%9"/>
      <w:lvlJc w:val="left"/>
      <w:pPr>
        <w:tabs>
          <w:tab w:val="left" w:pos="6642"/>
        </w:tabs>
        <w:ind w:left="5102" w:hanging="1700"/>
      </w:pPr>
    </w:lvl>
  </w:abstractNum>
  <w:abstractNum w:abstractNumId="40">
    <w:nsid w:val="34B5D047"/>
    <w:multiLevelType w:val="singleLevel"/>
    <w:tmpl w:val="34B5D047"/>
    <w:lvl w:ilvl="0" w:tentative="0">
      <w:start w:val="1"/>
      <w:numFmt w:val="decimal"/>
      <w:lvlText w:val="(%1)"/>
      <w:lvlJc w:val="left"/>
      <w:pPr>
        <w:ind w:left="425" w:hanging="425"/>
      </w:pPr>
      <w:rPr>
        <w:rFonts w:hint="default"/>
      </w:rPr>
    </w:lvl>
  </w:abstractNum>
  <w:abstractNum w:abstractNumId="41">
    <w:nsid w:val="389F6B18"/>
    <w:multiLevelType w:val="multilevel"/>
    <w:tmpl w:val="389F6B18"/>
    <w:lvl w:ilvl="0" w:tentative="0">
      <w:start w:val="1"/>
      <w:numFmt w:val="bullet"/>
      <w:pStyle w:val="500"/>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2337"/>
        </w:tabs>
        <w:ind w:left="2337" w:hanging="657"/>
      </w:pPr>
      <w:rPr>
        <w:rFonts w:hint="eastAsia"/>
      </w:rPr>
    </w:lvl>
    <w:lvl w:ilvl="5" w:tentative="0">
      <w:start w:val="1"/>
      <w:numFmt w:val="decimal"/>
      <w:lvlText w:val="%6、"/>
      <w:lvlJc w:val="left"/>
      <w:pPr>
        <w:tabs>
          <w:tab w:val="left" w:pos="2895"/>
        </w:tabs>
        <w:ind w:left="2895" w:hanging="795"/>
      </w:pPr>
      <w:rPr>
        <w:rFonts w:hint="default"/>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2">
    <w:nsid w:val="39A3692A"/>
    <w:multiLevelType w:val="multilevel"/>
    <w:tmpl w:val="39A3692A"/>
    <w:lvl w:ilvl="0" w:tentative="0">
      <w:start w:val="1"/>
      <w:numFmt w:val="decimal"/>
      <w:pStyle w:val="968"/>
      <w:lvlText w:val="第%1章."/>
      <w:lvlJc w:val="left"/>
      <w:pPr>
        <w:ind w:left="425" w:hanging="425"/>
      </w:pPr>
      <w:rPr>
        <w:rFonts w:hint="eastAsia"/>
      </w:rPr>
    </w:lvl>
    <w:lvl w:ilvl="1" w:tentative="0">
      <w:start w:val="1"/>
      <w:numFmt w:val="decimal"/>
      <w:pStyle w:val="966"/>
      <w:lvlText w:val="%1.%2"/>
      <w:lvlJc w:val="left"/>
      <w:pPr>
        <w:ind w:left="567" w:hanging="567"/>
      </w:pPr>
      <w:rPr>
        <w:sz w:val="32"/>
        <w:szCs w:val="24"/>
      </w:rPr>
    </w:lvl>
    <w:lvl w:ilvl="2" w:tentative="0">
      <w:start w:val="1"/>
      <w:numFmt w:val="decimal"/>
      <w:pStyle w:val="965"/>
      <w:lvlText w:val="%1.%2.%3"/>
      <w:lvlJc w:val="left"/>
      <w:pPr>
        <w:ind w:left="1135"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3">
    <w:nsid w:val="3B3E796F"/>
    <w:multiLevelType w:val="multilevel"/>
    <w:tmpl w:val="3B3E796F"/>
    <w:lvl w:ilvl="0" w:tentative="0">
      <w:start w:val="1"/>
      <w:numFmt w:val="decimal"/>
      <w:pStyle w:val="894"/>
      <w:lvlText w:val="第%1章"/>
      <w:lvlJc w:val="center"/>
      <w:pPr>
        <w:tabs>
          <w:tab w:val="left" w:pos="180"/>
        </w:tabs>
        <w:ind w:left="180" w:firstLine="0"/>
      </w:pPr>
      <w:rPr>
        <w:rFonts w:hint="eastAsia"/>
      </w:rPr>
    </w:lvl>
    <w:lvl w:ilvl="1" w:tentative="0">
      <w:start w:val="1"/>
      <w:numFmt w:val="decimal"/>
      <w:lvlRestart w:val="0"/>
      <w:lvlText w:val="%1.%2"/>
      <w:lvlJc w:val="left"/>
      <w:pPr>
        <w:tabs>
          <w:tab w:val="left" w:pos="567"/>
        </w:tabs>
        <w:ind w:left="567" w:hanging="567"/>
      </w:pPr>
      <w:rPr>
        <w:rFonts w:hint="eastAsia"/>
        <w:b/>
        <w:sz w:val="30"/>
        <w:szCs w:val="30"/>
      </w:rPr>
    </w:lvl>
    <w:lvl w:ilvl="2" w:tentative="0">
      <w:start w:val="1"/>
      <w:numFmt w:val="decimal"/>
      <w:lvlRestart w:val="0"/>
      <w:lvlText w:val="%1.%2.%3"/>
      <w:lvlJc w:val="left"/>
      <w:pPr>
        <w:tabs>
          <w:tab w:val="left" w:pos="1146"/>
        </w:tabs>
        <w:ind w:left="993" w:hanging="567"/>
      </w:pPr>
      <w:rPr>
        <w:rFonts w:hint="eastAsia" w:ascii="宋体" w:hAnsi="宋体" w:eastAsia="宋体"/>
        <w:sz w:val="28"/>
        <w:szCs w:val="28"/>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71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926"/>
        </w:tabs>
        <w:ind w:left="3402" w:hanging="1276"/>
      </w:pPr>
      <w:rPr>
        <w:rFonts w:hint="eastAsia"/>
      </w:rPr>
    </w:lvl>
    <w:lvl w:ilvl="7" w:tentative="0">
      <w:start w:val="1"/>
      <w:numFmt w:val="decimal"/>
      <w:lvlText w:val="%1.%2.%3.%4.%5.%6.%7.%8"/>
      <w:lvlJc w:val="left"/>
      <w:pPr>
        <w:tabs>
          <w:tab w:val="left" w:pos="4711"/>
        </w:tabs>
        <w:ind w:left="3969" w:hanging="1418"/>
      </w:pPr>
      <w:rPr>
        <w:rFonts w:hint="eastAsia"/>
      </w:rPr>
    </w:lvl>
    <w:lvl w:ilvl="8" w:tentative="0">
      <w:start w:val="1"/>
      <w:numFmt w:val="decimal"/>
      <w:lvlText w:val="%1.%2.%3.%4.%5.%6.%7.%8.%9"/>
      <w:lvlJc w:val="left"/>
      <w:pPr>
        <w:tabs>
          <w:tab w:val="left" w:pos="5137"/>
        </w:tabs>
        <w:ind w:left="4677" w:hanging="1700"/>
      </w:pPr>
      <w:rPr>
        <w:rFonts w:hint="eastAsia"/>
      </w:rPr>
    </w:lvl>
  </w:abstractNum>
  <w:abstractNum w:abstractNumId="44">
    <w:nsid w:val="3F683B61"/>
    <w:multiLevelType w:val="singleLevel"/>
    <w:tmpl w:val="3F683B61"/>
    <w:lvl w:ilvl="0" w:tentative="0">
      <w:start w:val="2"/>
      <w:numFmt w:val="bullet"/>
      <w:lvlText w:val="□"/>
      <w:lvlJc w:val="left"/>
      <w:pPr>
        <w:tabs>
          <w:tab w:val="left" w:pos="840"/>
        </w:tabs>
        <w:ind w:left="840" w:hanging="240"/>
      </w:pPr>
      <w:rPr>
        <w:rFonts w:hint="eastAsia"/>
      </w:rPr>
    </w:lvl>
  </w:abstractNum>
  <w:abstractNum w:abstractNumId="45">
    <w:nsid w:val="416334D5"/>
    <w:multiLevelType w:val="multilevel"/>
    <w:tmpl w:val="416334D5"/>
    <w:lvl w:ilvl="0" w:tentative="0">
      <w:start w:val="1"/>
      <w:numFmt w:val="bullet"/>
      <w:pStyle w:val="266"/>
      <w:lvlText w:val=""/>
      <w:lvlJc w:val="left"/>
      <w:pPr>
        <w:tabs>
          <w:tab w:val="left" w:pos="900"/>
        </w:tabs>
        <w:ind w:left="900" w:hanging="420"/>
      </w:pPr>
      <w:rPr>
        <w:rFonts w:hint="default" w:ascii="Wingdings" w:hAnsi="Wingdings"/>
      </w:rPr>
    </w:lvl>
    <w:lvl w:ilvl="1" w:tentative="0">
      <w:start w:val="1"/>
      <w:numFmt w:val="decimal"/>
      <w:lvlText w:val="%2)"/>
      <w:lvlJc w:val="left"/>
      <w:pPr>
        <w:tabs>
          <w:tab w:val="left" w:pos="1320"/>
        </w:tabs>
        <w:ind w:left="1320" w:hanging="420"/>
      </w:pPr>
      <w:rPr>
        <w:rFonts w:hint="default"/>
      </w:rPr>
    </w:lvl>
    <w:lvl w:ilvl="2" w:tentative="0">
      <w:start w:val="1"/>
      <w:numFmt w:val="decimal"/>
      <w:lvlText w:val="%3."/>
      <w:lvlJc w:val="left"/>
      <w:pPr>
        <w:tabs>
          <w:tab w:val="left" w:pos="1740"/>
        </w:tabs>
        <w:ind w:left="1740" w:hanging="420"/>
      </w:pPr>
      <w:rPr>
        <w:rFonts w:hint="default"/>
      </w:rPr>
    </w:lvl>
    <w:lvl w:ilvl="3" w:tentative="0">
      <w:start w:val="1"/>
      <w:numFmt w:val="upperLetter"/>
      <w:lvlText w:val="%4."/>
      <w:lvlJc w:val="left"/>
      <w:pPr>
        <w:tabs>
          <w:tab w:val="left" w:pos="2160"/>
        </w:tabs>
        <w:ind w:left="2160" w:hanging="420"/>
      </w:pPr>
      <w:rPr>
        <w:rFonts w:hint="default"/>
      </w:rPr>
    </w:lvl>
    <w:lvl w:ilvl="4" w:tentative="0">
      <w:start w:val="1"/>
      <w:numFmt w:val="lowerLetter"/>
      <w:lvlText w:val="%5)"/>
      <w:lvlJc w:val="left"/>
      <w:pPr>
        <w:tabs>
          <w:tab w:val="left" w:pos="2580"/>
        </w:tabs>
        <w:ind w:left="2580" w:hanging="420"/>
      </w:pPr>
      <w:rPr>
        <w:rFonts w:hint="default"/>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6">
    <w:nsid w:val="422C4A35"/>
    <w:multiLevelType w:val="multilevel"/>
    <w:tmpl w:val="422C4A35"/>
    <w:lvl w:ilvl="0" w:tentative="0">
      <w:start w:val="1"/>
      <w:numFmt w:val="decimal"/>
      <w:pStyle w:val="935"/>
      <w:lvlText w:val="%1〉"/>
      <w:lvlJc w:val="left"/>
      <w:pPr>
        <w:tabs>
          <w:tab w:val="left" w:pos="420"/>
        </w:tabs>
        <w:ind w:left="420" w:hanging="420"/>
      </w:pPr>
      <w:rPr>
        <w:rFonts w:ascii="Times New Roman" w:hAnsi="Times New Roman" w:eastAsia="Times New Roman" w:cs="Times New Roman"/>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47">
    <w:nsid w:val="42C839C6"/>
    <w:multiLevelType w:val="multilevel"/>
    <w:tmpl w:val="42C839C6"/>
    <w:lvl w:ilvl="0" w:tentative="0">
      <w:start w:val="1"/>
      <w:numFmt w:val="bullet"/>
      <w:pStyle w:val="269"/>
      <w:lvlText w:val=""/>
      <w:lvlJc w:val="left"/>
      <w:pPr>
        <w:tabs>
          <w:tab w:val="left" w:pos="902"/>
        </w:tabs>
        <w:ind w:left="902" w:hanging="422"/>
      </w:pPr>
      <w:rPr>
        <w:rFonts w:hint="default" w:ascii="Wingdings" w:hAnsi="Wingdings"/>
      </w:rPr>
    </w:lvl>
    <w:lvl w:ilvl="1" w:tentative="0">
      <w:start w:val="1"/>
      <w:numFmt w:val="bullet"/>
      <w:lvlText w:val=""/>
      <w:lvlJc w:val="left"/>
      <w:pPr>
        <w:tabs>
          <w:tab w:val="left" w:pos="1326"/>
        </w:tabs>
        <w:ind w:left="1326" w:hanging="426"/>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8">
    <w:nsid w:val="44121AA6"/>
    <w:multiLevelType w:val="multilevel"/>
    <w:tmpl w:val="44121AA6"/>
    <w:lvl w:ilvl="0" w:tentative="0">
      <w:start w:val="1"/>
      <w:numFmt w:val="decimal"/>
      <w:pStyle w:val="349"/>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4494290B"/>
    <w:multiLevelType w:val="multilevel"/>
    <w:tmpl w:val="4494290B"/>
    <w:lvl w:ilvl="0" w:tentative="0">
      <w:start w:val="2"/>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45AE76C7"/>
    <w:multiLevelType w:val="singleLevel"/>
    <w:tmpl w:val="45AE76C7"/>
    <w:lvl w:ilvl="0" w:tentative="0">
      <w:start w:val="1"/>
      <w:numFmt w:val="lowerRoman"/>
      <w:lvlText w:val="（%1）"/>
      <w:lvlJc w:val="left"/>
      <w:pPr>
        <w:tabs>
          <w:tab w:val="left" w:pos="480"/>
        </w:tabs>
        <w:ind w:left="480" w:hanging="480"/>
      </w:pPr>
      <w:rPr>
        <w:rFonts w:hint="default"/>
      </w:rPr>
    </w:lvl>
  </w:abstractNum>
  <w:abstractNum w:abstractNumId="51">
    <w:nsid w:val="45CE3C61"/>
    <w:multiLevelType w:val="multilevel"/>
    <w:tmpl w:val="45CE3C61"/>
    <w:lvl w:ilvl="0" w:tentative="0">
      <w:start w:val="1"/>
      <w:numFmt w:val="bullet"/>
      <w:pStyle w:val="282"/>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2">
    <w:nsid w:val="496E4D7B"/>
    <w:multiLevelType w:val="multilevel"/>
    <w:tmpl w:val="496E4D7B"/>
    <w:lvl w:ilvl="0" w:tentative="0">
      <w:start w:val="0"/>
      <w:numFmt w:val="decimal"/>
      <w:pStyle w:val="850"/>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3">
    <w:nsid w:val="4BA65664"/>
    <w:multiLevelType w:val="multilevel"/>
    <w:tmpl w:val="4BA65664"/>
    <w:lvl w:ilvl="0" w:tentative="0">
      <w:start w:val="1"/>
      <w:numFmt w:val="bullet"/>
      <w:pStyle w:val="14"/>
      <w:lvlText w:val=""/>
      <w:lvlJc w:val="left"/>
      <w:pPr>
        <w:tabs>
          <w:tab w:val="left" w:pos="987"/>
        </w:tabs>
        <w:ind w:left="987" w:hanging="420"/>
      </w:pPr>
      <w:rPr>
        <w:rFonts w:hint="default" w:ascii="Wingdings" w:hAnsi="Wingdings"/>
      </w:rPr>
    </w:lvl>
    <w:lvl w:ilvl="1" w:tentative="0">
      <w:start w:val="1"/>
      <w:numFmt w:val="decimal"/>
      <w:lvlText w:val="%2、"/>
      <w:lvlJc w:val="left"/>
      <w:pPr>
        <w:tabs>
          <w:tab w:val="left" w:pos="680"/>
        </w:tabs>
        <w:ind w:left="680" w:hanging="360"/>
      </w:pPr>
      <w:rPr>
        <w:rFonts w:hint="eastAsia"/>
      </w:rPr>
    </w:lvl>
    <w:lvl w:ilvl="2" w:tentative="0">
      <w:start w:val="1"/>
      <w:numFmt w:val="upperLetter"/>
      <w:lvlText w:val="%3、"/>
      <w:lvlJc w:val="left"/>
      <w:pPr>
        <w:tabs>
          <w:tab w:val="left" w:pos="1100"/>
        </w:tabs>
        <w:ind w:left="1100" w:hanging="360"/>
      </w:pPr>
      <w:rPr>
        <w:rFonts w:hint="eastAsia"/>
      </w:rPr>
    </w:lvl>
    <w:lvl w:ilvl="3" w:tentative="0">
      <w:start w:val="1"/>
      <w:numFmt w:val="decimal"/>
      <w:lvlText w:val="%4."/>
      <w:lvlJc w:val="left"/>
      <w:pPr>
        <w:tabs>
          <w:tab w:val="left" w:pos="1580"/>
        </w:tabs>
        <w:ind w:left="1580" w:hanging="420"/>
      </w:pPr>
    </w:lvl>
    <w:lvl w:ilvl="4" w:tentative="0">
      <w:start w:val="1"/>
      <w:numFmt w:val="lowerLetter"/>
      <w:lvlText w:val="%5)"/>
      <w:lvlJc w:val="left"/>
      <w:pPr>
        <w:tabs>
          <w:tab w:val="left" w:pos="2000"/>
        </w:tabs>
        <w:ind w:left="2000" w:hanging="420"/>
      </w:pPr>
    </w:lvl>
    <w:lvl w:ilvl="5" w:tentative="0">
      <w:start w:val="1"/>
      <w:numFmt w:val="lowerRoman"/>
      <w:lvlText w:val="%6."/>
      <w:lvlJc w:val="right"/>
      <w:pPr>
        <w:tabs>
          <w:tab w:val="left" w:pos="2420"/>
        </w:tabs>
        <w:ind w:left="2420" w:hanging="420"/>
      </w:pPr>
    </w:lvl>
    <w:lvl w:ilvl="6" w:tentative="0">
      <w:start w:val="1"/>
      <w:numFmt w:val="decimal"/>
      <w:lvlText w:val="%7."/>
      <w:lvlJc w:val="left"/>
      <w:pPr>
        <w:tabs>
          <w:tab w:val="left" w:pos="2840"/>
        </w:tabs>
        <w:ind w:left="2840" w:hanging="420"/>
      </w:pPr>
    </w:lvl>
    <w:lvl w:ilvl="7" w:tentative="0">
      <w:start w:val="1"/>
      <w:numFmt w:val="lowerLetter"/>
      <w:lvlText w:val="%8)"/>
      <w:lvlJc w:val="left"/>
      <w:pPr>
        <w:tabs>
          <w:tab w:val="left" w:pos="3260"/>
        </w:tabs>
        <w:ind w:left="3260" w:hanging="420"/>
      </w:pPr>
    </w:lvl>
    <w:lvl w:ilvl="8" w:tentative="0">
      <w:start w:val="1"/>
      <w:numFmt w:val="lowerRoman"/>
      <w:lvlText w:val="%9."/>
      <w:lvlJc w:val="right"/>
      <w:pPr>
        <w:tabs>
          <w:tab w:val="left" w:pos="3680"/>
        </w:tabs>
        <w:ind w:left="3680" w:hanging="420"/>
      </w:pPr>
    </w:lvl>
  </w:abstractNum>
  <w:abstractNum w:abstractNumId="54">
    <w:nsid w:val="4C1B6F51"/>
    <w:multiLevelType w:val="multilevel"/>
    <w:tmpl w:val="4C1B6F51"/>
    <w:lvl w:ilvl="0" w:tentative="0">
      <w:start w:val="1"/>
      <w:numFmt w:val="bullet"/>
      <w:pStyle w:val="280"/>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5">
    <w:nsid w:val="4E3B6366"/>
    <w:multiLevelType w:val="multilevel"/>
    <w:tmpl w:val="4E3B6366"/>
    <w:lvl w:ilvl="0" w:tentative="0">
      <w:start w:val="1"/>
      <w:numFmt w:val="bullet"/>
      <w:pStyle w:val="911"/>
      <w:lvlText w:val=""/>
      <w:lvlJc w:val="left"/>
      <w:pPr>
        <w:tabs>
          <w:tab w:val="left" w:pos="420"/>
        </w:tabs>
        <w:ind w:left="420" w:firstLine="0"/>
      </w:pPr>
      <w:rPr>
        <w:rFonts w:hint="default" w:ascii="Wingdings" w:hAnsi="Wingdings"/>
      </w:rPr>
    </w:lvl>
    <w:lvl w:ilvl="1" w:tentative="0">
      <w:start w:val="1"/>
      <w:numFmt w:val="ideographDigital"/>
      <w:lvlText w:val="%2、"/>
      <w:lvlJc w:val="left"/>
      <w:pPr>
        <w:tabs>
          <w:tab w:val="left" w:pos="0"/>
        </w:tabs>
        <w:ind w:left="420" w:firstLine="0"/>
      </w:pPr>
      <w:rPr>
        <w:rFonts w:hint="eastAsia"/>
      </w:rPr>
    </w:lvl>
    <w:lvl w:ilvl="2" w:tentative="0">
      <w:start w:val="1"/>
      <w:numFmt w:val="bullet"/>
      <w:lvlText w:val=""/>
      <w:lvlJc w:val="left"/>
      <w:pPr>
        <w:tabs>
          <w:tab w:val="left" w:pos="1470"/>
        </w:tabs>
        <w:ind w:left="1470" w:hanging="420"/>
      </w:pPr>
      <w:rPr>
        <w:rFonts w:hint="default" w:ascii="Wingdings" w:hAnsi="Wingdings"/>
      </w:rPr>
    </w:lvl>
    <w:lvl w:ilvl="3" w:tentative="0">
      <w:start w:val="1"/>
      <w:numFmt w:val="bullet"/>
      <w:lvlText w:val=""/>
      <w:lvlJc w:val="left"/>
      <w:pPr>
        <w:tabs>
          <w:tab w:val="left" w:pos="1890"/>
        </w:tabs>
        <w:ind w:left="1890" w:hanging="420"/>
      </w:pPr>
      <w:rPr>
        <w:rFonts w:hint="default" w:ascii="Wingdings" w:hAnsi="Wingdings"/>
      </w:rPr>
    </w:lvl>
    <w:lvl w:ilvl="4" w:tentative="0">
      <w:start w:val="1"/>
      <w:numFmt w:val="bullet"/>
      <w:lvlText w:val=""/>
      <w:lvlJc w:val="left"/>
      <w:pPr>
        <w:tabs>
          <w:tab w:val="left" w:pos="2310"/>
        </w:tabs>
        <w:ind w:left="2310" w:hanging="420"/>
      </w:pPr>
      <w:rPr>
        <w:rFonts w:hint="default" w:ascii="Wingdings" w:hAnsi="Wingdings"/>
      </w:rPr>
    </w:lvl>
    <w:lvl w:ilvl="5" w:tentative="0">
      <w:start w:val="1"/>
      <w:numFmt w:val="bullet"/>
      <w:lvlText w:val=""/>
      <w:lvlJc w:val="left"/>
      <w:pPr>
        <w:tabs>
          <w:tab w:val="left" w:pos="2730"/>
        </w:tabs>
        <w:ind w:left="2730" w:hanging="420"/>
      </w:pPr>
      <w:rPr>
        <w:rFonts w:hint="default" w:ascii="Wingdings" w:hAnsi="Wingdings"/>
      </w:rPr>
    </w:lvl>
    <w:lvl w:ilvl="6" w:tentative="0">
      <w:start w:val="1"/>
      <w:numFmt w:val="bullet"/>
      <w:lvlText w:val=""/>
      <w:lvlJc w:val="left"/>
      <w:pPr>
        <w:tabs>
          <w:tab w:val="left" w:pos="3150"/>
        </w:tabs>
        <w:ind w:left="3150" w:hanging="420"/>
      </w:pPr>
      <w:rPr>
        <w:rFonts w:hint="default" w:ascii="Wingdings" w:hAnsi="Wingdings"/>
      </w:rPr>
    </w:lvl>
    <w:lvl w:ilvl="7" w:tentative="0">
      <w:start w:val="1"/>
      <w:numFmt w:val="bullet"/>
      <w:lvlText w:val=""/>
      <w:lvlJc w:val="left"/>
      <w:pPr>
        <w:tabs>
          <w:tab w:val="left" w:pos="3570"/>
        </w:tabs>
        <w:ind w:left="3570" w:hanging="420"/>
      </w:pPr>
      <w:rPr>
        <w:rFonts w:hint="default" w:ascii="Wingdings" w:hAnsi="Wingdings"/>
      </w:rPr>
    </w:lvl>
    <w:lvl w:ilvl="8" w:tentative="0">
      <w:start w:val="1"/>
      <w:numFmt w:val="bullet"/>
      <w:lvlText w:val=""/>
      <w:lvlJc w:val="left"/>
      <w:pPr>
        <w:tabs>
          <w:tab w:val="left" w:pos="3990"/>
        </w:tabs>
        <w:ind w:left="3990" w:hanging="420"/>
      </w:pPr>
      <w:rPr>
        <w:rFonts w:hint="default" w:ascii="Wingdings" w:hAnsi="Wingdings"/>
      </w:rPr>
    </w:lvl>
  </w:abstractNum>
  <w:abstractNum w:abstractNumId="56">
    <w:nsid w:val="516E5441"/>
    <w:multiLevelType w:val="singleLevel"/>
    <w:tmpl w:val="516E5441"/>
    <w:lvl w:ilvl="0" w:tentative="0">
      <w:start w:val="1"/>
      <w:numFmt w:val="decimal"/>
      <w:lvlText w:val="%1)"/>
      <w:lvlJc w:val="left"/>
      <w:pPr>
        <w:ind w:left="425" w:hanging="425"/>
      </w:pPr>
      <w:rPr>
        <w:rFonts w:hint="default"/>
      </w:rPr>
    </w:lvl>
  </w:abstractNum>
  <w:abstractNum w:abstractNumId="57">
    <w:nsid w:val="5187620D"/>
    <w:multiLevelType w:val="multilevel"/>
    <w:tmpl w:val="5187620D"/>
    <w:lvl w:ilvl="0" w:tentative="0">
      <w:start w:val="1"/>
      <w:numFmt w:val="chineseCountingThousand"/>
      <w:pStyle w:val="946"/>
      <w:lvlText w:val="%1、"/>
      <w:lvlJc w:val="left"/>
      <w:pPr>
        <w:ind w:left="907" w:hanging="907"/>
      </w:pPr>
      <w:rPr>
        <w:rFonts w:hint="eastAsia"/>
      </w:rPr>
    </w:lvl>
    <w:lvl w:ilvl="1" w:tentative="0">
      <w:start w:val="1"/>
      <w:numFmt w:val="decimal"/>
      <w:lvlText w:val="%2."/>
      <w:lvlJc w:val="left"/>
      <w:pPr>
        <w:ind w:left="1220" w:hanging="794"/>
      </w:pPr>
      <w:rPr>
        <w:rFonts w:hint="eastAsia"/>
      </w:rPr>
    </w:lvl>
    <w:lvl w:ilvl="2" w:tentative="0">
      <w:start w:val="1"/>
      <w:numFmt w:val="decimal"/>
      <w:isLgl/>
      <w:suff w:val="space"/>
      <w:lvlText w:val="%2.%3 "/>
      <w:lvlJc w:val="left"/>
      <w:pPr>
        <w:ind w:left="1333" w:hanging="907"/>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isLgl/>
      <w:suff w:val="space"/>
      <w:lvlText w:val="%2.%3.%4 "/>
      <w:lvlJc w:val="left"/>
      <w:pPr>
        <w:ind w:left="1021" w:hanging="1021"/>
      </w:pPr>
      <w:rPr>
        <w:rFonts w:hint="eastAsia"/>
      </w:rPr>
    </w:lvl>
    <w:lvl w:ilvl="4" w:tentative="0">
      <w:start w:val="1"/>
      <w:numFmt w:val="decimal"/>
      <w:pStyle w:val="950"/>
      <w:isLgl/>
      <w:suff w:val="space"/>
      <w:lvlText w:val="%2.%3.%4.%5 "/>
      <w:lvlJc w:val="left"/>
      <w:pPr>
        <w:ind w:left="1985" w:hanging="113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5" w:tentative="0">
      <w:start w:val="1"/>
      <w:numFmt w:val="decimal"/>
      <w:pStyle w:val="951"/>
      <w:isLgl/>
      <w:suff w:val="space"/>
      <w:lvlText w:val="%2.%3.%4.%5.%6 "/>
      <w:lvlJc w:val="left"/>
      <w:pPr>
        <w:ind w:left="1247" w:hanging="1247"/>
      </w:pPr>
      <w:rPr>
        <w:rFonts w:hint="eastAsia"/>
      </w:rPr>
    </w:lvl>
    <w:lvl w:ilvl="6" w:tentative="0">
      <w:start w:val="1"/>
      <w:numFmt w:val="decimal"/>
      <w:lvlRestart w:val="1"/>
      <w:pStyle w:val="952"/>
      <w:isLgl/>
      <w:suff w:val="space"/>
      <w:lvlText w:val="图 %1.%7 "/>
      <w:lvlJc w:val="left"/>
      <w:pPr>
        <w:ind w:left="0" w:firstLine="0"/>
      </w:pPr>
      <w:rPr>
        <w:rFonts w:hint="eastAsia"/>
      </w:rPr>
    </w:lvl>
    <w:lvl w:ilvl="7" w:tentative="0">
      <w:start w:val="1"/>
      <w:numFmt w:val="decimal"/>
      <w:lvlRestart w:val="1"/>
      <w:pStyle w:val="953"/>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8">
    <w:nsid w:val="58CA2BC6"/>
    <w:multiLevelType w:val="singleLevel"/>
    <w:tmpl w:val="58CA2BC6"/>
    <w:lvl w:ilvl="0" w:tentative="0">
      <w:start w:val="1"/>
      <w:numFmt w:val="decimal"/>
      <w:suff w:val="nothing"/>
      <w:lvlText w:val="%1．"/>
      <w:lvlJc w:val="left"/>
      <w:pPr>
        <w:ind w:firstLine="400"/>
      </w:pPr>
      <w:rPr>
        <w:rFonts w:hint="default" w:cs="Times New Roman"/>
      </w:rPr>
    </w:lvl>
  </w:abstractNum>
  <w:abstractNum w:abstractNumId="59">
    <w:nsid w:val="58F37F67"/>
    <w:multiLevelType w:val="singleLevel"/>
    <w:tmpl w:val="58F37F67"/>
    <w:lvl w:ilvl="0" w:tentative="0">
      <w:start w:val="1"/>
      <w:numFmt w:val="decimal"/>
      <w:lvlText w:val="%1)"/>
      <w:lvlJc w:val="left"/>
      <w:pPr>
        <w:ind w:left="425" w:hanging="425"/>
      </w:pPr>
      <w:rPr>
        <w:rFonts w:hint="default" w:cs="Times New Roman"/>
      </w:rPr>
    </w:lvl>
  </w:abstractNum>
  <w:abstractNum w:abstractNumId="60">
    <w:nsid w:val="58F37FD1"/>
    <w:multiLevelType w:val="singleLevel"/>
    <w:tmpl w:val="58F37FD1"/>
    <w:lvl w:ilvl="0" w:tentative="0">
      <w:start w:val="1"/>
      <w:numFmt w:val="lowerLetter"/>
      <w:lvlText w:val="%1."/>
      <w:lvlJc w:val="left"/>
      <w:pPr>
        <w:ind w:left="425" w:hanging="425"/>
      </w:pPr>
      <w:rPr>
        <w:rFonts w:hint="default" w:cs="Times New Roman"/>
      </w:rPr>
    </w:lvl>
  </w:abstractNum>
  <w:abstractNum w:abstractNumId="61">
    <w:nsid w:val="58F38002"/>
    <w:multiLevelType w:val="singleLevel"/>
    <w:tmpl w:val="58F38002"/>
    <w:lvl w:ilvl="0" w:tentative="0">
      <w:start w:val="1"/>
      <w:numFmt w:val="bullet"/>
      <w:lvlText w:val=""/>
      <w:lvlJc w:val="left"/>
      <w:pPr>
        <w:ind w:left="420" w:hanging="420"/>
      </w:pPr>
      <w:rPr>
        <w:rFonts w:hint="default" w:ascii="Wingdings" w:hAnsi="Wingdings"/>
      </w:rPr>
    </w:lvl>
  </w:abstractNum>
  <w:abstractNum w:abstractNumId="62">
    <w:nsid w:val="58F38097"/>
    <w:multiLevelType w:val="singleLevel"/>
    <w:tmpl w:val="58F38097"/>
    <w:lvl w:ilvl="0" w:tentative="0">
      <w:start w:val="1"/>
      <w:numFmt w:val="decimalEnclosedCircleChinese"/>
      <w:suff w:val="nothing"/>
      <w:lvlText w:val="%1　"/>
      <w:lvlJc w:val="left"/>
      <w:pPr>
        <w:ind w:firstLine="400"/>
      </w:pPr>
      <w:rPr>
        <w:rFonts w:hint="eastAsia" w:cs="Times New Roman"/>
      </w:rPr>
    </w:lvl>
  </w:abstractNum>
  <w:abstractNum w:abstractNumId="63">
    <w:nsid w:val="58F380B6"/>
    <w:multiLevelType w:val="singleLevel"/>
    <w:tmpl w:val="58F380B6"/>
    <w:lvl w:ilvl="0" w:tentative="0">
      <w:start w:val="1"/>
      <w:numFmt w:val="decimalEnclosedCircleChinese"/>
      <w:suff w:val="nothing"/>
      <w:lvlText w:val="%1　"/>
      <w:lvlJc w:val="left"/>
      <w:pPr>
        <w:ind w:firstLine="400"/>
      </w:pPr>
      <w:rPr>
        <w:rFonts w:hint="eastAsia" w:cs="Times New Roman"/>
      </w:rPr>
    </w:lvl>
  </w:abstractNum>
  <w:abstractNum w:abstractNumId="64">
    <w:nsid w:val="58F380D2"/>
    <w:multiLevelType w:val="singleLevel"/>
    <w:tmpl w:val="58F380D2"/>
    <w:lvl w:ilvl="0" w:tentative="0">
      <w:start w:val="1"/>
      <w:numFmt w:val="decimalEnclosedCircleChinese"/>
      <w:suff w:val="nothing"/>
      <w:lvlText w:val="%1　"/>
      <w:lvlJc w:val="left"/>
      <w:pPr>
        <w:ind w:firstLine="400"/>
      </w:pPr>
      <w:rPr>
        <w:rFonts w:hint="eastAsia" w:cs="Times New Roman"/>
      </w:rPr>
    </w:lvl>
  </w:abstractNum>
  <w:abstractNum w:abstractNumId="65">
    <w:nsid w:val="5ADC7697"/>
    <w:multiLevelType w:val="multilevel"/>
    <w:tmpl w:val="5ADC769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360"/>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6">
    <w:nsid w:val="5C156E9E"/>
    <w:multiLevelType w:val="multilevel"/>
    <w:tmpl w:val="5C156E9E"/>
    <w:lvl w:ilvl="0" w:tentative="0">
      <w:start w:val="1"/>
      <w:numFmt w:val="decimal"/>
      <w:pStyle w:val="315"/>
      <w:lvlText w:val="%1."/>
      <w:lvlJc w:val="left"/>
      <w:pPr>
        <w:tabs>
          <w:tab w:val="left" w:pos="0"/>
        </w:tabs>
        <w:ind w:left="567" w:hanging="567"/>
      </w:pPr>
      <w:rPr>
        <w:rFonts w:hint="eastAsia"/>
      </w:rPr>
    </w:lvl>
    <w:lvl w:ilvl="1" w:tentative="0">
      <w:start w:val="1"/>
      <w:numFmt w:val="decimal"/>
      <w:pStyle w:val="316"/>
      <w:lvlText w:val="%1.%2."/>
      <w:lvlJc w:val="left"/>
      <w:pPr>
        <w:tabs>
          <w:tab w:val="left" w:pos="0"/>
        </w:tabs>
        <w:ind w:left="567" w:hanging="567"/>
      </w:pPr>
      <w:rPr>
        <w:rFonts w:hint="eastAsia"/>
      </w:rPr>
    </w:lvl>
    <w:lvl w:ilvl="2" w:tentative="0">
      <w:start w:val="1"/>
      <w:numFmt w:val="decimal"/>
      <w:pStyle w:val="317"/>
      <w:lvlText w:val="%1.%2.%3."/>
      <w:lvlJc w:val="left"/>
      <w:pPr>
        <w:tabs>
          <w:tab w:val="left" w:pos="0"/>
        </w:tabs>
        <w:ind w:left="709" w:hanging="709"/>
      </w:pPr>
      <w:rPr>
        <w:rFonts w:hint="eastAsia"/>
      </w:rPr>
    </w:lvl>
    <w:lvl w:ilvl="3" w:tentative="0">
      <w:start w:val="1"/>
      <w:numFmt w:val="decimal"/>
      <w:pStyle w:val="318"/>
      <w:lvlText w:val="%1.%2.%3.%4."/>
      <w:lvlJc w:val="left"/>
      <w:pPr>
        <w:tabs>
          <w:tab w:val="left" w:pos="0"/>
        </w:tabs>
        <w:ind w:left="851" w:hanging="851"/>
      </w:pPr>
      <w:rPr>
        <w:rFonts w:hint="eastAsia"/>
      </w:rPr>
    </w:lvl>
    <w:lvl w:ilvl="4" w:tentative="0">
      <w:start w:val="1"/>
      <w:numFmt w:val="decimal"/>
      <w:pStyle w:val="319"/>
      <w:lvlText w:val="%1.%2.%3.%4.%5."/>
      <w:lvlJc w:val="left"/>
      <w:pPr>
        <w:tabs>
          <w:tab w:val="left" w:pos="0"/>
        </w:tabs>
        <w:ind w:left="992" w:hanging="992"/>
      </w:pPr>
      <w:rPr>
        <w:rFonts w:hint="eastAsia"/>
      </w:rPr>
    </w:lvl>
    <w:lvl w:ilvl="5" w:tentative="0">
      <w:start w:val="1"/>
      <w:numFmt w:val="decimal"/>
      <w:lvlText w:val="%1.%2.%3.%4.%5.%6."/>
      <w:lvlJc w:val="left"/>
      <w:pPr>
        <w:tabs>
          <w:tab w:val="left" w:pos="0"/>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7">
    <w:nsid w:val="5F6041FA"/>
    <w:multiLevelType w:val="multilevel"/>
    <w:tmpl w:val="5F6041FA"/>
    <w:lvl w:ilvl="0" w:tentative="0">
      <w:start w:val="1"/>
      <w:numFmt w:val="decimal"/>
      <w:lvlText w:val="%1、"/>
      <w:lvlJc w:val="left"/>
      <w:pPr>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8">
    <w:nsid w:val="5FC0C4B9"/>
    <w:multiLevelType w:val="singleLevel"/>
    <w:tmpl w:val="5FC0C4B9"/>
    <w:lvl w:ilvl="0" w:tentative="0">
      <w:start w:val="1"/>
      <w:numFmt w:val="decimal"/>
      <w:suff w:val="nothing"/>
      <w:lvlText w:val="%1、"/>
      <w:lvlJc w:val="left"/>
    </w:lvl>
  </w:abstractNum>
  <w:abstractNum w:abstractNumId="69">
    <w:nsid w:val="60014945"/>
    <w:multiLevelType w:val="multilevel"/>
    <w:tmpl w:val="60014945"/>
    <w:lvl w:ilvl="0" w:tentative="0">
      <w:start w:val="1"/>
      <w:numFmt w:val="decimal"/>
      <w:lvlText w:val="第%1章."/>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7"/>
      <w:lvlText w:val="%1.%2.%3.%4."/>
      <w:lvlJc w:val="left"/>
      <w:pPr>
        <w:tabs>
          <w:tab w:val="left" w:pos="851"/>
        </w:tabs>
        <w:ind w:left="851" w:hanging="851"/>
      </w:pPr>
      <w:rPr>
        <w:rFonts w:hint="eastAsia"/>
      </w:rPr>
    </w:lvl>
    <w:lvl w:ilvl="4" w:tentative="0">
      <w:start w:val="1"/>
      <w:numFmt w:val="decimal"/>
      <w:pStyle w:val="8"/>
      <w:lvlText w:val="%1.%2.%3.%4.%5."/>
      <w:lvlJc w:val="left"/>
      <w:pPr>
        <w:tabs>
          <w:tab w:val="left" w:pos="992"/>
        </w:tabs>
        <w:ind w:left="992" w:hanging="992"/>
      </w:pPr>
      <w:rPr>
        <w:rFonts w:hint="eastAsia"/>
      </w:rPr>
    </w:lvl>
    <w:lvl w:ilvl="5" w:tentative="0">
      <w:start w:val="1"/>
      <w:numFmt w:val="decimal"/>
      <w:pStyle w:val="582"/>
      <w:lvlText w:val="%1.%2.%3.%4.%5.%6."/>
      <w:lvlJc w:val="left"/>
      <w:pPr>
        <w:tabs>
          <w:tab w:val="left" w:pos="1134"/>
        </w:tabs>
        <w:ind w:left="1134" w:hanging="1134"/>
      </w:pPr>
      <w:rPr>
        <w:rFonts w:hint="eastAsia"/>
      </w:rPr>
    </w:lvl>
    <w:lvl w:ilvl="6" w:tentative="0">
      <w:start w:val="1"/>
      <w:numFmt w:val="decimal"/>
      <w:pStyle w:val="10"/>
      <w:lvlText w:val="%1.%2.%3.%4.%5.%6.%7."/>
      <w:lvlJc w:val="left"/>
      <w:pPr>
        <w:tabs>
          <w:tab w:val="left" w:pos="1276"/>
        </w:tabs>
        <w:ind w:left="1276" w:hanging="1276"/>
      </w:pPr>
      <w:rPr>
        <w:rFonts w:hint="eastAsia"/>
      </w:rPr>
    </w:lvl>
    <w:lvl w:ilvl="7" w:tentative="0">
      <w:start w:val="1"/>
      <w:numFmt w:val="decimal"/>
      <w:pStyle w:val="11"/>
      <w:lvlText w:val="%1.%2.%3.%4.%5.%6.%7.%8."/>
      <w:lvlJc w:val="left"/>
      <w:pPr>
        <w:tabs>
          <w:tab w:val="left" w:pos="1418"/>
        </w:tabs>
        <w:ind w:left="1418" w:hanging="1418"/>
      </w:pPr>
      <w:rPr>
        <w:rFonts w:hint="eastAsia"/>
      </w:rPr>
    </w:lvl>
    <w:lvl w:ilvl="8" w:tentative="0">
      <w:start w:val="1"/>
      <w:numFmt w:val="decimal"/>
      <w:pStyle w:val="12"/>
      <w:lvlText w:val="%1.%2.%3.%4.%5.%6.%7.%8.%9."/>
      <w:lvlJc w:val="left"/>
      <w:pPr>
        <w:tabs>
          <w:tab w:val="left" w:pos="1559"/>
        </w:tabs>
        <w:ind w:left="1559" w:hanging="1559"/>
      </w:pPr>
      <w:rPr>
        <w:rFonts w:hint="eastAsia"/>
      </w:rPr>
    </w:lvl>
  </w:abstractNum>
  <w:abstractNum w:abstractNumId="70">
    <w:nsid w:val="657D3FBC"/>
    <w:multiLevelType w:val="multilevel"/>
    <w:tmpl w:val="657D3FBC"/>
    <w:lvl w:ilvl="0" w:tentative="0">
      <w:start w:val="0"/>
      <w:numFmt w:val="decimal"/>
      <w:pStyle w:val="843"/>
      <w:lvlText w:val=""/>
      <w:lvlJc w:val="left"/>
    </w:lvl>
    <w:lvl w:ilvl="1" w:tentative="0">
      <w:start w:val="0"/>
      <w:numFmt w:val="decimal"/>
      <w:pStyle w:val="844"/>
      <w:lvlText w:val=""/>
      <w:lvlJc w:val="left"/>
    </w:lvl>
    <w:lvl w:ilvl="2" w:tentative="0">
      <w:start w:val="0"/>
      <w:numFmt w:val="decimal"/>
      <w:pStyle w:val="845"/>
      <w:lvlText w:val=""/>
      <w:lvlJc w:val="left"/>
    </w:lvl>
    <w:lvl w:ilvl="3" w:tentative="0">
      <w:start w:val="0"/>
      <w:numFmt w:val="decimal"/>
      <w:pStyle w:val="846"/>
      <w:lvlText w:val=""/>
      <w:lvlJc w:val="left"/>
    </w:lvl>
    <w:lvl w:ilvl="4" w:tentative="0">
      <w:start w:val="0"/>
      <w:numFmt w:val="decimal"/>
      <w:pStyle w:val="847"/>
      <w:lvlText w:val=""/>
      <w:lvlJc w:val="left"/>
    </w:lvl>
    <w:lvl w:ilvl="5" w:tentative="0">
      <w:start w:val="0"/>
      <w:numFmt w:val="decimal"/>
      <w:pStyle w:val="848"/>
      <w:lvlText w:val=""/>
      <w:lvlJc w:val="left"/>
    </w:lvl>
    <w:lvl w:ilvl="6" w:tentative="0">
      <w:start w:val="0"/>
      <w:numFmt w:val="decimal"/>
      <w:pStyle w:val="849"/>
      <w:lvlText w:val=""/>
      <w:lvlJc w:val="left"/>
    </w:lvl>
    <w:lvl w:ilvl="7" w:tentative="0">
      <w:start w:val="0"/>
      <w:numFmt w:val="decimal"/>
      <w:lvlText w:val=""/>
      <w:lvlJc w:val="left"/>
    </w:lvl>
    <w:lvl w:ilvl="8" w:tentative="0">
      <w:start w:val="0"/>
      <w:numFmt w:val="decimal"/>
      <w:lvlText w:val=""/>
      <w:lvlJc w:val="left"/>
    </w:lvl>
  </w:abstractNum>
  <w:abstractNum w:abstractNumId="71">
    <w:nsid w:val="67404441"/>
    <w:multiLevelType w:val="singleLevel"/>
    <w:tmpl w:val="67404441"/>
    <w:lvl w:ilvl="0" w:tentative="0">
      <w:start w:val="1"/>
      <w:numFmt w:val="decimal"/>
      <w:lvlText w:val="%1."/>
      <w:lvlJc w:val="left"/>
      <w:pPr>
        <w:ind w:left="425" w:hanging="425"/>
      </w:pPr>
      <w:rPr>
        <w:rFonts w:hint="default"/>
      </w:rPr>
    </w:lvl>
  </w:abstractNum>
  <w:abstractNum w:abstractNumId="72">
    <w:nsid w:val="695C3660"/>
    <w:multiLevelType w:val="multilevel"/>
    <w:tmpl w:val="695C3660"/>
    <w:lvl w:ilvl="0" w:tentative="0">
      <w:start w:val="1"/>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3">
    <w:nsid w:val="6A5100FC"/>
    <w:multiLevelType w:val="multilevel"/>
    <w:tmpl w:val="6A5100FC"/>
    <w:lvl w:ilvl="0" w:tentative="0">
      <w:start w:val="1"/>
      <w:numFmt w:val="bullet"/>
      <w:pStyle w:val="68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4">
    <w:nsid w:val="6ADC5764"/>
    <w:multiLevelType w:val="multilevel"/>
    <w:tmpl w:val="6ADC5764"/>
    <w:lvl w:ilvl="0" w:tentative="0">
      <w:start w:val="1"/>
      <w:numFmt w:val="chineseCountingThousand"/>
      <w:pStyle w:val="921"/>
      <w:lvlText w:val="第%1章"/>
      <w:lvlJc w:val="left"/>
      <w:pPr>
        <w:tabs>
          <w:tab w:val="left" w:pos="1440"/>
        </w:tabs>
        <w:ind w:left="0" w:firstLine="0"/>
      </w:pPr>
      <w:rPr>
        <w:rFonts w:hint="default" w:ascii="Times New Roman" w:hAnsi="Times New Roman" w:eastAsia="黑体" w:cs="Times New Roman"/>
        <w:b/>
        <w:bCs w:val="0"/>
        <w:i w:val="0"/>
        <w:iCs w:val="0"/>
        <w:caps w:val="0"/>
        <w:strike w:val="0"/>
        <w:dstrike w:val="0"/>
        <w:vanish w:val="0"/>
        <w:color w:val="auto"/>
        <w:spacing w:val="0"/>
        <w:position w:val="0"/>
        <w:sz w:val="36"/>
        <w:szCs w:val="36"/>
        <w:u w:val="none"/>
        <w:vertAlign w:val="baseline"/>
      </w:rPr>
    </w:lvl>
    <w:lvl w:ilvl="1" w:tentative="0">
      <w:start w:val="1"/>
      <w:numFmt w:val="decimal"/>
      <w:isLgl/>
      <w:lvlText w:val="%1.%2"/>
      <w:lvlJc w:val="left"/>
      <w:pPr>
        <w:tabs>
          <w:tab w:val="left" w:pos="720"/>
        </w:tabs>
        <w:ind w:left="0" w:firstLine="0"/>
      </w:pPr>
      <w:rPr>
        <w:rFonts w:hint="eastAsia"/>
      </w:rPr>
    </w:lvl>
    <w:lvl w:ilvl="2" w:tentative="0">
      <w:start w:val="1"/>
      <w:numFmt w:val="decimal"/>
      <w:isLgl/>
      <w:lvlText w:val="%1.%2.%3"/>
      <w:lvlJc w:val="left"/>
      <w:pPr>
        <w:tabs>
          <w:tab w:val="left" w:pos="1080"/>
        </w:tabs>
        <w:ind w:left="720" w:hanging="720"/>
      </w:pPr>
      <w:rPr>
        <w:rFonts w:hint="eastAsia"/>
        <w:b/>
      </w:rPr>
    </w:lvl>
    <w:lvl w:ilvl="3" w:tentative="0">
      <w:start w:val="1"/>
      <w:numFmt w:val="decimal"/>
      <w:isLgl/>
      <w:lvlText w:val="%1.%2.%3.%4"/>
      <w:lvlJc w:val="left"/>
      <w:pPr>
        <w:tabs>
          <w:tab w:val="left" w:pos="1440"/>
        </w:tabs>
        <w:ind w:left="0" w:firstLine="0"/>
      </w:pPr>
      <w:rPr>
        <w:rFonts w:hint="eastAsia"/>
      </w:rPr>
    </w:lvl>
    <w:lvl w:ilvl="4" w:tentative="0">
      <w:start w:val="1"/>
      <w:numFmt w:val="decimal"/>
      <w:isLgl/>
      <w:lvlText w:val="%1.%2.%3.%4.%5"/>
      <w:lvlJc w:val="left"/>
      <w:pPr>
        <w:tabs>
          <w:tab w:val="left" w:pos="1800"/>
        </w:tabs>
        <w:ind w:left="1008" w:hanging="1008"/>
      </w:pPr>
      <w:rPr>
        <w:rFonts w:hint="eastAsia"/>
      </w:rPr>
    </w:lvl>
    <w:lvl w:ilvl="5" w:tentative="0">
      <w:start w:val="1"/>
      <w:numFmt w:val="decimal"/>
      <w:isLgl/>
      <w:lvlText w:val="%1.%2.%3.%4.%5.%6"/>
      <w:lvlJc w:val="left"/>
      <w:pPr>
        <w:tabs>
          <w:tab w:val="left" w:pos="2160"/>
        </w:tabs>
        <w:ind w:left="1152" w:hanging="1152"/>
      </w:pPr>
      <w:rPr>
        <w:rFonts w:hint="eastAsia"/>
      </w:rPr>
    </w:lvl>
    <w:lvl w:ilvl="6" w:tentative="0">
      <w:start w:val="1"/>
      <w:numFmt w:val="decimal"/>
      <w:isLgl/>
      <w:lvlText w:val="%1.%2.%3.%4.%5.%6.%7"/>
      <w:lvlJc w:val="left"/>
      <w:pPr>
        <w:tabs>
          <w:tab w:val="left" w:pos="2520"/>
        </w:tabs>
        <w:ind w:left="1296" w:hanging="1296"/>
      </w:pPr>
      <w:rPr>
        <w:rFonts w:hint="eastAsia"/>
      </w:rPr>
    </w:lvl>
    <w:lvl w:ilvl="7" w:tentative="0">
      <w:start w:val="1"/>
      <w:numFmt w:val="decimal"/>
      <w:isLgl/>
      <w:lvlText w:val="%1.%2.%3.%4.%5.%6.%7.%8"/>
      <w:lvlJc w:val="left"/>
      <w:pPr>
        <w:tabs>
          <w:tab w:val="left" w:pos="2880"/>
        </w:tabs>
        <w:ind w:left="1440" w:hanging="1440"/>
      </w:pPr>
      <w:rPr>
        <w:rFonts w:hint="eastAsia"/>
      </w:rPr>
    </w:lvl>
    <w:lvl w:ilvl="8" w:tentative="0">
      <w:start w:val="1"/>
      <w:numFmt w:val="decimal"/>
      <w:isLgl/>
      <w:lvlText w:val="%1.%2.%3.%4.%5.%6.%7.%8.%9"/>
      <w:lvlJc w:val="left"/>
      <w:pPr>
        <w:tabs>
          <w:tab w:val="left" w:pos="2880"/>
        </w:tabs>
        <w:ind w:left="1584" w:hanging="1584"/>
      </w:pPr>
      <w:rPr>
        <w:rFonts w:hint="eastAsia"/>
      </w:rPr>
    </w:lvl>
  </w:abstractNum>
  <w:abstractNum w:abstractNumId="75">
    <w:nsid w:val="6B0A386E"/>
    <w:multiLevelType w:val="singleLevel"/>
    <w:tmpl w:val="6B0A386E"/>
    <w:lvl w:ilvl="0" w:tentative="0">
      <w:start w:val="1"/>
      <w:numFmt w:val="lowerLetter"/>
      <w:lvlText w:val="（%1）"/>
      <w:lvlJc w:val="left"/>
      <w:pPr>
        <w:tabs>
          <w:tab w:val="left" w:pos="660"/>
        </w:tabs>
        <w:ind w:left="660" w:hanging="660"/>
      </w:pPr>
      <w:rPr>
        <w:rFonts w:hint="eastAsia"/>
      </w:rPr>
    </w:lvl>
  </w:abstractNum>
  <w:abstractNum w:abstractNumId="76">
    <w:nsid w:val="6E063BC1"/>
    <w:multiLevelType w:val="multilevel"/>
    <w:tmpl w:val="6E063BC1"/>
    <w:lvl w:ilvl="0" w:tentative="0">
      <w:start w:val="1"/>
      <w:numFmt w:val="bullet"/>
      <w:pStyle w:val="961"/>
      <w:lvlText w:val=""/>
      <w:lvlJc w:val="left"/>
      <w:pPr>
        <w:ind w:left="720" w:hanging="360"/>
      </w:pPr>
      <w:rPr>
        <w:rFonts w:hint="default" w:ascii="Wingdings" w:hAnsi="Wingding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7">
    <w:nsid w:val="6E2717D9"/>
    <w:multiLevelType w:val="multilevel"/>
    <w:tmpl w:val="6E2717D9"/>
    <w:lvl w:ilvl="0" w:tentative="0">
      <w:start w:val="1"/>
      <w:numFmt w:val="bullet"/>
      <w:pStyle w:val="61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8">
    <w:nsid w:val="6EB95B81"/>
    <w:multiLevelType w:val="singleLevel"/>
    <w:tmpl w:val="6EB95B81"/>
    <w:lvl w:ilvl="0" w:tentative="0">
      <w:start w:val="4"/>
      <w:numFmt w:val="chineseCounting"/>
      <w:suff w:val="nothing"/>
      <w:lvlText w:val="%1、"/>
      <w:lvlJc w:val="left"/>
      <w:rPr>
        <w:rFonts w:hint="eastAsia"/>
      </w:rPr>
    </w:lvl>
  </w:abstractNum>
  <w:abstractNum w:abstractNumId="79">
    <w:nsid w:val="703B5A03"/>
    <w:multiLevelType w:val="multilevel"/>
    <w:tmpl w:val="703B5A03"/>
    <w:lvl w:ilvl="0" w:tentative="0">
      <w:start w:val="1"/>
      <w:numFmt w:val="chineseCountingThousand"/>
      <w:pStyle w:val="307"/>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71313E98"/>
    <w:multiLevelType w:val="singleLevel"/>
    <w:tmpl w:val="71313E98"/>
    <w:lvl w:ilvl="0" w:tentative="0">
      <w:start w:val="1"/>
      <w:numFmt w:val="decimal"/>
      <w:pStyle w:val="101"/>
      <w:lvlText w:val="%1)"/>
      <w:lvlJc w:val="left"/>
      <w:pPr>
        <w:tabs>
          <w:tab w:val="left" w:pos="1145"/>
        </w:tabs>
        <w:ind w:left="1145" w:hanging="720"/>
      </w:pPr>
      <w:rPr>
        <w:rFonts w:hint="default"/>
      </w:rPr>
    </w:lvl>
  </w:abstractNum>
  <w:abstractNum w:abstractNumId="81">
    <w:nsid w:val="71BF722C"/>
    <w:multiLevelType w:val="multilevel"/>
    <w:tmpl w:val="71BF722C"/>
    <w:lvl w:ilvl="0" w:tentative="0">
      <w:start w:val="1"/>
      <w:numFmt w:val="decimal"/>
      <w:lvlText w:val="%1"/>
      <w:lvlJc w:val="left"/>
      <w:pPr>
        <w:tabs>
          <w:tab w:val="left" w:pos="0"/>
        </w:tabs>
        <w:ind w:left="0" w:firstLine="0"/>
      </w:pPr>
      <w:rPr>
        <w:rFonts w:hint="eastAsia"/>
      </w:rPr>
    </w:lvl>
    <w:lvl w:ilvl="1" w:tentative="0">
      <w:start w:val="1"/>
      <w:numFmt w:val="decimal"/>
      <w:pStyle w:val="491"/>
      <w:lvlText w:val="%1.%2"/>
      <w:lvlJc w:val="left"/>
      <w:pPr>
        <w:tabs>
          <w:tab w:val="left" w:pos="0"/>
        </w:tabs>
        <w:ind w:left="0" w:firstLine="0"/>
      </w:pPr>
      <w:rPr>
        <w:rFonts w:hint="default" w:ascii="ˎ̥" w:hAnsi="ˎ̥" w:cs="ˎ̥"/>
        <w:sz w:val="30"/>
        <w:szCs w:val="30"/>
      </w:rPr>
    </w:lvl>
    <w:lvl w:ilvl="2" w:tentative="0">
      <w:start w:val="1"/>
      <w:numFmt w:val="decimal"/>
      <w:lvlText w:val="%1.%2.%3"/>
      <w:lvlJc w:val="left"/>
      <w:pPr>
        <w:tabs>
          <w:tab w:val="left" w:pos="0"/>
        </w:tabs>
        <w:ind w:left="0" w:firstLine="0"/>
      </w:pPr>
      <w:rPr>
        <w:rFonts w:hint="default" w:ascii="ˎ̥" w:hAnsi="ˎ̥" w:eastAsia="宋体" w:cs="ˎ̥"/>
        <w:b/>
        <w:bCs w:val="0"/>
        <w:i w:val="0"/>
        <w:iCs w:val="0"/>
        <w:caps w:val="0"/>
        <w:smallCaps w:val="0"/>
        <w:strike w:val="0"/>
        <w:dstrike w:val="0"/>
        <w:color w:val="auto"/>
        <w:spacing w:val="0"/>
        <w:w w:val="100"/>
        <w:kern w:val="2"/>
        <w:position w:val="0"/>
        <w:sz w:val="30"/>
        <w:szCs w:val="30"/>
        <w:u w:val="none"/>
        <w:shd w:val="clear" w:color="auto" w:fill="auto"/>
      </w:rPr>
    </w:lvl>
    <w:lvl w:ilvl="3" w:tentative="0">
      <w:start w:val="1"/>
      <w:numFmt w:val="decimal"/>
      <w:lvlText w:val="%1.%2.%3.%4"/>
      <w:lvlJc w:val="left"/>
      <w:pPr>
        <w:tabs>
          <w:tab w:val="left" w:pos="0"/>
        </w:tabs>
        <w:ind w:left="0" w:firstLine="0"/>
      </w:pPr>
      <w:rPr>
        <w:rFonts w:hint="default" w:ascii="ˎ̥" w:hAnsi="ˎ̥" w:cs="ˎ̥"/>
        <w:sz w:val="28"/>
        <w:szCs w:val="28"/>
      </w:rPr>
    </w:lvl>
    <w:lvl w:ilvl="4" w:tentative="0">
      <w:start w:val="1"/>
      <w:numFmt w:val="decimal"/>
      <w:lvlText w:val="%1.%2.%3.%4.%5"/>
      <w:lvlJc w:val="left"/>
      <w:pPr>
        <w:tabs>
          <w:tab w:val="left" w:pos="0"/>
        </w:tabs>
        <w:ind w:left="0" w:firstLine="0"/>
      </w:pPr>
      <w:rPr>
        <w:rFonts w:hint="default" w:ascii="ˎ̥" w:hAnsi="ˎ̥" w:cs="ˎ̥"/>
        <w:sz w:val="28"/>
        <w:szCs w:val="28"/>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1716"/>
        </w:tabs>
        <w:ind w:left="1716" w:hanging="1296"/>
      </w:pPr>
      <w:rPr>
        <w:rFonts w:hint="eastAsia"/>
      </w:rPr>
    </w:lvl>
    <w:lvl w:ilvl="7" w:tentative="0">
      <w:start w:val="1"/>
      <w:numFmt w:val="decimal"/>
      <w:lvlText w:val="%1.%2.%3.%4.%5.%6.%7.%8"/>
      <w:lvlJc w:val="left"/>
      <w:pPr>
        <w:tabs>
          <w:tab w:val="left" w:pos="1860"/>
        </w:tabs>
        <w:ind w:left="1860" w:hanging="1440"/>
      </w:pPr>
      <w:rPr>
        <w:rFonts w:hint="eastAsia"/>
      </w:rPr>
    </w:lvl>
    <w:lvl w:ilvl="8" w:tentative="0">
      <w:start w:val="1"/>
      <w:numFmt w:val="decimal"/>
      <w:lvlText w:val="%1.%2.%3.%4.%5.%6.%7.%8.%9"/>
      <w:lvlJc w:val="left"/>
      <w:pPr>
        <w:tabs>
          <w:tab w:val="left" w:pos="2004"/>
        </w:tabs>
        <w:ind w:left="2004" w:hanging="1584"/>
      </w:pPr>
      <w:rPr>
        <w:rFonts w:hint="eastAsia"/>
      </w:rPr>
    </w:lvl>
  </w:abstractNum>
  <w:abstractNum w:abstractNumId="82">
    <w:nsid w:val="730E43C3"/>
    <w:multiLevelType w:val="multilevel"/>
    <w:tmpl w:val="730E43C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949"/>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733055DA"/>
    <w:multiLevelType w:val="multilevel"/>
    <w:tmpl w:val="733055DA"/>
    <w:lvl w:ilvl="0" w:tentative="0">
      <w:start w:val="1"/>
      <w:numFmt w:val="bullet"/>
      <w:pStyle w:val="65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4">
    <w:nsid w:val="7755585C"/>
    <w:multiLevelType w:val="multilevel"/>
    <w:tmpl w:val="7755585C"/>
    <w:lvl w:ilvl="0" w:tentative="0">
      <w:start w:val="1"/>
      <w:numFmt w:val="bullet"/>
      <w:pStyle w:val="399"/>
      <w:lvlText w:val=""/>
      <w:lvlJc w:val="left"/>
      <w:pPr>
        <w:tabs>
          <w:tab w:val="left" w:pos="284"/>
        </w:tabs>
        <w:ind w:left="284" w:hanging="284"/>
      </w:pPr>
      <w:rPr>
        <w:rFonts w:ascii="Wingdings" w:hAnsi="Wingdings" w:cs="Wingdings"/>
        <w:strike w:val="0"/>
        <w:dstrike w:val="0"/>
        <w:color w:val="auto"/>
        <w:sz w:val="13"/>
        <w:szCs w:val="13"/>
        <w:u w:val="none"/>
      </w:rPr>
    </w:lvl>
    <w:lvl w:ilvl="1" w:tentative="0">
      <w:start w:val="1"/>
      <w:numFmt w:val="bullet"/>
      <w:lvlText w:val=""/>
      <w:lvlJc w:val="left"/>
      <w:pPr>
        <w:tabs>
          <w:tab w:val="left" w:pos="840"/>
        </w:tabs>
        <w:ind w:left="840" w:hanging="420"/>
      </w:pPr>
      <w:rPr>
        <w:rFonts w:ascii="Wingdings" w:hAnsi="Wingdings"/>
      </w:rPr>
    </w:lvl>
    <w:lvl w:ilvl="2" w:tentative="0">
      <w:start w:val="1"/>
      <w:numFmt w:val="bullet"/>
      <w:lvlText w:val=""/>
      <w:lvlJc w:val="left"/>
      <w:pPr>
        <w:tabs>
          <w:tab w:val="left" w:pos="1260"/>
        </w:tabs>
        <w:ind w:left="1260" w:hanging="420"/>
      </w:pPr>
      <w:rPr>
        <w:rFonts w:ascii="Wingdings" w:hAnsi="Wingdings"/>
      </w:rPr>
    </w:lvl>
    <w:lvl w:ilvl="3" w:tentative="0">
      <w:start w:val="1"/>
      <w:numFmt w:val="bullet"/>
      <w:lvlText w:val=""/>
      <w:lvlJc w:val="left"/>
      <w:pPr>
        <w:tabs>
          <w:tab w:val="left" w:pos="1680"/>
        </w:tabs>
        <w:ind w:left="1680" w:hanging="420"/>
      </w:pPr>
      <w:rPr>
        <w:rFonts w:ascii="Wingdings" w:hAnsi="Wingdings"/>
      </w:rPr>
    </w:lvl>
    <w:lvl w:ilvl="4" w:tentative="0">
      <w:start w:val="1"/>
      <w:numFmt w:val="bullet"/>
      <w:lvlText w:val=""/>
      <w:lvlJc w:val="left"/>
      <w:pPr>
        <w:tabs>
          <w:tab w:val="left" w:pos="2100"/>
        </w:tabs>
        <w:ind w:left="2100" w:hanging="420"/>
      </w:pPr>
      <w:rPr>
        <w:rFonts w:ascii="Wingdings" w:hAnsi="Wingdings"/>
      </w:rPr>
    </w:lvl>
    <w:lvl w:ilvl="5" w:tentative="0">
      <w:start w:val="1"/>
      <w:numFmt w:val="bullet"/>
      <w:lvlText w:val=""/>
      <w:lvlJc w:val="left"/>
      <w:pPr>
        <w:tabs>
          <w:tab w:val="left" w:pos="2520"/>
        </w:tabs>
        <w:ind w:left="2520" w:hanging="420"/>
      </w:pPr>
      <w:rPr>
        <w:rFonts w:ascii="Wingdings" w:hAnsi="Wingdings"/>
      </w:rPr>
    </w:lvl>
    <w:lvl w:ilvl="6" w:tentative="0">
      <w:start w:val="1"/>
      <w:numFmt w:val="bullet"/>
      <w:lvlText w:val=""/>
      <w:lvlJc w:val="left"/>
      <w:pPr>
        <w:tabs>
          <w:tab w:val="left" w:pos="2940"/>
        </w:tabs>
        <w:ind w:left="2940" w:hanging="420"/>
      </w:pPr>
      <w:rPr>
        <w:rFonts w:ascii="Wingdings" w:hAnsi="Wingdings"/>
      </w:rPr>
    </w:lvl>
    <w:lvl w:ilvl="7" w:tentative="0">
      <w:start w:val="1"/>
      <w:numFmt w:val="bullet"/>
      <w:lvlText w:val=""/>
      <w:lvlJc w:val="left"/>
      <w:pPr>
        <w:tabs>
          <w:tab w:val="left" w:pos="3360"/>
        </w:tabs>
        <w:ind w:left="3360" w:hanging="420"/>
      </w:pPr>
      <w:rPr>
        <w:rFonts w:ascii="Wingdings" w:hAnsi="Wingdings"/>
      </w:rPr>
    </w:lvl>
    <w:lvl w:ilvl="8" w:tentative="0">
      <w:start w:val="1"/>
      <w:numFmt w:val="bullet"/>
      <w:lvlText w:val=""/>
      <w:lvlJc w:val="left"/>
      <w:pPr>
        <w:tabs>
          <w:tab w:val="left" w:pos="3780"/>
        </w:tabs>
        <w:ind w:left="3780" w:hanging="420"/>
      </w:pPr>
      <w:rPr>
        <w:rFonts w:ascii="Wingdings" w:hAnsi="Wingdings"/>
      </w:rPr>
    </w:lvl>
  </w:abstractNum>
  <w:abstractNum w:abstractNumId="85">
    <w:nsid w:val="789E19C9"/>
    <w:multiLevelType w:val="multilevel"/>
    <w:tmpl w:val="789E19C9"/>
    <w:lvl w:ilvl="0" w:tentative="0">
      <w:start w:val="1"/>
      <w:numFmt w:val="bullet"/>
      <w:pStyle w:val="502"/>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86">
    <w:nsid w:val="78C7470C"/>
    <w:multiLevelType w:val="singleLevel"/>
    <w:tmpl w:val="78C7470C"/>
    <w:lvl w:ilvl="0" w:tentative="0">
      <w:start w:val="0"/>
      <w:numFmt w:val="none"/>
      <w:pStyle w:val="825"/>
      <w:lvlText w:val=""/>
      <w:legacy w:legacy="1" w:legacySpace="0" w:legacyIndent="360"/>
      <w:lvlJc w:val="left"/>
      <w:pPr>
        <w:ind w:left="360" w:hanging="360"/>
      </w:pPr>
      <w:rPr>
        <w:rFonts w:hint="default" w:ascii="Wingdings" w:hAnsi="Wingdings"/>
        <w:sz w:val="24"/>
      </w:rPr>
    </w:lvl>
  </w:abstractNum>
  <w:abstractNum w:abstractNumId="87">
    <w:nsid w:val="78CBD797"/>
    <w:multiLevelType w:val="singleLevel"/>
    <w:tmpl w:val="78CBD797"/>
    <w:lvl w:ilvl="0" w:tentative="0">
      <w:start w:val="2"/>
      <w:numFmt w:val="decimal"/>
      <w:suff w:val="space"/>
      <w:lvlText w:val="%1、"/>
      <w:lvlJc w:val="left"/>
    </w:lvl>
  </w:abstractNum>
  <w:abstractNum w:abstractNumId="88">
    <w:nsid w:val="794F2921"/>
    <w:multiLevelType w:val="multilevel"/>
    <w:tmpl w:val="794F2921"/>
    <w:lvl w:ilvl="0" w:tentative="0">
      <w:start w:val="1"/>
      <w:numFmt w:val="decimal"/>
      <w:pStyle w:val="287"/>
      <w:lvlText w:val="%1."/>
      <w:lvlJc w:val="left"/>
      <w:pPr>
        <w:tabs>
          <w:tab w:val="left" w:pos="425"/>
        </w:tabs>
        <w:ind w:left="425" w:hanging="425"/>
      </w:pPr>
      <w:rPr>
        <w:rFonts w:hint="eastAsia"/>
      </w:rPr>
    </w:lvl>
    <w:lvl w:ilvl="1" w:tentative="0">
      <w:start w:val="1"/>
      <w:numFmt w:val="decimal"/>
      <w:pStyle w:val="288"/>
      <w:lvlText w:val="%1.%2."/>
      <w:lvlJc w:val="left"/>
      <w:pPr>
        <w:tabs>
          <w:tab w:val="left" w:pos="567"/>
        </w:tabs>
        <w:ind w:left="567" w:hanging="567"/>
      </w:pPr>
      <w:rPr>
        <w:rFonts w:hint="eastAsia"/>
      </w:rPr>
    </w:lvl>
    <w:lvl w:ilvl="2" w:tentative="0">
      <w:start w:val="1"/>
      <w:numFmt w:val="decimal"/>
      <w:pStyle w:val="289"/>
      <w:lvlText w:val="%1.%2.%3."/>
      <w:lvlJc w:val="left"/>
      <w:pPr>
        <w:tabs>
          <w:tab w:val="left" w:pos="709"/>
        </w:tabs>
        <w:ind w:left="709" w:hanging="709"/>
      </w:pPr>
      <w:rPr>
        <w:rFonts w:hint="eastAsia"/>
      </w:rPr>
    </w:lvl>
    <w:lvl w:ilvl="3" w:tentative="0">
      <w:start w:val="1"/>
      <w:numFmt w:val="decimal"/>
      <w:pStyle w:val="290"/>
      <w:lvlText w:val="%1.%2.%3.%4."/>
      <w:lvlJc w:val="left"/>
      <w:pPr>
        <w:tabs>
          <w:tab w:val="left" w:pos="851"/>
        </w:tabs>
        <w:ind w:left="851" w:hanging="851"/>
      </w:pPr>
      <w:rPr>
        <w:rFonts w:hint="eastAsia"/>
      </w:rPr>
    </w:lvl>
    <w:lvl w:ilvl="4" w:tentative="0">
      <w:start w:val="1"/>
      <w:numFmt w:val="decimal"/>
      <w:pStyle w:val="291"/>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9">
    <w:nsid w:val="79F159E3"/>
    <w:multiLevelType w:val="multilevel"/>
    <w:tmpl w:val="79F159E3"/>
    <w:lvl w:ilvl="0" w:tentative="0">
      <w:start w:val="1"/>
      <w:numFmt w:val="decimal"/>
      <w:pStyle w:val="430"/>
      <w:lvlText w:val="第%1章"/>
      <w:lvlJc w:val="left"/>
      <w:pPr>
        <w:ind w:left="3126"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1" w:tentative="0">
      <w:start w:val="1"/>
      <w:numFmt w:val="decimal"/>
      <w:pStyle w:val="431"/>
      <w:lvlText w:val="%1.%2"/>
      <w:lvlJc w:val="left"/>
      <w:pPr>
        <w:ind w:left="576" w:hanging="576"/>
      </w:pPr>
      <w:rPr>
        <w:rFonts w:hint="eastAsia"/>
      </w:rPr>
    </w:lvl>
    <w:lvl w:ilvl="2" w:tentative="0">
      <w:start w:val="1"/>
      <w:numFmt w:val="decimal"/>
      <w:pStyle w:val="432"/>
      <w:lvlText w:val="%1.%2.%3"/>
      <w:lvlJc w:val="left"/>
      <w:pPr>
        <w:ind w:left="720" w:hanging="720"/>
      </w:pPr>
      <w:rPr>
        <w:rFonts w:hint="eastAsia"/>
      </w:rPr>
    </w:lvl>
    <w:lvl w:ilvl="3" w:tentative="0">
      <w:start w:val="1"/>
      <w:numFmt w:val="decimal"/>
      <w:pStyle w:val="433"/>
      <w:lvlText w:val="%1.%2.%3.%4"/>
      <w:lvlJc w:val="left"/>
      <w:pPr>
        <w:ind w:left="864" w:hanging="864"/>
      </w:pPr>
      <w:rPr>
        <w:rFonts w:hint="eastAsia"/>
      </w:rPr>
    </w:lvl>
    <w:lvl w:ilvl="4" w:tentative="0">
      <w:start w:val="1"/>
      <w:numFmt w:val="decimal"/>
      <w:pStyle w:val="434"/>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90">
    <w:nsid w:val="7FEA7C1F"/>
    <w:multiLevelType w:val="multilevel"/>
    <w:tmpl w:val="7FEA7C1F"/>
    <w:lvl w:ilvl="0" w:tentative="0">
      <w:start w:val="1"/>
      <w:numFmt w:val="bullet"/>
      <w:pStyle w:val="309"/>
      <w:lvlText w:val=""/>
      <w:lvlJc w:val="left"/>
      <w:pPr>
        <w:tabs>
          <w:tab w:val="left" w:pos="620"/>
        </w:tabs>
        <w:ind w:left="62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num w:numId="1">
    <w:abstractNumId w:val="69"/>
    <w:lvlOverride w:ilvl="0">
      <w:lvl w:ilvl="0" w:tentative="1">
        <w:start w:val="0"/>
        <w:numFmt w:val="decimal"/>
        <w:pStyle w:val="3"/>
        <w:lvlText w:val=""/>
        <w:lvlJc w:val="left"/>
      </w:lvl>
    </w:lvlOverride>
    <w:lvlOverride w:ilvl="1">
      <w:lvl w:ilvl="1" w:tentative="1">
        <w:start w:val="1"/>
        <w:numFmt w:val="decimal"/>
        <w:pStyle w:val="5"/>
        <w:lvlText w:val="%1.%2."/>
        <w:lvlJc w:val="left"/>
        <w:pPr>
          <w:tabs>
            <w:tab w:val="left" w:pos="567"/>
          </w:tabs>
          <w:ind w:left="567" w:hanging="567"/>
        </w:pPr>
        <w:rPr>
          <w:rFonts w:hint="eastAsia"/>
        </w:rPr>
      </w:lvl>
    </w:lvlOverride>
    <w:lvlOverride w:ilvl="2">
      <w:lvl w:ilvl="2" w:tentative="1">
        <w:start w:val="1"/>
        <w:numFmt w:val="decimal"/>
        <w:pStyle w:val="6"/>
        <w:lvlText w:val="%1.%2.%3."/>
        <w:lvlJc w:val="left"/>
        <w:pPr>
          <w:tabs>
            <w:tab w:val="left" w:pos="709"/>
          </w:tabs>
          <w:ind w:left="709" w:hanging="709"/>
        </w:pPr>
        <w:rPr>
          <w:rFonts w:hint="eastAsia"/>
        </w:rPr>
      </w:lvl>
    </w:lvlOverride>
  </w:num>
  <w:num w:numId="2">
    <w:abstractNumId w:val="53"/>
  </w:num>
  <w:num w:numId="3">
    <w:abstractNumId w:val="35"/>
  </w:num>
  <w:num w:numId="4">
    <w:abstractNumId w:val="28"/>
    <w:lvlOverride w:ilvl="0">
      <w:lvl w:ilvl="0" w:tentative="1">
        <w:start w:val="1"/>
        <w:numFmt w:val="decimal"/>
        <w:pStyle w:val="25"/>
        <w:lvlText w:val="%1"/>
        <w:lvlJc w:val="left"/>
        <w:pPr>
          <w:ind w:left="432" w:hanging="432"/>
        </w:pPr>
      </w:lvl>
    </w:lvlOverride>
    <w:lvlOverride w:ilvl="1">
      <w:lvl w:ilvl="1" w:tentative="1">
        <w:start w:val="1"/>
        <w:numFmt w:val="decimal"/>
        <w:lvlText w:val="%1.%2"/>
        <w:lvlJc w:val="left"/>
        <w:pPr>
          <w:ind w:left="576" w:hanging="576"/>
        </w:pPr>
      </w:lvl>
    </w:lvlOverride>
    <w:lvlOverride w:ilvl="2">
      <w:lvl w:ilvl="2" w:tentative="1">
        <w:start w:val="1"/>
        <w:numFmt w:val="decimal"/>
        <w:lvlText w:val="%1.%2.%3"/>
        <w:lvlJc w:val="left"/>
        <w:pPr>
          <w:ind w:left="1997" w:hanging="720"/>
        </w:pPr>
      </w:lvl>
    </w:lvlOverride>
    <w:lvlOverride w:ilvl="3">
      <w:lvl w:ilvl="3" w:tentative="1">
        <w:start w:val="1"/>
        <w:numFmt w:val="decimal"/>
        <w:lvlText w:val="%1.%2.%3.%4"/>
        <w:lvlJc w:val="left"/>
        <w:pPr>
          <w:ind w:left="864" w:hanging="864"/>
        </w:pPr>
      </w:lvl>
    </w:lvlOverride>
    <w:lvlOverride w:ilvl="4">
      <w:lvl w:ilvl="4" w:tentative="1">
        <w:start w:val="1"/>
        <w:numFmt w:val="decimal"/>
        <w:lvlText w:val="%1.%2.%3.%4.%5"/>
        <w:lvlJc w:val="left"/>
        <w:pPr>
          <w:ind w:left="1008" w:hanging="1008"/>
        </w:pPr>
      </w:lvl>
    </w:lvlOverride>
    <w:lvlOverride w:ilvl="5">
      <w:lvl w:ilvl="5" w:tentative="1">
        <w:start w:val="1"/>
        <w:numFmt w:val="decimal"/>
        <w:lvlText w:val="%1.%2.%3.%4.%5.%6"/>
        <w:lvlJc w:val="left"/>
        <w:pPr>
          <w:ind w:left="1152" w:hanging="1152"/>
        </w:pPr>
      </w:lvl>
    </w:lvlOverride>
    <w:lvlOverride w:ilvl="6">
      <w:lvl w:ilvl="6" w:tentative="1">
        <w:start w:val="1"/>
        <w:numFmt w:val="decimal"/>
        <w:lvlText w:val="%1.%2.%3.%4.%5.%6.%7"/>
        <w:lvlJc w:val="left"/>
        <w:pPr>
          <w:ind w:left="1296" w:hanging="1296"/>
        </w:pPr>
      </w:lvl>
    </w:lvlOverride>
    <w:lvlOverride w:ilvl="7">
      <w:lvl w:ilvl="7" w:tentative="1">
        <w:start w:val="1"/>
        <w:numFmt w:val="decimal"/>
        <w:lvlText w:val="%1.%2.%3.%4.%5.%6.%7.%8"/>
        <w:lvlJc w:val="left"/>
        <w:pPr>
          <w:ind w:left="1440" w:hanging="1440"/>
        </w:pPr>
      </w:lvl>
    </w:lvlOverride>
    <w:lvlOverride w:ilvl="8">
      <w:lvl w:ilvl="8" w:tentative="1">
        <w:start w:val="1"/>
        <w:numFmt w:val="decimal"/>
        <w:lvlText w:val="%1.%2.%3.%4.%5.%6.%7.%8.%9"/>
        <w:lvlJc w:val="left"/>
        <w:pPr>
          <w:ind w:left="1584" w:hanging="1584"/>
        </w:pPr>
      </w:lvl>
    </w:lvlOverride>
  </w:num>
  <w:num w:numId="5">
    <w:abstractNumId w:val="80"/>
  </w:num>
  <w:num w:numId="6">
    <w:abstractNumId w:val="16"/>
  </w:num>
  <w:num w:numId="7">
    <w:abstractNumId w:val="16"/>
    <w:lvlOverride w:ilvl="0">
      <w:lvl w:ilvl="0" w:tentative="1">
        <w:start w:val="1"/>
        <w:numFmt w:val="decimal"/>
        <w:lvlText w:val="%1."/>
        <w:lvlJc w:val="left"/>
        <w:pPr>
          <w:ind w:left="420" w:hanging="420"/>
        </w:pPr>
        <w:rPr>
          <w:rFonts w:hint="eastAsia"/>
        </w:rPr>
      </w:lvl>
    </w:lvlOverride>
    <w:lvlOverride w:ilvl="1">
      <w:lvl w:ilvl="1" w:tentative="1">
        <w:start w:val="1"/>
        <w:numFmt w:val="decimal"/>
        <w:lvlText w:val="%1.%2"/>
        <w:lvlJc w:val="left"/>
        <w:pPr>
          <w:ind w:left="576" w:hanging="576"/>
        </w:pPr>
      </w:lvl>
    </w:lvlOverride>
    <w:lvlOverride w:ilvl="2">
      <w:lvl w:ilvl="2" w:tentative="1">
        <w:start w:val="1"/>
        <w:numFmt w:val="decimal"/>
        <w:lvlText w:val="%1.%2.%3"/>
        <w:lvlJc w:val="left"/>
        <w:pPr>
          <w:ind w:left="1997" w:hanging="720"/>
        </w:pPr>
      </w:lvl>
    </w:lvlOverride>
    <w:lvlOverride w:ilvl="3">
      <w:lvl w:ilvl="3" w:tentative="1">
        <w:start w:val="1"/>
        <w:numFmt w:val="decimal"/>
        <w:pStyle w:val="250"/>
        <w:lvlText w:val="%1.%2.%3.%4"/>
        <w:lvlJc w:val="left"/>
        <w:pPr>
          <w:ind w:left="864" w:hanging="864"/>
        </w:pPr>
      </w:lvl>
    </w:lvlOverride>
    <w:lvlOverride w:ilvl="4">
      <w:lvl w:ilvl="4" w:tentative="1">
        <w:start w:val="1"/>
        <w:numFmt w:val="decimal"/>
        <w:pStyle w:val="251"/>
        <w:lvlText w:val="%1.%2.%3.%4.%5"/>
        <w:lvlJc w:val="left"/>
        <w:pPr>
          <w:ind w:left="1008" w:hanging="1008"/>
        </w:pPr>
        <w:rPr>
          <w:lang w:val="en-US"/>
        </w:rPr>
      </w:lvl>
    </w:lvlOverride>
    <w:lvlOverride w:ilvl="5">
      <w:lvl w:ilvl="5" w:tentative="1">
        <w:start w:val="1"/>
        <w:numFmt w:val="decimal"/>
        <w:pStyle w:val="253"/>
        <w:lvlText w:val="%1.%2.%3.%4.%5.%6"/>
        <w:lvlJc w:val="left"/>
        <w:pPr>
          <w:ind w:left="1152" w:hanging="1152"/>
        </w:pPr>
      </w:lvl>
    </w:lvlOverride>
    <w:lvlOverride w:ilvl="6">
      <w:lvl w:ilvl="6" w:tentative="1">
        <w:start w:val="1"/>
        <w:numFmt w:val="decimal"/>
        <w:lvlText w:val="%1.%2.%3.%4.%5.%6.%7"/>
        <w:lvlJc w:val="left"/>
        <w:pPr>
          <w:ind w:left="1296" w:hanging="1296"/>
        </w:pPr>
      </w:lvl>
    </w:lvlOverride>
    <w:lvlOverride w:ilvl="7">
      <w:lvl w:ilvl="7" w:tentative="1">
        <w:start w:val="1"/>
        <w:numFmt w:val="decimal"/>
        <w:lvlText w:val="%1.%2.%3.%4.%5.%6.%7.%8"/>
        <w:lvlJc w:val="left"/>
        <w:pPr>
          <w:ind w:left="1440" w:hanging="1440"/>
        </w:pPr>
      </w:lvl>
    </w:lvlOverride>
    <w:lvlOverride w:ilvl="8">
      <w:lvl w:ilvl="8" w:tentative="1">
        <w:start w:val="1"/>
        <w:numFmt w:val="decimal"/>
        <w:lvlText w:val="%1.%2.%3.%4.%5.%6.%7.%8.%9"/>
        <w:lvlJc w:val="left"/>
        <w:pPr>
          <w:ind w:left="1584" w:hanging="1584"/>
        </w:pPr>
      </w:lvl>
    </w:lvlOverride>
  </w:num>
  <w:num w:numId="8">
    <w:abstractNumId w:val="45"/>
  </w:num>
  <w:num w:numId="9">
    <w:abstractNumId w:val="17"/>
  </w:num>
  <w:num w:numId="10">
    <w:abstractNumId w:val="47"/>
  </w:num>
  <w:num w:numId="11">
    <w:abstractNumId w:val="38"/>
  </w:num>
  <w:num w:numId="12">
    <w:abstractNumId w:val="10"/>
  </w:num>
  <w:num w:numId="13">
    <w:abstractNumId w:val="54"/>
  </w:num>
  <w:num w:numId="14">
    <w:abstractNumId w:val="51"/>
  </w:num>
  <w:num w:numId="15">
    <w:abstractNumId w:val="88"/>
  </w:num>
  <w:num w:numId="16">
    <w:abstractNumId w:val="22"/>
  </w:num>
  <w:num w:numId="17">
    <w:abstractNumId w:val="79"/>
  </w:num>
  <w:num w:numId="18">
    <w:abstractNumId w:val="90"/>
  </w:num>
  <w:num w:numId="19">
    <w:abstractNumId w:val="66"/>
  </w:num>
  <w:num w:numId="20">
    <w:abstractNumId w:val="27"/>
  </w:num>
  <w:num w:numId="21">
    <w:abstractNumId w:val="48"/>
  </w:num>
  <w:num w:numId="22">
    <w:abstractNumId w:val="65"/>
  </w:num>
  <w:num w:numId="23">
    <w:abstractNumId w:val="84"/>
  </w:num>
  <w:num w:numId="24">
    <w:abstractNumId w:val="2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9"/>
  </w:num>
  <w:num w:numId="27">
    <w:abstractNumId w:val="9"/>
  </w:num>
  <w:num w:numId="28">
    <w:abstractNumId w:val="81"/>
  </w:num>
  <w:num w:numId="29">
    <w:abstractNumId w:val="41"/>
  </w:num>
  <w:num w:numId="30">
    <w:abstractNumId w:val="85"/>
  </w:num>
  <w:num w:numId="31">
    <w:abstractNumId w:val="23"/>
  </w:num>
  <w:num w:numId="32">
    <w:abstractNumId w:val="15"/>
  </w:num>
  <w:num w:numId="33">
    <w:abstractNumId w:val="33"/>
  </w:num>
  <w:num w:numId="34">
    <w:abstractNumId w:val="24"/>
  </w:num>
  <w:num w:numId="35">
    <w:abstractNumId w:val="39"/>
  </w:num>
  <w:num w:numId="36">
    <w:abstractNumId w:val="77"/>
  </w:num>
  <w:num w:numId="37">
    <w:abstractNumId w:val="25"/>
  </w:num>
  <w:num w:numId="38">
    <w:abstractNumId w:val="83"/>
  </w:num>
  <w:num w:numId="39">
    <w:abstractNumId w:val="20"/>
  </w:num>
  <w:num w:numId="40">
    <w:abstractNumId w:val="73"/>
  </w:num>
  <w:num w:numId="41">
    <w:abstractNumId w:val="26"/>
  </w:num>
  <w:num w:numId="42">
    <w:abstractNumId w:val="29"/>
  </w:num>
  <w:num w:numId="43">
    <w:abstractNumId w:val="86"/>
  </w:num>
  <w:num w:numId="44">
    <w:abstractNumId w:val="70"/>
  </w:num>
  <w:num w:numId="45">
    <w:abstractNumId w:val="52"/>
  </w:num>
  <w:num w:numId="46">
    <w:abstractNumId w:val="37"/>
  </w:num>
  <w:num w:numId="47">
    <w:abstractNumId w:val="19"/>
  </w:num>
  <w:num w:numId="48">
    <w:abstractNumId w:val="43"/>
  </w:num>
  <w:num w:numId="49">
    <w:abstractNumId w:val="55"/>
  </w:num>
  <w:num w:numId="50">
    <w:abstractNumId w:val="74"/>
  </w:num>
  <w:num w:numId="51">
    <w:abstractNumId w:val="46"/>
  </w:num>
  <w:num w:numId="52">
    <w:abstractNumId w:val="31"/>
  </w:num>
  <w:num w:numId="53">
    <w:abstractNumId w:val="57"/>
  </w:num>
  <w:num w:numId="54">
    <w:abstractNumId w:val="82"/>
  </w:num>
  <w:num w:numId="55">
    <w:abstractNumId w:val="76"/>
  </w:num>
  <w:num w:numId="56">
    <w:abstractNumId w:val="42"/>
  </w:num>
  <w:num w:numId="57">
    <w:abstractNumId w:val="78"/>
  </w:num>
  <w:num w:numId="58">
    <w:abstractNumId w:val="1"/>
  </w:num>
  <w:num w:numId="59">
    <w:abstractNumId w:val="68"/>
  </w:num>
  <w:num w:numId="60">
    <w:abstractNumId w:val="5"/>
  </w:num>
  <w:num w:numId="61">
    <w:abstractNumId w:val="7"/>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num>
  <w:num w:numId="65">
    <w:abstractNumId w:val="44"/>
  </w:num>
  <w:num w:numId="66">
    <w:abstractNumId w:val="75"/>
  </w:num>
  <w:num w:numId="67">
    <w:abstractNumId w:val="49"/>
  </w:num>
  <w:num w:numId="68">
    <w:abstractNumId w:val="36"/>
  </w:num>
  <w:num w:numId="69">
    <w:abstractNumId w:val="12"/>
  </w:num>
  <w:num w:numId="70">
    <w:abstractNumId w:val="72"/>
  </w:num>
  <w:num w:numId="71">
    <w:abstractNumId w:val="50"/>
  </w:num>
  <w:num w:numId="72">
    <w:abstractNumId w:val="3"/>
  </w:num>
  <w:num w:numId="73">
    <w:abstractNumId w:val="40"/>
  </w:num>
  <w:num w:numId="74">
    <w:abstractNumId w:val="4"/>
  </w:num>
  <w:num w:numId="75">
    <w:abstractNumId w:val="2"/>
  </w:num>
  <w:num w:numId="76">
    <w:abstractNumId w:val="0"/>
  </w:num>
  <w:num w:numId="77">
    <w:abstractNumId w:val="56"/>
  </w:num>
  <w:num w:numId="78">
    <w:abstractNumId w:val="6"/>
  </w:num>
  <w:num w:numId="79">
    <w:abstractNumId w:val="30"/>
  </w:num>
  <w:num w:numId="80">
    <w:abstractNumId w:val="18"/>
  </w:num>
  <w:num w:numId="81">
    <w:abstractNumId w:val="60"/>
  </w:num>
  <w:num w:numId="82">
    <w:abstractNumId w:val="61"/>
  </w:num>
  <w:num w:numId="83">
    <w:abstractNumId w:val="59"/>
  </w:num>
  <w:num w:numId="84">
    <w:abstractNumId w:val="62"/>
  </w:num>
  <w:num w:numId="85">
    <w:abstractNumId w:val="63"/>
  </w:num>
  <w:num w:numId="86">
    <w:abstractNumId w:val="64"/>
  </w:num>
  <w:num w:numId="87">
    <w:abstractNumId w:val="34"/>
  </w:num>
  <w:num w:numId="88">
    <w:abstractNumId w:val="87"/>
  </w:num>
  <w:num w:numId="89">
    <w:abstractNumId w:val="58"/>
  </w:num>
  <w:num w:numId="90">
    <w:abstractNumId w:val="14"/>
  </w:num>
  <w:num w:numId="91">
    <w:abstractNumId w:val="71"/>
  </w:num>
  <w:num w:numId="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xODM0NmI5MGQxYmI3YzFhMGYxMGQ2YWZjZmE2ZDEifQ=="/>
  </w:docVars>
  <w:rsids>
    <w:rsidRoot w:val="00862523"/>
    <w:rsid w:val="000002E4"/>
    <w:rsid w:val="0000204F"/>
    <w:rsid w:val="00005D78"/>
    <w:rsid w:val="000120B2"/>
    <w:rsid w:val="00012E51"/>
    <w:rsid w:val="0001334D"/>
    <w:rsid w:val="00013852"/>
    <w:rsid w:val="0001457B"/>
    <w:rsid w:val="0001522D"/>
    <w:rsid w:val="00021EFD"/>
    <w:rsid w:val="000227CF"/>
    <w:rsid w:val="000228A2"/>
    <w:rsid w:val="0002295D"/>
    <w:rsid w:val="000232AC"/>
    <w:rsid w:val="000239A4"/>
    <w:rsid w:val="000258CB"/>
    <w:rsid w:val="00025EC6"/>
    <w:rsid w:val="00026648"/>
    <w:rsid w:val="0003017D"/>
    <w:rsid w:val="00030E12"/>
    <w:rsid w:val="00031744"/>
    <w:rsid w:val="00033870"/>
    <w:rsid w:val="00034950"/>
    <w:rsid w:val="00037AC5"/>
    <w:rsid w:val="00040874"/>
    <w:rsid w:val="000419CE"/>
    <w:rsid w:val="00043295"/>
    <w:rsid w:val="00043689"/>
    <w:rsid w:val="00043E7E"/>
    <w:rsid w:val="0004643A"/>
    <w:rsid w:val="00047041"/>
    <w:rsid w:val="00047D4D"/>
    <w:rsid w:val="00053B85"/>
    <w:rsid w:val="0005496A"/>
    <w:rsid w:val="000615C5"/>
    <w:rsid w:val="00062856"/>
    <w:rsid w:val="00062913"/>
    <w:rsid w:val="00063281"/>
    <w:rsid w:val="00063D2D"/>
    <w:rsid w:val="00075B4D"/>
    <w:rsid w:val="000771F9"/>
    <w:rsid w:val="00080073"/>
    <w:rsid w:val="00081670"/>
    <w:rsid w:val="000817AF"/>
    <w:rsid w:val="00081FF3"/>
    <w:rsid w:val="0008200E"/>
    <w:rsid w:val="0008278C"/>
    <w:rsid w:val="00084F64"/>
    <w:rsid w:val="00086137"/>
    <w:rsid w:val="00090DD7"/>
    <w:rsid w:val="0009129A"/>
    <w:rsid w:val="0009335C"/>
    <w:rsid w:val="00093C4E"/>
    <w:rsid w:val="00093C52"/>
    <w:rsid w:val="00094D93"/>
    <w:rsid w:val="00094E30"/>
    <w:rsid w:val="00095C08"/>
    <w:rsid w:val="00096404"/>
    <w:rsid w:val="000A0257"/>
    <w:rsid w:val="000A09FE"/>
    <w:rsid w:val="000A1723"/>
    <w:rsid w:val="000A1885"/>
    <w:rsid w:val="000A2AA1"/>
    <w:rsid w:val="000A2FA2"/>
    <w:rsid w:val="000A45B9"/>
    <w:rsid w:val="000A71B4"/>
    <w:rsid w:val="000A71EF"/>
    <w:rsid w:val="000B28C1"/>
    <w:rsid w:val="000B3275"/>
    <w:rsid w:val="000B4716"/>
    <w:rsid w:val="000B5371"/>
    <w:rsid w:val="000B6E84"/>
    <w:rsid w:val="000B7675"/>
    <w:rsid w:val="000C11A7"/>
    <w:rsid w:val="000C1F99"/>
    <w:rsid w:val="000C4D93"/>
    <w:rsid w:val="000C540B"/>
    <w:rsid w:val="000D1BFC"/>
    <w:rsid w:val="000D2446"/>
    <w:rsid w:val="000D2FED"/>
    <w:rsid w:val="000D47C6"/>
    <w:rsid w:val="000D629A"/>
    <w:rsid w:val="000D7A82"/>
    <w:rsid w:val="000E0AAE"/>
    <w:rsid w:val="000E13C7"/>
    <w:rsid w:val="000E3E5F"/>
    <w:rsid w:val="000E52F0"/>
    <w:rsid w:val="000E5631"/>
    <w:rsid w:val="000E62AE"/>
    <w:rsid w:val="000E7C56"/>
    <w:rsid w:val="000F0F97"/>
    <w:rsid w:val="000F159A"/>
    <w:rsid w:val="000F28AA"/>
    <w:rsid w:val="000F54AD"/>
    <w:rsid w:val="0010044B"/>
    <w:rsid w:val="0010064C"/>
    <w:rsid w:val="00102BE7"/>
    <w:rsid w:val="00102E77"/>
    <w:rsid w:val="00104463"/>
    <w:rsid w:val="001047FB"/>
    <w:rsid w:val="00105A53"/>
    <w:rsid w:val="00106CF3"/>
    <w:rsid w:val="001077B4"/>
    <w:rsid w:val="00110F2F"/>
    <w:rsid w:val="00110FF4"/>
    <w:rsid w:val="00115E1A"/>
    <w:rsid w:val="0011626E"/>
    <w:rsid w:val="001201D3"/>
    <w:rsid w:val="00120C10"/>
    <w:rsid w:val="001231D4"/>
    <w:rsid w:val="0012377F"/>
    <w:rsid w:val="001244B0"/>
    <w:rsid w:val="001245B9"/>
    <w:rsid w:val="00124A0F"/>
    <w:rsid w:val="0012776D"/>
    <w:rsid w:val="00132910"/>
    <w:rsid w:val="00132C00"/>
    <w:rsid w:val="0013405C"/>
    <w:rsid w:val="00134251"/>
    <w:rsid w:val="00135620"/>
    <w:rsid w:val="00137976"/>
    <w:rsid w:val="001402E4"/>
    <w:rsid w:val="00141055"/>
    <w:rsid w:val="00141104"/>
    <w:rsid w:val="001426AF"/>
    <w:rsid w:val="00153B71"/>
    <w:rsid w:val="00154941"/>
    <w:rsid w:val="00154EE7"/>
    <w:rsid w:val="001565F7"/>
    <w:rsid w:val="00156A05"/>
    <w:rsid w:val="0015768F"/>
    <w:rsid w:val="0016142B"/>
    <w:rsid w:val="001622C8"/>
    <w:rsid w:val="001663E1"/>
    <w:rsid w:val="00166694"/>
    <w:rsid w:val="00166BB5"/>
    <w:rsid w:val="0016704E"/>
    <w:rsid w:val="00170E3E"/>
    <w:rsid w:val="001759DD"/>
    <w:rsid w:val="00175A0D"/>
    <w:rsid w:val="00175AEE"/>
    <w:rsid w:val="00180372"/>
    <w:rsid w:val="00180F87"/>
    <w:rsid w:val="00183419"/>
    <w:rsid w:val="00185CF4"/>
    <w:rsid w:val="00190590"/>
    <w:rsid w:val="00191BFD"/>
    <w:rsid w:val="00191CCA"/>
    <w:rsid w:val="00193040"/>
    <w:rsid w:val="00194B0A"/>
    <w:rsid w:val="00194CCF"/>
    <w:rsid w:val="00195756"/>
    <w:rsid w:val="001A01B2"/>
    <w:rsid w:val="001A3018"/>
    <w:rsid w:val="001B600D"/>
    <w:rsid w:val="001B6AD7"/>
    <w:rsid w:val="001C1626"/>
    <w:rsid w:val="001C16B2"/>
    <w:rsid w:val="001C1B6B"/>
    <w:rsid w:val="001C7DCA"/>
    <w:rsid w:val="001C7EDA"/>
    <w:rsid w:val="001D0B33"/>
    <w:rsid w:val="001D18A3"/>
    <w:rsid w:val="001D3E2D"/>
    <w:rsid w:val="001E105F"/>
    <w:rsid w:val="001E1FFE"/>
    <w:rsid w:val="001E324F"/>
    <w:rsid w:val="001E3AB7"/>
    <w:rsid w:val="001E3D2A"/>
    <w:rsid w:val="001F18D7"/>
    <w:rsid w:val="001F32D7"/>
    <w:rsid w:val="001F3E9F"/>
    <w:rsid w:val="001F4353"/>
    <w:rsid w:val="00202F92"/>
    <w:rsid w:val="00202F97"/>
    <w:rsid w:val="00205E36"/>
    <w:rsid w:val="00210406"/>
    <w:rsid w:val="00210859"/>
    <w:rsid w:val="00211B59"/>
    <w:rsid w:val="00213442"/>
    <w:rsid w:val="00217267"/>
    <w:rsid w:val="002179DE"/>
    <w:rsid w:val="00220DCB"/>
    <w:rsid w:val="002214C6"/>
    <w:rsid w:val="0022292F"/>
    <w:rsid w:val="00223A02"/>
    <w:rsid w:val="00226AE9"/>
    <w:rsid w:val="002279CF"/>
    <w:rsid w:val="002301AE"/>
    <w:rsid w:val="002322F2"/>
    <w:rsid w:val="002334B5"/>
    <w:rsid w:val="002362DD"/>
    <w:rsid w:val="00236D3B"/>
    <w:rsid w:val="00237294"/>
    <w:rsid w:val="00243BF2"/>
    <w:rsid w:val="00243EE6"/>
    <w:rsid w:val="002440B5"/>
    <w:rsid w:val="00245EAC"/>
    <w:rsid w:val="00245FD3"/>
    <w:rsid w:val="00246165"/>
    <w:rsid w:val="00247920"/>
    <w:rsid w:val="002526FB"/>
    <w:rsid w:val="0026175E"/>
    <w:rsid w:val="00261EEE"/>
    <w:rsid w:val="002626A8"/>
    <w:rsid w:val="002628B7"/>
    <w:rsid w:val="00262960"/>
    <w:rsid w:val="00262C52"/>
    <w:rsid w:val="0026339E"/>
    <w:rsid w:val="002638C8"/>
    <w:rsid w:val="002648CA"/>
    <w:rsid w:val="00264CE8"/>
    <w:rsid w:val="00266925"/>
    <w:rsid w:val="00267E7F"/>
    <w:rsid w:val="00271503"/>
    <w:rsid w:val="00271C4E"/>
    <w:rsid w:val="002723AF"/>
    <w:rsid w:val="002727F4"/>
    <w:rsid w:val="002752AF"/>
    <w:rsid w:val="00280794"/>
    <w:rsid w:val="00280A80"/>
    <w:rsid w:val="00280F40"/>
    <w:rsid w:val="0028164C"/>
    <w:rsid w:val="0028314C"/>
    <w:rsid w:val="00284991"/>
    <w:rsid w:val="00284A72"/>
    <w:rsid w:val="0028705E"/>
    <w:rsid w:val="00290F41"/>
    <w:rsid w:val="002911FA"/>
    <w:rsid w:val="00292D36"/>
    <w:rsid w:val="00292E5C"/>
    <w:rsid w:val="00294DF0"/>
    <w:rsid w:val="002959D3"/>
    <w:rsid w:val="0029685B"/>
    <w:rsid w:val="002973EE"/>
    <w:rsid w:val="002A19AA"/>
    <w:rsid w:val="002A52D2"/>
    <w:rsid w:val="002B0DE3"/>
    <w:rsid w:val="002B535C"/>
    <w:rsid w:val="002B5A39"/>
    <w:rsid w:val="002B65B7"/>
    <w:rsid w:val="002B7ABA"/>
    <w:rsid w:val="002C0E2B"/>
    <w:rsid w:val="002C15A1"/>
    <w:rsid w:val="002C4147"/>
    <w:rsid w:val="002C66F5"/>
    <w:rsid w:val="002C7FE0"/>
    <w:rsid w:val="002D098E"/>
    <w:rsid w:val="002D1F11"/>
    <w:rsid w:val="002D3404"/>
    <w:rsid w:val="002D5FF4"/>
    <w:rsid w:val="002D644D"/>
    <w:rsid w:val="002D6886"/>
    <w:rsid w:val="002E361A"/>
    <w:rsid w:val="002E59B6"/>
    <w:rsid w:val="002E5D29"/>
    <w:rsid w:val="002E67D0"/>
    <w:rsid w:val="002E7015"/>
    <w:rsid w:val="002E7E6A"/>
    <w:rsid w:val="002F01F5"/>
    <w:rsid w:val="002F1368"/>
    <w:rsid w:val="002F1C7E"/>
    <w:rsid w:val="002F508F"/>
    <w:rsid w:val="002F5217"/>
    <w:rsid w:val="002F639C"/>
    <w:rsid w:val="003028C7"/>
    <w:rsid w:val="00305306"/>
    <w:rsid w:val="003071D7"/>
    <w:rsid w:val="00310A02"/>
    <w:rsid w:val="0031278D"/>
    <w:rsid w:val="00312FD4"/>
    <w:rsid w:val="00320AF8"/>
    <w:rsid w:val="00321678"/>
    <w:rsid w:val="00323DBC"/>
    <w:rsid w:val="003263DC"/>
    <w:rsid w:val="00332E01"/>
    <w:rsid w:val="0033330E"/>
    <w:rsid w:val="00333BEA"/>
    <w:rsid w:val="0033497B"/>
    <w:rsid w:val="003367C5"/>
    <w:rsid w:val="00337E32"/>
    <w:rsid w:val="00341521"/>
    <w:rsid w:val="00343340"/>
    <w:rsid w:val="00343E3A"/>
    <w:rsid w:val="0034412F"/>
    <w:rsid w:val="003452E1"/>
    <w:rsid w:val="00345E56"/>
    <w:rsid w:val="003478F6"/>
    <w:rsid w:val="00350469"/>
    <w:rsid w:val="0035062A"/>
    <w:rsid w:val="00351243"/>
    <w:rsid w:val="0035264C"/>
    <w:rsid w:val="00357DF8"/>
    <w:rsid w:val="00360233"/>
    <w:rsid w:val="00360A9C"/>
    <w:rsid w:val="003621B4"/>
    <w:rsid w:val="00362E17"/>
    <w:rsid w:val="00363055"/>
    <w:rsid w:val="003644AF"/>
    <w:rsid w:val="00365022"/>
    <w:rsid w:val="00365914"/>
    <w:rsid w:val="00370CC5"/>
    <w:rsid w:val="00370F40"/>
    <w:rsid w:val="003732C2"/>
    <w:rsid w:val="00375069"/>
    <w:rsid w:val="00375443"/>
    <w:rsid w:val="00375BDA"/>
    <w:rsid w:val="003826ED"/>
    <w:rsid w:val="0038279C"/>
    <w:rsid w:val="00383ACB"/>
    <w:rsid w:val="00384CB9"/>
    <w:rsid w:val="003852B0"/>
    <w:rsid w:val="0038614F"/>
    <w:rsid w:val="00387AFD"/>
    <w:rsid w:val="003911C5"/>
    <w:rsid w:val="00392A62"/>
    <w:rsid w:val="003935D2"/>
    <w:rsid w:val="00393B2F"/>
    <w:rsid w:val="003942E7"/>
    <w:rsid w:val="00396033"/>
    <w:rsid w:val="003974CF"/>
    <w:rsid w:val="003A1A08"/>
    <w:rsid w:val="003A268B"/>
    <w:rsid w:val="003A46EF"/>
    <w:rsid w:val="003A472B"/>
    <w:rsid w:val="003A4F7D"/>
    <w:rsid w:val="003A51CD"/>
    <w:rsid w:val="003A5801"/>
    <w:rsid w:val="003A6BFD"/>
    <w:rsid w:val="003A6FD1"/>
    <w:rsid w:val="003B0F29"/>
    <w:rsid w:val="003B16C3"/>
    <w:rsid w:val="003B3864"/>
    <w:rsid w:val="003B38F8"/>
    <w:rsid w:val="003B4816"/>
    <w:rsid w:val="003B499E"/>
    <w:rsid w:val="003B512F"/>
    <w:rsid w:val="003B6C9A"/>
    <w:rsid w:val="003C1B28"/>
    <w:rsid w:val="003C1E22"/>
    <w:rsid w:val="003C2941"/>
    <w:rsid w:val="003C2C77"/>
    <w:rsid w:val="003C36C6"/>
    <w:rsid w:val="003C36FB"/>
    <w:rsid w:val="003C419B"/>
    <w:rsid w:val="003C4AB8"/>
    <w:rsid w:val="003C62AC"/>
    <w:rsid w:val="003C6A65"/>
    <w:rsid w:val="003D0506"/>
    <w:rsid w:val="003E0591"/>
    <w:rsid w:val="003E05A6"/>
    <w:rsid w:val="003E0BBB"/>
    <w:rsid w:val="003E1A55"/>
    <w:rsid w:val="003E1DFA"/>
    <w:rsid w:val="003E21E4"/>
    <w:rsid w:val="003E3890"/>
    <w:rsid w:val="003E47E2"/>
    <w:rsid w:val="003E7671"/>
    <w:rsid w:val="003F01CF"/>
    <w:rsid w:val="003F1C55"/>
    <w:rsid w:val="003F2E3A"/>
    <w:rsid w:val="003F58E1"/>
    <w:rsid w:val="004003D5"/>
    <w:rsid w:val="00401858"/>
    <w:rsid w:val="00402C2B"/>
    <w:rsid w:val="00410B24"/>
    <w:rsid w:val="00410B57"/>
    <w:rsid w:val="004149C4"/>
    <w:rsid w:val="004173D8"/>
    <w:rsid w:val="004207F8"/>
    <w:rsid w:val="00421385"/>
    <w:rsid w:val="00422661"/>
    <w:rsid w:val="004270A9"/>
    <w:rsid w:val="00432092"/>
    <w:rsid w:val="0043213E"/>
    <w:rsid w:val="00432161"/>
    <w:rsid w:val="00432421"/>
    <w:rsid w:val="00441372"/>
    <w:rsid w:val="0044192A"/>
    <w:rsid w:val="00442112"/>
    <w:rsid w:val="00443F11"/>
    <w:rsid w:val="0044555B"/>
    <w:rsid w:val="004474CE"/>
    <w:rsid w:val="00447DE1"/>
    <w:rsid w:val="0045048A"/>
    <w:rsid w:val="00451592"/>
    <w:rsid w:val="00452EDF"/>
    <w:rsid w:val="004541F0"/>
    <w:rsid w:val="00454F38"/>
    <w:rsid w:val="004571F1"/>
    <w:rsid w:val="0046022C"/>
    <w:rsid w:val="00460609"/>
    <w:rsid w:val="00460EB0"/>
    <w:rsid w:val="00461B6B"/>
    <w:rsid w:val="0046249A"/>
    <w:rsid w:val="004636EE"/>
    <w:rsid w:val="00464789"/>
    <w:rsid w:val="004656FB"/>
    <w:rsid w:val="00465F54"/>
    <w:rsid w:val="0047076C"/>
    <w:rsid w:val="00471037"/>
    <w:rsid w:val="00473254"/>
    <w:rsid w:val="00476275"/>
    <w:rsid w:val="004762A7"/>
    <w:rsid w:val="004778E8"/>
    <w:rsid w:val="004810B3"/>
    <w:rsid w:val="00481CAC"/>
    <w:rsid w:val="0048247E"/>
    <w:rsid w:val="00482B66"/>
    <w:rsid w:val="00484A19"/>
    <w:rsid w:val="004850F4"/>
    <w:rsid w:val="00494F19"/>
    <w:rsid w:val="00495E5E"/>
    <w:rsid w:val="0049650D"/>
    <w:rsid w:val="004A1C45"/>
    <w:rsid w:val="004A56A2"/>
    <w:rsid w:val="004A7478"/>
    <w:rsid w:val="004B0424"/>
    <w:rsid w:val="004B1C15"/>
    <w:rsid w:val="004B1C45"/>
    <w:rsid w:val="004B3835"/>
    <w:rsid w:val="004B3F91"/>
    <w:rsid w:val="004B4BF4"/>
    <w:rsid w:val="004B67CA"/>
    <w:rsid w:val="004C2E40"/>
    <w:rsid w:val="004C3AF9"/>
    <w:rsid w:val="004C3DBF"/>
    <w:rsid w:val="004C47D3"/>
    <w:rsid w:val="004C51E6"/>
    <w:rsid w:val="004C68F1"/>
    <w:rsid w:val="004C72EE"/>
    <w:rsid w:val="004C7776"/>
    <w:rsid w:val="004D15FD"/>
    <w:rsid w:val="004D1B08"/>
    <w:rsid w:val="004D51FC"/>
    <w:rsid w:val="004D5D21"/>
    <w:rsid w:val="004E01EE"/>
    <w:rsid w:val="004E1ED9"/>
    <w:rsid w:val="004E483B"/>
    <w:rsid w:val="004E53F7"/>
    <w:rsid w:val="004E62C1"/>
    <w:rsid w:val="004E7198"/>
    <w:rsid w:val="004E7A40"/>
    <w:rsid w:val="004F0413"/>
    <w:rsid w:val="004F1B6C"/>
    <w:rsid w:val="004F309B"/>
    <w:rsid w:val="004F3756"/>
    <w:rsid w:val="004F67B3"/>
    <w:rsid w:val="004F7D16"/>
    <w:rsid w:val="0050016A"/>
    <w:rsid w:val="00500B26"/>
    <w:rsid w:val="00500B41"/>
    <w:rsid w:val="00501718"/>
    <w:rsid w:val="00503FBF"/>
    <w:rsid w:val="00505258"/>
    <w:rsid w:val="00507299"/>
    <w:rsid w:val="00507E22"/>
    <w:rsid w:val="00510903"/>
    <w:rsid w:val="00510BF9"/>
    <w:rsid w:val="00512AA7"/>
    <w:rsid w:val="00520965"/>
    <w:rsid w:val="005209DA"/>
    <w:rsid w:val="0052379C"/>
    <w:rsid w:val="005237F3"/>
    <w:rsid w:val="00526732"/>
    <w:rsid w:val="00531B75"/>
    <w:rsid w:val="00533383"/>
    <w:rsid w:val="00534855"/>
    <w:rsid w:val="00536D5B"/>
    <w:rsid w:val="00546C6B"/>
    <w:rsid w:val="005500D7"/>
    <w:rsid w:val="005501DE"/>
    <w:rsid w:val="005518E2"/>
    <w:rsid w:val="005537D6"/>
    <w:rsid w:val="00553D44"/>
    <w:rsid w:val="0055570A"/>
    <w:rsid w:val="0055716B"/>
    <w:rsid w:val="00560F76"/>
    <w:rsid w:val="00562561"/>
    <w:rsid w:val="0056616F"/>
    <w:rsid w:val="0057339C"/>
    <w:rsid w:val="005755AC"/>
    <w:rsid w:val="00576B06"/>
    <w:rsid w:val="005804A0"/>
    <w:rsid w:val="00581BBA"/>
    <w:rsid w:val="00582EF6"/>
    <w:rsid w:val="005839E0"/>
    <w:rsid w:val="0058514A"/>
    <w:rsid w:val="00585BCC"/>
    <w:rsid w:val="00585C5C"/>
    <w:rsid w:val="005865F9"/>
    <w:rsid w:val="00586768"/>
    <w:rsid w:val="00587E7F"/>
    <w:rsid w:val="00590C0D"/>
    <w:rsid w:val="00590F47"/>
    <w:rsid w:val="0059115C"/>
    <w:rsid w:val="00593876"/>
    <w:rsid w:val="00593A02"/>
    <w:rsid w:val="005954C6"/>
    <w:rsid w:val="00595C05"/>
    <w:rsid w:val="005A0849"/>
    <w:rsid w:val="005A0DA8"/>
    <w:rsid w:val="005A19D0"/>
    <w:rsid w:val="005A1E02"/>
    <w:rsid w:val="005A1EBB"/>
    <w:rsid w:val="005A68CA"/>
    <w:rsid w:val="005B25FE"/>
    <w:rsid w:val="005B2CD8"/>
    <w:rsid w:val="005B4559"/>
    <w:rsid w:val="005B4FBF"/>
    <w:rsid w:val="005B5C92"/>
    <w:rsid w:val="005C0E08"/>
    <w:rsid w:val="005C5820"/>
    <w:rsid w:val="005C5F1E"/>
    <w:rsid w:val="005C635F"/>
    <w:rsid w:val="005D0368"/>
    <w:rsid w:val="005D230C"/>
    <w:rsid w:val="005D2322"/>
    <w:rsid w:val="005D6289"/>
    <w:rsid w:val="005D64B2"/>
    <w:rsid w:val="005D70AC"/>
    <w:rsid w:val="005D7438"/>
    <w:rsid w:val="005D7FBF"/>
    <w:rsid w:val="005E1540"/>
    <w:rsid w:val="005E17EF"/>
    <w:rsid w:val="005E197D"/>
    <w:rsid w:val="005E1FAA"/>
    <w:rsid w:val="005E26D4"/>
    <w:rsid w:val="005E3B68"/>
    <w:rsid w:val="005E7011"/>
    <w:rsid w:val="005E7944"/>
    <w:rsid w:val="005F14DF"/>
    <w:rsid w:val="005F20A3"/>
    <w:rsid w:val="005F4464"/>
    <w:rsid w:val="005F4DEF"/>
    <w:rsid w:val="00600B53"/>
    <w:rsid w:val="0060303C"/>
    <w:rsid w:val="00603191"/>
    <w:rsid w:val="006032E1"/>
    <w:rsid w:val="00605D75"/>
    <w:rsid w:val="00606287"/>
    <w:rsid w:val="006062CB"/>
    <w:rsid w:val="006104B3"/>
    <w:rsid w:val="00611C17"/>
    <w:rsid w:val="00615F29"/>
    <w:rsid w:val="006160EA"/>
    <w:rsid w:val="006212CC"/>
    <w:rsid w:val="00622B50"/>
    <w:rsid w:val="006254C1"/>
    <w:rsid w:val="0063097B"/>
    <w:rsid w:val="00635F62"/>
    <w:rsid w:val="0064107F"/>
    <w:rsid w:val="0064111D"/>
    <w:rsid w:val="00642034"/>
    <w:rsid w:val="006424D2"/>
    <w:rsid w:val="00645B8D"/>
    <w:rsid w:val="00645E88"/>
    <w:rsid w:val="00646BD9"/>
    <w:rsid w:val="00646D2F"/>
    <w:rsid w:val="00647C13"/>
    <w:rsid w:val="00650ED9"/>
    <w:rsid w:val="00651641"/>
    <w:rsid w:val="00652E3D"/>
    <w:rsid w:val="00653980"/>
    <w:rsid w:val="006545A2"/>
    <w:rsid w:val="006569E5"/>
    <w:rsid w:val="00657370"/>
    <w:rsid w:val="006607B3"/>
    <w:rsid w:val="00663B98"/>
    <w:rsid w:val="006668A9"/>
    <w:rsid w:val="00666FF0"/>
    <w:rsid w:val="00670944"/>
    <w:rsid w:val="00671074"/>
    <w:rsid w:val="00671A39"/>
    <w:rsid w:val="00673912"/>
    <w:rsid w:val="00675448"/>
    <w:rsid w:val="00675611"/>
    <w:rsid w:val="00675B6B"/>
    <w:rsid w:val="00680C2E"/>
    <w:rsid w:val="006818BD"/>
    <w:rsid w:val="00681A9F"/>
    <w:rsid w:val="0068230D"/>
    <w:rsid w:val="00683FB6"/>
    <w:rsid w:val="006853E6"/>
    <w:rsid w:val="00687908"/>
    <w:rsid w:val="00687BC0"/>
    <w:rsid w:val="00690341"/>
    <w:rsid w:val="006912BD"/>
    <w:rsid w:val="0069342A"/>
    <w:rsid w:val="00695C9C"/>
    <w:rsid w:val="006A16B5"/>
    <w:rsid w:val="006A3573"/>
    <w:rsid w:val="006A6094"/>
    <w:rsid w:val="006A695B"/>
    <w:rsid w:val="006A6AEA"/>
    <w:rsid w:val="006A7777"/>
    <w:rsid w:val="006A7FDD"/>
    <w:rsid w:val="006B0173"/>
    <w:rsid w:val="006B265D"/>
    <w:rsid w:val="006B5499"/>
    <w:rsid w:val="006B5995"/>
    <w:rsid w:val="006C21ED"/>
    <w:rsid w:val="006C2B46"/>
    <w:rsid w:val="006C5460"/>
    <w:rsid w:val="006C66A6"/>
    <w:rsid w:val="006D01C0"/>
    <w:rsid w:val="006D11B4"/>
    <w:rsid w:val="006D1A96"/>
    <w:rsid w:val="006D2BF3"/>
    <w:rsid w:val="006D5765"/>
    <w:rsid w:val="006D64F6"/>
    <w:rsid w:val="006E1791"/>
    <w:rsid w:val="006E2ACD"/>
    <w:rsid w:val="006E2F42"/>
    <w:rsid w:val="006E31FD"/>
    <w:rsid w:val="006E6FC8"/>
    <w:rsid w:val="006E7026"/>
    <w:rsid w:val="006E7831"/>
    <w:rsid w:val="006F1BF2"/>
    <w:rsid w:val="006F48AF"/>
    <w:rsid w:val="006F4F34"/>
    <w:rsid w:val="006F7850"/>
    <w:rsid w:val="007038C7"/>
    <w:rsid w:val="00704A2C"/>
    <w:rsid w:val="0070558F"/>
    <w:rsid w:val="00706DF1"/>
    <w:rsid w:val="00707FCC"/>
    <w:rsid w:val="00713181"/>
    <w:rsid w:val="00713825"/>
    <w:rsid w:val="00713E79"/>
    <w:rsid w:val="007151D3"/>
    <w:rsid w:val="00715459"/>
    <w:rsid w:val="007157C5"/>
    <w:rsid w:val="00716345"/>
    <w:rsid w:val="007206EC"/>
    <w:rsid w:val="007244D4"/>
    <w:rsid w:val="00724817"/>
    <w:rsid w:val="00724AF5"/>
    <w:rsid w:val="007268E4"/>
    <w:rsid w:val="007269F8"/>
    <w:rsid w:val="007276A0"/>
    <w:rsid w:val="00727CD2"/>
    <w:rsid w:val="00730336"/>
    <w:rsid w:val="007309C2"/>
    <w:rsid w:val="00730D69"/>
    <w:rsid w:val="007315A4"/>
    <w:rsid w:val="0073289C"/>
    <w:rsid w:val="007332CB"/>
    <w:rsid w:val="00734BB3"/>
    <w:rsid w:val="00736D5B"/>
    <w:rsid w:val="00737288"/>
    <w:rsid w:val="00737BB8"/>
    <w:rsid w:val="00740C98"/>
    <w:rsid w:val="00741C52"/>
    <w:rsid w:val="00742DA1"/>
    <w:rsid w:val="007442A1"/>
    <w:rsid w:val="00745031"/>
    <w:rsid w:val="00747B04"/>
    <w:rsid w:val="007500F0"/>
    <w:rsid w:val="00750DA1"/>
    <w:rsid w:val="0075109D"/>
    <w:rsid w:val="0075479D"/>
    <w:rsid w:val="0075672D"/>
    <w:rsid w:val="007603EE"/>
    <w:rsid w:val="00760561"/>
    <w:rsid w:val="00760E57"/>
    <w:rsid w:val="00761FF5"/>
    <w:rsid w:val="007632A4"/>
    <w:rsid w:val="00764E2B"/>
    <w:rsid w:val="007662AE"/>
    <w:rsid w:val="00766542"/>
    <w:rsid w:val="007715DF"/>
    <w:rsid w:val="0077190D"/>
    <w:rsid w:val="00772778"/>
    <w:rsid w:val="00774613"/>
    <w:rsid w:val="007747E3"/>
    <w:rsid w:val="0077485A"/>
    <w:rsid w:val="00774DFF"/>
    <w:rsid w:val="00774E69"/>
    <w:rsid w:val="00777A1E"/>
    <w:rsid w:val="00780AFD"/>
    <w:rsid w:val="00781BBA"/>
    <w:rsid w:val="007827DB"/>
    <w:rsid w:val="00787DC4"/>
    <w:rsid w:val="00790996"/>
    <w:rsid w:val="0079188F"/>
    <w:rsid w:val="007927A9"/>
    <w:rsid w:val="00793162"/>
    <w:rsid w:val="00794AD2"/>
    <w:rsid w:val="00795DC7"/>
    <w:rsid w:val="007A25A4"/>
    <w:rsid w:val="007A342F"/>
    <w:rsid w:val="007A45DB"/>
    <w:rsid w:val="007A499E"/>
    <w:rsid w:val="007A5438"/>
    <w:rsid w:val="007A5BE7"/>
    <w:rsid w:val="007A6221"/>
    <w:rsid w:val="007A6513"/>
    <w:rsid w:val="007B302F"/>
    <w:rsid w:val="007B493F"/>
    <w:rsid w:val="007B6897"/>
    <w:rsid w:val="007C006E"/>
    <w:rsid w:val="007C03D1"/>
    <w:rsid w:val="007C127F"/>
    <w:rsid w:val="007C2501"/>
    <w:rsid w:val="007C2A81"/>
    <w:rsid w:val="007C3B8A"/>
    <w:rsid w:val="007C4267"/>
    <w:rsid w:val="007C5748"/>
    <w:rsid w:val="007C5D05"/>
    <w:rsid w:val="007C63C4"/>
    <w:rsid w:val="007C7343"/>
    <w:rsid w:val="007D3BDA"/>
    <w:rsid w:val="007D4D65"/>
    <w:rsid w:val="007D51D2"/>
    <w:rsid w:val="007D67D2"/>
    <w:rsid w:val="007D7073"/>
    <w:rsid w:val="007E0AF7"/>
    <w:rsid w:val="007E22A8"/>
    <w:rsid w:val="007E4931"/>
    <w:rsid w:val="007E5D0A"/>
    <w:rsid w:val="007E6B68"/>
    <w:rsid w:val="007E7840"/>
    <w:rsid w:val="007F02A5"/>
    <w:rsid w:val="007F0812"/>
    <w:rsid w:val="007F181A"/>
    <w:rsid w:val="007F1831"/>
    <w:rsid w:val="007F2B0D"/>
    <w:rsid w:val="007F37AD"/>
    <w:rsid w:val="007F3A4D"/>
    <w:rsid w:val="007F42B1"/>
    <w:rsid w:val="007F59F2"/>
    <w:rsid w:val="00800B6F"/>
    <w:rsid w:val="00801A61"/>
    <w:rsid w:val="008028F5"/>
    <w:rsid w:val="00803074"/>
    <w:rsid w:val="00805010"/>
    <w:rsid w:val="00806298"/>
    <w:rsid w:val="0080664B"/>
    <w:rsid w:val="00806A17"/>
    <w:rsid w:val="00806C09"/>
    <w:rsid w:val="00813CCC"/>
    <w:rsid w:val="00820306"/>
    <w:rsid w:val="008207A4"/>
    <w:rsid w:val="008212F5"/>
    <w:rsid w:val="00822D35"/>
    <w:rsid w:val="00823088"/>
    <w:rsid w:val="00823662"/>
    <w:rsid w:val="00827AA5"/>
    <w:rsid w:val="00830FAF"/>
    <w:rsid w:val="00834B40"/>
    <w:rsid w:val="00835CE2"/>
    <w:rsid w:val="008371DB"/>
    <w:rsid w:val="008404CD"/>
    <w:rsid w:val="00843DB3"/>
    <w:rsid w:val="008441B1"/>
    <w:rsid w:val="00844516"/>
    <w:rsid w:val="008462D7"/>
    <w:rsid w:val="00846C37"/>
    <w:rsid w:val="00853138"/>
    <w:rsid w:val="008532F1"/>
    <w:rsid w:val="00854F45"/>
    <w:rsid w:val="008556BF"/>
    <w:rsid w:val="008560EC"/>
    <w:rsid w:val="00856D86"/>
    <w:rsid w:val="00856DCA"/>
    <w:rsid w:val="00856E21"/>
    <w:rsid w:val="008573D8"/>
    <w:rsid w:val="00860764"/>
    <w:rsid w:val="00860B92"/>
    <w:rsid w:val="00861281"/>
    <w:rsid w:val="0086246E"/>
    <w:rsid w:val="00862523"/>
    <w:rsid w:val="008655CD"/>
    <w:rsid w:val="0086586F"/>
    <w:rsid w:val="008658E0"/>
    <w:rsid w:val="008677A6"/>
    <w:rsid w:val="00870EC7"/>
    <w:rsid w:val="008714A8"/>
    <w:rsid w:val="00876A9F"/>
    <w:rsid w:val="008771E7"/>
    <w:rsid w:val="00877381"/>
    <w:rsid w:val="00877436"/>
    <w:rsid w:val="00877C5A"/>
    <w:rsid w:val="00880CD7"/>
    <w:rsid w:val="00883E7D"/>
    <w:rsid w:val="00885284"/>
    <w:rsid w:val="00885D81"/>
    <w:rsid w:val="00891352"/>
    <w:rsid w:val="00896173"/>
    <w:rsid w:val="00897BE9"/>
    <w:rsid w:val="008A2237"/>
    <w:rsid w:val="008A366E"/>
    <w:rsid w:val="008A36D7"/>
    <w:rsid w:val="008A6F74"/>
    <w:rsid w:val="008B1482"/>
    <w:rsid w:val="008B46E0"/>
    <w:rsid w:val="008B53CD"/>
    <w:rsid w:val="008B7CBE"/>
    <w:rsid w:val="008C16FA"/>
    <w:rsid w:val="008C48A6"/>
    <w:rsid w:val="008C528C"/>
    <w:rsid w:val="008C66FF"/>
    <w:rsid w:val="008C7D26"/>
    <w:rsid w:val="008D22CA"/>
    <w:rsid w:val="008D3688"/>
    <w:rsid w:val="008D4BB2"/>
    <w:rsid w:val="008D5336"/>
    <w:rsid w:val="008E1B49"/>
    <w:rsid w:val="008E1D87"/>
    <w:rsid w:val="008E22BD"/>
    <w:rsid w:val="008E2FCE"/>
    <w:rsid w:val="008E66D3"/>
    <w:rsid w:val="008F07EB"/>
    <w:rsid w:val="008F0F01"/>
    <w:rsid w:val="008F1692"/>
    <w:rsid w:val="008F4435"/>
    <w:rsid w:val="008F4DE8"/>
    <w:rsid w:val="00900465"/>
    <w:rsid w:val="00900F55"/>
    <w:rsid w:val="00901F6C"/>
    <w:rsid w:val="0090220C"/>
    <w:rsid w:val="0090262E"/>
    <w:rsid w:val="00904171"/>
    <w:rsid w:val="0090485B"/>
    <w:rsid w:val="00906652"/>
    <w:rsid w:val="00911040"/>
    <w:rsid w:val="0091115C"/>
    <w:rsid w:val="00912D3E"/>
    <w:rsid w:val="0091314F"/>
    <w:rsid w:val="00914FA8"/>
    <w:rsid w:val="00920B71"/>
    <w:rsid w:val="00922D65"/>
    <w:rsid w:val="00923BAB"/>
    <w:rsid w:val="00923DFE"/>
    <w:rsid w:val="00927CDD"/>
    <w:rsid w:val="009305A4"/>
    <w:rsid w:val="00930887"/>
    <w:rsid w:val="00931BA0"/>
    <w:rsid w:val="0093335F"/>
    <w:rsid w:val="00933C38"/>
    <w:rsid w:val="0094067F"/>
    <w:rsid w:val="00946C73"/>
    <w:rsid w:val="00953140"/>
    <w:rsid w:val="009534C5"/>
    <w:rsid w:val="00955E43"/>
    <w:rsid w:val="0095654E"/>
    <w:rsid w:val="009572C3"/>
    <w:rsid w:val="00961A16"/>
    <w:rsid w:val="009647CB"/>
    <w:rsid w:val="009667B6"/>
    <w:rsid w:val="00966E11"/>
    <w:rsid w:val="009756A0"/>
    <w:rsid w:val="009758E8"/>
    <w:rsid w:val="009775B0"/>
    <w:rsid w:val="00985D62"/>
    <w:rsid w:val="00986D68"/>
    <w:rsid w:val="00990AA6"/>
    <w:rsid w:val="00990DFE"/>
    <w:rsid w:val="00991EE5"/>
    <w:rsid w:val="00994E77"/>
    <w:rsid w:val="00994F00"/>
    <w:rsid w:val="0099528A"/>
    <w:rsid w:val="00996DFD"/>
    <w:rsid w:val="00997339"/>
    <w:rsid w:val="009A011F"/>
    <w:rsid w:val="009A03A6"/>
    <w:rsid w:val="009A0D0B"/>
    <w:rsid w:val="009A2FCF"/>
    <w:rsid w:val="009A31AB"/>
    <w:rsid w:val="009A488B"/>
    <w:rsid w:val="009B13FC"/>
    <w:rsid w:val="009B43BF"/>
    <w:rsid w:val="009B451A"/>
    <w:rsid w:val="009B4ACA"/>
    <w:rsid w:val="009B5927"/>
    <w:rsid w:val="009C37ED"/>
    <w:rsid w:val="009D12FC"/>
    <w:rsid w:val="009D28B3"/>
    <w:rsid w:val="009D3350"/>
    <w:rsid w:val="009D34AA"/>
    <w:rsid w:val="009D4926"/>
    <w:rsid w:val="009D7538"/>
    <w:rsid w:val="009D75CB"/>
    <w:rsid w:val="009D7AB2"/>
    <w:rsid w:val="009E3B09"/>
    <w:rsid w:val="009E5733"/>
    <w:rsid w:val="009E5F91"/>
    <w:rsid w:val="009E785C"/>
    <w:rsid w:val="009F2CC2"/>
    <w:rsid w:val="009F3123"/>
    <w:rsid w:val="009F593D"/>
    <w:rsid w:val="009F5B3B"/>
    <w:rsid w:val="009F7554"/>
    <w:rsid w:val="00A00570"/>
    <w:rsid w:val="00A00955"/>
    <w:rsid w:val="00A010FB"/>
    <w:rsid w:val="00A020E1"/>
    <w:rsid w:val="00A03173"/>
    <w:rsid w:val="00A05905"/>
    <w:rsid w:val="00A111A1"/>
    <w:rsid w:val="00A114DA"/>
    <w:rsid w:val="00A11D22"/>
    <w:rsid w:val="00A127F1"/>
    <w:rsid w:val="00A12D95"/>
    <w:rsid w:val="00A15A01"/>
    <w:rsid w:val="00A164AF"/>
    <w:rsid w:val="00A20D1D"/>
    <w:rsid w:val="00A21273"/>
    <w:rsid w:val="00A21C62"/>
    <w:rsid w:val="00A23ACE"/>
    <w:rsid w:val="00A23F13"/>
    <w:rsid w:val="00A25A4E"/>
    <w:rsid w:val="00A26BF3"/>
    <w:rsid w:val="00A27E44"/>
    <w:rsid w:val="00A359A9"/>
    <w:rsid w:val="00A425D1"/>
    <w:rsid w:val="00A4346C"/>
    <w:rsid w:val="00A43722"/>
    <w:rsid w:val="00A447D9"/>
    <w:rsid w:val="00A44C02"/>
    <w:rsid w:val="00A46196"/>
    <w:rsid w:val="00A46903"/>
    <w:rsid w:val="00A50C4D"/>
    <w:rsid w:val="00A522F8"/>
    <w:rsid w:val="00A53FC5"/>
    <w:rsid w:val="00A560ED"/>
    <w:rsid w:val="00A56346"/>
    <w:rsid w:val="00A61362"/>
    <w:rsid w:val="00A625D7"/>
    <w:rsid w:val="00A657DE"/>
    <w:rsid w:val="00A70461"/>
    <w:rsid w:val="00A704A0"/>
    <w:rsid w:val="00A71090"/>
    <w:rsid w:val="00A73A05"/>
    <w:rsid w:val="00A7438A"/>
    <w:rsid w:val="00A74701"/>
    <w:rsid w:val="00A76414"/>
    <w:rsid w:val="00A76E8A"/>
    <w:rsid w:val="00A843F8"/>
    <w:rsid w:val="00A86541"/>
    <w:rsid w:val="00A86FF3"/>
    <w:rsid w:val="00A87CF6"/>
    <w:rsid w:val="00A90B5C"/>
    <w:rsid w:val="00A91216"/>
    <w:rsid w:val="00A923CF"/>
    <w:rsid w:val="00A93E20"/>
    <w:rsid w:val="00A9497D"/>
    <w:rsid w:val="00A94BDA"/>
    <w:rsid w:val="00A96F86"/>
    <w:rsid w:val="00AA01DF"/>
    <w:rsid w:val="00AA1179"/>
    <w:rsid w:val="00AA1D01"/>
    <w:rsid w:val="00AA2A84"/>
    <w:rsid w:val="00AA5ADB"/>
    <w:rsid w:val="00AA625C"/>
    <w:rsid w:val="00AA7B39"/>
    <w:rsid w:val="00AB206D"/>
    <w:rsid w:val="00AB2209"/>
    <w:rsid w:val="00AB2D21"/>
    <w:rsid w:val="00AB3142"/>
    <w:rsid w:val="00AB46EF"/>
    <w:rsid w:val="00AB5958"/>
    <w:rsid w:val="00AB5D64"/>
    <w:rsid w:val="00AC0FE1"/>
    <w:rsid w:val="00AC34AB"/>
    <w:rsid w:val="00AC5DD2"/>
    <w:rsid w:val="00AC6E39"/>
    <w:rsid w:val="00AC7547"/>
    <w:rsid w:val="00AD17FE"/>
    <w:rsid w:val="00AD3BDF"/>
    <w:rsid w:val="00AD4163"/>
    <w:rsid w:val="00AD62F9"/>
    <w:rsid w:val="00AE1730"/>
    <w:rsid w:val="00AE3026"/>
    <w:rsid w:val="00AE32CF"/>
    <w:rsid w:val="00AE410B"/>
    <w:rsid w:val="00AE4B0E"/>
    <w:rsid w:val="00AE67FC"/>
    <w:rsid w:val="00AE7E84"/>
    <w:rsid w:val="00AF028E"/>
    <w:rsid w:val="00AF122C"/>
    <w:rsid w:val="00AF208B"/>
    <w:rsid w:val="00AF53DE"/>
    <w:rsid w:val="00AF6182"/>
    <w:rsid w:val="00AF6B65"/>
    <w:rsid w:val="00B0057B"/>
    <w:rsid w:val="00B01B07"/>
    <w:rsid w:val="00B0209E"/>
    <w:rsid w:val="00B028CD"/>
    <w:rsid w:val="00B02E10"/>
    <w:rsid w:val="00B03A86"/>
    <w:rsid w:val="00B05AAB"/>
    <w:rsid w:val="00B074A9"/>
    <w:rsid w:val="00B1290E"/>
    <w:rsid w:val="00B13378"/>
    <w:rsid w:val="00B1472C"/>
    <w:rsid w:val="00B2215A"/>
    <w:rsid w:val="00B23A2E"/>
    <w:rsid w:val="00B3131B"/>
    <w:rsid w:val="00B32EB9"/>
    <w:rsid w:val="00B3453E"/>
    <w:rsid w:val="00B351C5"/>
    <w:rsid w:val="00B36BA7"/>
    <w:rsid w:val="00B4063F"/>
    <w:rsid w:val="00B407BD"/>
    <w:rsid w:val="00B4442A"/>
    <w:rsid w:val="00B468CC"/>
    <w:rsid w:val="00B47A2C"/>
    <w:rsid w:val="00B47AFA"/>
    <w:rsid w:val="00B51940"/>
    <w:rsid w:val="00B528EA"/>
    <w:rsid w:val="00B5372D"/>
    <w:rsid w:val="00B53C79"/>
    <w:rsid w:val="00B5508F"/>
    <w:rsid w:val="00B55271"/>
    <w:rsid w:val="00B554FF"/>
    <w:rsid w:val="00B55D84"/>
    <w:rsid w:val="00B55EC6"/>
    <w:rsid w:val="00B57C97"/>
    <w:rsid w:val="00B612C9"/>
    <w:rsid w:val="00B618E2"/>
    <w:rsid w:val="00B638D9"/>
    <w:rsid w:val="00B6397E"/>
    <w:rsid w:val="00B65120"/>
    <w:rsid w:val="00B664DA"/>
    <w:rsid w:val="00B674CC"/>
    <w:rsid w:val="00B675B2"/>
    <w:rsid w:val="00B735F3"/>
    <w:rsid w:val="00B7366B"/>
    <w:rsid w:val="00B73E91"/>
    <w:rsid w:val="00B80D54"/>
    <w:rsid w:val="00B86050"/>
    <w:rsid w:val="00B90A93"/>
    <w:rsid w:val="00B97C70"/>
    <w:rsid w:val="00BA0774"/>
    <w:rsid w:val="00BA1C3E"/>
    <w:rsid w:val="00BA2881"/>
    <w:rsid w:val="00BA2E51"/>
    <w:rsid w:val="00BA3C64"/>
    <w:rsid w:val="00BA546D"/>
    <w:rsid w:val="00BA5B1D"/>
    <w:rsid w:val="00BA6B30"/>
    <w:rsid w:val="00BA7C5D"/>
    <w:rsid w:val="00BB0DD8"/>
    <w:rsid w:val="00BB28A2"/>
    <w:rsid w:val="00BB2FAB"/>
    <w:rsid w:val="00BB3966"/>
    <w:rsid w:val="00BB3D47"/>
    <w:rsid w:val="00BB422E"/>
    <w:rsid w:val="00BB4AE3"/>
    <w:rsid w:val="00BB6807"/>
    <w:rsid w:val="00BB69D8"/>
    <w:rsid w:val="00BB6CBF"/>
    <w:rsid w:val="00BC0A6C"/>
    <w:rsid w:val="00BC2841"/>
    <w:rsid w:val="00BC2953"/>
    <w:rsid w:val="00BC4594"/>
    <w:rsid w:val="00BD25DB"/>
    <w:rsid w:val="00BD262F"/>
    <w:rsid w:val="00BD2C17"/>
    <w:rsid w:val="00BD2F51"/>
    <w:rsid w:val="00BD3D53"/>
    <w:rsid w:val="00BD43E8"/>
    <w:rsid w:val="00BE0891"/>
    <w:rsid w:val="00BE09F0"/>
    <w:rsid w:val="00BE0C1F"/>
    <w:rsid w:val="00BE272C"/>
    <w:rsid w:val="00BE2987"/>
    <w:rsid w:val="00BE4632"/>
    <w:rsid w:val="00BE5CC2"/>
    <w:rsid w:val="00BF2C52"/>
    <w:rsid w:val="00BF3965"/>
    <w:rsid w:val="00BF56FA"/>
    <w:rsid w:val="00BF75DB"/>
    <w:rsid w:val="00C02618"/>
    <w:rsid w:val="00C02C51"/>
    <w:rsid w:val="00C03BE3"/>
    <w:rsid w:val="00C04397"/>
    <w:rsid w:val="00C1094F"/>
    <w:rsid w:val="00C10F69"/>
    <w:rsid w:val="00C116F5"/>
    <w:rsid w:val="00C12320"/>
    <w:rsid w:val="00C12CB0"/>
    <w:rsid w:val="00C13670"/>
    <w:rsid w:val="00C14BD8"/>
    <w:rsid w:val="00C17484"/>
    <w:rsid w:val="00C17535"/>
    <w:rsid w:val="00C1765C"/>
    <w:rsid w:val="00C21BE0"/>
    <w:rsid w:val="00C24402"/>
    <w:rsid w:val="00C320D3"/>
    <w:rsid w:val="00C41B7A"/>
    <w:rsid w:val="00C42E0A"/>
    <w:rsid w:val="00C435F9"/>
    <w:rsid w:val="00C43D8A"/>
    <w:rsid w:val="00C442CE"/>
    <w:rsid w:val="00C44C03"/>
    <w:rsid w:val="00C478D1"/>
    <w:rsid w:val="00C47D81"/>
    <w:rsid w:val="00C50B60"/>
    <w:rsid w:val="00C51B33"/>
    <w:rsid w:val="00C52C88"/>
    <w:rsid w:val="00C534BA"/>
    <w:rsid w:val="00C54787"/>
    <w:rsid w:val="00C5546C"/>
    <w:rsid w:val="00C56980"/>
    <w:rsid w:val="00C57DA5"/>
    <w:rsid w:val="00C612B3"/>
    <w:rsid w:val="00C64051"/>
    <w:rsid w:val="00C65351"/>
    <w:rsid w:val="00C6573C"/>
    <w:rsid w:val="00C65ABD"/>
    <w:rsid w:val="00C73F71"/>
    <w:rsid w:val="00C75481"/>
    <w:rsid w:val="00C80822"/>
    <w:rsid w:val="00C81282"/>
    <w:rsid w:val="00C82FB4"/>
    <w:rsid w:val="00C83EC6"/>
    <w:rsid w:val="00C85747"/>
    <w:rsid w:val="00C871F7"/>
    <w:rsid w:val="00C87A7C"/>
    <w:rsid w:val="00C90DA5"/>
    <w:rsid w:val="00C91C65"/>
    <w:rsid w:val="00C92D8A"/>
    <w:rsid w:val="00C9370F"/>
    <w:rsid w:val="00C93D48"/>
    <w:rsid w:val="00C9404B"/>
    <w:rsid w:val="00C94F87"/>
    <w:rsid w:val="00C95937"/>
    <w:rsid w:val="00C9629E"/>
    <w:rsid w:val="00C97B63"/>
    <w:rsid w:val="00CA0BDA"/>
    <w:rsid w:val="00CA3503"/>
    <w:rsid w:val="00CA52AA"/>
    <w:rsid w:val="00CA5BE7"/>
    <w:rsid w:val="00CA6469"/>
    <w:rsid w:val="00CB0EF8"/>
    <w:rsid w:val="00CB1ABB"/>
    <w:rsid w:val="00CB2623"/>
    <w:rsid w:val="00CB2762"/>
    <w:rsid w:val="00CB33DD"/>
    <w:rsid w:val="00CB3B61"/>
    <w:rsid w:val="00CB4C26"/>
    <w:rsid w:val="00CB6148"/>
    <w:rsid w:val="00CC08B4"/>
    <w:rsid w:val="00CC0A56"/>
    <w:rsid w:val="00CC1BDA"/>
    <w:rsid w:val="00CC4F98"/>
    <w:rsid w:val="00CC6095"/>
    <w:rsid w:val="00CC7EB4"/>
    <w:rsid w:val="00CD0C0A"/>
    <w:rsid w:val="00CD2A8B"/>
    <w:rsid w:val="00CD31D9"/>
    <w:rsid w:val="00CD5149"/>
    <w:rsid w:val="00CD5B59"/>
    <w:rsid w:val="00CE0252"/>
    <w:rsid w:val="00CE1B0C"/>
    <w:rsid w:val="00CE2603"/>
    <w:rsid w:val="00CE27F8"/>
    <w:rsid w:val="00CE423C"/>
    <w:rsid w:val="00CE54E4"/>
    <w:rsid w:val="00CE712D"/>
    <w:rsid w:val="00CF1F3C"/>
    <w:rsid w:val="00CF3633"/>
    <w:rsid w:val="00CF38C2"/>
    <w:rsid w:val="00CF4094"/>
    <w:rsid w:val="00CF4BA6"/>
    <w:rsid w:val="00CF5F9D"/>
    <w:rsid w:val="00CF746F"/>
    <w:rsid w:val="00D0298E"/>
    <w:rsid w:val="00D037E5"/>
    <w:rsid w:val="00D13663"/>
    <w:rsid w:val="00D17295"/>
    <w:rsid w:val="00D173C8"/>
    <w:rsid w:val="00D2285B"/>
    <w:rsid w:val="00D22F65"/>
    <w:rsid w:val="00D230CB"/>
    <w:rsid w:val="00D24D5C"/>
    <w:rsid w:val="00D30732"/>
    <w:rsid w:val="00D3109C"/>
    <w:rsid w:val="00D31F71"/>
    <w:rsid w:val="00D3216B"/>
    <w:rsid w:val="00D32E46"/>
    <w:rsid w:val="00D332FA"/>
    <w:rsid w:val="00D34E8D"/>
    <w:rsid w:val="00D35977"/>
    <w:rsid w:val="00D35B8A"/>
    <w:rsid w:val="00D35DC1"/>
    <w:rsid w:val="00D36C0B"/>
    <w:rsid w:val="00D3757A"/>
    <w:rsid w:val="00D4364B"/>
    <w:rsid w:val="00D44040"/>
    <w:rsid w:val="00D457DA"/>
    <w:rsid w:val="00D45B47"/>
    <w:rsid w:val="00D4606C"/>
    <w:rsid w:val="00D4722C"/>
    <w:rsid w:val="00D506CA"/>
    <w:rsid w:val="00D512E5"/>
    <w:rsid w:val="00D516C6"/>
    <w:rsid w:val="00D51EF7"/>
    <w:rsid w:val="00D5227B"/>
    <w:rsid w:val="00D5492B"/>
    <w:rsid w:val="00D54FAB"/>
    <w:rsid w:val="00D5677B"/>
    <w:rsid w:val="00D56B40"/>
    <w:rsid w:val="00D57AB5"/>
    <w:rsid w:val="00D6119A"/>
    <w:rsid w:val="00D61266"/>
    <w:rsid w:val="00D61389"/>
    <w:rsid w:val="00D613D8"/>
    <w:rsid w:val="00D624BB"/>
    <w:rsid w:val="00D62EDF"/>
    <w:rsid w:val="00D63D18"/>
    <w:rsid w:val="00D65026"/>
    <w:rsid w:val="00D6681C"/>
    <w:rsid w:val="00D741DB"/>
    <w:rsid w:val="00D74AF2"/>
    <w:rsid w:val="00D74B97"/>
    <w:rsid w:val="00D74FB6"/>
    <w:rsid w:val="00D756C8"/>
    <w:rsid w:val="00D76FF8"/>
    <w:rsid w:val="00D8139E"/>
    <w:rsid w:val="00D81456"/>
    <w:rsid w:val="00D81FF5"/>
    <w:rsid w:val="00D8531A"/>
    <w:rsid w:val="00D86331"/>
    <w:rsid w:val="00D867E5"/>
    <w:rsid w:val="00D90297"/>
    <w:rsid w:val="00D90EBC"/>
    <w:rsid w:val="00D91663"/>
    <w:rsid w:val="00D972E2"/>
    <w:rsid w:val="00DA061C"/>
    <w:rsid w:val="00DA1FB8"/>
    <w:rsid w:val="00DA3087"/>
    <w:rsid w:val="00DA3B0A"/>
    <w:rsid w:val="00DA3B6E"/>
    <w:rsid w:val="00DA57C9"/>
    <w:rsid w:val="00DA6A7D"/>
    <w:rsid w:val="00DB104C"/>
    <w:rsid w:val="00DB63D7"/>
    <w:rsid w:val="00DB7538"/>
    <w:rsid w:val="00DC1854"/>
    <w:rsid w:val="00DC43D0"/>
    <w:rsid w:val="00DC4CB9"/>
    <w:rsid w:val="00DC4F92"/>
    <w:rsid w:val="00DC5128"/>
    <w:rsid w:val="00DC5516"/>
    <w:rsid w:val="00DC5826"/>
    <w:rsid w:val="00DD2546"/>
    <w:rsid w:val="00DD2C9D"/>
    <w:rsid w:val="00DD4FDB"/>
    <w:rsid w:val="00DE1609"/>
    <w:rsid w:val="00DE1745"/>
    <w:rsid w:val="00DE2B35"/>
    <w:rsid w:val="00DE2DA3"/>
    <w:rsid w:val="00DE43B7"/>
    <w:rsid w:val="00DF110A"/>
    <w:rsid w:val="00DF20E5"/>
    <w:rsid w:val="00DF3C3A"/>
    <w:rsid w:val="00DF4BE9"/>
    <w:rsid w:val="00DF7976"/>
    <w:rsid w:val="00E01BA1"/>
    <w:rsid w:val="00E03584"/>
    <w:rsid w:val="00E0491C"/>
    <w:rsid w:val="00E04CC5"/>
    <w:rsid w:val="00E04D85"/>
    <w:rsid w:val="00E04F3B"/>
    <w:rsid w:val="00E051C1"/>
    <w:rsid w:val="00E1019A"/>
    <w:rsid w:val="00E11A67"/>
    <w:rsid w:val="00E1366C"/>
    <w:rsid w:val="00E156CE"/>
    <w:rsid w:val="00E1652A"/>
    <w:rsid w:val="00E17154"/>
    <w:rsid w:val="00E17642"/>
    <w:rsid w:val="00E21513"/>
    <w:rsid w:val="00E26592"/>
    <w:rsid w:val="00E34F67"/>
    <w:rsid w:val="00E3788B"/>
    <w:rsid w:val="00E4016F"/>
    <w:rsid w:val="00E403AF"/>
    <w:rsid w:val="00E40F7C"/>
    <w:rsid w:val="00E4306B"/>
    <w:rsid w:val="00E465AC"/>
    <w:rsid w:val="00E501B9"/>
    <w:rsid w:val="00E50486"/>
    <w:rsid w:val="00E5115E"/>
    <w:rsid w:val="00E52083"/>
    <w:rsid w:val="00E52402"/>
    <w:rsid w:val="00E526DD"/>
    <w:rsid w:val="00E549BF"/>
    <w:rsid w:val="00E5522C"/>
    <w:rsid w:val="00E55B97"/>
    <w:rsid w:val="00E5650F"/>
    <w:rsid w:val="00E566CC"/>
    <w:rsid w:val="00E60543"/>
    <w:rsid w:val="00E62073"/>
    <w:rsid w:val="00E67F7E"/>
    <w:rsid w:val="00E702D7"/>
    <w:rsid w:val="00E73405"/>
    <w:rsid w:val="00E74873"/>
    <w:rsid w:val="00E75135"/>
    <w:rsid w:val="00E77F03"/>
    <w:rsid w:val="00E80A72"/>
    <w:rsid w:val="00E80A86"/>
    <w:rsid w:val="00E80C62"/>
    <w:rsid w:val="00E82068"/>
    <w:rsid w:val="00E83CBB"/>
    <w:rsid w:val="00E850ED"/>
    <w:rsid w:val="00E853F1"/>
    <w:rsid w:val="00E87789"/>
    <w:rsid w:val="00E90421"/>
    <w:rsid w:val="00E90A0B"/>
    <w:rsid w:val="00E90E6F"/>
    <w:rsid w:val="00E9217F"/>
    <w:rsid w:val="00E92F39"/>
    <w:rsid w:val="00E94EAF"/>
    <w:rsid w:val="00E96C56"/>
    <w:rsid w:val="00EA1ADB"/>
    <w:rsid w:val="00EA1B58"/>
    <w:rsid w:val="00EA2816"/>
    <w:rsid w:val="00EA586C"/>
    <w:rsid w:val="00EB1046"/>
    <w:rsid w:val="00EB11E5"/>
    <w:rsid w:val="00EB1BCC"/>
    <w:rsid w:val="00EB4D89"/>
    <w:rsid w:val="00EB682D"/>
    <w:rsid w:val="00EC1073"/>
    <w:rsid w:val="00EC3D4A"/>
    <w:rsid w:val="00EC4452"/>
    <w:rsid w:val="00EC5175"/>
    <w:rsid w:val="00EC658C"/>
    <w:rsid w:val="00EC6F70"/>
    <w:rsid w:val="00ED2C46"/>
    <w:rsid w:val="00ED4C1A"/>
    <w:rsid w:val="00ED7AF1"/>
    <w:rsid w:val="00EE2E7D"/>
    <w:rsid w:val="00EE3A13"/>
    <w:rsid w:val="00EE5764"/>
    <w:rsid w:val="00EE57DF"/>
    <w:rsid w:val="00EE580C"/>
    <w:rsid w:val="00EE6265"/>
    <w:rsid w:val="00EE69EC"/>
    <w:rsid w:val="00EE7136"/>
    <w:rsid w:val="00EF615A"/>
    <w:rsid w:val="00EF7C3B"/>
    <w:rsid w:val="00F00366"/>
    <w:rsid w:val="00F00F74"/>
    <w:rsid w:val="00F01432"/>
    <w:rsid w:val="00F02139"/>
    <w:rsid w:val="00F02E43"/>
    <w:rsid w:val="00F02E7D"/>
    <w:rsid w:val="00F034EB"/>
    <w:rsid w:val="00F0425A"/>
    <w:rsid w:val="00F04643"/>
    <w:rsid w:val="00F0592C"/>
    <w:rsid w:val="00F05EA9"/>
    <w:rsid w:val="00F06329"/>
    <w:rsid w:val="00F06332"/>
    <w:rsid w:val="00F0664F"/>
    <w:rsid w:val="00F06EF2"/>
    <w:rsid w:val="00F0713C"/>
    <w:rsid w:val="00F164EF"/>
    <w:rsid w:val="00F17135"/>
    <w:rsid w:val="00F174D9"/>
    <w:rsid w:val="00F17C32"/>
    <w:rsid w:val="00F201DB"/>
    <w:rsid w:val="00F20C17"/>
    <w:rsid w:val="00F21D97"/>
    <w:rsid w:val="00F24836"/>
    <w:rsid w:val="00F26E67"/>
    <w:rsid w:val="00F27BAE"/>
    <w:rsid w:val="00F27D05"/>
    <w:rsid w:val="00F30FBA"/>
    <w:rsid w:val="00F32D48"/>
    <w:rsid w:val="00F3595A"/>
    <w:rsid w:val="00F36C8E"/>
    <w:rsid w:val="00F415B5"/>
    <w:rsid w:val="00F43124"/>
    <w:rsid w:val="00F44E86"/>
    <w:rsid w:val="00F450DA"/>
    <w:rsid w:val="00F45FDA"/>
    <w:rsid w:val="00F46658"/>
    <w:rsid w:val="00F50AA5"/>
    <w:rsid w:val="00F512CE"/>
    <w:rsid w:val="00F53804"/>
    <w:rsid w:val="00F57DA4"/>
    <w:rsid w:val="00F60AE6"/>
    <w:rsid w:val="00F63A2E"/>
    <w:rsid w:val="00F64AA8"/>
    <w:rsid w:val="00F64C77"/>
    <w:rsid w:val="00F64E36"/>
    <w:rsid w:val="00F65154"/>
    <w:rsid w:val="00F67964"/>
    <w:rsid w:val="00F70DBB"/>
    <w:rsid w:val="00F72517"/>
    <w:rsid w:val="00F725BC"/>
    <w:rsid w:val="00F73093"/>
    <w:rsid w:val="00F77587"/>
    <w:rsid w:val="00F822DC"/>
    <w:rsid w:val="00F8571F"/>
    <w:rsid w:val="00F87EA0"/>
    <w:rsid w:val="00F901EA"/>
    <w:rsid w:val="00F910CF"/>
    <w:rsid w:val="00F91792"/>
    <w:rsid w:val="00F92791"/>
    <w:rsid w:val="00F92880"/>
    <w:rsid w:val="00F95CB4"/>
    <w:rsid w:val="00FA199A"/>
    <w:rsid w:val="00FA1DAC"/>
    <w:rsid w:val="00FA21ED"/>
    <w:rsid w:val="00FA23F5"/>
    <w:rsid w:val="00FA3644"/>
    <w:rsid w:val="00FA40FC"/>
    <w:rsid w:val="00FA5722"/>
    <w:rsid w:val="00FA7DB3"/>
    <w:rsid w:val="00FA7F93"/>
    <w:rsid w:val="00FB0295"/>
    <w:rsid w:val="00FB3D0C"/>
    <w:rsid w:val="00FB4116"/>
    <w:rsid w:val="00FB4575"/>
    <w:rsid w:val="00FB5A8D"/>
    <w:rsid w:val="00FB6DC1"/>
    <w:rsid w:val="00FC0A1B"/>
    <w:rsid w:val="00FC14C8"/>
    <w:rsid w:val="00FC32C6"/>
    <w:rsid w:val="00FC7BEE"/>
    <w:rsid w:val="00FD03CF"/>
    <w:rsid w:val="00FD180F"/>
    <w:rsid w:val="00FD1B74"/>
    <w:rsid w:val="00FD21CE"/>
    <w:rsid w:val="00FD61C1"/>
    <w:rsid w:val="00FE2D05"/>
    <w:rsid w:val="00FE4ABE"/>
    <w:rsid w:val="00FF075E"/>
    <w:rsid w:val="00FF2EA7"/>
    <w:rsid w:val="00FF3CB5"/>
    <w:rsid w:val="00FF5EF6"/>
    <w:rsid w:val="00FF65AB"/>
    <w:rsid w:val="00FF695C"/>
    <w:rsid w:val="00FF6FA1"/>
    <w:rsid w:val="00FF7BBF"/>
    <w:rsid w:val="017D70AA"/>
    <w:rsid w:val="01DC5CD7"/>
    <w:rsid w:val="01E54011"/>
    <w:rsid w:val="02327EB0"/>
    <w:rsid w:val="0286102B"/>
    <w:rsid w:val="029B3EC3"/>
    <w:rsid w:val="032D520A"/>
    <w:rsid w:val="03434E11"/>
    <w:rsid w:val="036E1F14"/>
    <w:rsid w:val="039929F6"/>
    <w:rsid w:val="03BE0601"/>
    <w:rsid w:val="04004B9B"/>
    <w:rsid w:val="047B254B"/>
    <w:rsid w:val="04D621A7"/>
    <w:rsid w:val="04E916E1"/>
    <w:rsid w:val="059802DA"/>
    <w:rsid w:val="05D3680F"/>
    <w:rsid w:val="05E671ED"/>
    <w:rsid w:val="06015FA4"/>
    <w:rsid w:val="06116B6A"/>
    <w:rsid w:val="06383D6E"/>
    <w:rsid w:val="0678121F"/>
    <w:rsid w:val="069B1899"/>
    <w:rsid w:val="06AD789A"/>
    <w:rsid w:val="06BE2395"/>
    <w:rsid w:val="073622CE"/>
    <w:rsid w:val="07744480"/>
    <w:rsid w:val="07785580"/>
    <w:rsid w:val="0778634D"/>
    <w:rsid w:val="07F01E67"/>
    <w:rsid w:val="081332EF"/>
    <w:rsid w:val="084C45C7"/>
    <w:rsid w:val="086F5372"/>
    <w:rsid w:val="08C8210C"/>
    <w:rsid w:val="096F1AF4"/>
    <w:rsid w:val="09941B5D"/>
    <w:rsid w:val="09A74D02"/>
    <w:rsid w:val="09BD3D23"/>
    <w:rsid w:val="09D30647"/>
    <w:rsid w:val="0A1638E8"/>
    <w:rsid w:val="0A656154"/>
    <w:rsid w:val="0A805AD6"/>
    <w:rsid w:val="0AAA14F6"/>
    <w:rsid w:val="0B4D01D2"/>
    <w:rsid w:val="0B5C212B"/>
    <w:rsid w:val="0B8348CE"/>
    <w:rsid w:val="0BA86BC4"/>
    <w:rsid w:val="0C1045C0"/>
    <w:rsid w:val="0C4B0B23"/>
    <w:rsid w:val="0C9A5D8A"/>
    <w:rsid w:val="0CC7761A"/>
    <w:rsid w:val="0D8166C8"/>
    <w:rsid w:val="0DB20706"/>
    <w:rsid w:val="0DDC3D57"/>
    <w:rsid w:val="0DF44CD2"/>
    <w:rsid w:val="0DFA4D37"/>
    <w:rsid w:val="0DFE13AC"/>
    <w:rsid w:val="0E176F81"/>
    <w:rsid w:val="0E281E3F"/>
    <w:rsid w:val="0E2A7E0E"/>
    <w:rsid w:val="0E306240"/>
    <w:rsid w:val="0E307CA7"/>
    <w:rsid w:val="0E5F7014"/>
    <w:rsid w:val="0E733A7D"/>
    <w:rsid w:val="0F3A7390"/>
    <w:rsid w:val="0F4447B7"/>
    <w:rsid w:val="0F491CBC"/>
    <w:rsid w:val="0F7C4EDA"/>
    <w:rsid w:val="0FBD66E7"/>
    <w:rsid w:val="0FE42786"/>
    <w:rsid w:val="0FE73E2A"/>
    <w:rsid w:val="0FF33C7A"/>
    <w:rsid w:val="10057864"/>
    <w:rsid w:val="10182D46"/>
    <w:rsid w:val="10381755"/>
    <w:rsid w:val="104759B4"/>
    <w:rsid w:val="10B36929"/>
    <w:rsid w:val="10C864C5"/>
    <w:rsid w:val="10E7790B"/>
    <w:rsid w:val="11006C1A"/>
    <w:rsid w:val="110421B0"/>
    <w:rsid w:val="119D071D"/>
    <w:rsid w:val="11A31EAB"/>
    <w:rsid w:val="11C33004"/>
    <w:rsid w:val="11F27C7E"/>
    <w:rsid w:val="11F44937"/>
    <w:rsid w:val="12321E25"/>
    <w:rsid w:val="12624724"/>
    <w:rsid w:val="12AA26C5"/>
    <w:rsid w:val="12D82E9E"/>
    <w:rsid w:val="1382404C"/>
    <w:rsid w:val="138B3D7F"/>
    <w:rsid w:val="13BB0AAE"/>
    <w:rsid w:val="13D03E6A"/>
    <w:rsid w:val="13EB798E"/>
    <w:rsid w:val="140E476D"/>
    <w:rsid w:val="14A2288E"/>
    <w:rsid w:val="14D0327D"/>
    <w:rsid w:val="150E6DB5"/>
    <w:rsid w:val="15447C36"/>
    <w:rsid w:val="15A53FC4"/>
    <w:rsid w:val="15DD1B42"/>
    <w:rsid w:val="15EA7F0B"/>
    <w:rsid w:val="15EF3A8C"/>
    <w:rsid w:val="16010E66"/>
    <w:rsid w:val="168D262C"/>
    <w:rsid w:val="16B36B2A"/>
    <w:rsid w:val="17550796"/>
    <w:rsid w:val="175E3FE0"/>
    <w:rsid w:val="18B60B37"/>
    <w:rsid w:val="18BE6C4C"/>
    <w:rsid w:val="194F63B7"/>
    <w:rsid w:val="195010D2"/>
    <w:rsid w:val="19611161"/>
    <w:rsid w:val="199C6553"/>
    <w:rsid w:val="19C05386"/>
    <w:rsid w:val="1A040ABE"/>
    <w:rsid w:val="1A5954DE"/>
    <w:rsid w:val="1A9174C1"/>
    <w:rsid w:val="1AB37DE9"/>
    <w:rsid w:val="1B772EAC"/>
    <w:rsid w:val="1B78236F"/>
    <w:rsid w:val="1C332236"/>
    <w:rsid w:val="1CD14ADD"/>
    <w:rsid w:val="1CF80078"/>
    <w:rsid w:val="1D2473A9"/>
    <w:rsid w:val="1D681173"/>
    <w:rsid w:val="1DC701CF"/>
    <w:rsid w:val="1DF75451"/>
    <w:rsid w:val="1E6047C4"/>
    <w:rsid w:val="1E984162"/>
    <w:rsid w:val="1EA5410C"/>
    <w:rsid w:val="1EC74376"/>
    <w:rsid w:val="1F154F65"/>
    <w:rsid w:val="1F6B17AF"/>
    <w:rsid w:val="1FAA454E"/>
    <w:rsid w:val="1FE21BB2"/>
    <w:rsid w:val="202545B3"/>
    <w:rsid w:val="210F64F7"/>
    <w:rsid w:val="21B76C10"/>
    <w:rsid w:val="2212326E"/>
    <w:rsid w:val="225C6DFA"/>
    <w:rsid w:val="228C6387"/>
    <w:rsid w:val="22B50533"/>
    <w:rsid w:val="22B903BA"/>
    <w:rsid w:val="2331123D"/>
    <w:rsid w:val="23E65FA0"/>
    <w:rsid w:val="24BA2E07"/>
    <w:rsid w:val="24C21011"/>
    <w:rsid w:val="24F220B7"/>
    <w:rsid w:val="25373FF0"/>
    <w:rsid w:val="253D4758"/>
    <w:rsid w:val="25554410"/>
    <w:rsid w:val="25721D2E"/>
    <w:rsid w:val="258B73F1"/>
    <w:rsid w:val="25A27537"/>
    <w:rsid w:val="25DB6178"/>
    <w:rsid w:val="25E73D51"/>
    <w:rsid w:val="26024524"/>
    <w:rsid w:val="2652387B"/>
    <w:rsid w:val="26E90A2C"/>
    <w:rsid w:val="270A063B"/>
    <w:rsid w:val="274549EB"/>
    <w:rsid w:val="27843D22"/>
    <w:rsid w:val="27DD774E"/>
    <w:rsid w:val="27DE444C"/>
    <w:rsid w:val="2809638C"/>
    <w:rsid w:val="28331C90"/>
    <w:rsid w:val="2868515C"/>
    <w:rsid w:val="28687B84"/>
    <w:rsid w:val="2896575B"/>
    <w:rsid w:val="28C171E5"/>
    <w:rsid w:val="28DD2D85"/>
    <w:rsid w:val="292A080F"/>
    <w:rsid w:val="29B0670D"/>
    <w:rsid w:val="29CA6CCB"/>
    <w:rsid w:val="2A0A1E1D"/>
    <w:rsid w:val="2A1D7144"/>
    <w:rsid w:val="2A447AC7"/>
    <w:rsid w:val="2A8105AE"/>
    <w:rsid w:val="2A9A70DC"/>
    <w:rsid w:val="2ABF0607"/>
    <w:rsid w:val="2ACA4D3F"/>
    <w:rsid w:val="2AD05502"/>
    <w:rsid w:val="2B1405A8"/>
    <w:rsid w:val="2B2F1B83"/>
    <w:rsid w:val="2B5444B7"/>
    <w:rsid w:val="2B5476FF"/>
    <w:rsid w:val="2B5741B9"/>
    <w:rsid w:val="2B5928C0"/>
    <w:rsid w:val="2B9D64A6"/>
    <w:rsid w:val="2BF40D64"/>
    <w:rsid w:val="2C32206C"/>
    <w:rsid w:val="2C641846"/>
    <w:rsid w:val="2C936EAD"/>
    <w:rsid w:val="2CA25A9F"/>
    <w:rsid w:val="2CA91033"/>
    <w:rsid w:val="2CE52AE9"/>
    <w:rsid w:val="2D433633"/>
    <w:rsid w:val="2D86616D"/>
    <w:rsid w:val="2DC642F0"/>
    <w:rsid w:val="2DF700A4"/>
    <w:rsid w:val="2E1366FD"/>
    <w:rsid w:val="2E251215"/>
    <w:rsid w:val="2EC65AEA"/>
    <w:rsid w:val="2F074A5A"/>
    <w:rsid w:val="2F175535"/>
    <w:rsid w:val="2F1C097E"/>
    <w:rsid w:val="2F751198"/>
    <w:rsid w:val="2FED5E48"/>
    <w:rsid w:val="300424F5"/>
    <w:rsid w:val="30142A9E"/>
    <w:rsid w:val="3117126D"/>
    <w:rsid w:val="31931287"/>
    <w:rsid w:val="31CF0DE5"/>
    <w:rsid w:val="32F7375F"/>
    <w:rsid w:val="32F87BCE"/>
    <w:rsid w:val="32FC0C79"/>
    <w:rsid w:val="33290641"/>
    <w:rsid w:val="333D40D1"/>
    <w:rsid w:val="33474388"/>
    <w:rsid w:val="33544108"/>
    <w:rsid w:val="337455CC"/>
    <w:rsid w:val="342616C1"/>
    <w:rsid w:val="344667CD"/>
    <w:rsid w:val="345A36F4"/>
    <w:rsid w:val="34CB151F"/>
    <w:rsid w:val="35362B57"/>
    <w:rsid w:val="35521657"/>
    <w:rsid w:val="359D1262"/>
    <w:rsid w:val="35E03544"/>
    <w:rsid w:val="36E23C26"/>
    <w:rsid w:val="36E30797"/>
    <w:rsid w:val="36E656C2"/>
    <w:rsid w:val="372C6B8E"/>
    <w:rsid w:val="376357C2"/>
    <w:rsid w:val="3784002E"/>
    <w:rsid w:val="37FF0640"/>
    <w:rsid w:val="380945CE"/>
    <w:rsid w:val="38313DFA"/>
    <w:rsid w:val="384252A6"/>
    <w:rsid w:val="38B75520"/>
    <w:rsid w:val="38DA37B5"/>
    <w:rsid w:val="39162FF3"/>
    <w:rsid w:val="392B78C9"/>
    <w:rsid w:val="399E2D8A"/>
    <w:rsid w:val="39BA753F"/>
    <w:rsid w:val="39EA6FB7"/>
    <w:rsid w:val="3A4C25A6"/>
    <w:rsid w:val="3B10348B"/>
    <w:rsid w:val="3B1B500E"/>
    <w:rsid w:val="3B3C7653"/>
    <w:rsid w:val="3B507306"/>
    <w:rsid w:val="3B5B7915"/>
    <w:rsid w:val="3B656C6E"/>
    <w:rsid w:val="3BAE2B86"/>
    <w:rsid w:val="3BEA5197"/>
    <w:rsid w:val="3D4929C5"/>
    <w:rsid w:val="3D6815C1"/>
    <w:rsid w:val="3D775DA1"/>
    <w:rsid w:val="3E2111C5"/>
    <w:rsid w:val="3E3B3E1C"/>
    <w:rsid w:val="3E463D30"/>
    <w:rsid w:val="3E974937"/>
    <w:rsid w:val="3EA863F9"/>
    <w:rsid w:val="3F696D08"/>
    <w:rsid w:val="3F737069"/>
    <w:rsid w:val="3F956720"/>
    <w:rsid w:val="401A4537"/>
    <w:rsid w:val="404A0A49"/>
    <w:rsid w:val="40523778"/>
    <w:rsid w:val="40EA6C3A"/>
    <w:rsid w:val="40F35142"/>
    <w:rsid w:val="40F6506E"/>
    <w:rsid w:val="41556435"/>
    <w:rsid w:val="41694BBC"/>
    <w:rsid w:val="416C0A03"/>
    <w:rsid w:val="416C7C40"/>
    <w:rsid w:val="41C32B55"/>
    <w:rsid w:val="41F32F3E"/>
    <w:rsid w:val="420059B4"/>
    <w:rsid w:val="428B2DD3"/>
    <w:rsid w:val="4299478E"/>
    <w:rsid w:val="432B4414"/>
    <w:rsid w:val="43AC2A54"/>
    <w:rsid w:val="43C84DCA"/>
    <w:rsid w:val="43DD0296"/>
    <w:rsid w:val="44163043"/>
    <w:rsid w:val="456348F9"/>
    <w:rsid w:val="459601E9"/>
    <w:rsid w:val="45CF3A9B"/>
    <w:rsid w:val="45E056E7"/>
    <w:rsid w:val="466E13AD"/>
    <w:rsid w:val="468654F0"/>
    <w:rsid w:val="46B26844"/>
    <w:rsid w:val="46CF6CD9"/>
    <w:rsid w:val="47144820"/>
    <w:rsid w:val="472E7B56"/>
    <w:rsid w:val="47617C50"/>
    <w:rsid w:val="476D1E7D"/>
    <w:rsid w:val="476E2990"/>
    <w:rsid w:val="47727EC6"/>
    <w:rsid w:val="48150FE8"/>
    <w:rsid w:val="48320B1C"/>
    <w:rsid w:val="486779E6"/>
    <w:rsid w:val="487C06BD"/>
    <w:rsid w:val="487E0056"/>
    <w:rsid w:val="48995714"/>
    <w:rsid w:val="489D0976"/>
    <w:rsid w:val="48AE6E22"/>
    <w:rsid w:val="49122705"/>
    <w:rsid w:val="493A2231"/>
    <w:rsid w:val="49454D19"/>
    <w:rsid w:val="49A31FBB"/>
    <w:rsid w:val="49AA6345"/>
    <w:rsid w:val="49EB6604"/>
    <w:rsid w:val="49F05546"/>
    <w:rsid w:val="49FD2654"/>
    <w:rsid w:val="4A2E06E8"/>
    <w:rsid w:val="4A5F24EF"/>
    <w:rsid w:val="4A8129B8"/>
    <w:rsid w:val="4AE74CAC"/>
    <w:rsid w:val="4B597E02"/>
    <w:rsid w:val="4BE46D9F"/>
    <w:rsid w:val="4BEA53B7"/>
    <w:rsid w:val="4C0F230E"/>
    <w:rsid w:val="4C4B2292"/>
    <w:rsid w:val="4C9036C9"/>
    <w:rsid w:val="4CCD6AB1"/>
    <w:rsid w:val="4D842541"/>
    <w:rsid w:val="4DE62E29"/>
    <w:rsid w:val="4E506145"/>
    <w:rsid w:val="4E8D617E"/>
    <w:rsid w:val="4ED77522"/>
    <w:rsid w:val="4EE26478"/>
    <w:rsid w:val="4F0A3D49"/>
    <w:rsid w:val="4F17094F"/>
    <w:rsid w:val="4F3303B5"/>
    <w:rsid w:val="4FD83304"/>
    <w:rsid w:val="50145CA8"/>
    <w:rsid w:val="502041E0"/>
    <w:rsid w:val="50236BD5"/>
    <w:rsid w:val="50253FDE"/>
    <w:rsid w:val="502C7872"/>
    <w:rsid w:val="503F3ADE"/>
    <w:rsid w:val="50FB58D1"/>
    <w:rsid w:val="51066A62"/>
    <w:rsid w:val="51087477"/>
    <w:rsid w:val="51490147"/>
    <w:rsid w:val="51766282"/>
    <w:rsid w:val="51776D9C"/>
    <w:rsid w:val="5194712D"/>
    <w:rsid w:val="5197066A"/>
    <w:rsid w:val="51993A9D"/>
    <w:rsid w:val="51BB2F88"/>
    <w:rsid w:val="51F8470B"/>
    <w:rsid w:val="52083C00"/>
    <w:rsid w:val="526478C2"/>
    <w:rsid w:val="52B10C34"/>
    <w:rsid w:val="52CA7DDF"/>
    <w:rsid w:val="52E36BCC"/>
    <w:rsid w:val="530F6B87"/>
    <w:rsid w:val="531710E2"/>
    <w:rsid w:val="53211301"/>
    <w:rsid w:val="535C4A14"/>
    <w:rsid w:val="53D86D1D"/>
    <w:rsid w:val="53E40D21"/>
    <w:rsid w:val="53EB3BAB"/>
    <w:rsid w:val="53EF5224"/>
    <w:rsid w:val="55153B32"/>
    <w:rsid w:val="55185B16"/>
    <w:rsid w:val="557B6A47"/>
    <w:rsid w:val="565B6CA7"/>
    <w:rsid w:val="56AB6108"/>
    <w:rsid w:val="57E2026E"/>
    <w:rsid w:val="580C4B54"/>
    <w:rsid w:val="58837B92"/>
    <w:rsid w:val="589D2AD0"/>
    <w:rsid w:val="5940721C"/>
    <w:rsid w:val="594B447B"/>
    <w:rsid w:val="59735432"/>
    <w:rsid w:val="59A718D4"/>
    <w:rsid w:val="59B36F51"/>
    <w:rsid w:val="59CA6718"/>
    <w:rsid w:val="5A1B410F"/>
    <w:rsid w:val="5A6579EC"/>
    <w:rsid w:val="5A7409C5"/>
    <w:rsid w:val="5AA13A6F"/>
    <w:rsid w:val="5ABF05E3"/>
    <w:rsid w:val="5AC93495"/>
    <w:rsid w:val="5AEA6AA7"/>
    <w:rsid w:val="5AF3237E"/>
    <w:rsid w:val="5BCF38DA"/>
    <w:rsid w:val="5BDF2CEF"/>
    <w:rsid w:val="5BEE5163"/>
    <w:rsid w:val="5BF26303"/>
    <w:rsid w:val="5C4D5CC6"/>
    <w:rsid w:val="5CD61FCB"/>
    <w:rsid w:val="5D483CB4"/>
    <w:rsid w:val="5D632D4F"/>
    <w:rsid w:val="5D9705E3"/>
    <w:rsid w:val="5DD431C7"/>
    <w:rsid w:val="5E007E1D"/>
    <w:rsid w:val="5E0833B8"/>
    <w:rsid w:val="5E0B10A0"/>
    <w:rsid w:val="5F0B2ADD"/>
    <w:rsid w:val="5F254B83"/>
    <w:rsid w:val="5F48601F"/>
    <w:rsid w:val="5F957CC2"/>
    <w:rsid w:val="5FDD0361"/>
    <w:rsid w:val="604F6CBA"/>
    <w:rsid w:val="607C2BC2"/>
    <w:rsid w:val="608C5240"/>
    <w:rsid w:val="612231F1"/>
    <w:rsid w:val="61600435"/>
    <w:rsid w:val="61F3561F"/>
    <w:rsid w:val="61F405F4"/>
    <w:rsid w:val="6213545C"/>
    <w:rsid w:val="6250018E"/>
    <w:rsid w:val="627E2469"/>
    <w:rsid w:val="629C64A2"/>
    <w:rsid w:val="62E5558E"/>
    <w:rsid w:val="630A111C"/>
    <w:rsid w:val="634B7852"/>
    <w:rsid w:val="635B7892"/>
    <w:rsid w:val="6362351E"/>
    <w:rsid w:val="639A6E5C"/>
    <w:rsid w:val="63B95F24"/>
    <w:rsid w:val="642B4115"/>
    <w:rsid w:val="64F87F0A"/>
    <w:rsid w:val="653E6A76"/>
    <w:rsid w:val="657E1C37"/>
    <w:rsid w:val="658B2EE8"/>
    <w:rsid w:val="66175FB2"/>
    <w:rsid w:val="66DE32FF"/>
    <w:rsid w:val="66E047CA"/>
    <w:rsid w:val="66F109AC"/>
    <w:rsid w:val="67397E74"/>
    <w:rsid w:val="67896FA8"/>
    <w:rsid w:val="67E94050"/>
    <w:rsid w:val="67FD295F"/>
    <w:rsid w:val="682B6101"/>
    <w:rsid w:val="684E1B02"/>
    <w:rsid w:val="68886178"/>
    <w:rsid w:val="68925F43"/>
    <w:rsid w:val="68A9514A"/>
    <w:rsid w:val="68B01CEC"/>
    <w:rsid w:val="68EB1429"/>
    <w:rsid w:val="69140D76"/>
    <w:rsid w:val="693B292D"/>
    <w:rsid w:val="695A3E1E"/>
    <w:rsid w:val="696A2546"/>
    <w:rsid w:val="698F21EB"/>
    <w:rsid w:val="69941A17"/>
    <w:rsid w:val="6A1225AF"/>
    <w:rsid w:val="6A37147C"/>
    <w:rsid w:val="6A523844"/>
    <w:rsid w:val="6A6A5189"/>
    <w:rsid w:val="6A6D168B"/>
    <w:rsid w:val="6AA127C3"/>
    <w:rsid w:val="6B873C60"/>
    <w:rsid w:val="6B8C5308"/>
    <w:rsid w:val="6BA14ABD"/>
    <w:rsid w:val="6BB400A5"/>
    <w:rsid w:val="6BE94E59"/>
    <w:rsid w:val="6C0865EC"/>
    <w:rsid w:val="6C144EAB"/>
    <w:rsid w:val="6C29584B"/>
    <w:rsid w:val="6C4A6068"/>
    <w:rsid w:val="6C6A479A"/>
    <w:rsid w:val="6C6F1975"/>
    <w:rsid w:val="6C764344"/>
    <w:rsid w:val="6C8A1370"/>
    <w:rsid w:val="6CB862CB"/>
    <w:rsid w:val="6CC7263C"/>
    <w:rsid w:val="6D2A6D46"/>
    <w:rsid w:val="6D5E0AEB"/>
    <w:rsid w:val="6DB54071"/>
    <w:rsid w:val="6DBE4530"/>
    <w:rsid w:val="6DCF428D"/>
    <w:rsid w:val="6E69161C"/>
    <w:rsid w:val="6E7B4E4C"/>
    <w:rsid w:val="6E9A3B5C"/>
    <w:rsid w:val="6EB9145A"/>
    <w:rsid w:val="6ECF29F8"/>
    <w:rsid w:val="6F3F7BBA"/>
    <w:rsid w:val="6F430E6D"/>
    <w:rsid w:val="6F5E3227"/>
    <w:rsid w:val="6F811464"/>
    <w:rsid w:val="6FA219C8"/>
    <w:rsid w:val="6FCC323E"/>
    <w:rsid w:val="6FEB6BCA"/>
    <w:rsid w:val="70596D46"/>
    <w:rsid w:val="710069A1"/>
    <w:rsid w:val="712B5ECF"/>
    <w:rsid w:val="712F7C8E"/>
    <w:rsid w:val="71632312"/>
    <w:rsid w:val="71986F0B"/>
    <w:rsid w:val="71AE37B9"/>
    <w:rsid w:val="71B10A10"/>
    <w:rsid w:val="71DD7E6D"/>
    <w:rsid w:val="72582949"/>
    <w:rsid w:val="72720ABC"/>
    <w:rsid w:val="728118D1"/>
    <w:rsid w:val="73BF01D8"/>
    <w:rsid w:val="73C43BBE"/>
    <w:rsid w:val="73D56B1D"/>
    <w:rsid w:val="73E372B6"/>
    <w:rsid w:val="743C6255"/>
    <w:rsid w:val="745C2C3D"/>
    <w:rsid w:val="74AA2AE9"/>
    <w:rsid w:val="74AC1CD3"/>
    <w:rsid w:val="7505206C"/>
    <w:rsid w:val="751339CC"/>
    <w:rsid w:val="75574AA6"/>
    <w:rsid w:val="75B252A7"/>
    <w:rsid w:val="75C311CF"/>
    <w:rsid w:val="75D716B8"/>
    <w:rsid w:val="75FF1713"/>
    <w:rsid w:val="762028DD"/>
    <w:rsid w:val="764300D0"/>
    <w:rsid w:val="76BB6B08"/>
    <w:rsid w:val="76D0719D"/>
    <w:rsid w:val="770423F1"/>
    <w:rsid w:val="771603FE"/>
    <w:rsid w:val="77175773"/>
    <w:rsid w:val="77843362"/>
    <w:rsid w:val="778C7F43"/>
    <w:rsid w:val="77CE462A"/>
    <w:rsid w:val="77E54C0D"/>
    <w:rsid w:val="78034696"/>
    <w:rsid w:val="786337F7"/>
    <w:rsid w:val="788E69D5"/>
    <w:rsid w:val="78F533F1"/>
    <w:rsid w:val="790D205C"/>
    <w:rsid w:val="799661E2"/>
    <w:rsid w:val="7A93531C"/>
    <w:rsid w:val="7A9D0CE8"/>
    <w:rsid w:val="7ABF0D85"/>
    <w:rsid w:val="7AC34006"/>
    <w:rsid w:val="7AD428BF"/>
    <w:rsid w:val="7B2150F5"/>
    <w:rsid w:val="7B452B21"/>
    <w:rsid w:val="7B896BAD"/>
    <w:rsid w:val="7C21680D"/>
    <w:rsid w:val="7C4C3C08"/>
    <w:rsid w:val="7C604083"/>
    <w:rsid w:val="7CE26AB7"/>
    <w:rsid w:val="7D597DAF"/>
    <w:rsid w:val="7D8619A5"/>
    <w:rsid w:val="7DD25A73"/>
    <w:rsid w:val="7DE76132"/>
    <w:rsid w:val="7E5E6FED"/>
    <w:rsid w:val="7EA31145"/>
    <w:rsid w:val="7EAC308E"/>
    <w:rsid w:val="7F045EEC"/>
    <w:rsid w:val="7F742C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qFormat="1" w:uiPriority="99"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iPriority="0" w:semiHidden="0" w:name="List"/>
    <w:lsdException w:qFormat="1" w:uiPriority="99" w:semiHidden="0" w:name="List Bullet"/>
    <w:lsdException w:qFormat="1" w:uiPriority="99"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qFormat="1" w:uiPriority="99"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qFormat="1" w:unhideWhenUsed="0" w:uiPriority="0" w:semiHidden="0" w:name="Table Colorful 1"/>
    <w:lsdException w:qFormat="1"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4"/>
    <w:next w:val="1"/>
    <w:link w:val="157"/>
    <w:qFormat/>
    <w:uiPriority w:val="0"/>
    <w:pPr>
      <w:keepNext/>
      <w:keepLines/>
      <w:widowControl w:val="0"/>
      <w:numPr>
        <w:ilvl w:val="0"/>
        <w:numId w:val="1"/>
      </w:numPr>
      <w:adjustRightInd w:val="0"/>
      <w:spacing w:before="340" w:after="330" w:line="578" w:lineRule="atLeast"/>
      <w:textAlignment w:val="baseline"/>
      <w:outlineLvl w:val="0"/>
    </w:pPr>
    <w:rPr>
      <w:rFonts w:ascii="黑体" w:eastAsia="黑体"/>
      <w:b/>
      <w:spacing w:val="-20"/>
      <w:kern w:val="44"/>
      <w:sz w:val="44"/>
      <w:szCs w:val="20"/>
    </w:rPr>
  </w:style>
  <w:style w:type="paragraph" w:styleId="5">
    <w:name w:val="heading 2"/>
    <w:basedOn w:val="1"/>
    <w:next w:val="1"/>
    <w:link w:val="153"/>
    <w:qFormat/>
    <w:uiPriority w:val="0"/>
    <w:pPr>
      <w:keepNext/>
      <w:keepLines/>
      <w:numPr>
        <w:ilvl w:val="1"/>
        <w:numId w:val="1"/>
      </w:numPr>
      <w:spacing w:before="260" w:after="260" w:line="416" w:lineRule="auto"/>
      <w:outlineLvl w:val="1"/>
    </w:pPr>
    <w:rPr>
      <w:rFonts w:eastAsia="黑体"/>
      <w:b/>
      <w:bCs/>
      <w:sz w:val="32"/>
      <w:szCs w:val="32"/>
    </w:rPr>
  </w:style>
  <w:style w:type="paragraph" w:styleId="6">
    <w:name w:val="heading 3"/>
    <w:basedOn w:val="4"/>
    <w:next w:val="1"/>
    <w:link w:val="151"/>
    <w:qFormat/>
    <w:uiPriority w:val="0"/>
    <w:pPr>
      <w:keepNext/>
      <w:keepLines/>
      <w:widowControl w:val="0"/>
      <w:numPr>
        <w:ilvl w:val="2"/>
        <w:numId w:val="1"/>
      </w:numPr>
      <w:wordWrap w:val="0"/>
      <w:overflowPunct w:val="0"/>
      <w:autoSpaceDE w:val="0"/>
      <w:autoSpaceDN w:val="0"/>
      <w:adjustRightInd w:val="0"/>
      <w:spacing w:before="260" w:after="260"/>
      <w:textAlignment w:val="baseline"/>
      <w:outlineLvl w:val="2"/>
    </w:pPr>
    <w:rPr>
      <w:rFonts w:eastAsia="黑体"/>
      <w:sz w:val="28"/>
      <w:szCs w:val="20"/>
    </w:rPr>
  </w:style>
  <w:style w:type="paragraph" w:styleId="7">
    <w:name w:val="heading 4"/>
    <w:basedOn w:val="1"/>
    <w:next w:val="1"/>
    <w:link w:val="161"/>
    <w:qFormat/>
    <w:uiPriority w:val="0"/>
    <w:pPr>
      <w:keepNext/>
      <w:keepLines/>
      <w:widowControl w:val="0"/>
      <w:numPr>
        <w:ilvl w:val="3"/>
        <w:numId w:val="1"/>
      </w:numPr>
      <w:adjustRightInd w:val="0"/>
      <w:spacing w:before="280" w:after="290" w:line="376" w:lineRule="atLeast"/>
      <w:textAlignment w:val="baseline"/>
      <w:outlineLvl w:val="3"/>
    </w:pPr>
    <w:rPr>
      <w:rFonts w:ascii="Arial" w:hAnsi="Arial" w:eastAsia="黑体"/>
      <w:b/>
      <w:spacing w:val="-20"/>
      <w:sz w:val="28"/>
      <w:szCs w:val="20"/>
    </w:rPr>
  </w:style>
  <w:style w:type="paragraph" w:styleId="8">
    <w:name w:val="heading 5"/>
    <w:basedOn w:val="1"/>
    <w:next w:val="1"/>
    <w:link w:val="261"/>
    <w:qFormat/>
    <w:uiPriority w:val="0"/>
    <w:pPr>
      <w:keepNext/>
      <w:keepLines/>
      <w:widowControl w:val="0"/>
      <w:numPr>
        <w:ilvl w:val="4"/>
        <w:numId w:val="1"/>
      </w:numPr>
      <w:adjustRightInd w:val="0"/>
      <w:spacing w:before="280" w:after="290" w:line="376" w:lineRule="atLeast"/>
      <w:textAlignment w:val="baseline"/>
      <w:outlineLvl w:val="4"/>
    </w:pPr>
    <w:rPr>
      <w:rFonts w:ascii="黑体" w:eastAsia="黑体"/>
      <w:b/>
      <w:spacing w:val="-20"/>
      <w:sz w:val="28"/>
      <w:szCs w:val="20"/>
    </w:rPr>
  </w:style>
  <w:style w:type="paragraph" w:styleId="9">
    <w:name w:val="heading 6"/>
    <w:basedOn w:val="1"/>
    <w:next w:val="1"/>
    <w:link w:val="262"/>
    <w:qFormat/>
    <w:uiPriority w:val="0"/>
    <w:pPr>
      <w:keepNext/>
      <w:keepLines/>
      <w:widowControl w:val="0"/>
      <w:tabs>
        <w:tab w:val="left" w:pos="1134"/>
      </w:tabs>
      <w:adjustRightInd w:val="0"/>
      <w:spacing w:before="240" w:after="64" w:line="320" w:lineRule="atLeast"/>
      <w:ind w:left="1134" w:hanging="1134"/>
      <w:textAlignment w:val="baseline"/>
      <w:outlineLvl w:val="5"/>
    </w:pPr>
    <w:rPr>
      <w:rFonts w:ascii="Arial" w:hAnsi="Arial" w:eastAsia="黑体"/>
      <w:b/>
      <w:spacing w:val="-20"/>
      <w:szCs w:val="20"/>
    </w:rPr>
  </w:style>
  <w:style w:type="paragraph" w:styleId="10">
    <w:name w:val="heading 7"/>
    <w:basedOn w:val="1"/>
    <w:next w:val="1"/>
    <w:link w:val="263"/>
    <w:qFormat/>
    <w:uiPriority w:val="9"/>
    <w:pPr>
      <w:keepNext/>
      <w:keepLines/>
      <w:widowControl w:val="0"/>
      <w:numPr>
        <w:ilvl w:val="6"/>
        <w:numId w:val="1"/>
      </w:numPr>
      <w:adjustRightInd w:val="0"/>
      <w:spacing w:before="240" w:after="64" w:line="320" w:lineRule="atLeast"/>
      <w:textAlignment w:val="baseline"/>
      <w:outlineLvl w:val="6"/>
    </w:pPr>
    <w:rPr>
      <w:rFonts w:ascii="黑体" w:eastAsia="黑体"/>
      <w:b/>
      <w:spacing w:val="-20"/>
      <w:szCs w:val="20"/>
    </w:rPr>
  </w:style>
  <w:style w:type="paragraph" w:styleId="11">
    <w:name w:val="heading 8"/>
    <w:basedOn w:val="1"/>
    <w:next w:val="1"/>
    <w:link w:val="264"/>
    <w:qFormat/>
    <w:uiPriority w:val="9"/>
    <w:pPr>
      <w:keepNext/>
      <w:keepLines/>
      <w:widowControl w:val="0"/>
      <w:numPr>
        <w:ilvl w:val="7"/>
        <w:numId w:val="1"/>
      </w:numPr>
      <w:adjustRightInd w:val="0"/>
      <w:spacing w:before="240" w:after="64" w:line="320" w:lineRule="atLeast"/>
      <w:textAlignment w:val="baseline"/>
      <w:outlineLvl w:val="7"/>
    </w:pPr>
    <w:rPr>
      <w:rFonts w:ascii="Arial" w:hAnsi="Arial" w:eastAsia="黑体"/>
      <w:spacing w:val="-20"/>
      <w:szCs w:val="20"/>
    </w:rPr>
  </w:style>
  <w:style w:type="paragraph" w:styleId="12">
    <w:name w:val="heading 9"/>
    <w:basedOn w:val="1"/>
    <w:next w:val="1"/>
    <w:link w:val="265"/>
    <w:qFormat/>
    <w:uiPriority w:val="9"/>
    <w:pPr>
      <w:keepNext/>
      <w:keepLines/>
      <w:widowControl w:val="0"/>
      <w:numPr>
        <w:ilvl w:val="8"/>
        <w:numId w:val="1"/>
      </w:numPr>
      <w:adjustRightInd w:val="0"/>
      <w:spacing w:before="240" w:after="64" w:line="320" w:lineRule="atLeast"/>
      <w:textAlignment w:val="baseline"/>
      <w:outlineLvl w:val="8"/>
    </w:pPr>
    <w:rPr>
      <w:rFonts w:ascii="Arial" w:hAnsi="Arial" w:eastAsia="黑体"/>
      <w:spacing w:val="-20"/>
      <w:szCs w:val="20"/>
    </w:rPr>
  </w:style>
  <w:style w:type="character" w:default="1" w:styleId="65">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36"/>
    <w:qFormat/>
    <w:uiPriority w:val="0"/>
    <w:pPr>
      <w:ind w:firstLine="420" w:firstLineChars="200"/>
    </w:pPr>
  </w:style>
  <w:style w:type="paragraph" w:customStyle="1" w:styleId="4">
    <w:name w:val="!模板基准"/>
    <w:basedOn w:val="1"/>
    <w:link w:val="301"/>
    <w:semiHidden/>
    <w:qFormat/>
    <w:uiPriority w:val="0"/>
    <w:pPr>
      <w:spacing w:beforeLines="50" w:afterLines="50" w:line="360" w:lineRule="auto"/>
      <w:ind w:firstLine="200" w:firstLineChars="200"/>
    </w:pPr>
    <w:rPr>
      <w:rFonts w:ascii="Arial" w:hAnsi="Arial"/>
      <w:szCs w:val="21"/>
    </w:rPr>
  </w:style>
  <w:style w:type="paragraph" w:styleId="13">
    <w:name w:val="toc 7"/>
    <w:basedOn w:val="1"/>
    <w:next w:val="1"/>
    <w:qFormat/>
    <w:uiPriority w:val="39"/>
    <w:pPr>
      <w:ind w:left="1440"/>
    </w:pPr>
    <w:rPr>
      <w:rFonts w:asciiTheme="minorHAnsi" w:hAnsiTheme="minorHAnsi" w:cstheme="minorHAnsi"/>
      <w:sz w:val="20"/>
      <w:szCs w:val="20"/>
    </w:rPr>
  </w:style>
  <w:style w:type="paragraph" w:styleId="14">
    <w:name w:val="List Number 2"/>
    <w:basedOn w:val="15"/>
    <w:qFormat/>
    <w:uiPriority w:val="0"/>
    <w:pPr>
      <w:numPr>
        <w:ilvl w:val="0"/>
        <w:numId w:val="2"/>
      </w:numPr>
      <w:tabs>
        <w:tab w:val="left" w:pos="425"/>
        <w:tab w:val="clear" w:pos="987"/>
      </w:tabs>
      <w:adjustRightInd w:val="0"/>
      <w:snapToGrid w:val="0"/>
      <w:spacing w:line="360" w:lineRule="auto"/>
      <w:ind w:left="0" w:leftChars="0" w:firstLine="0" w:firstLineChars="0"/>
    </w:pPr>
    <w:rPr>
      <w:rFonts w:ascii="宋体" w:hAnsi="宋体"/>
      <w:bCs/>
      <w:color w:val="000000"/>
      <w:sz w:val="21"/>
    </w:rPr>
  </w:style>
  <w:style w:type="paragraph" w:styleId="15">
    <w:name w:val="List 2"/>
    <w:basedOn w:val="1"/>
    <w:qFormat/>
    <w:uiPriority w:val="0"/>
    <w:pPr>
      <w:widowControl w:val="0"/>
      <w:ind w:left="100" w:leftChars="200" w:hanging="200" w:hangingChars="200"/>
      <w:jc w:val="both"/>
    </w:pPr>
    <w:rPr>
      <w:kern w:val="2"/>
      <w:sz w:val="28"/>
    </w:rPr>
  </w:style>
  <w:style w:type="paragraph" w:styleId="16">
    <w:name w:val="List Number"/>
    <w:basedOn w:val="1"/>
    <w:unhideWhenUsed/>
    <w:qFormat/>
    <w:uiPriority w:val="99"/>
    <w:pPr>
      <w:widowControl w:val="0"/>
      <w:tabs>
        <w:tab w:val="left" w:pos="360"/>
      </w:tabs>
      <w:spacing w:line="360" w:lineRule="auto"/>
      <w:ind w:left="420" w:hanging="420"/>
      <w:contextualSpacing/>
      <w:jc w:val="both"/>
    </w:pPr>
    <w:rPr>
      <w:kern w:val="2"/>
      <w:szCs w:val="22"/>
    </w:rPr>
  </w:style>
  <w:style w:type="paragraph" w:styleId="17">
    <w:name w:val="caption"/>
    <w:basedOn w:val="1"/>
    <w:next w:val="1"/>
    <w:link w:val="536"/>
    <w:unhideWhenUsed/>
    <w:qFormat/>
    <w:uiPriority w:val="0"/>
    <w:pPr>
      <w:widowControl w:val="0"/>
      <w:spacing w:line="360" w:lineRule="auto"/>
      <w:jc w:val="both"/>
    </w:pPr>
    <w:rPr>
      <w:rFonts w:ascii="Cambria" w:hAnsi="Cambria" w:eastAsia="黑体"/>
      <w:kern w:val="2"/>
      <w:sz w:val="20"/>
      <w:szCs w:val="20"/>
    </w:rPr>
  </w:style>
  <w:style w:type="paragraph" w:styleId="18">
    <w:name w:val="index 5"/>
    <w:basedOn w:val="1"/>
    <w:next w:val="1"/>
    <w:qFormat/>
    <w:uiPriority w:val="0"/>
    <w:pPr>
      <w:ind w:left="800" w:leftChars="800"/>
    </w:pPr>
    <w:rPr>
      <w:kern w:val="2"/>
      <w:sz w:val="21"/>
      <w:szCs w:val="21"/>
    </w:rPr>
  </w:style>
  <w:style w:type="paragraph" w:styleId="19">
    <w:name w:val="List Bullet"/>
    <w:basedOn w:val="1"/>
    <w:unhideWhenUsed/>
    <w:qFormat/>
    <w:uiPriority w:val="99"/>
    <w:pPr>
      <w:widowControl w:val="0"/>
      <w:numPr>
        <w:ilvl w:val="0"/>
        <w:numId w:val="3"/>
      </w:numPr>
      <w:tabs>
        <w:tab w:val="left" w:pos="360"/>
      </w:tabs>
      <w:spacing w:line="360" w:lineRule="auto"/>
      <w:contextualSpacing/>
      <w:jc w:val="both"/>
    </w:pPr>
    <w:rPr>
      <w:kern w:val="2"/>
      <w:szCs w:val="22"/>
    </w:rPr>
  </w:style>
  <w:style w:type="paragraph" w:styleId="20">
    <w:name w:val="Document Map"/>
    <w:basedOn w:val="1"/>
    <w:link w:val="160"/>
    <w:qFormat/>
    <w:uiPriority w:val="99"/>
    <w:pPr>
      <w:shd w:val="clear" w:color="auto" w:fill="000080"/>
    </w:pPr>
  </w:style>
  <w:style w:type="paragraph" w:styleId="21">
    <w:name w:val="toa heading"/>
    <w:basedOn w:val="1"/>
    <w:next w:val="1"/>
    <w:qFormat/>
    <w:uiPriority w:val="0"/>
    <w:pPr>
      <w:widowControl w:val="0"/>
      <w:spacing w:before="120" w:line="360" w:lineRule="auto"/>
      <w:ind w:firstLine="200" w:firstLineChars="200"/>
      <w:jc w:val="both"/>
    </w:pPr>
    <w:rPr>
      <w:rFonts w:ascii="Arial" w:hAnsi="Arial" w:cs="Arial"/>
      <w:kern w:val="2"/>
    </w:rPr>
  </w:style>
  <w:style w:type="paragraph" w:styleId="22">
    <w:name w:val="annotation text"/>
    <w:basedOn w:val="1"/>
    <w:link w:val="146"/>
    <w:qFormat/>
    <w:uiPriority w:val="0"/>
  </w:style>
  <w:style w:type="paragraph" w:styleId="23">
    <w:name w:val="Salutation"/>
    <w:basedOn w:val="1"/>
    <w:next w:val="1"/>
    <w:link w:val="299"/>
    <w:qFormat/>
    <w:uiPriority w:val="0"/>
    <w:pPr>
      <w:widowControl w:val="0"/>
      <w:spacing w:beforeLines="50" w:afterLines="50" w:line="360" w:lineRule="auto"/>
      <w:ind w:firstLine="200" w:firstLineChars="200"/>
    </w:pPr>
    <w:rPr>
      <w:kern w:val="2"/>
      <w:szCs w:val="20"/>
    </w:rPr>
  </w:style>
  <w:style w:type="paragraph" w:styleId="24">
    <w:name w:val="Body Text 3"/>
    <w:basedOn w:val="1"/>
    <w:link w:val="358"/>
    <w:qFormat/>
    <w:uiPriority w:val="0"/>
    <w:pPr>
      <w:spacing w:after="120"/>
    </w:pPr>
    <w:rPr>
      <w:sz w:val="16"/>
      <w:szCs w:val="16"/>
    </w:rPr>
  </w:style>
  <w:style w:type="paragraph" w:styleId="25">
    <w:name w:val="List Bullet 3"/>
    <w:basedOn w:val="1"/>
    <w:qFormat/>
    <w:uiPriority w:val="0"/>
    <w:pPr>
      <w:widowControl w:val="0"/>
      <w:numPr>
        <w:ilvl w:val="0"/>
        <w:numId w:val="4"/>
      </w:numPr>
      <w:tabs>
        <w:tab w:val="left" w:pos="1200"/>
      </w:tabs>
      <w:spacing w:line="360" w:lineRule="auto"/>
      <w:jc w:val="both"/>
    </w:pPr>
    <w:rPr>
      <w:kern w:val="2"/>
      <w:szCs w:val="21"/>
    </w:rPr>
  </w:style>
  <w:style w:type="paragraph" w:styleId="26">
    <w:name w:val="Body Text"/>
    <w:basedOn w:val="1"/>
    <w:link w:val="296"/>
    <w:qFormat/>
    <w:uiPriority w:val="99"/>
    <w:pPr>
      <w:spacing w:after="120"/>
    </w:pPr>
  </w:style>
  <w:style w:type="paragraph" w:styleId="27">
    <w:name w:val="Body Text Indent"/>
    <w:basedOn w:val="1"/>
    <w:link w:val="137"/>
    <w:qFormat/>
    <w:uiPriority w:val="0"/>
    <w:pPr>
      <w:ind w:firstLine="358" w:firstLineChars="150"/>
    </w:pPr>
  </w:style>
  <w:style w:type="paragraph" w:styleId="28">
    <w:name w:val="List Bullet 2"/>
    <w:basedOn w:val="1"/>
    <w:qFormat/>
    <w:uiPriority w:val="0"/>
    <w:pPr>
      <w:widowControl w:val="0"/>
      <w:tabs>
        <w:tab w:val="left" w:pos="780"/>
        <w:tab w:val="left" w:pos="902"/>
      </w:tabs>
      <w:ind w:left="902" w:hanging="422"/>
      <w:jc w:val="both"/>
    </w:pPr>
    <w:rPr>
      <w:rFonts w:ascii="Calibri" w:hAnsi="Calibri"/>
      <w:kern w:val="2"/>
      <w:sz w:val="21"/>
      <w:szCs w:val="22"/>
    </w:rPr>
  </w:style>
  <w:style w:type="paragraph" w:styleId="29">
    <w:name w:val="toc 5"/>
    <w:basedOn w:val="1"/>
    <w:next w:val="1"/>
    <w:qFormat/>
    <w:uiPriority w:val="39"/>
    <w:pPr>
      <w:ind w:left="960"/>
    </w:pPr>
    <w:rPr>
      <w:rFonts w:asciiTheme="minorHAnsi" w:hAnsiTheme="minorHAnsi" w:cstheme="minorHAnsi"/>
      <w:sz w:val="20"/>
      <w:szCs w:val="20"/>
    </w:rPr>
  </w:style>
  <w:style w:type="paragraph" w:styleId="30">
    <w:name w:val="toc 3"/>
    <w:basedOn w:val="1"/>
    <w:next w:val="1"/>
    <w:qFormat/>
    <w:uiPriority w:val="39"/>
    <w:pPr>
      <w:ind w:left="480"/>
    </w:pPr>
    <w:rPr>
      <w:rFonts w:asciiTheme="minorHAnsi" w:hAnsiTheme="minorHAnsi" w:cstheme="minorHAnsi"/>
      <w:sz w:val="20"/>
      <w:szCs w:val="20"/>
    </w:rPr>
  </w:style>
  <w:style w:type="paragraph" w:styleId="31">
    <w:name w:val="Plain Text"/>
    <w:basedOn w:val="1"/>
    <w:link w:val="139"/>
    <w:qFormat/>
    <w:uiPriority w:val="0"/>
    <w:pPr>
      <w:widowControl w:val="0"/>
      <w:jc w:val="both"/>
    </w:pPr>
    <w:rPr>
      <w:rFonts w:ascii="宋体" w:hAnsi="Courier New"/>
      <w:kern w:val="2"/>
      <w:sz w:val="21"/>
      <w:szCs w:val="20"/>
    </w:rPr>
  </w:style>
  <w:style w:type="paragraph" w:styleId="32">
    <w:name w:val="List Bullet 5"/>
    <w:basedOn w:val="1"/>
    <w:qFormat/>
    <w:uiPriority w:val="0"/>
    <w:pPr>
      <w:widowControl w:val="0"/>
      <w:tabs>
        <w:tab w:val="left" w:pos="2040"/>
      </w:tabs>
      <w:adjustRightInd w:val="0"/>
      <w:spacing w:line="360" w:lineRule="atLeast"/>
      <w:ind w:left="2040" w:hanging="360"/>
      <w:textAlignment w:val="baseline"/>
    </w:pPr>
    <w:rPr>
      <w:szCs w:val="20"/>
    </w:rPr>
  </w:style>
  <w:style w:type="paragraph" w:styleId="33">
    <w:name w:val="toc 8"/>
    <w:basedOn w:val="1"/>
    <w:next w:val="1"/>
    <w:qFormat/>
    <w:uiPriority w:val="39"/>
    <w:pPr>
      <w:ind w:left="1680"/>
    </w:pPr>
    <w:rPr>
      <w:rFonts w:asciiTheme="minorHAnsi" w:hAnsiTheme="minorHAnsi" w:cstheme="minorHAnsi"/>
      <w:sz w:val="20"/>
      <w:szCs w:val="20"/>
    </w:rPr>
  </w:style>
  <w:style w:type="paragraph" w:styleId="34">
    <w:name w:val="Date"/>
    <w:basedOn w:val="1"/>
    <w:next w:val="1"/>
    <w:link w:val="156"/>
    <w:qFormat/>
    <w:uiPriority w:val="0"/>
    <w:pPr>
      <w:ind w:left="2500" w:leftChars="2500"/>
    </w:pPr>
    <w:rPr>
      <w:rFonts w:ascii="宋体" w:hAnsi="宋体"/>
      <w:b/>
      <w:bCs/>
      <w:kern w:val="2"/>
      <w:sz w:val="36"/>
      <w:szCs w:val="20"/>
    </w:rPr>
  </w:style>
  <w:style w:type="paragraph" w:styleId="35">
    <w:name w:val="Body Text Indent 2"/>
    <w:basedOn w:val="1"/>
    <w:link w:val="143"/>
    <w:qFormat/>
    <w:uiPriority w:val="0"/>
    <w:pPr>
      <w:widowControl w:val="0"/>
      <w:ind w:left="540"/>
      <w:jc w:val="both"/>
    </w:pPr>
    <w:rPr>
      <w:kern w:val="2"/>
      <w:sz w:val="28"/>
      <w:szCs w:val="20"/>
    </w:rPr>
  </w:style>
  <w:style w:type="paragraph" w:styleId="36">
    <w:name w:val="endnote text"/>
    <w:basedOn w:val="1"/>
    <w:link w:val="626"/>
    <w:qFormat/>
    <w:uiPriority w:val="0"/>
    <w:pPr>
      <w:widowControl w:val="0"/>
      <w:snapToGrid w:val="0"/>
      <w:ind w:firstLine="200" w:firstLineChars="200"/>
    </w:pPr>
    <w:rPr>
      <w:rFonts w:eastAsia="仿宋_GB2312"/>
      <w:sz w:val="20"/>
    </w:rPr>
  </w:style>
  <w:style w:type="paragraph" w:styleId="37">
    <w:name w:val="Balloon Text"/>
    <w:basedOn w:val="1"/>
    <w:link w:val="142"/>
    <w:qFormat/>
    <w:uiPriority w:val="99"/>
    <w:rPr>
      <w:sz w:val="18"/>
      <w:szCs w:val="18"/>
    </w:rPr>
  </w:style>
  <w:style w:type="paragraph" w:styleId="38">
    <w:name w:val="footer"/>
    <w:basedOn w:val="1"/>
    <w:link w:val="145"/>
    <w:qFormat/>
    <w:uiPriority w:val="99"/>
    <w:pPr>
      <w:tabs>
        <w:tab w:val="center" w:pos="4153"/>
        <w:tab w:val="right" w:pos="8306"/>
      </w:tabs>
      <w:snapToGrid w:val="0"/>
    </w:pPr>
    <w:rPr>
      <w:sz w:val="18"/>
      <w:szCs w:val="18"/>
    </w:rPr>
  </w:style>
  <w:style w:type="paragraph" w:styleId="39">
    <w:name w:val="header"/>
    <w:basedOn w:val="1"/>
    <w:link w:val="158"/>
    <w:qFormat/>
    <w:uiPriority w:val="99"/>
    <w:pPr>
      <w:pBdr>
        <w:bottom w:val="single" w:color="auto" w:sz="6" w:space="1"/>
      </w:pBdr>
      <w:tabs>
        <w:tab w:val="center" w:pos="4153"/>
        <w:tab w:val="right" w:pos="8306"/>
      </w:tabs>
      <w:snapToGrid w:val="0"/>
      <w:jc w:val="center"/>
    </w:pPr>
    <w:rPr>
      <w:sz w:val="18"/>
      <w:szCs w:val="18"/>
    </w:rPr>
  </w:style>
  <w:style w:type="paragraph" w:styleId="40">
    <w:name w:val="toc 1"/>
    <w:basedOn w:val="1"/>
    <w:next w:val="1"/>
    <w:qFormat/>
    <w:uiPriority w:val="39"/>
    <w:pPr>
      <w:spacing w:before="120"/>
    </w:pPr>
    <w:rPr>
      <w:rFonts w:asciiTheme="minorHAnsi" w:hAnsiTheme="minorHAnsi" w:cstheme="minorHAnsi"/>
      <w:b/>
      <w:bCs/>
      <w:i/>
      <w:iCs/>
    </w:rPr>
  </w:style>
  <w:style w:type="paragraph" w:styleId="41">
    <w:name w:val="toc 4"/>
    <w:basedOn w:val="1"/>
    <w:next w:val="1"/>
    <w:qFormat/>
    <w:uiPriority w:val="39"/>
    <w:pPr>
      <w:ind w:left="720"/>
    </w:pPr>
    <w:rPr>
      <w:rFonts w:asciiTheme="minorHAnsi" w:hAnsiTheme="minorHAnsi" w:cstheme="minorHAnsi"/>
      <w:sz w:val="20"/>
      <w:szCs w:val="20"/>
    </w:rPr>
  </w:style>
  <w:style w:type="paragraph" w:styleId="42">
    <w:name w:val="Subtitle"/>
    <w:basedOn w:val="1"/>
    <w:next w:val="1"/>
    <w:link w:val="539"/>
    <w:qFormat/>
    <w:uiPriority w:val="11"/>
    <w:pPr>
      <w:widowControl w:val="0"/>
      <w:spacing w:line="360" w:lineRule="auto"/>
      <w:ind w:firstLine="200" w:firstLineChars="200"/>
      <w:jc w:val="both"/>
    </w:pPr>
    <w:rPr>
      <w:rFonts w:ascii="Cambria" w:hAnsi="Cambria"/>
      <w:i/>
      <w:iCs/>
      <w:color w:val="4F81BD"/>
      <w:spacing w:val="15"/>
    </w:rPr>
  </w:style>
  <w:style w:type="paragraph" w:styleId="43">
    <w:name w:val="List"/>
    <w:basedOn w:val="1"/>
    <w:unhideWhenUsed/>
    <w:qFormat/>
    <w:uiPriority w:val="0"/>
    <w:pPr>
      <w:widowControl w:val="0"/>
      <w:spacing w:line="360" w:lineRule="auto"/>
      <w:ind w:left="200" w:hanging="200" w:hangingChars="200"/>
      <w:contextualSpacing/>
      <w:jc w:val="both"/>
    </w:pPr>
    <w:rPr>
      <w:kern w:val="2"/>
      <w:szCs w:val="21"/>
    </w:rPr>
  </w:style>
  <w:style w:type="paragraph" w:styleId="44">
    <w:name w:val="footnote text"/>
    <w:basedOn w:val="1"/>
    <w:link w:val="494"/>
    <w:qFormat/>
    <w:uiPriority w:val="0"/>
    <w:pPr>
      <w:widowControl w:val="0"/>
      <w:snapToGrid w:val="0"/>
    </w:pPr>
    <w:rPr>
      <w:kern w:val="2"/>
      <w:sz w:val="18"/>
      <w:szCs w:val="18"/>
    </w:rPr>
  </w:style>
  <w:style w:type="paragraph" w:styleId="45">
    <w:name w:val="toc 6"/>
    <w:basedOn w:val="1"/>
    <w:next w:val="1"/>
    <w:qFormat/>
    <w:uiPriority w:val="39"/>
    <w:pPr>
      <w:ind w:left="1200"/>
    </w:pPr>
    <w:rPr>
      <w:rFonts w:asciiTheme="minorHAnsi" w:hAnsiTheme="minorHAnsi" w:cstheme="minorHAnsi"/>
      <w:sz w:val="20"/>
      <w:szCs w:val="20"/>
    </w:rPr>
  </w:style>
  <w:style w:type="paragraph" w:styleId="46">
    <w:name w:val="Body Text Indent 3"/>
    <w:basedOn w:val="1"/>
    <w:link w:val="150"/>
    <w:qFormat/>
    <w:uiPriority w:val="0"/>
    <w:pPr>
      <w:widowControl w:val="0"/>
      <w:ind w:firstLine="540"/>
      <w:jc w:val="both"/>
    </w:pPr>
    <w:rPr>
      <w:kern w:val="2"/>
      <w:sz w:val="28"/>
      <w:szCs w:val="20"/>
    </w:rPr>
  </w:style>
  <w:style w:type="paragraph" w:styleId="47">
    <w:name w:val="table of figures"/>
    <w:basedOn w:val="1"/>
    <w:next w:val="1"/>
    <w:link w:val="300"/>
    <w:qFormat/>
    <w:uiPriority w:val="99"/>
    <w:pPr>
      <w:spacing w:beforeLines="50" w:afterLines="50" w:line="360" w:lineRule="auto"/>
      <w:ind w:left="420" w:hanging="420" w:firstLineChars="200"/>
    </w:pPr>
    <w:rPr>
      <w:smallCaps/>
      <w:sz w:val="20"/>
      <w:szCs w:val="20"/>
    </w:rPr>
  </w:style>
  <w:style w:type="paragraph" w:styleId="48">
    <w:name w:val="toc 2"/>
    <w:basedOn w:val="1"/>
    <w:next w:val="1"/>
    <w:qFormat/>
    <w:uiPriority w:val="39"/>
    <w:pPr>
      <w:spacing w:before="120"/>
      <w:ind w:left="240"/>
    </w:pPr>
    <w:rPr>
      <w:rFonts w:asciiTheme="minorHAnsi" w:hAnsiTheme="minorHAnsi" w:cstheme="minorHAnsi"/>
      <w:b/>
      <w:bCs/>
      <w:sz w:val="22"/>
      <w:szCs w:val="22"/>
    </w:rPr>
  </w:style>
  <w:style w:type="paragraph" w:styleId="49">
    <w:name w:val="toc 9"/>
    <w:basedOn w:val="1"/>
    <w:next w:val="1"/>
    <w:qFormat/>
    <w:uiPriority w:val="39"/>
    <w:pPr>
      <w:ind w:left="1920"/>
    </w:pPr>
    <w:rPr>
      <w:rFonts w:asciiTheme="minorHAnsi" w:hAnsiTheme="minorHAnsi" w:cstheme="minorHAnsi"/>
      <w:sz w:val="20"/>
      <w:szCs w:val="20"/>
    </w:rPr>
  </w:style>
  <w:style w:type="paragraph" w:styleId="50">
    <w:name w:val="Body Text 2"/>
    <w:basedOn w:val="1"/>
    <w:link w:val="154"/>
    <w:qFormat/>
    <w:uiPriority w:val="0"/>
    <w:pPr>
      <w:widowControl w:val="0"/>
      <w:spacing w:after="120" w:line="480" w:lineRule="auto"/>
      <w:jc w:val="both"/>
    </w:pPr>
    <w:rPr>
      <w:kern w:val="2"/>
      <w:sz w:val="21"/>
    </w:rPr>
  </w:style>
  <w:style w:type="paragraph" w:styleId="51">
    <w:name w:val="List Continue 2"/>
    <w:basedOn w:val="1"/>
    <w:unhideWhenUsed/>
    <w:qFormat/>
    <w:uiPriority w:val="99"/>
    <w:pPr>
      <w:widowControl w:val="0"/>
      <w:spacing w:after="120" w:line="360" w:lineRule="auto"/>
      <w:ind w:left="840" w:leftChars="400"/>
      <w:contextualSpacing/>
      <w:jc w:val="both"/>
    </w:pPr>
    <w:rPr>
      <w:kern w:val="2"/>
      <w:szCs w:val="21"/>
    </w:rPr>
  </w:style>
  <w:style w:type="paragraph" w:styleId="52">
    <w:name w:val="HTML Preformatted"/>
    <w:basedOn w:val="1"/>
    <w:link w:val="86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paragraph" w:styleId="53">
    <w:name w:val="Normal (Web)"/>
    <w:basedOn w:val="1"/>
    <w:link w:val="473"/>
    <w:qFormat/>
    <w:uiPriority w:val="99"/>
    <w:pPr>
      <w:spacing w:before="100" w:beforeAutospacing="1" w:after="100" w:afterAutospacing="1"/>
    </w:pPr>
    <w:rPr>
      <w:rFonts w:ascii="宋体" w:hAnsi="宋体"/>
      <w:color w:val="000000"/>
    </w:rPr>
  </w:style>
  <w:style w:type="paragraph" w:styleId="54">
    <w:name w:val="index 1"/>
    <w:basedOn w:val="1"/>
    <w:next w:val="1"/>
    <w:qFormat/>
    <w:uiPriority w:val="0"/>
    <w:pPr>
      <w:widowControl w:val="0"/>
      <w:jc w:val="both"/>
    </w:pPr>
    <w:rPr>
      <w:kern w:val="2"/>
      <w:sz w:val="21"/>
    </w:rPr>
  </w:style>
  <w:style w:type="paragraph" w:styleId="55">
    <w:name w:val="Title"/>
    <w:basedOn w:val="1"/>
    <w:link w:val="342"/>
    <w:qFormat/>
    <w:uiPriority w:val="10"/>
    <w:pPr>
      <w:widowControl w:val="0"/>
      <w:spacing w:before="240" w:after="60"/>
      <w:jc w:val="center"/>
      <w:outlineLvl w:val="0"/>
    </w:pPr>
    <w:rPr>
      <w:rFonts w:ascii="Arial" w:hAnsi="Arial" w:cs="Arial"/>
      <w:b/>
      <w:bCs/>
      <w:kern w:val="2"/>
      <w:sz w:val="32"/>
      <w:szCs w:val="32"/>
    </w:rPr>
  </w:style>
  <w:style w:type="paragraph" w:styleId="56">
    <w:name w:val="annotation subject"/>
    <w:basedOn w:val="22"/>
    <w:next w:val="22"/>
    <w:link w:val="133"/>
    <w:qFormat/>
    <w:uiPriority w:val="99"/>
    <w:rPr>
      <w:b/>
      <w:bCs/>
    </w:rPr>
  </w:style>
  <w:style w:type="paragraph" w:styleId="57">
    <w:name w:val="Body Text First Indent"/>
    <w:basedOn w:val="26"/>
    <w:link w:val="474"/>
    <w:qFormat/>
    <w:uiPriority w:val="0"/>
    <w:pPr>
      <w:widowControl w:val="0"/>
      <w:ind w:firstLine="420" w:firstLineChars="100"/>
      <w:jc w:val="both"/>
    </w:pPr>
    <w:rPr>
      <w:rFonts w:ascii="宋体"/>
      <w:kern w:val="2"/>
      <w:sz w:val="28"/>
      <w:szCs w:val="20"/>
    </w:rPr>
  </w:style>
  <w:style w:type="paragraph" w:styleId="58">
    <w:name w:val="Body Text First Indent 2"/>
    <w:basedOn w:val="27"/>
    <w:link w:val="589"/>
    <w:qFormat/>
    <w:uiPriority w:val="0"/>
    <w:pPr>
      <w:spacing w:after="120"/>
      <w:ind w:left="420" w:leftChars="200" w:firstLine="420" w:firstLineChars="200"/>
    </w:pPr>
  </w:style>
  <w:style w:type="table" w:styleId="60">
    <w:name w:val="Table Grid"/>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1">
    <w:name w:val="Table Theme"/>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2">
    <w:name w:val="Table Colorful 1"/>
    <w:basedOn w:val="59"/>
    <w:qFormat/>
    <w:uiPriority w:val="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63">
    <w:name w:val="Table Colorful 2"/>
    <w:basedOn w:val="59"/>
    <w:qFormat/>
    <w:uiPriority w:val="0"/>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64">
    <w:name w:val="Table Elegant"/>
    <w:basedOn w:val="59"/>
    <w:qFormat/>
    <w:uiPriority w:val="0"/>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66">
    <w:name w:val="Strong"/>
    <w:qFormat/>
    <w:uiPriority w:val="22"/>
    <w:rPr>
      <w:b/>
      <w:bCs/>
    </w:rPr>
  </w:style>
  <w:style w:type="character" w:styleId="67">
    <w:name w:val="page number"/>
    <w:basedOn w:val="65"/>
    <w:qFormat/>
    <w:uiPriority w:val="0"/>
  </w:style>
  <w:style w:type="character" w:styleId="68">
    <w:name w:val="FollowedHyperlink"/>
    <w:basedOn w:val="65"/>
    <w:qFormat/>
    <w:uiPriority w:val="99"/>
    <w:rPr>
      <w:color w:val="555555"/>
      <w:u w:val="none"/>
    </w:rPr>
  </w:style>
  <w:style w:type="character" w:styleId="69">
    <w:name w:val="Emphasis"/>
    <w:qFormat/>
    <w:uiPriority w:val="0"/>
    <w:rPr>
      <w:color w:val="CC0000"/>
    </w:rPr>
  </w:style>
  <w:style w:type="character" w:styleId="70">
    <w:name w:val="line number"/>
    <w:unhideWhenUsed/>
    <w:qFormat/>
    <w:uiPriority w:val="99"/>
  </w:style>
  <w:style w:type="character" w:styleId="71">
    <w:name w:val="HTML Definition"/>
    <w:basedOn w:val="65"/>
    <w:qFormat/>
    <w:uiPriority w:val="0"/>
  </w:style>
  <w:style w:type="character" w:styleId="72">
    <w:name w:val="HTML Acronym"/>
    <w:basedOn w:val="65"/>
    <w:qFormat/>
    <w:uiPriority w:val="0"/>
  </w:style>
  <w:style w:type="character" w:styleId="73">
    <w:name w:val="HTML Variable"/>
    <w:basedOn w:val="65"/>
    <w:qFormat/>
    <w:uiPriority w:val="0"/>
  </w:style>
  <w:style w:type="character" w:styleId="74">
    <w:name w:val="Hyperlink"/>
    <w:basedOn w:val="65"/>
    <w:qFormat/>
    <w:uiPriority w:val="99"/>
    <w:rPr>
      <w:color w:val="555555"/>
      <w:u w:val="none"/>
    </w:rPr>
  </w:style>
  <w:style w:type="character" w:styleId="75">
    <w:name w:val="HTML Code"/>
    <w:basedOn w:val="65"/>
    <w:qFormat/>
    <w:uiPriority w:val="0"/>
    <w:rPr>
      <w:rFonts w:ascii="Courier New" w:hAnsi="Courier New"/>
      <w:sz w:val="20"/>
    </w:rPr>
  </w:style>
  <w:style w:type="character" w:styleId="76">
    <w:name w:val="annotation reference"/>
    <w:qFormat/>
    <w:uiPriority w:val="99"/>
    <w:rPr>
      <w:sz w:val="21"/>
      <w:szCs w:val="21"/>
    </w:rPr>
  </w:style>
  <w:style w:type="character" w:styleId="77">
    <w:name w:val="HTML Cite"/>
    <w:basedOn w:val="65"/>
    <w:qFormat/>
    <w:uiPriority w:val="0"/>
  </w:style>
  <w:style w:type="character" w:styleId="78">
    <w:name w:val="footnote reference"/>
    <w:qFormat/>
    <w:uiPriority w:val="0"/>
    <w:rPr>
      <w:vertAlign w:val="superscript"/>
    </w:rPr>
  </w:style>
  <w:style w:type="paragraph" w:customStyle="1" w:styleId="79">
    <w:name w:val="日期1"/>
    <w:basedOn w:val="1"/>
    <w:next w:val="1"/>
    <w:qFormat/>
    <w:uiPriority w:val="0"/>
    <w:pPr>
      <w:widowControl w:val="0"/>
      <w:adjustRightInd w:val="0"/>
      <w:jc w:val="both"/>
      <w:textAlignment w:val="baseline"/>
    </w:pPr>
    <w:rPr>
      <w:rFonts w:ascii="宋体"/>
      <w:szCs w:val="20"/>
    </w:rPr>
  </w:style>
  <w:style w:type="paragraph" w:customStyle="1" w:styleId="80">
    <w:name w:val="正文格式"/>
    <w:basedOn w:val="1"/>
    <w:link w:val="149"/>
    <w:qFormat/>
    <w:uiPriority w:val="0"/>
    <w:pPr>
      <w:ind w:firstLine="560" w:firstLineChars="200"/>
    </w:pPr>
    <w:rPr>
      <w:rFonts w:ascii="仿宋" w:hAnsi="仿宋" w:eastAsia="仿宋"/>
      <w:kern w:val="2"/>
      <w:sz w:val="28"/>
      <w:szCs w:val="32"/>
    </w:rPr>
  </w:style>
  <w:style w:type="paragraph" w:customStyle="1" w:styleId="81">
    <w:name w:val="1.1.1.1"/>
    <w:basedOn w:val="1"/>
    <w:qFormat/>
    <w:uiPriority w:val="0"/>
    <w:pPr>
      <w:widowControl w:val="0"/>
      <w:autoSpaceDE w:val="0"/>
      <w:autoSpaceDN w:val="0"/>
      <w:adjustRightInd w:val="0"/>
      <w:spacing w:before="60" w:after="60" w:line="360" w:lineRule="atLeast"/>
      <w:ind w:left="1134" w:hanging="1134"/>
      <w:jc w:val="both"/>
    </w:pPr>
    <w:rPr>
      <w:rFonts w:ascii="Arial" w:hAnsi="Arial"/>
      <w:szCs w:val="20"/>
    </w:rPr>
  </w:style>
  <w:style w:type="paragraph" w:customStyle="1" w:styleId="82">
    <w:name w:val="font5"/>
    <w:basedOn w:val="1"/>
    <w:qFormat/>
    <w:uiPriority w:val="0"/>
    <w:pPr>
      <w:spacing w:before="100" w:beforeAutospacing="1" w:after="100" w:afterAutospacing="1"/>
    </w:pPr>
    <w:rPr>
      <w:rFonts w:hint="eastAsia" w:ascii="宋体" w:hAnsi="宋体" w:cs="Arial Unicode MS"/>
      <w:sz w:val="18"/>
      <w:szCs w:val="18"/>
    </w:rPr>
  </w:style>
  <w:style w:type="paragraph" w:customStyle="1" w:styleId="83">
    <w:name w:val="NNN"/>
    <w:basedOn w:val="84"/>
    <w:qFormat/>
    <w:uiPriority w:val="0"/>
    <w:pPr>
      <w:tabs>
        <w:tab w:val="left" w:pos="1080"/>
        <w:tab w:val="left" w:pos="1134"/>
      </w:tabs>
      <w:ind w:left="1361" w:hanging="227"/>
    </w:pPr>
    <w:rPr>
      <w:rFonts w:ascii="Arial" w:hAnsi="Arial"/>
      <w:spacing w:val="5"/>
      <w:szCs w:val="24"/>
      <w:lang w:val="zh-CN"/>
    </w:rPr>
  </w:style>
  <w:style w:type="paragraph" w:customStyle="1" w:styleId="84">
    <w:name w:val="NN"/>
    <w:basedOn w:val="1"/>
    <w:qFormat/>
    <w:uiPriority w:val="0"/>
    <w:pPr>
      <w:widowControl w:val="0"/>
      <w:tabs>
        <w:tab w:val="left" w:pos="1080"/>
      </w:tabs>
      <w:autoSpaceDE w:val="0"/>
      <w:autoSpaceDN w:val="0"/>
      <w:adjustRightInd w:val="0"/>
      <w:spacing w:before="60" w:after="60" w:line="360" w:lineRule="atLeast"/>
      <w:ind w:left="1134"/>
      <w:jc w:val="both"/>
    </w:pPr>
    <w:rPr>
      <w:rFonts w:ascii="宋体"/>
      <w:szCs w:val="20"/>
    </w:rPr>
  </w:style>
  <w:style w:type="paragraph" w:customStyle="1" w:styleId="85">
    <w:name w:val="_Style 5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
    <w:name w:val="1.1"/>
    <w:basedOn w:val="1"/>
    <w:next w:val="87"/>
    <w:qFormat/>
    <w:uiPriority w:val="0"/>
    <w:pPr>
      <w:widowControl w:val="0"/>
      <w:tabs>
        <w:tab w:val="left" w:pos="0"/>
        <w:tab w:val="left" w:pos="730"/>
      </w:tabs>
      <w:autoSpaceDE w:val="0"/>
      <w:autoSpaceDN w:val="0"/>
      <w:adjustRightInd w:val="0"/>
      <w:spacing w:before="360" w:after="120" w:line="360" w:lineRule="atLeast"/>
      <w:jc w:val="center"/>
      <w:outlineLvl w:val="0"/>
    </w:pPr>
    <w:rPr>
      <w:rFonts w:ascii="宋体" w:hAnsi="宋体"/>
      <w:b/>
    </w:rPr>
  </w:style>
  <w:style w:type="paragraph" w:customStyle="1" w:styleId="87">
    <w:name w:val="1.1.1"/>
    <w:basedOn w:val="1"/>
    <w:qFormat/>
    <w:uiPriority w:val="0"/>
    <w:pPr>
      <w:widowControl w:val="0"/>
      <w:tabs>
        <w:tab w:val="left" w:pos="0"/>
      </w:tabs>
      <w:autoSpaceDE w:val="0"/>
      <w:autoSpaceDN w:val="0"/>
      <w:adjustRightInd w:val="0"/>
      <w:snapToGrid w:val="0"/>
      <w:spacing w:line="360" w:lineRule="auto"/>
      <w:jc w:val="both"/>
      <w:outlineLvl w:val="1"/>
    </w:pPr>
    <w:rPr>
      <w:rFonts w:ascii="宋体" w:hAnsi="宋体" w:cs="仿宋_GB2312"/>
      <w:sz w:val="21"/>
      <w:szCs w:val="21"/>
    </w:rPr>
  </w:style>
  <w:style w:type="paragraph" w:customStyle="1" w:styleId="88">
    <w:name w:val="_Style 56"/>
    <w:basedOn w:val="1"/>
    <w:qFormat/>
    <w:uiPriority w:val="0"/>
    <w:pPr>
      <w:widowControl w:val="0"/>
      <w:ind w:firstLine="420" w:firstLineChars="200"/>
      <w:jc w:val="both"/>
    </w:pPr>
    <w:rPr>
      <w:rFonts w:ascii="Calibri" w:hAnsi="Calibri"/>
      <w:kern w:val="2"/>
      <w:sz w:val="21"/>
      <w:szCs w:val="22"/>
    </w:rPr>
  </w:style>
  <w:style w:type="paragraph" w:customStyle="1" w:styleId="89">
    <w:name w:val="p0"/>
    <w:basedOn w:val="1"/>
    <w:qFormat/>
    <w:uiPriority w:val="0"/>
    <w:pPr>
      <w:snapToGrid w:val="0"/>
    </w:pPr>
    <w:rPr>
      <w:rFonts w:ascii="宋体" w:hAnsi="宋体" w:cs="宋体"/>
      <w:sz w:val="34"/>
      <w:szCs w:val="34"/>
    </w:rPr>
  </w:style>
  <w:style w:type="paragraph" w:customStyle="1" w:styleId="90">
    <w:name w:val="标题2"/>
    <w:basedOn w:val="3"/>
    <w:link w:val="134"/>
    <w:qFormat/>
    <w:uiPriority w:val="0"/>
    <w:pPr>
      <w:adjustRightInd/>
      <w:spacing w:before="0" w:after="0" w:line="360" w:lineRule="auto"/>
      <w:ind w:left="1"/>
      <w:jc w:val="center"/>
      <w:textAlignment w:val="auto"/>
    </w:pPr>
    <w:rPr>
      <w:rFonts w:ascii="Arial" w:eastAsia="宋体"/>
      <w:bCs/>
      <w:spacing w:val="0"/>
      <w:kern w:val="0"/>
      <w:sz w:val="30"/>
      <w:szCs w:val="44"/>
    </w:rPr>
  </w:style>
  <w:style w:type="paragraph" w:customStyle="1" w:styleId="91">
    <w:name w:val="1"/>
    <w:basedOn w:val="1"/>
    <w:next w:val="2"/>
    <w:qFormat/>
    <w:uiPriority w:val="0"/>
    <w:pPr>
      <w:widowControl w:val="0"/>
      <w:ind w:firstLine="420"/>
      <w:jc w:val="both"/>
    </w:pPr>
    <w:rPr>
      <w:kern w:val="2"/>
      <w:sz w:val="21"/>
      <w:szCs w:val="20"/>
    </w:rPr>
  </w:style>
  <w:style w:type="paragraph" w:customStyle="1" w:styleId="92">
    <w:name w:val="1.1.1.1N"/>
    <w:basedOn w:val="81"/>
    <w:qFormat/>
    <w:uiPriority w:val="0"/>
    <w:pPr>
      <w:ind w:firstLine="0"/>
    </w:pPr>
  </w:style>
  <w:style w:type="paragraph" w:customStyle="1" w:styleId="93">
    <w:name w:val="批注框文本1"/>
    <w:basedOn w:val="1"/>
    <w:link w:val="152"/>
    <w:qFormat/>
    <w:uiPriority w:val="0"/>
    <w:pPr>
      <w:widowControl w:val="0"/>
      <w:jc w:val="both"/>
    </w:pPr>
    <w:rPr>
      <w:sz w:val="18"/>
      <w:szCs w:val="20"/>
    </w:rPr>
  </w:style>
  <w:style w:type="paragraph" w:customStyle="1" w:styleId="94">
    <w:name w:val="Char"/>
    <w:basedOn w:val="1"/>
    <w:link w:val="140"/>
    <w:qFormat/>
    <w:uiPriority w:val="0"/>
    <w:pPr>
      <w:widowControl w:val="0"/>
      <w:snapToGrid w:val="0"/>
      <w:spacing w:line="440" w:lineRule="atLeast"/>
      <w:jc w:val="both"/>
    </w:pPr>
    <w:rPr>
      <w:rFonts w:ascii="宋体"/>
      <w:kern w:val="2"/>
    </w:rPr>
  </w:style>
  <w:style w:type="paragraph" w:customStyle="1" w:styleId="95">
    <w:name w:val="p11"/>
    <w:basedOn w:val="1"/>
    <w:qFormat/>
    <w:uiPriority w:val="0"/>
    <w:pPr>
      <w:spacing w:before="100" w:beforeAutospacing="1" w:after="100" w:afterAutospacing="1"/>
    </w:pPr>
    <w:rPr>
      <w:rFonts w:ascii="宋体" w:hAnsi="宋体" w:cs="宋体"/>
    </w:rPr>
  </w:style>
  <w:style w:type="paragraph" w:customStyle="1" w:styleId="96">
    <w:name w:val="样式 样式1 + 首行缩进:  2 字符"/>
    <w:basedOn w:val="1"/>
    <w:qFormat/>
    <w:uiPriority w:val="0"/>
    <w:pPr>
      <w:widowControl w:val="0"/>
      <w:spacing w:line="440" w:lineRule="atLeast"/>
      <w:ind w:firstLine="480" w:firstLineChars="200"/>
      <w:jc w:val="both"/>
    </w:pPr>
    <w:rPr>
      <w:kern w:val="2"/>
      <w:szCs w:val="20"/>
    </w:rPr>
  </w:style>
  <w:style w:type="paragraph" w:customStyle="1" w:styleId="97">
    <w:name w:val="文件头"/>
    <w:basedOn w:val="1"/>
    <w:qFormat/>
    <w:uiPriority w:val="0"/>
    <w:pPr>
      <w:widowControl w:val="0"/>
      <w:autoSpaceDE w:val="0"/>
      <w:autoSpaceDN w:val="0"/>
      <w:adjustRightInd w:val="0"/>
      <w:spacing w:before="360" w:after="360" w:line="360" w:lineRule="atLeast"/>
      <w:jc w:val="center"/>
    </w:pPr>
    <w:rPr>
      <w:rFonts w:ascii="黑体" w:eastAsia="黑体"/>
      <w:sz w:val="36"/>
      <w:szCs w:val="20"/>
    </w:rPr>
  </w:style>
  <w:style w:type="paragraph" w:customStyle="1" w:styleId="98">
    <w:name w:val="正文1"/>
    <w:qFormat/>
    <w:uiPriority w:val="0"/>
    <w:pPr>
      <w:widowControl w:val="0"/>
      <w:adjustRightInd w:val="0"/>
      <w:spacing w:line="313" w:lineRule="atLeast"/>
      <w:ind w:right="-2"/>
      <w:textAlignment w:val="baseline"/>
    </w:pPr>
    <w:rPr>
      <w:rFonts w:ascii="宋体" w:hAnsi="Times New Roman" w:eastAsia="宋体" w:cs="Times New Roman"/>
      <w:sz w:val="24"/>
      <w:lang w:val="en-US" w:eastAsia="zh-CN" w:bidi="ar-SA"/>
    </w:rPr>
  </w:style>
  <w:style w:type="paragraph" w:customStyle="1" w:styleId="99">
    <w:name w:val="bf"/>
    <w:basedOn w:val="97"/>
    <w:qFormat/>
    <w:uiPriority w:val="0"/>
    <w:pPr>
      <w:spacing w:before="480" w:after="480"/>
    </w:pPr>
    <w:rPr>
      <w:sz w:val="44"/>
    </w:rPr>
  </w:style>
  <w:style w:type="paragraph" w:customStyle="1" w:styleId="100">
    <w:name w:val="Default"/>
    <w:link w:val="549"/>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01">
    <w:name w:val="5"/>
    <w:basedOn w:val="1"/>
    <w:qFormat/>
    <w:uiPriority w:val="0"/>
    <w:pPr>
      <w:widowControl w:val="0"/>
      <w:numPr>
        <w:ilvl w:val="0"/>
        <w:numId w:val="5"/>
      </w:numPr>
      <w:spacing w:line="300" w:lineRule="auto"/>
      <w:jc w:val="both"/>
    </w:pPr>
    <w:rPr>
      <w:kern w:val="2"/>
      <w:szCs w:val="20"/>
    </w:rPr>
  </w:style>
  <w:style w:type="paragraph" w:customStyle="1" w:styleId="102">
    <w:name w:val="2"/>
    <w:basedOn w:val="1"/>
    <w:next w:val="50"/>
    <w:qFormat/>
    <w:uiPriority w:val="0"/>
    <w:pPr>
      <w:widowControl w:val="0"/>
      <w:spacing w:line="360" w:lineRule="auto"/>
      <w:ind w:firstLine="499" w:firstLineChars="200"/>
      <w:jc w:val="distribute"/>
    </w:pPr>
    <w:rPr>
      <w:color w:val="000000"/>
      <w:szCs w:val="28"/>
    </w:rPr>
  </w:style>
  <w:style w:type="paragraph" w:customStyle="1" w:styleId="103">
    <w:name w:val="2 Char Char Char Char"/>
    <w:basedOn w:val="20"/>
    <w:qFormat/>
    <w:uiPriority w:val="0"/>
    <w:pPr>
      <w:widowControl w:val="0"/>
      <w:jc w:val="both"/>
    </w:pPr>
    <w:rPr>
      <w:rFonts w:ascii="Tahoma" w:hAnsi="Tahoma"/>
      <w:kern w:val="2"/>
    </w:rPr>
  </w:style>
  <w:style w:type="paragraph" w:customStyle="1" w:styleId="104">
    <w:name w:val="标书正文"/>
    <w:basedOn w:val="1"/>
    <w:qFormat/>
    <w:uiPriority w:val="0"/>
    <w:pPr>
      <w:widowControl w:val="0"/>
      <w:snapToGrid w:val="0"/>
      <w:spacing w:line="360" w:lineRule="auto"/>
      <w:ind w:firstLine="200" w:firstLineChars="200"/>
      <w:jc w:val="both"/>
    </w:pPr>
    <w:rPr>
      <w:kern w:val="2"/>
    </w:rPr>
  </w:style>
  <w:style w:type="paragraph" w:customStyle="1" w:styleId="105">
    <w:name w:val="Char Char Char Char"/>
    <w:basedOn w:val="1"/>
    <w:qFormat/>
    <w:uiPriority w:val="0"/>
    <w:pPr>
      <w:spacing w:after="160" w:line="240" w:lineRule="exact"/>
    </w:pPr>
    <w:rPr>
      <w:rFonts w:ascii="Verdana" w:hAnsi="Verdana" w:eastAsia="仿宋_GB2312"/>
      <w:szCs w:val="20"/>
      <w:lang w:eastAsia="en-US"/>
    </w:rPr>
  </w:style>
  <w:style w:type="paragraph" w:customStyle="1" w:styleId="106">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Arial Unicode MS" w:eastAsia="仿宋_GB2312" w:cs="Arial Unicode MS"/>
      <w:sz w:val="18"/>
      <w:szCs w:val="18"/>
    </w:rPr>
  </w:style>
  <w:style w:type="paragraph" w:customStyle="1" w:styleId="107">
    <w:name w:val="样式 正文缩进 + 首行缩进:  2 字符"/>
    <w:basedOn w:val="2"/>
    <w:link w:val="148"/>
    <w:qFormat/>
    <w:uiPriority w:val="0"/>
    <w:pPr>
      <w:widowControl w:val="0"/>
      <w:spacing w:line="360" w:lineRule="auto"/>
      <w:ind w:firstLine="200"/>
      <w:jc w:val="both"/>
    </w:pPr>
    <w:rPr>
      <w:kern w:val="2"/>
      <w:szCs w:val="20"/>
    </w:rPr>
  </w:style>
  <w:style w:type="paragraph" w:customStyle="1" w:styleId="108">
    <w:name w:val="样式 正文文本缩进 + 左侧:  -0.11 字符 悬挂缩进: 2.5 字符"/>
    <w:basedOn w:val="27"/>
    <w:qFormat/>
    <w:uiPriority w:val="0"/>
    <w:pPr>
      <w:widowControl w:val="0"/>
      <w:tabs>
        <w:tab w:val="left" w:pos="750"/>
        <w:tab w:val="left" w:pos="7545"/>
      </w:tabs>
      <w:spacing w:line="360" w:lineRule="auto"/>
      <w:ind w:left="90" w:firstLine="449" w:firstLineChars="187"/>
    </w:pPr>
    <w:rPr>
      <w:kern w:val="2"/>
      <w:szCs w:val="20"/>
    </w:rPr>
  </w:style>
  <w:style w:type="paragraph" w:customStyle="1" w:styleId="109">
    <w:name w:val="Char1"/>
    <w:basedOn w:val="1"/>
    <w:qFormat/>
    <w:uiPriority w:val="0"/>
    <w:pPr>
      <w:widowControl w:val="0"/>
      <w:adjustRightInd w:val="0"/>
      <w:spacing w:line="312" w:lineRule="atLeast"/>
      <w:jc w:val="both"/>
      <w:textAlignment w:val="baseline"/>
    </w:pPr>
    <w:rPr>
      <w:sz w:val="21"/>
      <w:szCs w:val="20"/>
    </w:rPr>
  </w:style>
  <w:style w:type="paragraph" w:customStyle="1" w:styleId="110">
    <w:name w:val="1 Char Char Char Char"/>
    <w:basedOn w:val="1"/>
    <w:qFormat/>
    <w:uiPriority w:val="0"/>
    <w:pPr>
      <w:widowControl w:val="0"/>
      <w:jc w:val="both"/>
    </w:pPr>
    <w:rPr>
      <w:rFonts w:ascii="Tahoma" w:hAnsi="Tahoma"/>
      <w:kern w:val="2"/>
      <w:szCs w:val="20"/>
    </w:rPr>
  </w:style>
  <w:style w:type="paragraph" w:customStyle="1" w:styleId="111">
    <w:name w:val="xl28"/>
    <w:basedOn w:val="1"/>
    <w:qFormat/>
    <w:uiPriority w:val="0"/>
    <w:pPr>
      <w:pBdr>
        <w:bottom w:val="single" w:color="auto" w:sz="4" w:space="0"/>
      </w:pBdr>
      <w:spacing w:before="100" w:beforeAutospacing="1" w:after="100" w:afterAutospacing="1"/>
      <w:jc w:val="center"/>
    </w:pPr>
    <w:rPr>
      <w:rFonts w:hint="eastAsia" w:ascii="仿宋_GB2312" w:hAnsi="Arial Unicode MS" w:eastAsia="仿宋_GB2312" w:cs="Arial Unicode MS"/>
      <w:b/>
      <w:bCs/>
    </w:rPr>
  </w:style>
  <w:style w:type="paragraph" w:customStyle="1" w:styleId="112">
    <w:name w:val="样式1"/>
    <w:basedOn w:val="6"/>
    <w:link w:val="374"/>
    <w:qFormat/>
    <w:uiPriority w:val="0"/>
    <w:pPr>
      <w:wordWrap/>
      <w:overflowPunct/>
      <w:autoSpaceDE/>
      <w:autoSpaceDN/>
      <w:spacing w:before="0" w:after="0" w:line="312" w:lineRule="auto"/>
      <w:jc w:val="both"/>
      <w:outlineLvl w:val="9"/>
    </w:pPr>
    <w:rPr>
      <w:rFonts w:ascii="Times New Roman" w:hAnsi="Times New Roman"/>
      <w:sz w:val="24"/>
      <w:szCs w:val="24"/>
    </w:rPr>
  </w:style>
  <w:style w:type="paragraph" w:customStyle="1" w:styleId="113">
    <w:name w:val="ÕýÎÄ"/>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114">
    <w:name w:val="BT3"/>
    <w:basedOn w:val="115"/>
    <w:qFormat/>
    <w:uiPriority w:val="0"/>
    <w:pPr>
      <w:tabs>
        <w:tab w:val="left" w:pos="0"/>
        <w:tab w:val="left" w:pos="1134"/>
      </w:tabs>
      <w:ind w:left="1134" w:hanging="1134"/>
    </w:pPr>
  </w:style>
  <w:style w:type="paragraph" w:customStyle="1" w:styleId="115">
    <w:name w:val="MM"/>
    <w:basedOn w:val="1"/>
    <w:qFormat/>
    <w:uiPriority w:val="0"/>
    <w:pPr>
      <w:widowControl w:val="0"/>
      <w:tabs>
        <w:tab w:val="left" w:pos="1134"/>
      </w:tabs>
      <w:autoSpaceDE w:val="0"/>
      <w:autoSpaceDN w:val="0"/>
      <w:adjustRightInd w:val="0"/>
      <w:spacing w:before="60" w:after="60" w:line="360" w:lineRule="atLeast"/>
      <w:ind w:left="1560" w:hanging="426"/>
      <w:jc w:val="both"/>
    </w:pPr>
    <w:rPr>
      <w:rFonts w:ascii="Arial" w:hAnsi="Arial"/>
      <w:szCs w:val="20"/>
    </w:rPr>
  </w:style>
  <w:style w:type="paragraph" w:customStyle="1" w:styleId="116">
    <w:name w:val="普通(网站)1"/>
    <w:basedOn w:val="1"/>
    <w:qFormat/>
    <w:uiPriority w:val="0"/>
    <w:pPr>
      <w:spacing w:before="100" w:after="100"/>
    </w:pPr>
    <w:rPr>
      <w:rFonts w:ascii="宋体" w:hAnsi="宋体"/>
      <w:kern w:val="2"/>
      <w:szCs w:val="20"/>
    </w:rPr>
  </w:style>
  <w:style w:type="paragraph" w:customStyle="1" w:styleId="117">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Arial Unicode MS" w:eastAsia="仿宋_GB2312" w:cs="Arial Unicode MS"/>
      <w:b/>
      <w:bCs/>
      <w:sz w:val="18"/>
      <w:szCs w:val="18"/>
    </w:rPr>
  </w:style>
  <w:style w:type="paragraph" w:customStyle="1" w:styleId="118">
    <w:name w:val="Char Char Char Char1"/>
    <w:basedOn w:val="1"/>
    <w:qFormat/>
    <w:uiPriority w:val="0"/>
    <w:pPr>
      <w:widowControl w:val="0"/>
      <w:snapToGrid w:val="0"/>
      <w:spacing w:line="360" w:lineRule="auto"/>
      <w:ind w:firstLine="200" w:firstLineChars="200"/>
      <w:jc w:val="both"/>
    </w:pPr>
    <w:rPr>
      <w:rFonts w:eastAsia="仿宋_GB2312"/>
      <w:kern w:val="2"/>
    </w:rPr>
  </w:style>
  <w:style w:type="paragraph" w:customStyle="1" w:styleId="119">
    <w:name w:val="表格"/>
    <w:basedOn w:val="1"/>
    <w:link w:val="974"/>
    <w:qFormat/>
    <w:uiPriority w:val="0"/>
    <w:pPr>
      <w:widowControl w:val="0"/>
      <w:tabs>
        <w:tab w:val="left" w:pos="840"/>
      </w:tabs>
      <w:spacing w:before="100" w:after="100" w:line="240" w:lineRule="atLeast"/>
      <w:jc w:val="center"/>
    </w:pPr>
    <w:rPr>
      <w:rFonts w:ascii="宋体" w:hAnsi="宋体"/>
      <w:snapToGrid w:val="0"/>
      <w:szCs w:val="20"/>
    </w:rPr>
  </w:style>
  <w:style w:type="paragraph" w:customStyle="1" w:styleId="120">
    <w:name w:val="_Style 88"/>
    <w:basedOn w:val="3"/>
    <w:next w:val="1"/>
    <w:qFormat/>
    <w:uiPriority w:val="0"/>
    <w:pPr>
      <w:widowControl/>
      <w:adjustRightInd/>
      <w:spacing w:before="480" w:after="0" w:line="276" w:lineRule="auto"/>
      <w:textAlignment w:val="auto"/>
      <w:outlineLvl w:val="9"/>
    </w:pPr>
    <w:rPr>
      <w:rFonts w:ascii="Cambria" w:hAnsi="Cambria" w:eastAsia="宋体"/>
      <w:bCs/>
      <w:color w:val="365F91"/>
      <w:spacing w:val="0"/>
      <w:kern w:val="0"/>
      <w:sz w:val="28"/>
      <w:szCs w:val="28"/>
    </w:rPr>
  </w:style>
  <w:style w:type="paragraph" w:customStyle="1" w:styleId="121">
    <w:name w:val="样式 样式 (符号) 宋体 小四 首行缩进:  0.85 厘米 段后: 6 磅 行距: 固定值 20 磅 + 首行缩进:  2 ..."/>
    <w:basedOn w:val="1"/>
    <w:qFormat/>
    <w:uiPriority w:val="0"/>
    <w:pPr>
      <w:widowControl w:val="0"/>
      <w:spacing w:line="360" w:lineRule="auto"/>
      <w:ind w:firstLine="560" w:firstLineChars="200"/>
      <w:jc w:val="both"/>
    </w:pPr>
    <w:rPr>
      <w:rFonts w:ascii="仿宋_GB2312" w:hAnsi="宋体" w:eastAsia="仿宋_GB2312" w:cs="宋体"/>
      <w:kern w:val="24"/>
      <w:sz w:val="28"/>
      <w:szCs w:val="28"/>
    </w:rPr>
  </w:style>
  <w:style w:type="paragraph" w:customStyle="1" w:styleId="122">
    <w:name w:val="1.1.1.1A"/>
    <w:basedOn w:val="81"/>
    <w:qFormat/>
    <w:uiPriority w:val="0"/>
    <w:pPr>
      <w:ind w:left="1560" w:hanging="425"/>
    </w:pPr>
  </w:style>
  <w:style w:type="paragraph" w:customStyle="1" w:styleId="123">
    <w:name w:val="表"/>
    <w:basedOn w:val="1"/>
    <w:qFormat/>
    <w:uiPriority w:val="0"/>
    <w:pPr>
      <w:widowControl w:val="0"/>
      <w:jc w:val="both"/>
    </w:pPr>
    <w:rPr>
      <w:kern w:val="24"/>
      <w:szCs w:val="20"/>
    </w:rPr>
  </w:style>
  <w:style w:type="paragraph" w:customStyle="1" w:styleId="124">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Arial Unicode MS" w:eastAsia="仿宋_GB2312" w:cs="Arial Unicode MS"/>
      <w:sz w:val="18"/>
      <w:szCs w:val="18"/>
    </w:rPr>
  </w:style>
  <w:style w:type="paragraph" w:customStyle="1" w:styleId="125">
    <w:name w:val="Char2"/>
    <w:basedOn w:val="1"/>
    <w:qFormat/>
    <w:uiPriority w:val="0"/>
    <w:pPr>
      <w:widowControl w:val="0"/>
      <w:tabs>
        <w:tab w:val="left" w:pos="425"/>
      </w:tabs>
      <w:ind w:left="425" w:hanging="425"/>
      <w:jc w:val="both"/>
    </w:pPr>
    <w:rPr>
      <w:kern w:val="2"/>
      <w:sz w:val="21"/>
    </w:rPr>
  </w:style>
  <w:style w:type="paragraph" w:customStyle="1" w:styleId="126">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仿宋_GB2312" w:hAnsi="Arial Unicode MS" w:eastAsia="仿宋_GB2312" w:cs="Arial Unicode MS"/>
      <w:sz w:val="18"/>
      <w:szCs w:val="18"/>
    </w:rPr>
  </w:style>
  <w:style w:type="paragraph" w:customStyle="1" w:styleId="127">
    <w:name w:val="LL"/>
    <w:basedOn w:val="115"/>
    <w:qFormat/>
    <w:uiPriority w:val="0"/>
    <w:pPr>
      <w:ind w:firstLine="0"/>
    </w:pPr>
  </w:style>
  <w:style w:type="paragraph" w:customStyle="1" w:styleId="128">
    <w:name w:val="样式 首行缩进:  0 厘米 行距: 单倍行距 Char"/>
    <w:basedOn w:val="1"/>
    <w:qFormat/>
    <w:uiPriority w:val="0"/>
    <w:pPr>
      <w:widowControl w:val="0"/>
      <w:adjustRightInd w:val="0"/>
      <w:jc w:val="both"/>
      <w:textAlignment w:val="baseline"/>
    </w:pPr>
    <w:rPr>
      <w:sz w:val="21"/>
      <w:szCs w:val="21"/>
    </w:rPr>
  </w:style>
  <w:style w:type="paragraph" w:customStyle="1" w:styleId="129">
    <w:name w:val="p15"/>
    <w:basedOn w:val="1"/>
    <w:qFormat/>
    <w:uiPriority w:val="0"/>
    <w:pPr>
      <w:jc w:val="both"/>
    </w:pPr>
    <w:rPr>
      <w:sz w:val="21"/>
      <w:szCs w:val="21"/>
    </w:rPr>
  </w:style>
  <w:style w:type="paragraph" w:customStyle="1" w:styleId="130">
    <w:name w:val="Absatz2AL"/>
    <w:basedOn w:val="26"/>
    <w:next w:val="1"/>
    <w:qFormat/>
    <w:uiPriority w:val="0"/>
    <w:pPr>
      <w:overflowPunct w:val="0"/>
      <w:autoSpaceDE w:val="0"/>
      <w:autoSpaceDN w:val="0"/>
      <w:adjustRightInd w:val="0"/>
      <w:spacing w:after="0"/>
      <w:jc w:val="both"/>
      <w:textAlignment w:val="baseline"/>
    </w:pPr>
    <w:rPr>
      <w:rFonts w:eastAsia="楷体_GB2312"/>
      <w:szCs w:val="20"/>
      <w:lang w:val="de-DE"/>
    </w:rPr>
  </w:style>
  <w:style w:type="paragraph" w:customStyle="1" w:styleId="131">
    <w:name w:val="Char Char Char Char Char Char Char"/>
    <w:basedOn w:val="1"/>
    <w:qFormat/>
    <w:uiPriority w:val="0"/>
    <w:pPr>
      <w:widowControl w:val="0"/>
      <w:snapToGrid w:val="0"/>
      <w:spacing w:line="360" w:lineRule="auto"/>
      <w:ind w:firstLine="200" w:firstLineChars="200"/>
      <w:jc w:val="both"/>
    </w:pPr>
    <w:rPr>
      <w:rFonts w:eastAsia="仿宋_GB2312"/>
      <w:kern w:val="2"/>
    </w:rPr>
  </w:style>
  <w:style w:type="paragraph" w:customStyle="1" w:styleId="132">
    <w:name w:val="默认段落字体 Para Char Char Char Char Char Char Char Char Char1 Char Char Char Char Char Char Char Char"/>
    <w:basedOn w:val="20"/>
    <w:qFormat/>
    <w:uiPriority w:val="0"/>
    <w:pPr>
      <w:widowControl w:val="0"/>
      <w:jc w:val="both"/>
    </w:pPr>
    <w:rPr>
      <w:rFonts w:hint="eastAsia" w:ascii="宋体" w:hAnsi="宋体"/>
    </w:rPr>
  </w:style>
  <w:style w:type="character" w:customStyle="1" w:styleId="133">
    <w:name w:val="批注主题 Char"/>
    <w:link w:val="56"/>
    <w:qFormat/>
    <w:uiPriority w:val="99"/>
    <w:rPr>
      <w:b/>
      <w:bCs/>
      <w:sz w:val="24"/>
      <w:szCs w:val="24"/>
    </w:rPr>
  </w:style>
  <w:style w:type="character" w:customStyle="1" w:styleId="134">
    <w:name w:val="标题2 Char"/>
    <w:link w:val="90"/>
    <w:qFormat/>
    <w:uiPriority w:val="0"/>
    <w:rPr>
      <w:rFonts w:ascii="Arial" w:hAnsi="Arial"/>
      <w:b/>
      <w:bCs/>
      <w:sz w:val="30"/>
      <w:szCs w:val="44"/>
    </w:rPr>
  </w:style>
  <w:style w:type="character" w:customStyle="1" w:styleId="135">
    <w:name w:val="节 Char"/>
    <w:qFormat/>
    <w:uiPriority w:val="0"/>
    <w:rPr>
      <w:rFonts w:ascii="宋体" w:hAnsi="宋体" w:eastAsia="宋体"/>
      <w:b/>
      <w:kern w:val="2"/>
      <w:sz w:val="24"/>
      <w:szCs w:val="24"/>
      <w:lang w:val="en-US" w:eastAsia="zh-CN" w:bidi="ar-SA"/>
    </w:rPr>
  </w:style>
  <w:style w:type="character" w:customStyle="1" w:styleId="136">
    <w:name w:val="正文缩进 Char"/>
    <w:link w:val="2"/>
    <w:qFormat/>
    <w:uiPriority w:val="0"/>
    <w:rPr>
      <w:rFonts w:eastAsia="宋体"/>
      <w:sz w:val="24"/>
      <w:szCs w:val="24"/>
      <w:lang w:val="en-US" w:eastAsia="zh-CN" w:bidi="ar-SA"/>
    </w:rPr>
  </w:style>
  <w:style w:type="character" w:customStyle="1" w:styleId="137">
    <w:name w:val="正文文本缩进 Char"/>
    <w:link w:val="27"/>
    <w:qFormat/>
    <w:uiPriority w:val="0"/>
    <w:rPr>
      <w:sz w:val="24"/>
      <w:szCs w:val="24"/>
    </w:rPr>
  </w:style>
  <w:style w:type="character" w:customStyle="1" w:styleId="138">
    <w:name w:val="ca-11"/>
    <w:qFormat/>
    <w:uiPriority w:val="0"/>
    <w:rPr>
      <w:rFonts w:hint="eastAsia" w:ascii="宋体" w:hAnsi="宋体" w:eastAsia="宋体"/>
      <w:sz w:val="24"/>
      <w:szCs w:val="24"/>
    </w:rPr>
  </w:style>
  <w:style w:type="character" w:customStyle="1" w:styleId="139">
    <w:name w:val="纯文本 Char"/>
    <w:link w:val="31"/>
    <w:qFormat/>
    <w:uiPriority w:val="0"/>
    <w:rPr>
      <w:rFonts w:ascii="宋体" w:hAnsi="Courier New" w:eastAsia="宋体"/>
      <w:kern w:val="2"/>
      <w:sz w:val="21"/>
      <w:lang w:val="en-US" w:eastAsia="zh-CN" w:bidi="ar-SA"/>
    </w:rPr>
  </w:style>
  <w:style w:type="character" w:customStyle="1" w:styleId="140">
    <w:name w:val="Char Char Char"/>
    <w:link w:val="94"/>
    <w:qFormat/>
    <w:locked/>
    <w:uiPriority w:val="0"/>
    <w:rPr>
      <w:rFonts w:ascii="宋体" w:cs="宋体"/>
      <w:kern w:val="2"/>
      <w:sz w:val="24"/>
      <w:szCs w:val="24"/>
    </w:rPr>
  </w:style>
  <w:style w:type="character" w:customStyle="1" w:styleId="141">
    <w:name w:val="style81"/>
    <w:qFormat/>
    <w:uiPriority w:val="0"/>
    <w:rPr>
      <w:sz w:val="21"/>
      <w:szCs w:val="21"/>
    </w:rPr>
  </w:style>
  <w:style w:type="character" w:customStyle="1" w:styleId="142">
    <w:name w:val="批注框文本 Char"/>
    <w:link w:val="37"/>
    <w:qFormat/>
    <w:uiPriority w:val="99"/>
    <w:rPr>
      <w:sz w:val="18"/>
      <w:szCs w:val="18"/>
    </w:rPr>
  </w:style>
  <w:style w:type="character" w:customStyle="1" w:styleId="143">
    <w:name w:val="正文文本缩进 2 Char"/>
    <w:link w:val="35"/>
    <w:qFormat/>
    <w:uiPriority w:val="0"/>
    <w:rPr>
      <w:kern w:val="2"/>
      <w:sz w:val="28"/>
    </w:rPr>
  </w:style>
  <w:style w:type="character" w:customStyle="1" w:styleId="144">
    <w:name w:val="ca-21"/>
    <w:qFormat/>
    <w:uiPriority w:val="0"/>
    <w:rPr>
      <w:rFonts w:hint="eastAsia" w:ascii="宋体-18030" w:hAnsi="宋体-18030" w:eastAsia="宋体-18030" w:cs="宋体-18030"/>
      <w:sz w:val="24"/>
      <w:szCs w:val="24"/>
    </w:rPr>
  </w:style>
  <w:style w:type="character" w:customStyle="1" w:styleId="145">
    <w:name w:val="页脚 Char"/>
    <w:link w:val="38"/>
    <w:qFormat/>
    <w:uiPriority w:val="99"/>
    <w:rPr>
      <w:sz w:val="18"/>
      <w:szCs w:val="18"/>
    </w:rPr>
  </w:style>
  <w:style w:type="character" w:customStyle="1" w:styleId="146">
    <w:name w:val="批注文字 Char"/>
    <w:link w:val="22"/>
    <w:qFormat/>
    <w:uiPriority w:val="0"/>
    <w:rPr>
      <w:sz w:val="24"/>
      <w:szCs w:val="24"/>
    </w:rPr>
  </w:style>
  <w:style w:type="character" w:customStyle="1" w:styleId="147">
    <w:name w:val="Char Char1"/>
    <w:qFormat/>
    <w:uiPriority w:val="0"/>
    <w:rPr>
      <w:rFonts w:eastAsia="宋体"/>
      <w:b/>
      <w:bCs/>
      <w:kern w:val="2"/>
      <w:sz w:val="32"/>
      <w:szCs w:val="32"/>
      <w:lang w:val="en-US" w:eastAsia="zh-CN" w:bidi="ar-SA"/>
    </w:rPr>
  </w:style>
  <w:style w:type="character" w:customStyle="1" w:styleId="148">
    <w:name w:val="样式 正文缩进 + 首行缩进:  2 字符 Char Char"/>
    <w:link w:val="107"/>
    <w:qFormat/>
    <w:uiPriority w:val="0"/>
    <w:rPr>
      <w:rFonts w:cs="宋体"/>
      <w:kern w:val="2"/>
      <w:sz w:val="24"/>
    </w:rPr>
  </w:style>
  <w:style w:type="character" w:customStyle="1" w:styleId="149">
    <w:name w:val="正文格式 Char"/>
    <w:link w:val="80"/>
    <w:qFormat/>
    <w:uiPriority w:val="0"/>
    <w:rPr>
      <w:rFonts w:ascii="仿宋" w:hAnsi="仿宋" w:eastAsia="仿宋"/>
      <w:kern w:val="2"/>
      <w:sz w:val="28"/>
      <w:szCs w:val="32"/>
    </w:rPr>
  </w:style>
  <w:style w:type="character" w:customStyle="1" w:styleId="150">
    <w:name w:val="正文文本缩进 3 Char"/>
    <w:link w:val="46"/>
    <w:qFormat/>
    <w:uiPriority w:val="0"/>
    <w:rPr>
      <w:kern w:val="2"/>
      <w:sz w:val="28"/>
    </w:rPr>
  </w:style>
  <w:style w:type="character" w:customStyle="1" w:styleId="151">
    <w:name w:val="标题 3 Char"/>
    <w:link w:val="6"/>
    <w:qFormat/>
    <w:uiPriority w:val="0"/>
    <w:rPr>
      <w:rFonts w:ascii="Arial" w:hAnsi="Arial" w:eastAsia="黑体"/>
      <w:sz w:val="28"/>
    </w:rPr>
  </w:style>
  <w:style w:type="character" w:customStyle="1" w:styleId="152">
    <w:name w:val="Balloon Text Char Char"/>
    <w:link w:val="93"/>
    <w:qFormat/>
    <w:uiPriority w:val="0"/>
    <w:rPr>
      <w:sz w:val="18"/>
    </w:rPr>
  </w:style>
  <w:style w:type="character" w:customStyle="1" w:styleId="153">
    <w:name w:val="标题 2 Char"/>
    <w:link w:val="5"/>
    <w:qFormat/>
    <w:uiPriority w:val="0"/>
    <w:rPr>
      <w:rFonts w:ascii="Arial" w:hAnsi="Arial" w:eastAsia="黑体"/>
      <w:b/>
      <w:bCs/>
      <w:sz w:val="32"/>
      <w:szCs w:val="32"/>
    </w:rPr>
  </w:style>
  <w:style w:type="character" w:customStyle="1" w:styleId="154">
    <w:name w:val="正文文本 2 Char"/>
    <w:link w:val="50"/>
    <w:qFormat/>
    <w:uiPriority w:val="0"/>
    <w:rPr>
      <w:kern w:val="2"/>
      <w:sz w:val="21"/>
      <w:szCs w:val="24"/>
    </w:rPr>
  </w:style>
  <w:style w:type="character" w:customStyle="1" w:styleId="155">
    <w:name w:val="Footer-Even Char Char"/>
    <w:qFormat/>
    <w:uiPriority w:val="0"/>
    <w:rPr>
      <w:kern w:val="2"/>
      <w:sz w:val="18"/>
      <w:szCs w:val="18"/>
    </w:rPr>
  </w:style>
  <w:style w:type="character" w:customStyle="1" w:styleId="156">
    <w:name w:val="日期 Char"/>
    <w:link w:val="34"/>
    <w:qFormat/>
    <w:uiPriority w:val="0"/>
    <w:rPr>
      <w:rFonts w:ascii="宋体" w:hAnsi="宋体"/>
      <w:b/>
      <w:bCs/>
      <w:kern w:val="2"/>
      <w:sz w:val="36"/>
    </w:rPr>
  </w:style>
  <w:style w:type="character" w:customStyle="1" w:styleId="157">
    <w:name w:val="标题 1 Char"/>
    <w:link w:val="3"/>
    <w:qFormat/>
    <w:uiPriority w:val="0"/>
    <w:rPr>
      <w:rFonts w:ascii="黑体" w:hAnsi="Arial" w:eastAsia="黑体"/>
      <w:b/>
      <w:spacing w:val="-20"/>
      <w:kern w:val="44"/>
      <w:sz w:val="44"/>
    </w:rPr>
  </w:style>
  <w:style w:type="character" w:customStyle="1" w:styleId="158">
    <w:name w:val="页眉 Char"/>
    <w:link w:val="39"/>
    <w:qFormat/>
    <w:uiPriority w:val="99"/>
    <w:rPr>
      <w:sz w:val="18"/>
      <w:szCs w:val="18"/>
    </w:rPr>
  </w:style>
  <w:style w:type="character" w:customStyle="1" w:styleId="159">
    <w:name w:val="textcontents"/>
    <w:basedOn w:val="65"/>
    <w:qFormat/>
    <w:uiPriority w:val="0"/>
  </w:style>
  <w:style w:type="character" w:customStyle="1" w:styleId="160">
    <w:name w:val="文档结构图 Char"/>
    <w:link w:val="20"/>
    <w:qFormat/>
    <w:uiPriority w:val="99"/>
    <w:rPr>
      <w:sz w:val="24"/>
      <w:szCs w:val="24"/>
      <w:shd w:val="clear" w:color="auto" w:fill="000080"/>
    </w:rPr>
  </w:style>
  <w:style w:type="character" w:customStyle="1" w:styleId="161">
    <w:name w:val="标题 4 Char"/>
    <w:link w:val="7"/>
    <w:qFormat/>
    <w:uiPriority w:val="0"/>
    <w:rPr>
      <w:rFonts w:ascii="Arial" w:hAnsi="Arial" w:eastAsia="黑体"/>
      <w:b/>
      <w:spacing w:val="-20"/>
      <w:sz w:val="28"/>
    </w:rPr>
  </w:style>
  <w:style w:type="paragraph" w:customStyle="1" w:styleId="162">
    <w:name w:val="font6"/>
    <w:basedOn w:val="1"/>
    <w:qFormat/>
    <w:uiPriority w:val="0"/>
    <w:pPr>
      <w:spacing w:before="100" w:beforeAutospacing="1" w:after="100" w:afterAutospacing="1"/>
    </w:pPr>
    <w:rPr>
      <w:rFonts w:ascii="宋体" w:hAnsi="宋体" w:cs="宋体"/>
      <w:sz w:val="18"/>
      <w:szCs w:val="18"/>
    </w:rPr>
  </w:style>
  <w:style w:type="paragraph" w:customStyle="1" w:styleId="163">
    <w:name w:val="font7"/>
    <w:basedOn w:val="1"/>
    <w:qFormat/>
    <w:uiPriority w:val="0"/>
    <w:pPr>
      <w:spacing w:before="100" w:beforeAutospacing="1" w:after="100" w:afterAutospacing="1"/>
    </w:pPr>
    <w:rPr>
      <w:rFonts w:ascii="Tahoma" w:hAnsi="Tahoma" w:cs="Tahoma"/>
      <w:sz w:val="18"/>
      <w:szCs w:val="18"/>
    </w:rPr>
  </w:style>
  <w:style w:type="paragraph" w:customStyle="1" w:styleId="164">
    <w:name w:val="font8"/>
    <w:basedOn w:val="1"/>
    <w:qFormat/>
    <w:uiPriority w:val="0"/>
    <w:pPr>
      <w:spacing w:before="100" w:beforeAutospacing="1" w:after="100" w:afterAutospacing="1"/>
    </w:pPr>
    <w:rPr>
      <w:rFonts w:ascii="宋体" w:hAnsi="宋体" w:cs="宋体"/>
      <w:sz w:val="18"/>
      <w:szCs w:val="18"/>
    </w:rPr>
  </w:style>
  <w:style w:type="paragraph" w:customStyle="1" w:styleId="165">
    <w:name w:val="font9"/>
    <w:basedOn w:val="1"/>
    <w:qFormat/>
    <w:uiPriority w:val="0"/>
    <w:pPr>
      <w:spacing w:before="100" w:beforeAutospacing="1" w:after="100" w:afterAutospacing="1"/>
    </w:pPr>
    <w:rPr>
      <w:rFonts w:ascii="宋体" w:hAnsi="宋体" w:cs="宋体"/>
      <w:sz w:val="18"/>
      <w:szCs w:val="18"/>
    </w:rPr>
  </w:style>
  <w:style w:type="paragraph" w:customStyle="1" w:styleId="166">
    <w:name w:val="font10"/>
    <w:basedOn w:val="1"/>
    <w:qFormat/>
    <w:uiPriority w:val="0"/>
    <w:pPr>
      <w:spacing w:before="100" w:beforeAutospacing="1" w:after="100" w:afterAutospacing="1"/>
    </w:pPr>
    <w:rPr>
      <w:rFonts w:ascii="宋体" w:hAnsi="宋体" w:cs="宋体"/>
      <w:sz w:val="18"/>
      <w:szCs w:val="18"/>
    </w:rPr>
  </w:style>
  <w:style w:type="paragraph" w:customStyle="1" w:styleId="167">
    <w:name w:val="font11"/>
    <w:basedOn w:val="1"/>
    <w:qFormat/>
    <w:uiPriority w:val="0"/>
    <w:pPr>
      <w:spacing w:before="100" w:beforeAutospacing="1" w:after="100" w:afterAutospacing="1"/>
    </w:pPr>
    <w:rPr>
      <w:rFonts w:ascii="宋体" w:hAnsi="宋体" w:cs="宋体"/>
      <w:sz w:val="18"/>
      <w:szCs w:val="18"/>
    </w:rPr>
  </w:style>
  <w:style w:type="paragraph" w:customStyle="1" w:styleId="168">
    <w:name w:val="font12"/>
    <w:basedOn w:val="1"/>
    <w:qFormat/>
    <w:uiPriority w:val="0"/>
    <w:pPr>
      <w:spacing w:before="100" w:beforeAutospacing="1" w:after="100" w:afterAutospacing="1"/>
    </w:pPr>
    <w:rPr>
      <w:rFonts w:ascii="宋体" w:hAnsi="宋体" w:cs="宋体"/>
      <w:sz w:val="18"/>
      <w:szCs w:val="18"/>
    </w:rPr>
  </w:style>
  <w:style w:type="paragraph" w:customStyle="1" w:styleId="169">
    <w:name w:val="font13"/>
    <w:basedOn w:val="1"/>
    <w:qFormat/>
    <w:uiPriority w:val="0"/>
    <w:pPr>
      <w:spacing w:before="100" w:beforeAutospacing="1" w:after="100" w:afterAutospacing="1"/>
    </w:pPr>
    <w:rPr>
      <w:rFonts w:ascii="宋体" w:hAnsi="宋体" w:cs="宋体"/>
      <w:sz w:val="18"/>
      <w:szCs w:val="18"/>
    </w:rPr>
  </w:style>
  <w:style w:type="paragraph" w:customStyle="1" w:styleId="170">
    <w:name w:val="font14"/>
    <w:basedOn w:val="1"/>
    <w:qFormat/>
    <w:uiPriority w:val="0"/>
    <w:pPr>
      <w:spacing w:before="100" w:beforeAutospacing="1" w:after="100" w:afterAutospacing="1"/>
    </w:pPr>
    <w:rPr>
      <w:rFonts w:ascii="宋体" w:hAnsi="宋体" w:cs="宋体"/>
      <w:sz w:val="18"/>
      <w:szCs w:val="18"/>
    </w:rPr>
  </w:style>
  <w:style w:type="paragraph" w:customStyle="1" w:styleId="171">
    <w:name w:val="font15"/>
    <w:basedOn w:val="1"/>
    <w:qFormat/>
    <w:uiPriority w:val="0"/>
    <w:pPr>
      <w:spacing w:before="100" w:beforeAutospacing="1" w:after="100" w:afterAutospacing="1"/>
    </w:pPr>
    <w:rPr>
      <w:rFonts w:ascii="宋体" w:hAnsi="宋体" w:cs="宋体"/>
      <w:color w:val="000000"/>
      <w:sz w:val="20"/>
      <w:szCs w:val="20"/>
    </w:rPr>
  </w:style>
  <w:style w:type="paragraph" w:customStyle="1" w:styleId="172">
    <w:name w:val="font16"/>
    <w:basedOn w:val="1"/>
    <w:qFormat/>
    <w:uiPriority w:val="0"/>
    <w:pPr>
      <w:spacing w:before="100" w:beforeAutospacing="1" w:after="100" w:afterAutospacing="1"/>
    </w:pPr>
    <w:rPr>
      <w:rFonts w:ascii="宋体" w:hAnsi="宋体" w:cs="宋体"/>
      <w:sz w:val="20"/>
      <w:szCs w:val="20"/>
    </w:rPr>
  </w:style>
  <w:style w:type="paragraph" w:customStyle="1" w:styleId="173">
    <w:name w:val="font17"/>
    <w:basedOn w:val="1"/>
    <w:qFormat/>
    <w:uiPriority w:val="0"/>
    <w:pPr>
      <w:spacing w:before="100" w:beforeAutospacing="1" w:after="100" w:afterAutospacing="1"/>
    </w:pPr>
    <w:rPr>
      <w:rFonts w:ascii="宋体" w:hAnsi="宋体" w:cs="宋体"/>
      <w:color w:val="000000"/>
      <w:sz w:val="20"/>
      <w:szCs w:val="20"/>
    </w:rPr>
  </w:style>
  <w:style w:type="paragraph" w:customStyle="1" w:styleId="174">
    <w:name w:val="font18"/>
    <w:basedOn w:val="1"/>
    <w:qFormat/>
    <w:uiPriority w:val="0"/>
    <w:pPr>
      <w:spacing w:before="100" w:beforeAutospacing="1" w:after="100" w:afterAutospacing="1"/>
    </w:pPr>
    <w:rPr>
      <w:rFonts w:ascii="宋体" w:hAnsi="宋体" w:cs="宋体"/>
      <w:sz w:val="18"/>
      <w:szCs w:val="18"/>
    </w:rPr>
  </w:style>
  <w:style w:type="paragraph" w:customStyle="1" w:styleId="175">
    <w:name w:val="font19"/>
    <w:basedOn w:val="1"/>
    <w:qFormat/>
    <w:uiPriority w:val="0"/>
    <w:pPr>
      <w:spacing w:before="100" w:beforeAutospacing="1" w:after="100" w:afterAutospacing="1"/>
    </w:pPr>
    <w:rPr>
      <w:rFonts w:ascii="宋体" w:hAnsi="宋体" w:cs="宋体"/>
      <w:sz w:val="18"/>
      <w:szCs w:val="18"/>
    </w:rPr>
  </w:style>
  <w:style w:type="paragraph" w:customStyle="1" w:styleId="176">
    <w:name w:val="xl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177">
    <w:name w:val="xl8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178">
    <w:name w:val="xl8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179">
    <w:name w:val="xl9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0"/>
      <w:szCs w:val="20"/>
    </w:rPr>
  </w:style>
  <w:style w:type="paragraph" w:customStyle="1" w:styleId="180">
    <w:name w:val="xl9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81">
    <w:name w:val="xl9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82">
    <w:name w:val="xl9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183">
    <w:name w:val="xl9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84">
    <w:name w:val="xl9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sz w:val="20"/>
      <w:szCs w:val="20"/>
    </w:rPr>
  </w:style>
  <w:style w:type="paragraph" w:customStyle="1" w:styleId="185">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86">
    <w:name w:val="xl9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187">
    <w:name w:val="xl9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188">
    <w:name w:val="xl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89">
    <w:name w:val="xl10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90">
    <w:name w:val="xl10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91">
    <w:name w:val="xl10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92">
    <w:name w:val="xl10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93">
    <w:name w:val="xl1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94">
    <w:name w:val="xl10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195">
    <w:name w:val="xl10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sz w:val="20"/>
      <w:szCs w:val="20"/>
    </w:rPr>
  </w:style>
  <w:style w:type="paragraph" w:customStyle="1" w:styleId="196">
    <w:name w:val="xl10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197">
    <w:name w:val="xl10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198">
    <w:name w:val="xl10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199">
    <w:name w:val="xl11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200">
    <w:name w:val="xl11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201">
    <w:name w:val="xl112"/>
    <w:basedOn w:val="1"/>
    <w:qFormat/>
    <w:uiPriority w:val="0"/>
    <w:pPr>
      <w:shd w:val="clear" w:color="000000" w:fill="FFFFFF"/>
      <w:spacing w:before="100" w:beforeAutospacing="1" w:after="100" w:afterAutospacing="1"/>
    </w:pPr>
    <w:rPr>
      <w:rFonts w:ascii="宋体" w:hAnsi="宋体" w:cs="宋体"/>
      <w:sz w:val="20"/>
      <w:szCs w:val="20"/>
    </w:rPr>
  </w:style>
  <w:style w:type="paragraph" w:customStyle="1" w:styleId="202">
    <w:name w:val="xl113"/>
    <w:basedOn w:val="1"/>
    <w:qFormat/>
    <w:uiPriority w:val="0"/>
    <w:pPr>
      <w:shd w:val="clear" w:color="000000" w:fill="FFFFFF"/>
      <w:spacing w:before="100" w:beforeAutospacing="1" w:after="100" w:afterAutospacing="1"/>
      <w:jc w:val="center"/>
    </w:pPr>
    <w:rPr>
      <w:rFonts w:ascii="宋体" w:hAnsi="宋体" w:cs="宋体"/>
      <w:sz w:val="20"/>
      <w:szCs w:val="20"/>
    </w:rPr>
  </w:style>
  <w:style w:type="paragraph" w:customStyle="1" w:styleId="203">
    <w:name w:val="xl114"/>
    <w:basedOn w:val="1"/>
    <w:qFormat/>
    <w:uiPriority w:val="0"/>
    <w:pPr>
      <w:shd w:val="clear" w:color="000000" w:fill="FFFFFF"/>
      <w:spacing w:before="100" w:beforeAutospacing="1" w:after="100" w:afterAutospacing="1"/>
    </w:pPr>
    <w:rPr>
      <w:rFonts w:ascii="宋体" w:hAnsi="宋体" w:cs="宋体"/>
      <w:sz w:val="20"/>
      <w:szCs w:val="20"/>
    </w:rPr>
  </w:style>
  <w:style w:type="paragraph" w:customStyle="1" w:styleId="204">
    <w:name w:val="xl115"/>
    <w:basedOn w:val="1"/>
    <w:qFormat/>
    <w:uiPriority w:val="0"/>
    <w:pPr>
      <w:shd w:val="clear" w:color="000000" w:fill="FFFFFF"/>
      <w:spacing w:before="100" w:beforeAutospacing="1" w:after="100" w:afterAutospacing="1"/>
      <w:jc w:val="center"/>
    </w:pPr>
    <w:rPr>
      <w:rFonts w:ascii="宋体" w:hAnsi="宋体" w:cs="宋体"/>
      <w:sz w:val="20"/>
      <w:szCs w:val="20"/>
    </w:rPr>
  </w:style>
  <w:style w:type="paragraph" w:customStyle="1" w:styleId="205">
    <w:name w:val="xl11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06">
    <w:name w:val="xl11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207">
    <w:name w:val="xl11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sz w:val="20"/>
      <w:szCs w:val="20"/>
    </w:rPr>
  </w:style>
  <w:style w:type="paragraph" w:customStyle="1" w:styleId="208">
    <w:name w:val="xl11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0"/>
      <w:szCs w:val="20"/>
    </w:rPr>
  </w:style>
  <w:style w:type="paragraph" w:customStyle="1" w:styleId="209">
    <w:name w:val="xl12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sz w:val="20"/>
      <w:szCs w:val="20"/>
    </w:rPr>
  </w:style>
  <w:style w:type="paragraph" w:customStyle="1" w:styleId="210">
    <w:name w:val="xl12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11">
    <w:name w:val="xl12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12">
    <w:name w:val="xl12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13">
    <w:name w:val="xl12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14">
    <w:name w:val="xl12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15">
    <w:name w:val="xl12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color w:val="000000"/>
      <w:sz w:val="20"/>
      <w:szCs w:val="20"/>
    </w:rPr>
  </w:style>
  <w:style w:type="paragraph" w:customStyle="1" w:styleId="216">
    <w:name w:val="xl12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17">
    <w:name w:val="xl12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18">
    <w:name w:val="xl12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19">
    <w:name w:val="xl13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0"/>
      <w:szCs w:val="20"/>
    </w:rPr>
  </w:style>
  <w:style w:type="paragraph" w:customStyle="1" w:styleId="220">
    <w:name w:val="xl13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21">
    <w:name w:val="xl13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22">
    <w:name w:val="xl13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223">
    <w:name w:val="xl13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0"/>
      <w:szCs w:val="20"/>
    </w:rPr>
  </w:style>
  <w:style w:type="paragraph" w:customStyle="1" w:styleId="224">
    <w:name w:val="xl13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225">
    <w:name w:val="xl13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226">
    <w:name w:val="xl137"/>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27">
    <w:name w:val="xl13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28">
    <w:name w:val="xl13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29">
    <w:name w:val="xl14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30">
    <w:name w:val="xl14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31">
    <w:name w:val="xl14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32">
    <w:name w:val="xl143"/>
    <w:basedOn w:val="1"/>
    <w:qFormat/>
    <w:uiPriority w:val="0"/>
    <w:pPr>
      <w:pBdr>
        <w:top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33">
    <w:name w:val="xl144"/>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34">
    <w:name w:val="xl145"/>
    <w:basedOn w:val="1"/>
    <w:qFormat/>
    <w:uiPriority w:val="0"/>
    <w:pPr>
      <w:pBdr>
        <w:top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35">
    <w:name w:val="xl146"/>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36">
    <w:name w:val="xl147"/>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37">
    <w:name w:val="xl148"/>
    <w:basedOn w:val="1"/>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38">
    <w:name w:val="xl149"/>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39">
    <w:name w:val="xl15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40">
    <w:name w:val="xl15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241">
    <w:name w:val="xl15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42">
    <w:name w:val="xl153"/>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43">
    <w:name w:val="xl154"/>
    <w:basedOn w:val="1"/>
    <w:qFormat/>
    <w:uiPriority w:val="0"/>
    <w:pPr>
      <w:pBdr>
        <w:top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44">
    <w:name w:val="xl155"/>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45">
    <w:name w:val="xl15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246">
    <w:name w:val="!标题1 Ctrl+1"/>
    <w:basedOn w:val="3"/>
    <w:next w:val="247"/>
    <w:link w:val="302"/>
    <w:qFormat/>
    <w:uiPriority w:val="0"/>
    <w:pPr>
      <w:keepNext w:val="0"/>
      <w:keepLines w:val="0"/>
      <w:numPr>
        <w:numId w:val="6"/>
      </w:numPr>
      <w:spacing w:beforeLines="100" w:line="360" w:lineRule="auto"/>
      <w:ind w:firstLine="0" w:firstLineChars="0"/>
    </w:pPr>
    <w:rPr>
      <w:rFonts w:ascii="宋体" w:hAnsi="宋体" w:eastAsia="宋体"/>
      <w:kern w:val="2"/>
      <w:sz w:val="36"/>
      <w:szCs w:val="36"/>
    </w:rPr>
  </w:style>
  <w:style w:type="paragraph" w:customStyle="1" w:styleId="247">
    <w:name w:val="!我的正文 Ctr+Q"/>
    <w:basedOn w:val="4"/>
    <w:link w:val="283"/>
    <w:qFormat/>
    <w:uiPriority w:val="0"/>
    <w:pPr>
      <w:adjustRightInd w:val="0"/>
      <w:snapToGrid w:val="0"/>
      <w:ind w:firstLine="480"/>
    </w:pPr>
  </w:style>
  <w:style w:type="paragraph" w:customStyle="1" w:styleId="248">
    <w:name w:val="!标题2 Ctrl+2"/>
    <w:basedOn w:val="5"/>
    <w:next w:val="247"/>
    <w:link w:val="277"/>
    <w:qFormat/>
    <w:uiPriority w:val="0"/>
    <w:pPr>
      <w:keepNext w:val="0"/>
      <w:keepLines w:val="0"/>
      <w:adjustRightInd w:val="0"/>
      <w:snapToGrid w:val="0"/>
      <w:spacing w:line="360" w:lineRule="auto"/>
      <w:ind w:left="420" w:hanging="420"/>
    </w:pPr>
    <w:rPr>
      <w:rFonts w:ascii="宋体" w:hAnsi="宋体" w:eastAsia="宋体"/>
      <w:bCs w:val="0"/>
      <w:szCs w:val="36"/>
      <w:lang w:val="zh-CN"/>
    </w:rPr>
  </w:style>
  <w:style w:type="paragraph" w:customStyle="1" w:styleId="249">
    <w:name w:val="!标题3 Ctrl+3"/>
    <w:basedOn w:val="6"/>
    <w:next w:val="247"/>
    <w:link w:val="276"/>
    <w:qFormat/>
    <w:uiPriority w:val="0"/>
    <w:pPr>
      <w:keepNext w:val="0"/>
      <w:keepLines w:val="0"/>
      <w:snapToGrid w:val="0"/>
      <w:ind w:left="720" w:hanging="420"/>
    </w:pPr>
    <w:rPr>
      <w:rFonts w:ascii="宋体" w:hAnsi="宋体" w:eastAsia="宋体"/>
      <w:sz w:val="30"/>
      <w:szCs w:val="30"/>
    </w:rPr>
  </w:style>
  <w:style w:type="paragraph" w:customStyle="1" w:styleId="250">
    <w:name w:val="!标题4 Ctrl+4"/>
    <w:basedOn w:val="4"/>
    <w:next w:val="247"/>
    <w:link w:val="284"/>
    <w:qFormat/>
    <w:uiPriority w:val="0"/>
    <w:pPr>
      <w:numPr>
        <w:ilvl w:val="3"/>
        <w:numId w:val="7"/>
      </w:numPr>
      <w:tabs>
        <w:tab w:val="left" w:pos="360"/>
      </w:tabs>
      <w:adjustRightInd w:val="0"/>
      <w:snapToGrid w:val="0"/>
      <w:spacing w:before="120" w:after="120"/>
      <w:ind w:left="0" w:firstLine="0" w:firstLineChars="0"/>
      <w:outlineLvl w:val="3"/>
    </w:pPr>
    <w:rPr>
      <w:rFonts w:asciiTheme="minorEastAsia" w:hAnsiTheme="minorEastAsia" w:eastAsiaTheme="minorEastAsia"/>
      <w:b/>
      <w:szCs w:val="24"/>
    </w:rPr>
  </w:style>
  <w:style w:type="paragraph" w:customStyle="1" w:styleId="251">
    <w:name w:val="!标题5 Ctrl+5"/>
    <w:basedOn w:val="4"/>
    <w:next w:val="247"/>
    <w:link w:val="375"/>
    <w:qFormat/>
    <w:uiPriority w:val="0"/>
    <w:pPr>
      <w:numPr>
        <w:ilvl w:val="4"/>
        <w:numId w:val="7"/>
      </w:numPr>
      <w:adjustRightInd w:val="0"/>
      <w:snapToGrid w:val="0"/>
      <w:spacing w:before="120" w:after="120"/>
      <w:ind w:firstLine="0" w:firstLineChars="0"/>
      <w:outlineLvl w:val="4"/>
    </w:pPr>
    <w:rPr>
      <w:rFonts w:asciiTheme="minorEastAsia" w:hAnsiTheme="minorEastAsia" w:eastAsiaTheme="minorEastAsia"/>
      <w:b/>
      <w:szCs w:val="24"/>
      <w:lang w:val="zh-CN"/>
    </w:rPr>
  </w:style>
  <w:style w:type="paragraph" w:customStyle="1" w:styleId="252">
    <w:name w:val="l正文"/>
    <w:basedOn w:val="1"/>
    <w:link w:val="380"/>
    <w:qFormat/>
    <w:uiPriority w:val="0"/>
    <w:pPr>
      <w:spacing w:line="360" w:lineRule="auto"/>
      <w:ind w:firstLine="480" w:firstLineChars="200"/>
    </w:pPr>
    <w:rPr>
      <w:rFonts w:ascii="宋体" w:hAnsi="宋体"/>
    </w:rPr>
  </w:style>
  <w:style w:type="paragraph" w:customStyle="1" w:styleId="253">
    <w:name w:val="!标题6 Ctrl+6"/>
    <w:basedOn w:val="1"/>
    <w:next w:val="247"/>
    <w:link w:val="525"/>
    <w:qFormat/>
    <w:uiPriority w:val="0"/>
    <w:pPr>
      <w:numPr>
        <w:ilvl w:val="5"/>
        <w:numId w:val="7"/>
      </w:numPr>
      <w:adjustRightInd w:val="0"/>
      <w:snapToGrid w:val="0"/>
      <w:spacing w:beforeLines="50" w:afterLines="50" w:line="360" w:lineRule="auto"/>
      <w:outlineLvl w:val="5"/>
    </w:pPr>
    <w:rPr>
      <w:rFonts w:ascii="宋体" w:hAnsi="宋体"/>
      <w:b/>
      <w:szCs w:val="20"/>
      <w:lang w:val="zh-CN"/>
    </w:rPr>
  </w:style>
  <w:style w:type="paragraph" w:customStyle="1" w:styleId="254">
    <w:name w:val="D正文"/>
    <w:basedOn w:val="1"/>
    <w:qFormat/>
    <w:uiPriority w:val="99"/>
    <w:pPr>
      <w:spacing w:beforeLines="50" w:afterLines="50" w:line="360" w:lineRule="auto"/>
      <w:ind w:firstLine="200" w:firstLineChars="200"/>
    </w:pPr>
    <w:rPr>
      <w:color w:val="000000"/>
      <w:szCs w:val="20"/>
    </w:rPr>
  </w:style>
  <w:style w:type="paragraph" w:customStyle="1" w:styleId="255">
    <w:name w:val="样式11"/>
    <w:basedOn w:val="24"/>
    <w:link w:val="975"/>
    <w:qFormat/>
    <w:uiPriority w:val="0"/>
    <w:pPr>
      <w:spacing w:afterLines="50" w:line="360" w:lineRule="auto"/>
      <w:ind w:firstLine="480" w:firstLineChars="200"/>
    </w:pPr>
    <w:rPr>
      <w:rFonts w:ascii="宋体" w:hAnsi="宋体"/>
      <w:sz w:val="24"/>
      <w:szCs w:val="24"/>
      <w:lang w:val="zh-CN"/>
    </w:rPr>
  </w:style>
  <w:style w:type="paragraph" w:customStyle="1" w:styleId="256">
    <w:name w:val="nor"/>
    <w:basedOn w:val="257"/>
    <w:link w:val="524"/>
    <w:qFormat/>
    <w:uiPriority w:val="0"/>
    <w:pPr>
      <w:spacing w:line="360" w:lineRule="auto"/>
      <w:ind w:left="0" w:leftChars="0" w:firstLine="640" w:firstLineChars="200"/>
    </w:pPr>
    <w:rPr>
      <w:rFonts w:ascii="仿宋_GB2312" w:eastAsia="仿宋_GB2312"/>
      <w:sz w:val="32"/>
      <w:szCs w:val="32"/>
    </w:rPr>
  </w:style>
  <w:style w:type="paragraph" w:customStyle="1" w:styleId="257">
    <w:name w:val="正文2"/>
    <w:basedOn w:val="1"/>
    <w:link w:val="497"/>
    <w:qFormat/>
    <w:uiPriority w:val="0"/>
    <w:pPr>
      <w:ind w:left="400" w:leftChars="400"/>
    </w:pPr>
  </w:style>
  <w:style w:type="paragraph" w:styleId="258">
    <w:name w:val="List Paragraph"/>
    <w:basedOn w:val="1"/>
    <w:link w:val="427"/>
    <w:qFormat/>
    <w:uiPriority w:val="34"/>
    <w:pPr>
      <w:spacing w:beforeLines="50" w:afterLines="50" w:line="360" w:lineRule="auto"/>
      <w:ind w:firstLine="420" w:firstLineChars="200"/>
    </w:pPr>
    <w:rPr>
      <w:rFonts w:ascii="Calibri" w:hAnsi="Calibri"/>
    </w:rPr>
  </w:style>
  <w:style w:type="paragraph" w:customStyle="1" w:styleId="259">
    <w:name w:val="内容文本"/>
    <w:basedOn w:val="258"/>
    <w:link w:val="625"/>
    <w:qFormat/>
    <w:uiPriority w:val="0"/>
    <w:pPr>
      <w:spacing w:beforeLines="0" w:beforeAutospacing="1" w:afterLines="0" w:afterAutospacing="1"/>
      <w:ind w:firstLine="200"/>
      <w:contextualSpacing/>
    </w:pPr>
    <w:rPr>
      <w:rFonts w:ascii="宋体" w:hAnsi="宋体" w:eastAsiaTheme="minorEastAsia" w:cstheme="minorBidi"/>
      <w:lang w:eastAsia="en-US" w:bidi="en-US"/>
    </w:rPr>
  </w:style>
  <w:style w:type="paragraph" w:customStyle="1" w:styleId="260">
    <w:name w:val="*正文"/>
    <w:basedOn w:val="1"/>
    <w:link w:val="420"/>
    <w:qFormat/>
    <w:uiPriority w:val="0"/>
    <w:pPr>
      <w:spacing w:line="360" w:lineRule="auto"/>
      <w:ind w:firstLine="482"/>
    </w:pPr>
    <w:rPr>
      <w:rFonts w:ascii="宋体" w:hAnsi="宋体"/>
      <w:szCs w:val="20"/>
    </w:rPr>
  </w:style>
  <w:style w:type="character" w:customStyle="1" w:styleId="261">
    <w:name w:val="标题 5 Char"/>
    <w:basedOn w:val="65"/>
    <w:link w:val="8"/>
    <w:qFormat/>
    <w:uiPriority w:val="0"/>
    <w:rPr>
      <w:rFonts w:ascii="黑体" w:eastAsia="黑体"/>
      <w:b/>
      <w:spacing w:val="-20"/>
      <w:sz w:val="28"/>
    </w:rPr>
  </w:style>
  <w:style w:type="character" w:customStyle="1" w:styleId="262">
    <w:name w:val="标题 6 Char"/>
    <w:basedOn w:val="65"/>
    <w:link w:val="9"/>
    <w:qFormat/>
    <w:uiPriority w:val="0"/>
    <w:rPr>
      <w:rFonts w:ascii="Arial" w:hAnsi="Arial" w:eastAsia="黑体"/>
      <w:b/>
      <w:spacing w:val="-20"/>
      <w:sz w:val="24"/>
    </w:rPr>
  </w:style>
  <w:style w:type="character" w:customStyle="1" w:styleId="263">
    <w:name w:val="标题 7 Char"/>
    <w:basedOn w:val="65"/>
    <w:link w:val="10"/>
    <w:qFormat/>
    <w:uiPriority w:val="9"/>
    <w:rPr>
      <w:rFonts w:ascii="黑体" w:eastAsia="黑体"/>
      <w:b/>
      <w:spacing w:val="-20"/>
      <w:sz w:val="24"/>
    </w:rPr>
  </w:style>
  <w:style w:type="character" w:customStyle="1" w:styleId="264">
    <w:name w:val="标题 8 Char"/>
    <w:basedOn w:val="65"/>
    <w:link w:val="11"/>
    <w:qFormat/>
    <w:uiPriority w:val="9"/>
    <w:rPr>
      <w:rFonts w:ascii="Arial" w:hAnsi="Arial" w:eastAsia="黑体"/>
      <w:spacing w:val="-20"/>
      <w:sz w:val="24"/>
    </w:rPr>
  </w:style>
  <w:style w:type="character" w:customStyle="1" w:styleId="265">
    <w:name w:val="标题 9 Char"/>
    <w:basedOn w:val="65"/>
    <w:link w:val="12"/>
    <w:qFormat/>
    <w:uiPriority w:val="9"/>
    <w:rPr>
      <w:rFonts w:ascii="Arial" w:hAnsi="Arial" w:eastAsia="黑体"/>
      <w:spacing w:val="-20"/>
      <w:sz w:val="24"/>
    </w:rPr>
  </w:style>
  <w:style w:type="paragraph" w:customStyle="1" w:styleId="266">
    <w:name w:val="!圆点编号 Alt+Y"/>
    <w:basedOn w:val="4"/>
    <w:qFormat/>
    <w:uiPriority w:val="0"/>
    <w:pPr>
      <w:widowControl w:val="0"/>
      <w:numPr>
        <w:ilvl w:val="0"/>
        <w:numId w:val="8"/>
      </w:numPr>
      <w:snapToGrid w:val="0"/>
      <w:spacing w:before="50" w:after="50"/>
      <w:ind w:left="902"/>
    </w:pPr>
    <w:rPr>
      <w:kern w:val="2"/>
    </w:rPr>
  </w:style>
  <w:style w:type="paragraph" w:customStyle="1" w:styleId="267">
    <w:name w:val="!圆点加粗"/>
    <w:basedOn w:val="266"/>
    <w:qFormat/>
    <w:uiPriority w:val="0"/>
    <w:rPr>
      <w:rFonts w:eastAsia="黑体" w:cs="Arial"/>
      <w:b/>
    </w:rPr>
  </w:style>
  <w:style w:type="paragraph" w:customStyle="1" w:styleId="268">
    <w:name w:val="!楔形加粗"/>
    <w:basedOn w:val="269"/>
    <w:qFormat/>
    <w:uiPriority w:val="0"/>
    <w:pPr>
      <w:numPr>
        <w:ilvl w:val="2"/>
        <w:numId w:val="9"/>
      </w:numPr>
      <w:tabs>
        <w:tab w:val="left" w:pos="908"/>
        <w:tab w:val="left" w:pos="1260"/>
        <w:tab w:val="clear" w:pos="902"/>
      </w:tabs>
      <w:ind w:left="908" w:hanging="426"/>
    </w:pPr>
    <w:rPr>
      <w:rFonts w:eastAsia="黑体" w:cs="Arial"/>
      <w:b/>
    </w:rPr>
  </w:style>
  <w:style w:type="paragraph" w:customStyle="1" w:styleId="269">
    <w:name w:val="!楔形编号 Alt+X"/>
    <w:basedOn w:val="247"/>
    <w:link w:val="285"/>
    <w:qFormat/>
    <w:uiPriority w:val="0"/>
    <w:pPr>
      <w:widowControl w:val="0"/>
      <w:numPr>
        <w:ilvl w:val="0"/>
        <w:numId w:val="10"/>
      </w:numPr>
      <w:spacing w:before="50" w:after="50"/>
      <w:ind w:hanging="420" w:firstLineChars="0"/>
    </w:pPr>
    <w:rPr>
      <w:kern w:val="2"/>
    </w:rPr>
  </w:style>
  <w:style w:type="paragraph" w:customStyle="1" w:styleId="270">
    <w:name w:val="!双列正文 Alt+S"/>
    <w:basedOn w:val="247"/>
    <w:qFormat/>
    <w:uiPriority w:val="0"/>
    <w:pPr>
      <w:widowControl w:val="0"/>
      <w:tabs>
        <w:tab w:val="left" w:pos="3600"/>
      </w:tabs>
      <w:spacing w:before="50" w:after="50"/>
      <w:ind w:left="3600" w:hanging="3118" w:firstLineChars="0"/>
    </w:pPr>
    <w:rPr>
      <w:kern w:val="2"/>
    </w:rPr>
  </w:style>
  <w:style w:type="paragraph" w:customStyle="1" w:styleId="271">
    <w:name w:val="!表格文字五号"/>
    <w:basedOn w:val="4"/>
    <w:qFormat/>
    <w:uiPriority w:val="0"/>
    <w:pPr>
      <w:widowControl w:val="0"/>
      <w:spacing w:before="50" w:after="50"/>
    </w:pPr>
    <w:rPr>
      <w:kern w:val="2"/>
    </w:rPr>
  </w:style>
  <w:style w:type="paragraph" w:customStyle="1" w:styleId="272">
    <w:name w:val="!目录"/>
    <w:basedOn w:val="1"/>
    <w:qFormat/>
    <w:uiPriority w:val="0"/>
    <w:pPr>
      <w:widowControl w:val="0"/>
      <w:spacing w:beforeLines="50" w:afterLines="50" w:line="360" w:lineRule="auto"/>
      <w:ind w:firstLine="200" w:firstLineChars="200"/>
      <w:jc w:val="center"/>
    </w:pPr>
    <w:rPr>
      <w:rFonts w:ascii="黑体" w:eastAsia="黑体"/>
      <w:b/>
      <w:kern w:val="2"/>
      <w:sz w:val="44"/>
      <w:szCs w:val="44"/>
    </w:rPr>
  </w:style>
  <w:style w:type="paragraph" w:customStyle="1" w:styleId="273">
    <w:name w:val="!正文居中"/>
    <w:basedOn w:val="247"/>
    <w:next w:val="247"/>
    <w:qFormat/>
    <w:uiPriority w:val="0"/>
    <w:pPr>
      <w:widowControl w:val="0"/>
      <w:spacing w:before="50" w:after="50"/>
      <w:ind w:firstLine="0" w:firstLineChars="0"/>
      <w:jc w:val="center"/>
    </w:pPr>
    <w:rPr>
      <w:kern w:val="2"/>
    </w:rPr>
  </w:style>
  <w:style w:type="paragraph" w:customStyle="1" w:styleId="274">
    <w:name w:val="!表格文字小四"/>
    <w:basedOn w:val="4"/>
    <w:next w:val="247"/>
    <w:qFormat/>
    <w:uiPriority w:val="0"/>
    <w:pPr>
      <w:widowControl w:val="0"/>
      <w:spacing w:before="50" w:after="50" w:line="240" w:lineRule="auto"/>
      <w:ind w:firstLine="0" w:firstLineChars="0"/>
    </w:pPr>
    <w:rPr>
      <w:kern w:val="2"/>
      <w:szCs w:val="24"/>
    </w:rPr>
  </w:style>
  <w:style w:type="paragraph" w:customStyle="1" w:styleId="275">
    <w:name w:val="!加粗小标题 Alt+B"/>
    <w:basedOn w:val="247"/>
    <w:qFormat/>
    <w:uiPriority w:val="0"/>
    <w:pPr>
      <w:widowControl w:val="0"/>
      <w:spacing w:before="50" w:after="50"/>
      <w:ind w:firstLine="482"/>
    </w:pPr>
    <w:rPr>
      <w:rFonts w:eastAsia="黑体"/>
      <w:b/>
      <w:kern w:val="2"/>
      <w:szCs w:val="24"/>
    </w:rPr>
  </w:style>
  <w:style w:type="character" w:customStyle="1" w:styleId="276">
    <w:name w:val="!标题3 Ctrl+3 Char Char"/>
    <w:link w:val="249"/>
    <w:qFormat/>
    <w:uiPriority w:val="0"/>
    <w:rPr>
      <w:rFonts w:ascii="宋体" w:hAnsi="宋体"/>
      <w:sz w:val="30"/>
      <w:szCs w:val="30"/>
    </w:rPr>
  </w:style>
  <w:style w:type="character" w:customStyle="1" w:styleId="277">
    <w:name w:val="!标题2 Ctrl+2 Char"/>
    <w:link w:val="248"/>
    <w:qFormat/>
    <w:uiPriority w:val="0"/>
    <w:rPr>
      <w:rFonts w:ascii="宋体" w:hAnsi="宋体"/>
      <w:b/>
      <w:sz w:val="32"/>
      <w:szCs w:val="36"/>
      <w:lang w:val="zh-CN"/>
    </w:rPr>
  </w:style>
  <w:style w:type="paragraph" w:customStyle="1" w:styleId="278">
    <w:name w:val="puce_1"/>
    <w:basedOn w:val="1"/>
    <w:qFormat/>
    <w:uiPriority w:val="0"/>
    <w:pPr>
      <w:numPr>
        <w:ilvl w:val="0"/>
        <w:numId w:val="11"/>
      </w:numPr>
      <w:tabs>
        <w:tab w:val="left" w:pos="426"/>
      </w:tabs>
      <w:spacing w:beforeLines="50" w:afterLines="50" w:line="360" w:lineRule="auto"/>
      <w:ind w:firstLine="200" w:firstLineChars="200"/>
    </w:pPr>
    <w:rPr>
      <w:rFonts w:ascii="FuturaA Md BT" w:hAnsi="FuturaA Md BT"/>
      <w:sz w:val="22"/>
      <w:szCs w:val="20"/>
      <w:lang w:eastAsia="en-US"/>
    </w:rPr>
  </w:style>
  <w:style w:type="paragraph" w:customStyle="1" w:styleId="279">
    <w:name w:val="!菱形加粗"/>
    <w:basedOn w:val="247"/>
    <w:qFormat/>
    <w:uiPriority w:val="0"/>
    <w:pPr>
      <w:widowControl w:val="0"/>
      <w:numPr>
        <w:ilvl w:val="0"/>
        <w:numId w:val="12"/>
      </w:numPr>
      <w:adjustRightInd/>
      <w:spacing w:before="50" w:after="50"/>
      <w:ind w:left="902" w:firstLine="0" w:firstLineChars="0"/>
    </w:pPr>
    <w:rPr>
      <w:rFonts w:eastAsia="黑体" w:cs="Arial"/>
      <w:b/>
      <w:kern w:val="2"/>
      <w:szCs w:val="24"/>
    </w:rPr>
  </w:style>
  <w:style w:type="paragraph" w:customStyle="1" w:styleId="280">
    <w:name w:val="!方块加粗"/>
    <w:basedOn w:val="247"/>
    <w:qFormat/>
    <w:uiPriority w:val="0"/>
    <w:pPr>
      <w:widowControl w:val="0"/>
      <w:numPr>
        <w:ilvl w:val="0"/>
        <w:numId w:val="13"/>
      </w:numPr>
      <w:adjustRightInd/>
      <w:spacing w:before="50" w:after="50"/>
      <w:ind w:firstLine="0" w:firstLineChars="0"/>
    </w:pPr>
    <w:rPr>
      <w:rFonts w:eastAsia="黑体" w:cs="Arial"/>
      <w:b/>
      <w:kern w:val="2"/>
      <w:szCs w:val="24"/>
    </w:rPr>
  </w:style>
  <w:style w:type="paragraph" w:customStyle="1" w:styleId="281">
    <w:name w:val="!方块编号 Alt+F"/>
    <w:basedOn w:val="247"/>
    <w:qFormat/>
    <w:uiPriority w:val="0"/>
    <w:pPr>
      <w:widowControl w:val="0"/>
      <w:numPr>
        <w:ilvl w:val="1"/>
        <w:numId w:val="9"/>
      </w:numPr>
      <w:adjustRightInd/>
      <w:spacing w:before="50" w:after="50"/>
      <w:ind w:firstLine="0" w:firstLineChars="0"/>
    </w:pPr>
    <w:rPr>
      <w:kern w:val="2"/>
    </w:rPr>
  </w:style>
  <w:style w:type="paragraph" w:customStyle="1" w:styleId="282">
    <w:name w:val="!菱形编号 Alt+L"/>
    <w:basedOn w:val="247"/>
    <w:qFormat/>
    <w:uiPriority w:val="0"/>
    <w:pPr>
      <w:widowControl w:val="0"/>
      <w:numPr>
        <w:ilvl w:val="0"/>
        <w:numId w:val="14"/>
      </w:numPr>
      <w:spacing w:before="50" w:after="50"/>
      <w:ind w:firstLine="0" w:firstLineChars="0"/>
    </w:pPr>
    <w:rPr>
      <w:kern w:val="2"/>
    </w:rPr>
  </w:style>
  <w:style w:type="character" w:customStyle="1" w:styleId="283">
    <w:name w:val="!我的正文 Ctr+Q Char"/>
    <w:link w:val="247"/>
    <w:qFormat/>
    <w:uiPriority w:val="0"/>
    <w:rPr>
      <w:rFonts w:ascii="Arial" w:hAnsi="Arial"/>
      <w:sz w:val="24"/>
      <w:szCs w:val="21"/>
    </w:rPr>
  </w:style>
  <w:style w:type="character" w:customStyle="1" w:styleId="284">
    <w:name w:val="!标题4 Ctrl+4 Char"/>
    <w:link w:val="250"/>
    <w:qFormat/>
    <w:uiPriority w:val="0"/>
    <w:rPr>
      <w:rFonts w:asciiTheme="minorEastAsia" w:hAnsiTheme="minorEastAsia" w:eastAsiaTheme="minorEastAsia"/>
      <w:b/>
      <w:sz w:val="24"/>
      <w:szCs w:val="24"/>
    </w:rPr>
  </w:style>
  <w:style w:type="character" w:customStyle="1" w:styleId="285">
    <w:name w:val="!楔形编号 Alt+X Char"/>
    <w:basedOn w:val="283"/>
    <w:link w:val="269"/>
    <w:qFormat/>
    <w:uiPriority w:val="0"/>
    <w:rPr>
      <w:rFonts w:ascii="Arial" w:hAnsi="Arial"/>
      <w:kern w:val="2"/>
      <w:sz w:val="24"/>
      <w:szCs w:val="21"/>
    </w:rPr>
  </w:style>
  <w:style w:type="paragraph" w:customStyle="1" w:styleId="286">
    <w:name w:val="样式 !标题3 Ctrl+3 +"/>
    <w:basedOn w:val="1"/>
    <w:qFormat/>
    <w:uiPriority w:val="0"/>
    <w:pPr>
      <w:widowControl w:val="0"/>
      <w:tabs>
        <w:tab w:val="left" w:pos="709"/>
      </w:tabs>
      <w:adjustRightInd w:val="0"/>
      <w:snapToGrid w:val="0"/>
      <w:spacing w:beforeLines="75" w:afterLines="25" w:line="360" w:lineRule="auto"/>
      <w:ind w:firstLine="198" w:firstLineChars="200"/>
      <w:outlineLvl w:val="2"/>
    </w:pPr>
    <w:rPr>
      <w:rFonts w:ascii="Arial" w:hAnsi="Arial" w:eastAsia="黑体" w:cs="宋体"/>
      <w:b/>
      <w:bCs/>
      <w:kern w:val="2"/>
      <w:sz w:val="32"/>
      <w:szCs w:val="20"/>
    </w:rPr>
  </w:style>
  <w:style w:type="paragraph" w:customStyle="1" w:styleId="287">
    <w:name w:val="文档标题1"/>
    <w:basedOn w:val="3"/>
    <w:next w:val="1"/>
    <w:qFormat/>
    <w:uiPriority w:val="0"/>
    <w:pPr>
      <w:numPr>
        <w:numId w:val="15"/>
      </w:numPr>
      <w:tabs>
        <w:tab w:val="left" w:pos="425"/>
      </w:tabs>
      <w:ind w:left="0" w:firstLine="0"/>
    </w:pPr>
  </w:style>
  <w:style w:type="paragraph" w:customStyle="1" w:styleId="288">
    <w:name w:val="文档标题2"/>
    <w:basedOn w:val="5"/>
    <w:next w:val="1"/>
    <w:qFormat/>
    <w:uiPriority w:val="0"/>
    <w:pPr>
      <w:numPr>
        <w:numId w:val="15"/>
      </w:numPr>
      <w:tabs>
        <w:tab w:val="left" w:pos="425"/>
        <w:tab w:val="clear" w:pos="567"/>
      </w:tabs>
      <w:ind w:left="0" w:firstLine="0"/>
    </w:pPr>
  </w:style>
  <w:style w:type="paragraph" w:customStyle="1" w:styleId="289">
    <w:name w:val="文档标题3"/>
    <w:basedOn w:val="6"/>
    <w:next w:val="1"/>
    <w:link w:val="367"/>
    <w:qFormat/>
    <w:uiPriority w:val="0"/>
    <w:pPr>
      <w:numPr>
        <w:numId w:val="15"/>
      </w:numPr>
      <w:tabs>
        <w:tab w:val="left" w:pos="425"/>
        <w:tab w:val="clear" w:pos="709"/>
      </w:tabs>
      <w:ind w:left="720" w:hanging="432"/>
    </w:pPr>
  </w:style>
  <w:style w:type="paragraph" w:customStyle="1" w:styleId="290">
    <w:name w:val="文档标题4"/>
    <w:basedOn w:val="7"/>
    <w:next w:val="1"/>
    <w:qFormat/>
    <w:uiPriority w:val="0"/>
    <w:pPr>
      <w:numPr>
        <w:numId w:val="15"/>
      </w:numPr>
      <w:tabs>
        <w:tab w:val="left" w:pos="425"/>
        <w:tab w:val="clear" w:pos="851"/>
      </w:tabs>
      <w:ind w:left="864" w:hanging="144"/>
    </w:pPr>
  </w:style>
  <w:style w:type="paragraph" w:customStyle="1" w:styleId="291">
    <w:name w:val="文档标题5"/>
    <w:basedOn w:val="8"/>
    <w:next w:val="1"/>
    <w:qFormat/>
    <w:uiPriority w:val="0"/>
    <w:pPr>
      <w:numPr>
        <w:numId w:val="15"/>
      </w:numPr>
      <w:tabs>
        <w:tab w:val="left" w:pos="425"/>
        <w:tab w:val="clear" w:pos="992"/>
      </w:tabs>
      <w:ind w:left="1008" w:hanging="432"/>
    </w:pPr>
  </w:style>
  <w:style w:type="paragraph" w:customStyle="1" w:styleId="292">
    <w:name w:val="文档标题6"/>
    <w:basedOn w:val="9"/>
    <w:next w:val="1"/>
    <w:qFormat/>
    <w:uiPriority w:val="0"/>
    <w:pPr>
      <w:tabs>
        <w:tab w:val="left" w:pos="425"/>
        <w:tab w:val="clear" w:pos="1134"/>
      </w:tabs>
      <w:ind w:left="1152" w:hanging="432"/>
    </w:pPr>
  </w:style>
  <w:style w:type="character" w:customStyle="1" w:styleId="293">
    <w:name w:val="!标题2 Ctrl+2 Char Char"/>
    <w:qFormat/>
    <w:uiPriority w:val="0"/>
    <w:rPr>
      <w:rFonts w:ascii="Arial" w:hAnsi="Arial" w:eastAsia="黑体"/>
      <w:b/>
      <w:kern w:val="2"/>
      <w:sz w:val="36"/>
      <w:szCs w:val="36"/>
      <w:lang w:val="en-US" w:eastAsia="zh-CN" w:bidi="ar-SA"/>
    </w:rPr>
  </w:style>
  <w:style w:type="character" w:customStyle="1" w:styleId="294">
    <w:name w:val="!标题4 Ctrl+4 Char Char"/>
    <w:qFormat/>
    <w:uiPriority w:val="0"/>
    <w:rPr>
      <w:rFonts w:ascii="Arial" w:hAnsi="Arial" w:eastAsia="黑体"/>
      <w:b/>
      <w:kern w:val="2"/>
      <w:sz w:val="30"/>
      <w:szCs w:val="30"/>
      <w:lang w:val="en-US" w:eastAsia="zh-CN" w:bidi="ar-SA"/>
    </w:rPr>
  </w:style>
  <w:style w:type="paragraph" w:customStyle="1" w:styleId="295">
    <w:name w:val="默认段落字体 Para Char"/>
    <w:basedOn w:val="1"/>
    <w:qFormat/>
    <w:uiPriority w:val="0"/>
    <w:pPr>
      <w:widowControl w:val="0"/>
      <w:adjustRightInd w:val="0"/>
      <w:spacing w:beforeLines="50" w:afterLines="50" w:line="360" w:lineRule="auto"/>
      <w:ind w:firstLine="200" w:firstLineChars="200"/>
    </w:pPr>
    <w:rPr>
      <w:szCs w:val="20"/>
    </w:rPr>
  </w:style>
  <w:style w:type="character" w:customStyle="1" w:styleId="296">
    <w:name w:val="正文文本 Char"/>
    <w:basedOn w:val="65"/>
    <w:link w:val="26"/>
    <w:qFormat/>
    <w:uiPriority w:val="99"/>
    <w:rPr>
      <w:sz w:val="24"/>
      <w:szCs w:val="24"/>
    </w:rPr>
  </w:style>
  <w:style w:type="paragraph" w:customStyle="1" w:styleId="297">
    <w:name w:val="小标题"/>
    <w:basedOn w:val="2"/>
    <w:qFormat/>
    <w:uiPriority w:val="0"/>
    <w:pPr>
      <w:spacing w:beforeLines="50" w:afterLines="50"/>
      <w:ind w:firstLine="0" w:firstLineChars="0"/>
    </w:pPr>
    <w:rPr>
      <w:b/>
      <w:szCs w:val="20"/>
    </w:rPr>
  </w:style>
  <w:style w:type="paragraph" w:customStyle="1" w:styleId="298">
    <w:name w:val="文字"/>
    <w:basedOn w:val="1"/>
    <w:link w:val="529"/>
    <w:qFormat/>
    <w:uiPriority w:val="0"/>
    <w:pPr>
      <w:widowControl w:val="0"/>
      <w:tabs>
        <w:tab w:val="left" w:pos="8520"/>
      </w:tabs>
      <w:spacing w:beforeLines="50" w:afterLines="50" w:line="312" w:lineRule="auto"/>
      <w:ind w:right="-210" w:firstLine="556" w:firstLineChars="200"/>
    </w:pPr>
    <w:rPr>
      <w:rFonts w:ascii="楷体_GB2312" w:eastAsia="楷体_GB2312"/>
      <w:kern w:val="2"/>
      <w:sz w:val="28"/>
      <w:szCs w:val="20"/>
    </w:rPr>
  </w:style>
  <w:style w:type="character" w:customStyle="1" w:styleId="299">
    <w:name w:val="称呼 Char"/>
    <w:basedOn w:val="65"/>
    <w:link w:val="23"/>
    <w:qFormat/>
    <w:uiPriority w:val="0"/>
    <w:rPr>
      <w:kern w:val="2"/>
      <w:sz w:val="24"/>
    </w:rPr>
  </w:style>
  <w:style w:type="character" w:customStyle="1" w:styleId="300">
    <w:name w:val="图表目录 Char"/>
    <w:link w:val="47"/>
    <w:qFormat/>
    <w:uiPriority w:val="99"/>
    <w:rPr>
      <w:smallCaps/>
    </w:rPr>
  </w:style>
  <w:style w:type="character" w:customStyle="1" w:styleId="301">
    <w:name w:val="!模板基准 Char"/>
    <w:link w:val="4"/>
    <w:semiHidden/>
    <w:qFormat/>
    <w:uiPriority w:val="0"/>
    <w:rPr>
      <w:rFonts w:ascii="Arial" w:hAnsi="Arial"/>
      <w:sz w:val="24"/>
      <w:szCs w:val="21"/>
    </w:rPr>
  </w:style>
  <w:style w:type="character" w:customStyle="1" w:styleId="302">
    <w:name w:val="!标题1 Ctrl+1 Char"/>
    <w:link w:val="246"/>
    <w:qFormat/>
    <w:uiPriority w:val="0"/>
    <w:rPr>
      <w:rFonts w:ascii="宋体" w:hAnsi="宋体"/>
      <w:b/>
      <w:spacing w:val="-20"/>
      <w:kern w:val="2"/>
      <w:sz w:val="36"/>
      <w:szCs w:val="36"/>
    </w:rPr>
  </w:style>
  <w:style w:type="paragraph" w:customStyle="1" w:styleId="303">
    <w:name w:val="默认段落字体 Para Char Char Char Char Char Char Char Char Char1 Char Char Char Char Char Char Char"/>
    <w:basedOn w:val="20"/>
    <w:qFormat/>
    <w:uiPriority w:val="0"/>
    <w:pPr>
      <w:widowControl w:val="0"/>
      <w:spacing w:beforeLines="50" w:afterLines="50" w:line="360" w:lineRule="auto"/>
      <w:ind w:firstLine="200" w:firstLineChars="200"/>
    </w:pPr>
    <w:rPr>
      <w:kern w:val="2"/>
      <w:szCs w:val="20"/>
    </w:rPr>
  </w:style>
  <w:style w:type="paragraph" w:customStyle="1" w:styleId="304">
    <w:name w:val="1级标题"/>
    <w:next w:val="1"/>
    <w:link w:val="522"/>
    <w:qFormat/>
    <w:uiPriority w:val="0"/>
    <w:pPr>
      <w:numPr>
        <w:ilvl w:val="0"/>
        <w:numId w:val="16"/>
      </w:numPr>
      <w:spacing w:line="360" w:lineRule="auto"/>
      <w:outlineLvl w:val="0"/>
    </w:pPr>
    <w:rPr>
      <w:rFonts w:ascii="Times New Roman" w:hAnsi="Times New Roman" w:eastAsia="宋体" w:cs="Times New Roman"/>
      <w:b/>
      <w:kern w:val="2"/>
      <w:sz w:val="24"/>
      <w:szCs w:val="24"/>
      <w:lang w:val="en-US" w:eastAsia="zh-CN" w:bidi="ar-SA"/>
    </w:rPr>
  </w:style>
  <w:style w:type="paragraph" w:customStyle="1" w:styleId="305">
    <w:name w:val="2级标题"/>
    <w:link w:val="428"/>
    <w:qFormat/>
    <w:uiPriority w:val="0"/>
    <w:pPr>
      <w:numPr>
        <w:ilvl w:val="1"/>
        <w:numId w:val="16"/>
      </w:numPr>
      <w:spacing w:line="360" w:lineRule="auto"/>
      <w:outlineLvl w:val="1"/>
    </w:pPr>
    <w:rPr>
      <w:rFonts w:ascii="Times New Roman" w:hAnsi="Times New Roman" w:eastAsia="宋体" w:cs="Times New Roman"/>
      <w:b/>
      <w:kern w:val="2"/>
      <w:sz w:val="24"/>
      <w:szCs w:val="24"/>
      <w:lang w:val="en-US" w:eastAsia="zh-CN" w:bidi="ar-SA"/>
    </w:rPr>
  </w:style>
  <w:style w:type="paragraph" w:customStyle="1" w:styleId="306">
    <w:name w:val="3级标题"/>
    <w:link w:val="363"/>
    <w:qFormat/>
    <w:uiPriority w:val="0"/>
    <w:pPr>
      <w:numPr>
        <w:ilvl w:val="2"/>
        <w:numId w:val="16"/>
      </w:numPr>
      <w:spacing w:line="360" w:lineRule="auto"/>
      <w:outlineLvl w:val="2"/>
    </w:pPr>
    <w:rPr>
      <w:rFonts w:ascii="Times New Roman" w:hAnsi="Times New Roman" w:eastAsia="宋体" w:cs="Times New Roman"/>
      <w:b/>
      <w:kern w:val="2"/>
      <w:sz w:val="24"/>
      <w:szCs w:val="24"/>
      <w:lang w:val="en-US" w:eastAsia="zh-CN" w:bidi="ar-SA"/>
    </w:rPr>
  </w:style>
  <w:style w:type="paragraph" w:customStyle="1" w:styleId="307">
    <w:name w:val="4级标题"/>
    <w:next w:val="1"/>
    <w:link w:val="314"/>
    <w:qFormat/>
    <w:uiPriority w:val="0"/>
    <w:pPr>
      <w:numPr>
        <w:ilvl w:val="0"/>
        <w:numId w:val="17"/>
      </w:numPr>
      <w:spacing w:line="360" w:lineRule="auto"/>
      <w:outlineLvl w:val="3"/>
    </w:pPr>
    <w:rPr>
      <w:rFonts w:ascii="Times New Roman" w:hAnsi="Times New Roman" w:eastAsia="宋体" w:cs="Times New Roman"/>
      <w:b/>
      <w:kern w:val="2"/>
      <w:sz w:val="24"/>
      <w:szCs w:val="24"/>
      <w:lang w:val="en-US" w:eastAsia="zh-CN" w:bidi="ar-SA"/>
    </w:rPr>
  </w:style>
  <w:style w:type="paragraph" w:customStyle="1" w:styleId="308">
    <w:name w:val="5级标题"/>
    <w:next w:val="1"/>
    <w:qFormat/>
    <w:uiPriority w:val="0"/>
    <w:pPr>
      <w:numPr>
        <w:ilvl w:val="4"/>
        <w:numId w:val="16"/>
      </w:numPr>
      <w:spacing w:line="360" w:lineRule="auto"/>
      <w:outlineLvl w:val="4"/>
    </w:pPr>
    <w:rPr>
      <w:rFonts w:ascii="Times New Roman" w:hAnsi="Times New Roman" w:eastAsia="宋体" w:cs="Times New Roman"/>
      <w:b/>
      <w:kern w:val="2"/>
      <w:sz w:val="24"/>
      <w:szCs w:val="24"/>
      <w:lang w:val="en-US" w:eastAsia="zh-CN" w:bidi="ar-SA"/>
    </w:rPr>
  </w:style>
  <w:style w:type="paragraph" w:customStyle="1" w:styleId="309">
    <w:name w:val="2级符号"/>
    <w:next w:val="1"/>
    <w:qFormat/>
    <w:uiPriority w:val="0"/>
    <w:pPr>
      <w:numPr>
        <w:ilvl w:val="0"/>
        <w:numId w:val="18"/>
      </w:numPr>
      <w:spacing w:line="360" w:lineRule="auto"/>
    </w:pPr>
    <w:rPr>
      <w:rFonts w:ascii="Times New Roman" w:hAnsi="Times New Roman" w:eastAsia="宋体" w:cs="Times New Roman"/>
      <w:b/>
      <w:kern w:val="2"/>
      <w:sz w:val="24"/>
      <w:szCs w:val="24"/>
      <w:lang w:val="en-US" w:eastAsia="zh-CN" w:bidi="ar-SA"/>
    </w:rPr>
  </w:style>
  <w:style w:type="character" w:customStyle="1" w:styleId="310">
    <w:name w:val="样式 正文缩进 + 行距: 1.5 倍行距 Char"/>
    <w:link w:val="311"/>
    <w:qFormat/>
    <w:uiPriority w:val="0"/>
    <w:rPr>
      <w:rFonts w:ascii="宋体"/>
    </w:rPr>
  </w:style>
  <w:style w:type="paragraph" w:customStyle="1" w:styleId="311">
    <w:name w:val="样式 正文缩进 + 行距: 1.5 倍行距"/>
    <w:basedOn w:val="2"/>
    <w:link w:val="310"/>
    <w:qFormat/>
    <w:uiPriority w:val="0"/>
    <w:pPr>
      <w:widowControl w:val="0"/>
      <w:adjustRightInd w:val="0"/>
      <w:spacing w:beforeLines="50" w:afterLines="50" w:line="360" w:lineRule="auto"/>
      <w:ind w:firstLine="0" w:firstLineChars="0"/>
      <w:textAlignment w:val="baseline"/>
    </w:pPr>
    <w:rPr>
      <w:rFonts w:ascii="宋体"/>
      <w:sz w:val="20"/>
      <w:szCs w:val="20"/>
    </w:rPr>
  </w:style>
  <w:style w:type="paragraph" w:customStyle="1" w:styleId="312">
    <w:name w:val="表格-1"/>
    <w:basedOn w:val="1"/>
    <w:qFormat/>
    <w:uiPriority w:val="0"/>
    <w:pPr>
      <w:widowControl w:val="0"/>
      <w:spacing w:beforeLines="50" w:afterLines="50" w:line="0" w:lineRule="atLeast"/>
      <w:ind w:firstLine="200" w:firstLineChars="200"/>
    </w:pPr>
    <w:rPr>
      <w:rFonts w:ascii="黑体" w:hAnsi="宋体" w:eastAsia="黑体"/>
      <w:color w:val="000000"/>
      <w:kern w:val="2"/>
      <w:sz w:val="18"/>
      <w:szCs w:val="20"/>
    </w:rPr>
  </w:style>
  <w:style w:type="paragraph" w:customStyle="1" w:styleId="313">
    <w:name w:val="WW-正文缩进"/>
    <w:basedOn w:val="1"/>
    <w:qFormat/>
    <w:uiPriority w:val="0"/>
    <w:pPr>
      <w:widowControl w:val="0"/>
      <w:suppressAutoHyphens/>
      <w:spacing w:beforeLines="50" w:afterLines="50" w:line="360" w:lineRule="auto"/>
      <w:ind w:firstLine="420" w:firstLineChars="200"/>
    </w:pPr>
    <w:rPr>
      <w:kern w:val="1"/>
      <w:szCs w:val="20"/>
    </w:rPr>
  </w:style>
  <w:style w:type="character" w:customStyle="1" w:styleId="314">
    <w:name w:val="4级标题 Char"/>
    <w:link w:val="307"/>
    <w:qFormat/>
    <w:uiPriority w:val="0"/>
    <w:rPr>
      <w:b/>
      <w:kern w:val="2"/>
      <w:sz w:val="24"/>
      <w:szCs w:val="24"/>
    </w:rPr>
  </w:style>
  <w:style w:type="paragraph" w:customStyle="1" w:styleId="315">
    <w:name w:val="数字级连标题1"/>
    <w:basedOn w:val="3"/>
    <w:next w:val="1"/>
    <w:qFormat/>
    <w:uiPriority w:val="0"/>
    <w:pPr>
      <w:numPr>
        <w:ilvl w:val="0"/>
        <w:numId w:val="19"/>
      </w:numPr>
      <w:tabs>
        <w:tab w:val="clear" w:pos="0"/>
      </w:tabs>
      <w:ind w:left="0" w:firstLine="0"/>
    </w:pPr>
  </w:style>
  <w:style w:type="paragraph" w:customStyle="1" w:styleId="316">
    <w:name w:val="数字级连标题2"/>
    <w:basedOn w:val="5"/>
    <w:next w:val="1"/>
    <w:qFormat/>
    <w:uiPriority w:val="0"/>
    <w:pPr>
      <w:numPr>
        <w:numId w:val="19"/>
      </w:numPr>
      <w:tabs>
        <w:tab w:val="left" w:pos="0"/>
      </w:tabs>
      <w:ind w:left="0" w:firstLine="0"/>
    </w:pPr>
  </w:style>
  <w:style w:type="paragraph" w:customStyle="1" w:styleId="317">
    <w:name w:val="数字级连标题3"/>
    <w:basedOn w:val="6"/>
    <w:next w:val="1"/>
    <w:qFormat/>
    <w:uiPriority w:val="0"/>
    <w:pPr>
      <w:numPr>
        <w:numId w:val="19"/>
      </w:numPr>
      <w:tabs>
        <w:tab w:val="left" w:pos="0"/>
      </w:tabs>
      <w:ind w:left="720" w:hanging="432"/>
    </w:pPr>
  </w:style>
  <w:style w:type="paragraph" w:customStyle="1" w:styleId="318">
    <w:name w:val="数字级连标题4"/>
    <w:basedOn w:val="7"/>
    <w:next w:val="1"/>
    <w:qFormat/>
    <w:uiPriority w:val="0"/>
    <w:pPr>
      <w:numPr>
        <w:numId w:val="19"/>
      </w:numPr>
      <w:tabs>
        <w:tab w:val="left" w:pos="0"/>
      </w:tabs>
      <w:ind w:left="864" w:hanging="144"/>
    </w:pPr>
  </w:style>
  <w:style w:type="paragraph" w:customStyle="1" w:styleId="319">
    <w:name w:val="数字级连标题5"/>
    <w:basedOn w:val="8"/>
    <w:next w:val="1"/>
    <w:qFormat/>
    <w:uiPriority w:val="0"/>
    <w:pPr>
      <w:numPr>
        <w:numId w:val="19"/>
      </w:numPr>
      <w:tabs>
        <w:tab w:val="left" w:pos="0"/>
      </w:tabs>
      <w:ind w:left="1008" w:hanging="432"/>
    </w:pPr>
  </w:style>
  <w:style w:type="paragraph" w:customStyle="1" w:styleId="320">
    <w:name w:val="数字级连标题6"/>
    <w:basedOn w:val="9"/>
    <w:qFormat/>
    <w:uiPriority w:val="0"/>
    <w:pPr>
      <w:tabs>
        <w:tab w:val="left" w:pos="0"/>
      </w:tabs>
      <w:ind w:left="1152" w:hanging="432"/>
    </w:pPr>
  </w:style>
  <w:style w:type="character" w:customStyle="1" w:styleId="321">
    <w:name w:val="正文（首行缩进两字） Char1"/>
    <w:qFormat/>
    <w:uiPriority w:val="0"/>
    <w:rPr>
      <w:rFonts w:eastAsia="宋体"/>
      <w:kern w:val="2"/>
      <w:sz w:val="21"/>
      <w:lang w:val="en-US" w:eastAsia="zh-CN" w:bidi="ar-SA"/>
    </w:rPr>
  </w:style>
  <w:style w:type="character" w:customStyle="1" w:styleId="322">
    <w:name w:val="content1"/>
    <w:qFormat/>
    <w:uiPriority w:val="0"/>
    <w:rPr>
      <w:rFonts w:eastAsia="宋体"/>
      <w:kern w:val="2"/>
      <w:sz w:val="18"/>
      <w:lang w:val="en-US" w:eastAsia="zh-CN"/>
    </w:rPr>
  </w:style>
  <w:style w:type="paragraph" w:customStyle="1" w:styleId="323">
    <w:name w:val="正文首行缩进1"/>
    <w:basedOn w:val="26"/>
    <w:qFormat/>
    <w:uiPriority w:val="0"/>
    <w:pPr>
      <w:widowControl w:val="0"/>
      <w:suppressAutoHyphens/>
      <w:spacing w:beforeLines="50" w:afterLines="50" w:line="360" w:lineRule="auto"/>
      <w:ind w:firstLine="420" w:firstLineChars="200"/>
    </w:pPr>
    <w:rPr>
      <w:kern w:val="1"/>
      <w:sz w:val="28"/>
      <w:lang w:eastAsia="ar-SA"/>
    </w:rPr>
  </w:style>
  <w:style w:type="paragraph" w:customStyle="1" w:styleId="324">
    <w:name w:val="缺省文本"/>
    <w:basedOn w:val="1"/>
    <w:qFormat/>
    <w:uiPriority w:val="0"/>
    <w:pPr>
      <w:widowControl w:val="0"/>
      <w:autoSpaceDE w:val="0"/>
      <w:autoSpaceDN w:val="0"/>
      <w:adjustRightInd w:val="0"/>
      <w:spacing w:beforeLines="50" w:afterLines="50" w:line="360" w:lineRule="auto"/>
      <w:ind w:firstLine="200" w:firstLineChars="200"/>
    </w:pPr>
    <w:rPr>
      <w:szCs w:val="20"/>
    </w:rPr>
  </w:style>
  <w:style w:type="paragraph" w:customStyle="1" w:styleId="325">
    <w:name w:val="Char Char"/>
    <w:basedOn w:val="1"/>
    <w:qFormat/>
    <w:uiPriority w:val="0"/>
    <w:pPr>
      <w:spacing w:beforeLines="50" w:afterLines="50" w:line="240" w:lineRule="exact"/>
      <w:ind w:firstLine="200" w:firstLineChars="200"/>
    </w:pPr>
    <w:rPr>
      <w:rFonts w:ascii="Verdana" w:hAnsi="Verdana"/>
      <w:sz w:val="20"/>
      <w:szCs w:val="20"/>
      <w:lang w:eastAsia="en-US"/>
    </w:rPr>
  </w:style>
  <w:style w:type="paragraph" w:customStyle="1" w:styleId="326">
    <w:name w:val="一标C1"/>
    <w:next w:val="1"/>
    <w:qFormat/>
    <w:uiPriority w:val="0"/>
    <w:pPr>
      <w:tabs>
        <w:tab w:val="left" w:pos="902"/>
      </w:tabs>
      <w:spacing w:beforeLines="100" w:afterLines="100" w:line="360" w:lineRule="auto"/>
      <w:jc w:val="both"/>
      <w:outlineLvl w:val="0"/>
    </w:pPr>
    <w:rPr>
      <w:rFonts w:ascii="Times New Roman" w:hAnsi="Times New Roman" w:eastAsia="宋体" w:cs="Times New Roman"/>
      <w:b/>
      <w:kern w:val="2"/>
      <w:sz w:val="32"/>
      <w:lang w:val="en-US" w:eastAsia="zh-CN" w:bidi="ar-SA"/>
    </w:rPr>
  </w:style>
  <w:style w:type="paragraph" w:customStyle="1" w:styleId="327">
    <w:name w:val="二标C2"/>
    <w:basedOn w:val="1"/>
    <w:next w:val="1"/>
    <w:link w:val="328"/>
    <w:qFormat/>
    <w:uiPriority w:val="0"/>
    <w:pPr>
      <w:widowControl w:val="0"/>
      <w:tabs>
        <w:tab w:val="decimal" w:pos="0"/>
        <w:tab w:val="decimal" w:pos="720"/>
        <w:tab w:val="left" w:pos="1320"/>
      </w:tabs>
      <w:spacing w:beforeLines="100" w:afterLines="100" w:line="360" w:lineRule="auto"/>
      <w:ind w:left="1320" w:hanging="420"/>
      <w:outlineLvl w:val="1"/>
    </w:pPr>
    <w:rPr>
      <w:b/>
      <w:kern w:val="2"/>
      <w:sz w:val="30"/>
      <w:szCs w:val="20"/>
    </w:rPr>
  </w:style>
  <w:style w:type="character" w:customStyle="1" w:styleId="328">
    <w:name w:val="二标C2 Char"/>
    <w:link w:val="327"/>
    <w:qFormat/>
    <w:uiPriority w:val="0"/>
    <w:rPr>
      <w:b/>
      <w:kern w:val="2"/>
      <w:sz w:val="30"/>
    </w:rPr>
  </w:style>
  <w:style w:type="paragraph" w:customStyle="1" w:styleId="329">
    <w:name w:val="三标C3"/>
    <w:basedOn w:val="1"/>
    <w:next w:val="1"/>
    <w:link w:val="330"/>
    <w:qFormat/>
    <w:uiPriority w:val="0"/>
    <w:pPr>
      <w:widowControl w:val="0"/>
      <w:spacing w:beforeLines="100" w:afterLines="100" w:line="360" w:lineRule="auto"/>
      <w:outlineLvl w:val="2"/>
    </w:pPr>
    <w:rPr>
      <w:b/>
      <w:kern w:val="2"/>
      <w:sz w:val="28"/>
      <w:szCs w:val="20"/>
    </w:rPr>
  </w:style>
  <w:style w:type="character" w:customStyle="1" w:styleId="330">
    <w:name w:val="三标C3 Char"/>
    <w:link w:val="329"/>
    <w:qFormat/>
    <w:uiPriority w:val="0"/>
    <w:rPr>
      <w:b/>
      <w:kern w:val="2"/>
      <w:sz w:val="28"/>
    </w:rPr>
  </w:style>
  <w:style w:type="paragraph" w:customStyle="1" w:styleId="331">
    <w:name w:val="四标C4"/>
    <w:basedOn w:val="1"/>
    <w:next w:val="1"/>
    <w:link w:val="332"/>
    <w:qFormat/>
    <w:uiPriority w:val="0"/>
    <w:pPr>
      <w:widowControl w:val="0"/>
      <w:spacing w:beforeLines="100" w:afterLines="100" w:line="360" w:lineRule="auto"/>
      <w:outlineLvl w:val="3"/>
    </w:pPr>
    <w:rPr>
      <w:b/>
      <w:kern w:val="2"/>
      <w:szCs w:val="20"/>
    </w:rPr>
  </w:style>
  <w:style w:type="character" w:customStyle="1" w:styleId="332">
    <w:name w:val="四标C4 Char"/>
    <w:link w:val="331"/>
    <w:qFormat/>
    <w:uiPriority w:val="0"/>
    <w:rPr>
      <w:b/>
      <w:kern w:val="2"/>
      <w:sz w:val="24"/>
    </w:rPr>
  </w:style>
  <w:style w:type="paragraph" w:customStyle="1" w:styleId="333">
    <w:name w:val="TOC 标题1"/>
    <w:basedOn w:val="3"/>
    <w:next w:val="1"/>
    <w:qFormat/>
    <w:uiPriority w:val="39"/>
    <w:pPr>
      <w:widowControl/>
      <w:adjustRightInd/>
      <w:spacing w:beforeLines="0" w:afterLines="0" w:line="578" w:lineRule="auto"/>
      <w:ind w:firstLine="0" w:firstLineChars="0"/>
      <w:textAlignment w:val="auto"/>
      <w:outlineLvl w:val="9"/>
    </w:pPr>
    <w:rPr>
      <w:rFonts w:ascii="Times New Roman" w:hAnsi="Times New Roman" w:eastAsia="宋体"/>
      <w:bCs/>
      <w:spacing w:val="0"/>
      <w:szCs w:val="44"/>
    </w:rPr>
  </w:style>
  <w:style w:type="character" w:customStyle="1" w:styleId="334">
    <w:name w:val="无间隔 Char"/>
    <w:qFormat/>
    <w:uiPriority w:val="1"/>
    <w:rPr>
      <w:sz w:val="22"/>
      <w:szCs w:val="22"/>
      <w:lang w:val="en-US" w:eastAsia="zh-CN" w:bidi="ar-SA"/>
    </w:rPr>
  </w:style>
  <w:style w:type="character" w:customStyle="1" w:styleId="335">
    <w:name w:val="Char Char7"/>
    <w:semiHidden/>
    <w:qFormat/>
    <w:uiPriority w:val="0"/>
    <w:rPr>
      <w:rFonts w:ascii="Times New Roman" w:hAnsi="Times New Roman" w:eastAsia="楷体_GB2312" w:cs="Times New Roman"/>
      <w:sz w:val="18"/>
      <w:szCs w:val="18"/>
    </w:rPr>
  </w:style>
  <w:style w:type="paragraph" w:customStyle="1" w:styleId="336">
    <w:name w:val="特殊标题1"/>
    <w:basedOn w:val="3"/>
    <w:next w:val="1"/>
    <w:qFormat/>
    <w:uiPriority w:val="0"/>
    <w:pPr>
      <w:numPr>
        <w:ilvl w:val="0"/>
        <w:numId w:val="20"/>
      </w:numPr>
      <w:adjustRightInd/>
      <w:spacing w:beforeLines="0" w:afterLines="0" w:line="578" w:lineRule="auto"/>
      <w:ind w:firstLine="0" w:firstLineChars="0"/>
      <w:textAlignment w:val="auto"/>
    </w:pPr>
    <w:rPr>
      <w:rFonts w:ascii="宋体" w:hAnsi="宋体" w:eastAsia="宋体"/>
      <w:bCs/>
      <w:spacing w:val="0"/>
      <w:szCs w:val="44"/>
    </w:rPr>
  </w:style>
  <w:style w:type="paragraph" w:customStyle="1" w:styleId="337">
    <w:name w:val="特殊标题2"/>
    <w:basedOn w:val="5"/>
    <w:next w:val="1"/>
    <w:qFormat/>
    <w:uiPriority w:val="0"/>
    <w:pPr>
      <w:widowControl w:val="0"/>
      <w:numPr>
        <w:numId w:val="20"/>
      </w:numPr>
      <w:tabs>
        <w:tab w:val="left" w:pos="284"/>
        <w:tab w:val="left" w:pos="1985"/>
      </w:tabs>
      <w:spacing w:beforeLines="0" w:afterLines="0" w:line="415" w:lineRule="auto"/>
      <w:ind w:firstLine="0" w:firstLineChars="0"/>
    </w:pPr>
    <w:rPr>
      <w:rFonts w:ascii="宋体" w:hAnsi="宋体"/>
      <w:kern w:val="2"/>
      <w:sz w:val="36"/>
    </w:rPr>
  </w:style>
  <w:style w:type="paragraph" w:customStyle="1" w:styleId="338">
    <w:name w:val="特殊标题3"/>
    <w:basedOn w:val="6"/>
    <w:qFormat/>
    <w:uiPriority w:val="0"/>
    <w:pPr>
      <w:numPr>
        <w:numId w:val="20"/>
      </w:numPr>
      <w:tabs>
        <w:tab w:val="left" w:pos="284"/>
        <w:tab w:val="left" w:pos="851"/>
      </w:tabs>
      <w:wordWrap/>
      <w:overflowPunct/>
      <w:autoSpaceDE/>
      <w:autoSpaceDN/>
      <w:adjustRightInd/>
      <w:spacing w:beforeLines="0" w:afterLines="0" w:line="415" w:lineRule="auto"/>
      <w:ind w:firstLine="0" w:firstLineChars="0"/>
      <w:textAlignment w:val="auto"/>
    </w:pPr>
    <w:rPr>
      <w:rFonts w:ascii="宋体" w:hAnsi="宋体" w:eastAsia="宋体"/>
      <w:b/>
      <w:bCs/>
      <w:kern w:val="2"/>
      <w:sz w:val="32"/>
      <w:szCs w:val="32"/>
    </w:rPr>
  </w:style>
  <w:style w:type="paragraph" w:customStyle="1" w:styleId="339">
    <w:name w:val="特殊标题4"/>
    <w:basedOn w:val="7"/>
    <w:qFormat/>
    <w:uiPriority w:val="0"/>
    <w:pPr>
      <w:numPr>
        <w:numId w:val="20"/>
      </w:numPr>
      <w:tabs>
        <w:tab w:val="left" w:pos="284"/>
        <w:tab w:val="left" w:pos="1134"/>
      </w:tabs>
      <w:adjustRightInd/>
      <w:spacing w:line="377" w:lineRule="auto"/>
      <w:jc w:val="both"/>
      <w:textAlignment w:val="auto"/>
    </w:pPr>
    <w:rPr>
      <w:rFonts w:ascii="宋体" w:hAnsi="宋体"/>
      <w:bCs/>
      <w:spacing w:val="0"/>
      <w:kern w:val="2"/>
      <w:sz w:val="30"/>
      <w:szCs w:val="28"/>
    </w:rPr>
  </w:style>
  <w:style w:type="paragraph" w:customStyle="1" w:styleId="340">
    <w:name w:val="特殊标题5"/>
    <w:basedOn w:val="8"/>
    <w:qFormat/>
    <w:uiPriority w:val="0"/>
    <w:pPr>
      <w:numPr>
        <w:numId w:val="20"/>
      </w:numPr>
      <w:tabs>
        <w:tab w:val="left" w:pos="284"/>
        <w:tab w:val="left" w:pos="1418"/>
      </w:tabs>
      <w:adjustRightInd/>
      <w:spacing w:line="376" w:lineRule="auto"/>
      <w:jc w:val="both"/>
      <w:textAlignment w:val="auto"/>
    </w:pPr>
    <w:rPr>
      <w:rFonts w:ascii="Times New Roman" w:eastAsia="宋体"/>
      <w:bCs/>
      <w:spacing w:val="0"/>
      <w:kern w:val="2"/>
      <w:szCs w:val="28"/>
    </w:rPr>
  </w:style>
  <w:style w:type="character" w:customStyle="1" w:styleId="341">
    <w:name w:val="bullet Char"/>
    <w:qFormat/>
    <w:uiPriority w:val="0"/>
    <w:rPr>
      <w:rFonts w:ascii="Cambria" w:hAnsi="Cambria" w:eastAsia="宋体" w:cs="Times New Roman"/>
      <w:b/>
      <w:bCs/>
      <w:kern w:val="2"/>
      <w:sz w:val="28"/>
      <w:szCs w:val="28"/>
    </w:rPr>
  </w:style>
  <w:style w:type="character" w:customStyle="1" w:styleId="342">
    <w:name w:val="标题 Char"/>
    <w:basedOn w:val="65"/>
    <w:link w:val="55"/>
    <w:qFormat/>
    <w:uiPriority w:val="10"/>
    <w:rPr>
      <w:rFonts w:ascii="Arial" w:hAnsi="Arial" w:cs="Arial"/>
      <w:b/>
      <w:bCs/>
      <w:kern w:val="2"/>
      <w:sz w:val="32"/>
      <w:szCs w:val="32"/>
    </w:rPr>
  </w:style>
  <w:style w:type="paragraph" w:customStyle="1" w:styleId="343">
    <w:name w:val="标题6"/>
    <w:basedOn w:val="9"/>
    <w:link w:val="588"/>
    <w:qFormat/>
    <w:uiPriority w:val="0"/>
    <w:pPr>
      <w:adjustRightInd/>
      <w:spacing w:line="360" w:lineRule="auto"/>
      <w:ind w:left="0" w:firstLine="560" w:firstLineChars="200"/>
      <w:jc w:val="both"/>
      <w:textAlignment w:val="auto"/>
    </w:pPr>
    <w:rPr>
      <w:rFonts w:eastAsia="楷体_GB2312"/>
      <w:bCs/>
      <w:i/>
      <w:spacing w:val="0"/>
      <w:kern w:val="2"/>
      <w:sz w:val="28"/>
      <w:szCs w:val="28"/>
    </w:rPr>
  </w:style>
  <w:style w:type="paragraph" w:styleId="344">
    <w:name w:val="No Spacing"/>
    <w:link w:val="602"/>
    <w:qFormat/>
    <w:uiPriority w:val="1"/>
    <w:pPr>
      <w:widowControl w:val="0"/>
      <w:jc w:val="both"/>
    </w:pPr>
    <w:rPr>
      <w:rFonts w:ascii="Times New Roman" w:hAnsi="Times New Roman" w:eastAsia="楷体_GB2312" w:cs="Times New Roman"/>
      <w:kern w:val="2"/>
      <w:sz w:val="30"/>
      <w:lang w:val="en-US" w:eastAsia="zh-CN" w:bidi="ar-SA"/>
    </w:rPr>
  </w:style>
  <w:style w:type="paragraph" w:customStyle="1" w:styleId="345">
    <w:name w:val="wen"/>
    <w:basedOn w:val="1"/>
    <w:qFormat/>
    <w:uiPriority w:val="0"/>
    <w:pPr>
      <w:widowControl w:val="0"/>
      <w:snapToGrid w:val="0"/>
      <w:spacing w:beforeLines="50" w:afterLines="50"/>
      <w:ind w:firstLine="480" w:firstLineChars="200"/>
      <w:jc w:val="both"/>
    </w:pPr>
    <w:rPr>
      <w:rFonts w:ascii="仿宋_GB2312" w:hAnsi="Arial" w:eastAsia="仿宋_GB2312"/>
      <w:bCs/>
      <w:kern w:val="2"/>
    </w:rPr>
  </w:style>
  <w:style w:type="paragraph" w:customStyle="1" w:styleId="346">
    <w:name w:val="wen 粗"/>
    <w:basedOn w:val="1"/>
    <w:qFormat/>
    <w:uiPriority w:val="0"/>
    <w:pPr>
      <w:overflowPunct w:val="0"/>
      <w:autoSpaceDE w:val="0"/>
      <w:autoSpaceDN w:val="0"/>
      <w:adjustRightInd w:val="0"/>
      <w:snapToGrid w:val="0"/>
      <w:spacing w:beforeLines="50" w:afterLines="50" w:line="360" w:lineRule="auto"/>
      <w:ind w:firstLine="482" w:firstLineChars="200"/>
      <w:textAlignment w:val="baseline"/>
    </w:pPr>
    <w:rPr>
      <w:rFonts w:ascii="Arial" w:hAnsi="Arial" w:eastAsia="黑体"/>
      <w:b/>
      <w:iCs/>
      <w:lang w:val="en-GB"/>
    </w:rPr>
  </w:style>
  <w:style w:type="paragraph" w:customStyle="1" w:styleId="347">
    <w:name w:val="正文 A"/>
    <w:qFormat/>
    <w:uiPriority w:val="0"/>
    <w:pPr>
      <w:widowControl w:val="0"/>
      <w:jc w:val="both"/>
    </w:pPr>
    <w:rPr>
      <w:rFonts w:ascii="Times New Roman" w:hAnsi="Times New Roman" w:eastAsia="ヒラギノ角ゴ Pro W3" w:cs="Times New Roman"/>
      <w:color w:val="000000"/>
      <w:kern w:val="2"/>
      <w:sz w:val="30"/>
      <w:lang w:val="en-US" w:eastAsia="zh-CN" w:bidi="ar-SA"/>
    </w:rPr>
  </w:style>
  <w:style w:type="paragraph" w:customStyle="1" w:styleId="348">
    <w:name w:val="自由格式"/>
    <w:qFormat/>
    <w:uiPriority w:val="0"/>
    <w:rPr>
      <w:rFonts w:ascii="Times New Roman" w:hAnsi="Times New Roman" w:eastAsia="ヒラギノ角ゴ Pro W3" w:cs="Times New Roman"/>
      <w:color w:val="000000"/>
      <w:lang w:val="en-US" w:eastAsia="zh-CN" w:bidi="ar-SA"/>
    </w:rPr>
  </w:style>
  <w:style w:type="paragraph" w:customStyle="1" w:styleId="349">
    <w:name w:val="Item Step in Table"/>
    <w:qFormat/>
    <w:uiPriority w:val="0"/>
    <w:pPr>
      <w:numPr>
        <w:ilvl w:val="0"/>
        <w:numId w:val="21"/>
      </w:numPr>
      <w:spacing w:before="40" w:after="40"/>
      <w:jc w:val="both"/>
    </w:pPr>
    <w:rPr>
      <w:rFonts w:ascii="Arial" w:hAnsi="Arial" w:eastAsia="宋体" w:cs="Arial"/>
      <w:sz w:val="18"/>
      <w:szCs w:val="18"/>
      <w:lang w:val="en-US" w:eastAsia="zh-CN" w:bidi="ar-SA"/>
    </w:rPr>
  </w:style>
  <w:style w:type="paragraph" w:customStyle="1" w:styleId="350">
    <w:name w:val="编号01"/>
    <w:qFormat/>
    <w:uiPriority w:val="0"/>
    <w:pPr>
      <w:widowControl w:val="0"/>
      <w:spacing w:line="360" w:lineRule="auto"/>
      <w:ind w:left="426"/>
      <w:jc w:val="both"/>
    </w:pPr>
    <w:rPr>
      <w:rFonts w:ascii="Arial Bold" w:hAnsi="Arial Bold" w:eastAsia="ヒラギノ角ゴ Pro W3" w:cs="Times New Roman"/>
      <w:color w:val="000000"/>
      <w:kern w:val="2"/>
      <w:sz w:val="21"/>
      <w:lang w:val="en-US" w:eastAsia="zh-CN" w:bidi="ar-SA"/>
    </w:rPr>
  </w:style>
  <w:style w:type="paragraph" w:customStyle="1" w:styleId="351">
    <w:name w:val="正文文本1"/>
    <w:qFormat/>
    <w:uiPriority w:val="0"/>
    <w:pPr>
      <w:spacing w:line="320" w:lineRule="atLeast"/>
      <w:jc w:val="both"/>
    </w:pPr>
    <w:rPr>
      <w:rFonts w:ascii="Times New Roman Bold" w:hAnsi="Times New Roman Bold" w:eastAsia="ヒラギノ角ゴ Pro W3" w:cs="Times New Roman"/>
      <w:color w:val="000000"/>
      <w:sz w:val="44"/>
      <w:lang w:val="en-US" w:eastAsia="zh-CN" w:bidi="ar-SA"/>
    </w:rPr>
  </w:style>
  <w:style w:type="character" w:customStyle="1" w:styleId="352">
    <w:name w:val="even Char"/>
    <w:qFormat/>
    <w:uiPriority w:val="0"/>
    <w:rPr>
      <w:rFonts w:eastAsia="宋体"/>
      <w:kern w:val="2"/>
      <w:sz w:val="18"/>
      <w:szCs w:val="18"/>
      <w:lang w:val="en-US" w:eastAsia="zh-CN" w:bidi="ar-SA"/>
    </w:rPr>
  </w:style>
  <w:style w:type="character" w:customStyle="1" w:styleId="353">
    <w:name w:val="段1 Char1"/>
    <w:qFormat/>
    <w:uiPriority w:val="0"/>
    <w:rPr>
      <w:rFonts w:eastAsia="宋体"/>
      <w:kern w:val="2"/>
      <w:sz w:val="21"/>
      <w:szCs w:val="24"/>
      <w:lang w:val="en-US" w:eastAsia="zh-CN" w:bidi="ar-SA"/>
    </w:rPr>
  </w:style>
  <w:style w:type="paragraph" w:customStyle="1" w:styleId="354">
    <w:name w:val="标准正文"/>
    <w:basedOn w:val="27"/>
    <w:link w:val="562"/>
    <w:qFormat/>
    <w:uiPriority w:val="0"/>
    <w:pPr>
      <w:widowControl w:val="0"/>
      <w:spacing w:before="60" w:after="60" w:line="360" w:lineRule="auto"/>
      <w:ind w:firstLine="482" w:firstLineChars="0"/>
      <w:jc w:val="both"/>
    </w:pPr>
    <w:rPr>
      <w:kern w:val="2"/>
      <w:szCs w:val="20"/>
    </w:rPr>
  </w:style>
  <w:style w:type="paragraph" w:customStyle="1" w:styleId="355">
    <w:name w:val="Norm"/>
    <w:link w:val="357"/>
    <w:qFormat/>
    <w:uiPriority w:val="0"/>
    <w:pPr>
      <w:spacing w:before="120"/>
      <w:jc w:val="both"/>
    </w:pPr>
    <w:rPr>
      <w:rFonts w:ascii="Times New Roman" w:hAnsi="Times New Roman" w:eastAsia="宋体" w:cs="Times New Roman"/>
      <w:color w:val="000000"/>
      <w:sz w:val="22"/>
      <w:lang w:val="en-US" w:eastAsia="en-US" w:bidi="ar-SA"/>
    </w:rPr>
  </w:style>
  <w:style w:type="paragraph" w:customStyle="1" w:styleId="356">
    <w:name w:val="TEXT"/>
    <w:basedOn w:val="1"/>
    <w:qFormat/>
    <w:uiPriority w:val="0"/>
    <w:pPr>
      <w:snapToGrid w:val="0"/>
      <w:spacing w:before="120"/>
      <w:ind w:firstLine="539"/>
      <w:jc w:val="both"/>
    </w:pPr>
    <w:rPr>
      <w:rFonts w:ascii="Arial" w:hAnsi="Arial" w:cs="Arial"/>
      <w:snapToGrid w:val="0"/>
    </w:rPr>
  </w:style>
  <w:style w:type="character" w:customStyle="1" w:styleId="357">
    <w:name w:val="Norm Char"/>
    <w:link w:val="355"/>
    <w:qFormat/>
    <w:uiPriority w:val="0"/>
    <w:rPr>
      <w:color w:val="000000"/>
      <w:sz w:val="22"/>
      <w:lang w:eastAsia="en-US"/>
    </w:rPr>
  </w:style>
  <w:style w:type="character" w:customStyle="1" w:styleId="358">
    <w:name w:val="正文文本 3 Char"/>
    <w:basedOn w:val="65"/>
    <w:link w:val="24"/>
    <w:qFormat/>
    <w:uiPriority w:val="0"/>
    <w:rPr>
      <w:sz w:val="16"/>
      <w:szCs w:val="16"/>
    </w:rPr>
  </w:style>
  <w:style w:type="paragraph" w:customStyle="1" w:styleId="359">
    <w:name w:val="4级符号"/>
    <w:basedOn w:val="1"/>
    <w:qFormat/>
    <w:uiPriority w:val="0"/>
    <w:pPr>
      <w:widowControl w:val="0"/>
      <w:ind w:left="780" w:hanging="360"/>
      <w:jc w:val="both"/>
    </w:pPr>
    <w:rPr>
      <w:rFonts w:eastAsia="仿宋_GB2312"/>
      <w:kern w:val="2"/>
      <w:sz w:val="28"/>
      <w:szCs w:val="20"/>
    </w:rPr>
  </w:style>
  <w:style w:type="paragraph" w:customStyle="1" w:styleId="360">
    <w:name w:val="标记1"/>
    <w:basedOn w:val="1"/>
    <w:qFormat/>
    <w:uiPriority w:val="0"/>
    <w:pPr>
      <w:widowControl w:val="0"/>
      <w:numPr>
        <w:ilvl w:val="1"/>
        <w:numId w:val="22"/>
      </w:numPr>
      <w:spacing w:beforeLines="50" w:afterLines="50" w:line="360" w:lineRule="auto"/>
    </w:pPr>
    <w:rPr>
      <w:kern w:val="2"/>
      <w:szCs w:val="20"/>
    </w:rPr>
  </w:style>
  <w:style w:type="paragraph" w:customStyle="1" w:styleId="361">
    <w:name w:val="标准小四"/>
    <w:basedOn w:val="1"/>
    <w:qFormat/>
    <w:uiPriority w:val="0"/>
    <w:pPr>
      <w:widowControl w:val="0"/>
      <w:spacing w:line="360" w:lineRule="auto"/>
      <w:ind w:firstLine="480" w:firstLineChars="200"/>
      <w:jc w:val="both"/>
    </w:pPr>
    <w:rPr>
      <w:rFonts w:ascii="Arial" w:hAnsi="Arial"/>
      <w:kern w:val="2"/>
    </w:rPr>
  </w:style>
  <w:style w:type="paragraph" w:customStyle="1" w:styleId="362">
    <w:name w:val="样式 正文缩进正文（首行缩进两字）表正文正文非缩进特点段1正文不缩进标题4水上软件ALT+Z四号正文文字3..."/>
    <w:basedOn w:val="2"/>
    <w:qFormat/>
    <w:uiPriority w:val="0"/>
    <w:pPr>
      <w:widowControl w:val="0"/>
      <w:spacing w:line="360" w:lineRule="auto"/>
      <w:ind w:firstLine="480"/>
      <w:jc w:val="both"/>
    </w:pPr>
    <w:rPr>
      <w:rFonts w:ascii="Calibri" w:hAnsi="Calibri" w:cs="宋体"/>
      <w:kern w:val="2"/>
      <w:szCs w:val="20"/>
    </w:rPr>
  </w:style>
  <w:style w:type="character" w:customStyle="1" w:styleId="363">
    <w:name w:val="3级标题 Char"/>
    <w:link w:val="306"/>
    <w:qFormat/>
    <w:uiPriority w:val="0"/>
    <w:rPr>
      <w:b/>
      <w:kern w:val="2"/>
      <w:sz w:val="24"/>
      <w:szCs w:val="24"/>
    </w:rPr>
  </w:style>
  <w:style w:type="paragraph" w:customStyle="1" w:styleId="364">
    <w:name w:val="6级标题"/>
    <w:basedOn w:val="9"/>
    <w:qFormat/>
    <w:uiPriority w:val="0"/>
    <w:pPr>
      <w:adjustRightInd/>
      <w:spacing w:line="319" w:lineRule="auto"/>
      <w:ind w:left="200" w:hanging="200" w:hangingChars="200"/>
      <w:jc w:val="both"/>
      <w:textAlignment w:val="auto"/>
    </w:pPr>
    <w:rPr>
      <w:rFonts w:ascii="Cambria" w:hAnsi="Cambria" w:eastAsia="宋体"/>
      <w:bCs/>
      <w:spacing w:val="0"/>
      <w:kern w:val="2"/>
      <w:sz w:val="30"/>
      <w:szCs w:val="24"/>
    </w:rPr>
  </w:style>
  <w:style w:type="paragraph" w:customStyle="1" w:styleId="365">
    <w:name w:val="Style 样式 正文文本缩进 2 + 首行缩进:  2 字符 行距: 1.5 倍行距 + Verdana"/>
    <w:basedOn w:val="1"/>
    <w:link w:val="366"/>
    <w:qFormat/>
    <w:uiPriority w:val="0"/>
    <w:pPr>
      <w:widowControl w:val="0"/>
      <w:spacing w:before="120" w:line="480" w:lineRule="auto"/>
      <w:ind w:left="-8" w:leftChars="-3" w:firstLine="717" w:firstLineChars="256"/>
      <w:jc w:val="both"/>
    </w:pPr>
    <w:rPr>
      <w:rFonts w:ascii="Verdana" w:hAnsi="Verdana" w:eastAsia="华文细黑" w:cs="宋体"/>
      <w:sz w:val="28"/>
      <w:szCs w:val="28"/>
    </w:rPr>
  </w:style>
  <w:style w:type="character" w:customStyle="1" w:styleId="366">
    <w:name w:val="Style 样式 正文文本缩进 2 + 首行缩进:  2 字符 行距: 1.5 倍行距 + Verdana Char"/>
    <w:link w:val="365"/>
    <w:qFormat/>
    <w:uiPriority w:val="0"/>
    <w:rPr>
      <w:rFonts w:ascii="Verdana" w:hAnsi="Verdana" w:eastAsia="华文细黑" w:cs="宋体"/>
      <w:sz w:val="28"/>
      <w:szCs w:val="28"/>
    </w:rPr>
  </w:style>
  <w:style w:type="character" w:customStyle="1" w:styleId="367">
    <w:name w:val="文档标题3 Char"/>
    <w:link w:val="289"/>
    <w:qFormat/>
    <w:uiPriority w:val="0"/>
    <w:rPr>
      <w:rFonts w:ascii="Arial" w:hAnsi="Arial" w:eastAsia="黑体"/>
      <w:sz w:val="28"/>
    </w:rPr>
  </w:style>
  <w:style w:type="paragraph" w:customStyle="1" w:styleId="368">
    <w:name w:val="段落正文"/>
    <w:basedOn w:val="2"/>
    <w:link w:val="369"/>
    <w:qFormat/>
    <w:uiPriority w:val="0"/>
    <w:pPr>
      <w:widowControl w:val="0"/>
      <w:spacing w:line="360" w:lineRule="auto"/>
      <w:ind w:left="-150" w:leftChars="-150" w:hanging="360" w:hangingChars="150"/>
      <w:jc w:val="both"/>
    </w:pPr>
    <w:rPr>
      <w:rFonts w:ascii="Arial" w:hAnsi="Arial"/>
      <w:color w:val="000000"/>
      <w:kern w:val="2"/>
    </w:rPr>
  </w:style>
  <w:style w:type="character" w:customStyle="1" w:styleId="369">
    <w:name w:val="段落正文 Char"/>
    <w:link w:val="368"/>
    <w:qFormat/>
    <w:locked/>
    <w:uiPriority w:val="0"/>
    <w:rPr>
      <w:rFonts w:ascii="Arial" w:hAnsi="Arial"/>
      <w:color w:val="000000"/>
      <w:kern w:val="2"/>
      <w:sz w:val="24"/>
      <w:szCs w:val="24"/>
    </w:rPr>
  </w:style>
  <w:style w:type="character" w:customStyle="1" w:styleId="370">
    <w:name w:val="列出段落 Char"/>
    <w:link w:val="371"/>
    <w:qFormat/>
    <w:locked/>
    <w:uiPriority w:val="0"/>
    <w:rPr>
      <w:rFonts w:ascii="Arial" w:hAnsi="Arial"/>
      <w:szCs w:val="24"/>
    </w:rPr>
  </w:style>
  <w:style w:type="paragraph" w:customStyle="1" w:styleId="371">
    <w:name w:val="msolistparagraph"/>
    <w:basedOn w:val="1"/>
    <w:link w:val="370"/>
    <w:qFormat/>
    <w:uiPriority w:val="34"/>
    <w:pPr>
      <w:widowControl w:val="0"/>
      <w:ind w:firstLine="420" w:firstLineChars="200"/>
      <w:jc w:val="both"/>
    </w:pPr>
    <w:rPr>
      <w:rFonts w:ascii="Arial" w:hAnsi="Arial"/>
      <w:sz w:val="20"/>
    </w:rPr>
  </w:style>
  <w:style w:type="paragraph" w:customStyle="1" w:styleId="372">
    <w:name w:val="1Text"/>
    <w:basedOn w:val="1"/>
    <w:link w:val="373"/>
    <w:qFormat/>
    <w:uiPriority w:val="0"/>
    <w:pPr>
      <w:widowControl w:val="0"/>
      <w:spacing w:beforeLines="50" w:afterLines="50" w:line="360" w:lineRule="auto"/>
      <w:ind w:firstLine="480" w:firstLineChars="200"/>
      <w:jc w:val="both"/>
    </w:pPr>
    <w:rPr>
      <w:kern w:val="2"/>
    </w:rPr>
  </w:style>
  <w:style w:type="character" w:customStyle="1" w:styleId="373">
    <w:name w:val="1Text Char"/>
    <w:link w:val="372"/>
    <w:qFormat/>
    <w:uiPriority w:val="0"/>
    <w:rPr>
      <w:kern w:val="2"/>
      <w:sz w:val="24"/>
      <w:szCs w:val="24"/>
    </w:rPr>
  </w:style>
  <w:style w:type="character" w:customStyle="1" w:styleId="374">
    <w:name w:val="样式1 Char"/>
    <w:link w:val="112"/>
    <w:qFormat/>
    <w:uiPriority w:val="0"/>
    <w:rPr>
      <w:rFonts w:eastAsia="黑体"/>
      <w:sz w:val="24"/>
      <w:szCs w:val="24"/>
    </w:rPr>
  </w:style>
  <w:style w:type="character" w:customStyle="1" w:styleId="375">
    <w:name w:val="!标题5 Ctrl+5 Char"/>
    <w:link w:val="251"/>
    <w:qFormat/>
    <w:uiPriority w:val="0"/>
    <w:rPr>
      <w:rFonts w:asciiTheme="minorEastAsia" w:hAnsiTheme="minorEastAsia" w:eastAsiaTheme="minorEastAsia"/>
      <w:b/>
      <w:sz w:val="24"/>
      <w:szCs w:val="24"/>
      <w:lang w:val="zh-CN"/>
    </w:rPr>
  </w:style>
  <w:style w:type="paragraph" w:customStyle="1" w:styleId="376">
    <w:name w:val="DB Body"/>
    <w:qFormat/>
    <w:uiPriority w:val="0"/>
    <w:pPr>
      <w:tabs>
        <w:tab w:val="left" w:pos="4536"/>
        <w:tab w:val="left" w:pos="8505"/>
      </w:tabs>
      <w:spacing w:before="120" w:after="80" w:line="360" w:lineRule="auto"/>
    </w:pPr>
    <w:rPr>
      <w:rFonts w:ascii="Trebuchet MS" w:hAnsi="Trebuchet MS" w:eastAsia="宋体" w:cs="Times New Roman"/>
      <w:sz w:val="21"/>
      <w:szCs w:val="24"/>
      <w:lang w:val="en-GB" w:eastAsia="en-US" w:bidi="ar-SA"/>
    </w:rPr>
  </w:style>
  <w:style w:type="paragraph" w:customStyle="1" w:styleId="377">
    <w:name w:val="样式 首行缩进:  2 字符"/>
    <w:basedOn w:val="1"/>
    <w:qFormat/>
    <w:uiPriority w:val="0"/>
    <w:pPr>
      <w:widowControl w:val="0"/>
      <w:spacing w:line="360" w:lineRule="auto"/>
      <w:ind w:firstLine="480" w:firstLineChars="200"/>
      <w:jc w:val="both"/>
    </w:pPr>
    <w:rPr>
      <w:rFonts w:cs="宋体"/>
      <w:kern w:val="2"/>
      <w:szCs w:val="20"/>
    </w:rPr>
  </w:style>
  <w:style w:type="paragraph" w:customStyle="1" w:styleId="378">
    <w:name w:val="正文格式（小四）"/>
    <w:basedOn w:val="1"/>
    <w:qFormat/>
    <w:uiPriority w:val="0"/>
    <w:pPr>
      <w:adjustRightInd w:val="0"/>
      <w:snapToGrid w:val="0"/>
      <w:spacing w:before="156" w:after="156" w:line="360" w:lineRule="auto"/>
      <w:ind w:firstLine="601"/>
      <w:jc w:val="center"/>
      <w:textAlignment w:val="baseline"/>
    </w:pPr>
    <w:rPr>
      <w:kern w:val="24"/>
    </w:rPr>
  </w:style>
  <w:style w:type="paragraph" w:customStyle="1" w:styleId="379">
    <w:name w:val="1Pic"/>
    <w:basedOn w:val="1"/>
    <w:next w:val="372"/>
    <w:link w:val="735"/>
    <w:qFormat/>
    <w:uiPriority w:val="0"/>
    <w:pPr>
      <w:widowControl w:val="0"/>
      <w:spacing w:before="156" w:after="156" w:line="360" w:lineRule="auto"/>
    </w:pPr>
    <w:rPr>
      <w:kern w:val="2"/>
      <w:szCs w:val="20"/>
    </w:rPr>
  </w:style>
  <w:style w:type="character" w:customStyle="1" w:styleId="380">
    <w:name w:val="l正文 Char"/>
    <w:link w:val="252"/>
    <w:qFormat/>
    <w:locked/>
    <w:uiPriority w:val="0"/>
    <w:rPr>
      <w:rFonts w:ascii="宋体" w:hAnsi="宋体"/>
      <w:sz w:val="24"/>
      <w:szCs w:val="24"/>
    </w:rPr>
  </w:style>
  <w:style w:type="character" w:customStyle="1" w:styleId="381">
    <w:name w:val="apple-converted-space"/>
    <w:qFormat/>
    <w:uiPriority w:val="0"/>
  </w:style>
  <w:style w:type="paragraph" w:customStyle="1" w:styleId="382">
    <w:name w:val="列出段落2"/>
    <w:basedOn w:val="1"/>
    <w:qFormat/>
    <w:uiPriority w:val="0"/>
    <w:pPr>
      <w:widowControl w:val="0"/>
      <w:spacing w:after="100" w:line="276" w:lineRule="auto"/>
      <w:ind w:firstLine="420" w:firstLineChars="200"/>
      <w:jc w:val="both"/>
    </w:pPr>
    <w:rPr>
      <w:rFonts w:ascii="Calibri" w:hAnsi="Calibri"/>
      <w:kern w:val="2"/>
      <w:sz w:val="21"/>
      <w:szCs w:val="22"/>
    </w:rPr>
  </w:style>
  <w:style w:type="character" w:customStyle="1" w:styleId="383">
    <w:name w:val="正文表格 Char"/>
    <w:link w:val="384"/>
    <w:qFormat/>
    <w:locked/>
    <w:uiPriority w:val="0"/>
    <w:rPr>
      <w:rFonts w:ascii="昆仑仿宋" w:eastAsia="昆仑仿宋"/>
      <w:sz w:val="24"/>
    </w:rPr>
  </w:style>
  <w:style w:type="paragraph" w:customStyle="1" w:styleId="384">
    <w:name w:val="正文表格"/>
    <w:basedOn w:val="1"/>
    <w:link w:val="383"/>
    <w:qFormat/>
    <w:uiPriority w:val="0"/>
    <w:pPr>
      <w:widowControl w:val="0"/>
      <w:adjustRightInd w:val="0"/>
      <w:spacing w:before="40" w:after="40"/>
      <w:jc w:val="both"/>
    </w:pPr>
    <w:rPr>
      <w:rFonts w:ascii="昆仑仿宋" w:eastAsia="昆仑仿宋"/>
      <w:szCs w:val="20"/>
    </w:rPr>
  </w:style>
  <w:style w:type="character" w:customStyle="1" w:styleId="385">
    <w:name w:val="标题 5 Char1"/>
    <w:semiHidden/>
    <w:qFormat/>
    <w:uiPriority w:val="0"/>
    <w:rPr>
      <w:b/>
      <w:bCs/>
      <w:kern w:val="2"/>
      <w:sz w:val="28"/>
      <w:szCs w:val="28"/>
    </w:rPr>
  </w:style>
  <w:style w:type="character" w:customStyle="1" w:styleId="386">
    <w:name w:val="标题 6 Char1"/>
    <w:semiHidden/>
    <w:qFormat/>
    <w:uiPriority w:val="0"/>
    <w:rPr>
      <w:rFonts w:hint="default" w:ascii="Calibri Light" w:hAnsi="Calibri Light" w:eastAsia="宋体" w:cs="Times New Roman"/>
      <w:b/>
      <w:bCs/>
      <w:kern w:val="2"/>
      <w:sz w:val="24"/>
      <w:szCs w:val="24"/>
    </w:rPr>
  </w:style>
  <w:style w:type="character" w:customStyle="1" w:styleId="387">
    <w:name w:val="页脚 Char1"/>
    <w:semiHidden/>
    <w:qFormat/>
    <w:uiPriority w:val="99"/>
    <w:rPr>
      <w:rFonts w:ascii="Times New Roman" w:hAnsi="Times New Roman" w:eastAsia="宋体" w:cs="Times New Roman"/>
      <w:sz w:val="18"/>
      <w:szCs w:val="18"/>
    </w:rPr>
  </w:style>
  <w:style w:type="character" w:customStyle="1" w:styleId="388">
    <w:name w:val="正文文本 Char1"/>
    <w:qFormat/>
    <w:uiPriority w:val="0"/>
  </w:style>
  <w:style w:type="paragraph" w:customStyle="1" w:styleId="389">
    <w:name w:val="xl64"/>
    <w:basedOn w:val="1"/>
    <w:qFormat/>
    <w:uiPriority w:val="0"/>
    <w:pPr>
      <w:pBdr>
        <w:top w:val="single" w:color="auto" w:sz="4" w:space="0"/>
        <w:left w:val="single" w:color="auto" w:sz="4" w:space="0"/>
        <w:bottom w:val="single" w:color="auto" w:sz="4" w:space="0"/>
        <w:right w:val="single" w:color="auto" w:sz="4" w:space="0"/>
      </w:pBdr>
      <w:shd w:val="clear" w:color="auto" w:fill="F2F2F2"/>
      <w:spacing w:before="100" w:beforeAutospacing="1" w:after="100" w:afterAutospacing="1"/>
      <w:jc w:val="center"/>
    </w:pPr>
    <w:rPr>
      <w:rFonts w:ascii="宋体" w:hAnsi="宋体" w:cs="宋体"/>
      <w:b/>
      <w:bCs/>
      <w:sz w:val="20"/>
      <w:szCs w:val="20"/>
    </w:rPr>
  </w:style>
  <w:style w:type="paragraph" w:customStyle="1" w:styleId="390">
    <w:name w:val="xl65"/>
    <w:basedOn w:val="1"/>
    <w:qFormat/>
    <w:uiPriority w:val="0"/>
    <w:pPr>
      <w:spacing w:before="100" w:beforeAutospacing="1" w:after="100" w:afterAutospacing="1"/>
    </w:pPr>
    <w:rPr>
      <w:rFonts w:ascii="宋体" w:hAnsi="宋体" w:cs="宋体"/>
      <w:sz w:val="20"/>
      <w:szCs w:val="20"/>
    </w:rPr>
  </w:style>
  <w:style w:type="paragraph" w:customStyle="1" w:styleId="391">
    <w:name w:val="xl66"/>
    <w:basedOn w:val="1"/>
    <w:qFormat/>
    <w:uiPriority w:val="0"/>
    <w:pPr>
      <w:spacing w:before="100" w:beforeAutospacing="1" w:after="100" w:afterAutospacing="1"/>
    </w:pPr>
    <w:rPr>
      <w:rFonts w:ascii="宋体" w:hAnsi="宋体" w:cs="宋体"/>
      <w:sz w:val="20"/>
      <w:szCs w:val="20"/>
    </w:rPr>
  </w:style>
  <w:style w:type="paragraph" w:customStyle="1" w:styleId="392">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rPr>
  </w:style>
  <w:style w:type="paragraph" w:customStyle="1" w:styleId="393">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cs="宋体"/>
      <w:b/>
      <w:bCs/>
      <w:sz w:val="20"/>
      <w:szCs w:val="20"/>
    </w:rPr>
  </w:style>
  <w:style w:type="paragraph" w:customStyle="1" w:styleId="394">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rPr>
  </w:style>
  <w:style w:type="paragraph" w:customStyle="1" w:styleId="395">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cs="宋体"/>
      <w:sz w:val="20"/>
      <w:szCs w:val="20"/>
    </w:rPr>
  </w:style>
  <w:style w:type="paragraph" w:customStyle="1" w:styleId="396">
    <w:name w:val="xl71"/>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rFonts w:ascii="宋体" w:hAnsi="宋体" w:cs="宋体"/>
      <w:sz w:val="20"/>
      <w:szCs w:val="20"/>
    </w:rPr>
  </w:style>
  <w:style w:type="paragraph" w:customStyle="1" w:styleId="39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39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cs="宋体"/>
      <w:color w:val="FF0000"/>
      <w:sz w:val="20"/>
      <w:szCs w:val="20"/>
    </w:rPr>
  </w:style>
  <w:style w:type="paragraph" w:customStyle="1" w:styleId="399">
    <w:name w:val="Item List in Table"/>
    <w:qFormat/>
    <w:uiPriority w:val="0"/>
    <w:pPr>
      <w:numPr>
        <w:ilvl w:val="0"/>
        <w:numId w:val="23"/>
      </w:numPr>
      <w:spacing w:before="40" w:after="40"/>
      <w:jc w:val="both"/>
    </w:pPr>
    <w:rPr>
      <w:rFonts w:ascii="Arial" w:hAnsi="Arial" w:eastAsia="宋体" w:cs="Arial"/>
      <w:kern w:val="2"/>
      <w:sz w:val="18"/>
      <w:szCs w:val="18"/>
      <w:lang w:val="en-US" w:eastAsia="zh-CN" w:bidi="ar-SA"/>
    </w:rPr>
  </w:style>
  <w:style w:type="paragraph" w:customStyle="1" w:styleId="400">
    <w:name w:val="表格非标题文字"/>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401">
    <w:name w:val="Table Text"/>
    <w:basedOn w:val="1"/>
    <w:link w:val="809"/>
    <w:qFormat/>
    <w:uiPriority w:val="0"/>
    <w:pPr>
      <w:adjustRightInd w:val="0"/>
      <w:spacing w:before="60" w:after="60"/>
    </w:pPr>
  </w:style>
  <w:style w:type="paragraph" w:customStyle="1" w:styleId="40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cs="宋体"/>
      <w:sz w:val="20"/>
      <w:szCs w:val="20"/>
    </w:rPr>
  </w:style>
  <w:style w:type="paragraph" w:customStyle="1" w:styleId="403">
    <w:name w:val="xl75"/>
    <w:basedOn w:val="1"/>
    <w:qFormat/>
    <w:uiPriority w:val="0"/>
    <w:pPr>
      <w:pBdr>
        <w:top w:val="single" w:color="auto" w:sz="4" w:space="0"/>
        <w:left w:val="single" w:color="auto" w:sz="4" w:space="0"/>
        <w:bottom w:val="single" w:color="auto" w:sz="4" w:space="0"/>
      </w:pBdr>
      <w:spacing w:before="100" w:beforeAutospacing="1" w:after="100" w:afterAutospacing="1"/>
    </w:pPr>
    <w:rPr>
      <w:rFonts w:ascii="宋体" w:hAnsi="宋体" w:cs="宋体"/>
      <w:b/>
      <w:bCs/>
      <w:sz w:val="20"/>
      <w:szCs w:val="20"/>
    </w:rPr>
  </w:style>
  <w:style w:type="paragraph" w:customStyle="1" w:styleId="404">
    <w:name w:val="xl76"/>
    <w:basedOn w:val="1"/>
    <w:qFormat/>
    <w:uiPriority w:val="0"/>
    <w:pPr>
      <w:pBdr>
        <w:top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rPr>
  </w:style>
  <w:style w:type="paragraph" w:customStyle="1" w:styleId="405">
    <w:name w:val="xl77"/>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406">
    <w:name w:val="xl78"/>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407">
    <w:name w:val="xl79"/>
    <w:basedOn w:val="1"/>
    <w:qFormat/>
    <w:uiPriority w:val="0"/>
    <w:pPr>
      <w:pBdr>
        <w:left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408">
    <w:name w:val="xl80"/>
    <w:basedOn w:val="1"/>
    <w:qFormat/>
    <w:uiPriority w:val="0"/>
    <w:pPr>
      <w:pBdr>
        <w:top w:val="single" w:color="auto" w:sz="4" w:space="0"/>
        <w:left w:val="single" w:color="auto" w:sz="4" w:space="0"/>
        <w:bottom w:val="single" w:color="auto" w:sz="4" w:space="0"/>
      </w:pBdr>
      <w:shd w:val="clear" w:color="auto" w:fill="F2F2F2"/>
      <w:spacing w:before="100" w:beforeAutospacing="1" w:after="100" w:afterAutospacing="1"/>
      <w:jc w:val="center"/>
    </w:pPr>
    <w:rPr>
      <w:rFonts w:ascii="宋体" w:hAnsi="宋体" w:cs="宋体"/>
      <w:b/>
      <w:bCs/>
      <w:sz w:val="20"/>
      <w:szCs w:val="20"/>
    </w:rPr>
  </w:style>
  <w:style w:type="paragraph" w:customStyle="1" w:styleId="409">
    <w:name w:val="xl81"/>
    <w:basedOn w:val="1"/>
    <w:qFormat/>
    <w:uiPriority w:val="0"/>
    <w:pPr>
      <w:pBdr>
        <w:top w:val="single" w:color="auto" w:sz="4" w:space="0"/>
        <w:bottom w:val="single" w:color="auto" w:sz="4" w:space="0"/>
        <w:right w:val="single" w:color="auto" w:sz="4" w:space="0"/>
      </w:pBdr>
      <w:shd w:val="clear" w:color="auto" w:fill="F2F2F2"/>
      <w:spacing w:before="100" w:beforeAutospacing="1" w:after="100" w:afterAutospacing="1"/>
      <w:jc w:val="center"/>
    </w:pPr>
    <w:rPr>
      <w:rFonts w:ascii="宋体" w:hAnsi="宋体" w:cs="宋体"/>
      <w:b/>
      <w:bCs/>
      <w:sz w:val="20"/>
      <w:szCs w:val="20"/>
    </w:rPr>
  </w:style>
  <w:style w:type="paragraph" w:customStyle="1" w:styleId="410">
    <w:name w:val="xl82"/>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sz w:val="20"/>
      <w:szCs w:val="20"/>
    </w:rPr>
  </w:style>
  <w:style w:type="paragraph" w:customStyle="1" w:styleId="411">
    <w:name w:val="xl83"/>
    <w:basedOn w:val="1"/>
    <w:qFormat/>
    <w:uiPriority w:val="0"/>
    <w:pPr>
      <w:pBdr>
        <w:left w:val="single" w:color="auto" w:sz="4" w:space="0"/>
        <w:right w:val="single" w:color="auto" w:sz="4" w:space="0"/>
      </w:pBdr>
      <w:spacing w:before="100" w:beforeAutospacing="1" w:after="100" w:afterAutospacing="1"/>
      <w:jc w:val="center"/>
    </w:pPr>
    <w:rPr>
      <w:rFonts w:ascii="宋体" w:hAnsi="宋体" w:cs="宋体"/>
      <w:b/>
      <w:bCs/>
      <w:sz w:val="20"/>
      <w:szCs w:val="20"/>
    </w:rPr>
  </w:style>
  <w:style w:type="paragraph" w:customStyle="1" w:styleId="412">
    <w:name w:val="xl8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rPr>
  </w:style>
  <w:style w:type="paragraph" w:customStyle="1" w:styleId="413">
    <w:name w:val="xl85"/>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cs="宋体"/>
      <w:sz w:val="20"/>
      <w:szCs w:val="20"/>
    </w:rPr>
  </w:style>
  <w:style w:type="paragraph" w:customStyle="1" w:styleId="414">
    <w:name w:val="xl86"/>
    <w:basedOn w:val="1"/>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rPr>
  </w:style>
  <w:style w:type="character" w:customStyle="1" w:styleId="415">
    <w:name w:val="正文文本缩进 Char1"/>
    <w:qFormat/>
    <w:uiPriority w:val="0"/>
    <w:rPr>
      <w:sz w:val="24"/>
    </w:rPr>
  </w:style>
  <w:style w:type="paragraph" w:customStyle="1" w:styleId="416">
    <w:name w:val="Char Char28"/>
    <w:basedOn w:val="1"/>
    <w:qFormat/>
    <w:uiPriority w:val="0"/>
    <w:pPr>
      <w:widowControl w:val="0"/>
      <w:snapToGrid w:val="0"/>
      <w:spacing w:line="360" w:lineRule="auto"/>
      <w:jc w:val="both"/>
    </w:pPr>
    <w:rPr>
      <w:rFonts w:ascii="Arial" w:hAnsi="Arial" w:eastAsia="黑体"/>
      <w:snapToGrid w:val="0"/>
      <w:sz w:val="20"/>
      <w:szCs w:val="21"/>
    </w:rPr>
  </w:style>
  <w:style w:type="paragraph" w:customStyle="1" w:styleId="417">
    <w:name w:val="样式4"/>
    <w:basedOn w:val="1"/>
    <w:qFormat/>
    <w:uiPriority w:val="0"/>
    <w:pPr>
      <w:widowControl w:val="0"/>
      <w:adjustRightInd w:val="0"/>
      <w:spacing w:line="360" w:lineRule="auto"/>
      <w:ind w:firstLine="420"/>
      <w:jc w:val="center"/>
      <w:outlineLvl w:val="2"/>
    </w:pPr>
    <w:rPr>
      <w:rFonts w:ascii="仿宋_GB2312" w:eastAsia="仿宋_GB2312"/>
      <w:b/>
      <w:kern w:val="2"/>
      <w:sz w:val="32"/>
      <w:szCs w:val="32"/>
    </w:rPr>
  </w:style>
  <w:style w:type="character" w:customStyle="1" w:styleId="418">
    <w:name w:val="1正文缩进 Char"/>
    <w:link w:val="419"/>
    <w:qFormat/>
    <w:uiPriority w:val="0"/>
    <w:rPr>
      <w:rFonts w:ascii="Arial" w:hAnsi="Arial"/>
      <w:color w:val="0000FF"/>
      <w:sz w:val="24"/>
      <w:szCs w:val="24"/>
    </w:rPr>
  </w:style>
  <w:style w:type="paragraph" w:customStyle="1" w:styleId="419">
    <w:name w:val="1正文缩进"/>
    <w:basedOn w:val="1"/>
    <w:link w:val="418"/>
    <w:qFormat/>
    <w:uiPriority w:val="0"/>
    <w:pPr>
      <w:widowControl w:val="0"/>
      <w:spacing w:line="300" w:lineRule="auto"/>
      <w:jc w:val="both"/>
    </w:pPr>
    <w:rPr>
      <w:rFonts w:ascii="Arial" w:hAnsi="Arial"/>
      <w:color w:val="0000FF"/>
    </w:rPr>
  </w:style>
  <w:style w:type="character" w:customStyle="1" w:styleId="420">
    <w:name w:val="*正文 Char"/>
    <w:link w:val="260"/>
    <w:qFormat/>
    <w:uiPriority w:val="0"/>
    <w:rPr>
      <w:rFonts w:ascii="宋体" w:hAnsi="宋体"/>
      <w:sz w:val="24"/>
    </w:rPr>
  </w:style>
  <w:style w:type="paragraph" w:customStyle="1" w:styleId="421">
    <w:name w:val="正文图标题"/>
    <w:next w:val="1"/>
    <w:qFormat/>
    <w:uiPriority w:val="0"/>
    <w:pPr>
      <w:numPr>
        <w:ilvl w:val="0"/>
        <w:numId w:val="24"/>
      </w:numPr>
      <w:spacing w:beforeLines="50"/>
      <w:jc w:val="center"/>
    </w:pPr>
    <w:rPr>
      <w:rFonts w:ascii="黑体" w:hAnsi="Times New Roman" w:eastAsia="黑体" w:cs="Times New Roman"/>
      <w:sz w:val="21"/>
      <w:lang w:val="en-US" w:eastAsia="zh-CN" w:bidi="ar-SA"/>
    </w:rPr>
  </w:style>
  <w:style w:type="character" w:customStyle="1" w:styleId="422">
    <w:name w:val="mail_head_subject_main_word1"/>
    <w:qFormat/>
    <w:uiPriority w:val="0"/>
  </w:style>
  <w:style w:type="character" w:customStyle="1" w:styleId="423">
    <w:name w:val="lfc 正文 Char"/>
    <w:link w:val="424"/>
    <w:qFormat/>
    <w:uiPriority w:val="0"/>
    <w:rPr>
      <w:rFonts w:ascii="宋体" w:hAnsi="宋体"/>
      <w:sz w:val="24"/>
      <w:szCs w:val="24"/>
    </w:rPr>
  </w:style>
  <w:style w:type="paragraph" w:customStyle="1" w:styleId="424">
    <w:name w:val="lfc 正文"/>
    <w:basedOn w:val="1"/>
    <w:link w:val="423"/>
    <w:qFormat/>
    <w:uiPriority w:val="0"/>
    <w:pPr>
      <w:widowControl w:val="0"/>
      <w:spacing w:beforeLines="50" w:afterLines="50" w:line="360" w:lineRule="auto"/>
      <w:ind w:firstLine="200" w:firstLineChars="200"/>
      <w:jc w:val="both"/>
    </w:pPr>
    <w:rPr>
      <w:rFonts w:ascii="宋体" w:hAnsi="宋体"/>
    </w:rPr>
  </w:style>
  <w:style w:type="paragraph" w:customStyle="1" w:styleId="425">
    <w:name w:val="图表"/>
    <w:basedOn w:val="247"/>
    <w:link w:val="426"/>
    <w:qFormat/>
    <w:uiPriority w:val="0"/>
    <w:pPr>
      <w:widowControl w:val="0"/>
      <w:spacing w:beforeLines="0" w:afterLines="0"/>
      <w:ind w:firstLine="0" w:firstLineChars="0"/>
      <w:jc w:val="both"/>
    </w:pPr>
    <w:rPr>
      <w:rFonts w:ascii="宋体" w:hAnsi="宋体" w:cs="黑体"/>
      <w:kern w:val="2"/>
    </w:rPr>
  </w:style>
  <w:style w:type="character" w:customStyle="1" w:styleId="426">
    <w:name w:val="图表 Char"/>
    <w:link w:val="425"/>
    <w:qFormat/>
    <w:uiPriority w:val="0"/>
    <w:rPr>
      <w:rFonts w:ascii="宋体" w:hAnsi="宋体" w:cs="黑体"/>
      <w:kern w:val="2"/>
      <w:sz w:val="24"/>
      <w:szCs w:val="21"/>
    </w:rPr>
  </w:style>
  <w:style w:type="character" w:customStyle="1" w:styleId="427">
    <w:name w:val="列出段落 Char1"/>
    <w:link w:val="258"/>
    <w:qFormat/>
    <w:uiPriority w:val="0"/>
    <w:rPr>
      <w:rFonts w:ascii="Calibri" w:hAnsi="Calibri"/>
      <w:sz w:val="24"/>
      <w:szCs w:val="24"/>
    </w:rPr>
  </w:style>
  <w:style w:type="character" w:customStyle="1" w:styleId="428">
    <w:name w:val="2级标题 Char"/>
    <w:link w:val="305"/>
    <w:qFormat/>
    <w:uiPriority w:val="0"/>
    <w:rPr>
      <w:b/>
      <w:kern w:val="2"/>
      <w:sz w:val="24"/>
      <w:szCs w:val="24"/>
    </w:rPr>
  </w:style>
  <w:style w:type="paragraph" w:customStyle="1" w:styleId="429">
    <w:name w:val="首信标准正文"/>
    <w:basedOn w:val="1"/>
    <w:qFormat/>
    <w:uiPriority w:val="0"/>
    <w:pPr>
      <w:widowControl w:val="0"/>
      <w:numPr>
        <w:ilvl w:val="0"/>
        <w:numId w:val="25"/>
      </w:numPr>
      <w:spacing w:line="360" w:lineRule="auto"/>
      <w:jc w:val="both"/>
    </w:pPr>
    <w:rPr>
      <w:rFonts w:ascii="宋体" w:hAnsi="Tahoma"/>
      <w:kern w:val="2"/>
      <w:sz w:val="21"/>
      <w:szCs w:val="21"/>
    </w:rPr>
  </w:style>
  <w:style w:type="paragraph" w:customStyle="1" w:styleId="430">
    <w:name w:val="A1"/>
    <w:basedOn w:val="3"/>
    <w:qFormat/>
    <w:uiPriority w:val="0"/>
    <w:pPr>
      <w:pageBreakBefore/>
      <w:numPr>
        <w:numId w:val="26"/>
      </w:numPr>
      <w:adjustRightInd/>
      <w:spacing w:beforeLines="0" w:afterLines="0" w:line="360" w:lineRule="auto"/>
      <w:ind w:left="0" w:hanging="431" w:hangingChars="180"/>
      <w:jc w:val="both"/>
      <w:textAlignment w:val="auto"/>
    </w:pPr>
    <w:rPr>
      <w:rFonts w:ascii="宋体" w:hAnsi="宋体" w:eastAsia="宋体"/>
      <w:bCs/>
      <w:spacing w:val="0"/>
      <w:szCs w:val="44"/>
    </w:rPr>
  </w:style>
  <w:style w:type="paragraph" w:customStyle="1" w:styleId="431">
    <w:name w:val="A2"/>
    <w:basedOn w:val="5"/>
    <w:qFormat/>
    <w:uiPriority w:val="0"/>
    <w:pPr>
      <w:widowControl w:val="0"/>
      <w:numPr>
        <w:numId w:val="26"/>
      </w:numPr>
      <w:spacing w:beforeLines="0" w:afterLines="0" w:line="360" w:lineRule="auto"/>
      <w:ind w:firstLine="0" w:firstLineChars="0"/>
      <w:jc w:val="both"/>
    </w:pPr>
    <w:rPr>
      <w:rFonts w:ascii="宋体" w:hAnsi="宋体" w:eastAsia="宋体"/>
      <w:kern w:val="2"/>
      <w:sz w:val="36"/>
    </w:rPr>
  </w:style>
  <w:style w:type="paragraph" w:customStyle="1" w:styleId="432">
    <w:name w:val="A3"/>
    <w:basedOn w:val="6"/>
    <w:link w:val="437"/>
    <w:qFormat/>
    <w:uiPriority w:val="0"/>
    <w:pPr>
      <w:numPr>
        <w:numId w:val="26"/>
      </w:numPr>
      <w:wordWrap/>
      <w:overflowPunct/>
      <w:autoSpaceDE/>
      <w:autoSpaceDN/>
      <w:adjustRightInd/>
      <w:spacing w:beforeLines="0" w:afterLines="0" w:line="416" w:lineRule="auto"/>
      <w:ind w:firstLine="0" w:firstLineChars="0"/>
      <w:jc w:val="both"/>
      <w:textAlignment w:val="auto"/>
    </w:pPr>
    <w:rPr>
      <w:rFonts w:ascii="宋体" w:hAnsi="Times New Roman" w:eastAsia="宋体"/>
      <w:b/>
      <w:bCs/>
      <w:kern w:val="2"/>
      <w:sz w:val="32"/>
      <w:szCs w:val="32"/>
    </w:rPr>
  </w:style>
  <w:style w:type="paragraph" w:customStyle="1" w:styleId="433">
    <w:name w:val="A4"/>
    <w:basedOn w:val="7"/>
    <w:link w:val="435"/>
    <w:qFormat/>
    <w:uiPriority w:val="0"/>
    <w:pPr>
      <w:numPr>
        <w:numId w:val="26"/>
      </w:numPr>
      <w:adjustRightInd/>
      <w:spacing w:line="376" w:lineRule="auto"/>
      <w:jc w:val="both"/>
      <w:textAlignment w:val="auto"/>
    </w:pPr>
    <w:rPr>
      <w:rFonts w:ascii="宋体" w:hAnsi="Cambria" w:eastAsia="宋体"/>
      <w:bCs/>
      <w:spacing w:val="0"/>
      <w:kern w:val="2"/>
      <w:sz w:val="30"/>
      <w:szCs w:val="28"/>
    </w:rPr>
  </w:style>
  <w:style w:type="paragraph" w:customStyle="1" w:styleId="434">
    <w:name w:val="A5"/>
    <w:basedOn w:val="8"/>
    <w:link w:val="438"/>
    <w:qFormat/>
    <w:uiPriority w:val="0"/>
    <w:pPr>
      <w:numPr>
        <w:numId w:val="26"/>
      </w:numPr>
      <w:tabs>
        <w:tab w:val="left" w:pos="360"/>
      </w:tabs>
      <w:adjustRightInd/>
      <w:spacing w:line="376" w:lineRule="auto"/>
      <w:ind w:left="0" w:firstLine="0"/>
      <w:jc w:val="both"/>
      <w:textAlignment w:val="auto"/>
    </w:pPr>
    <w:rPr>
      <w:rFonts w:ascii="宋体" w:eastAsia="宋体"/>
      <w:bCs/>
      <w:spacing w:val="0"/>
      <w:kern w:val="2"/>
      <w:szCs w:val="28"/>
    </w:rPr>
  </w:style>
  <w:style w:type="character" w:customStyle="1" w:styleId="435">
    <w:name w:val="A4 Char"/>
    <w:link w:val="433"/>
    <w:qFormat/>
    <w:uiPriority w:val="0"/>
    <w:rPr>
      <w:rFonts w:ascii="宋体" w:hAnsi="Cambria"/>
      <w:b/>
      <w:bCs/>
      <w:kern w:val="2"/>
      <w:sz w:val="30"/>
      <w:szCs w:val="28"/>
    </w:rPr>
  </w:style>
  <w:style w:type="paragraph" w:customStyle="1" w:styleId="436">
    <w:name w:val="A6"/>
    <w:basedOn w:val="9"/>
    <w:qFormat/>
    <w:uiPriority w:val="0"/>
    <w:pPr>
      <w:tabs>
        <w:tab w:val="left" w:pos="360"/>
      </w:tabs>
      <w:adjustRightInd/>
      <w:spacing w:line="320" w:lineRule="auto"/>
      <w:ind w:left="0" w:firstLine="0"/>
      <w:jc w:val="both"/>
      <w:textAlignment w:val="auto"/>
    </w:pPr>
    <w:rPr>
      <w:rFonts w:ascii="宋体" w:hAnsi="Cambria" w:eastAsia="宋体"/>
      <w:bCs/>
      <w:spacing w:val="0"/>
      <w:kern w:val="2"/>
      <w:szCs w:val="24"/>
    </w:rPr>
  </w:style>
  <w:style w:type="character" w:customStyle="1" w:styleId="437">
    <w:name w:val="A3 Char"/>
    <w:link w:val="432"/>
    <w:qFormat/>
    <w:uiPriority w:val="0"/>
    <w:rPr>
      <w:rFonts w:ascii="宋体"/>
      <w:b/>
      <w:bCs/>
      <w:kern w:val="2"/>
      <w:sz w:val="32"/>
      <w:szCs w:val="32"/>
    </w:rPr>
  </w:style>
  <w:style w:type="character" w:customStyle="1" w:styleId="438">
    <w:name w:val="A5 Char"/>
    <w:link w:val="434"/>
    <w:qFormat/>
    <w:uiPriority w:val="0"/>
    <w:rPr>
      <w:rFonts w:ascii="宋体"/>
      <w:b/>
      <w:bCs/>
      <w:kern w:val="2"/>
      <w:sz w:val="28"/>
      <w:szCs w:val="28"/>
    </w:rPr>
  </w:style>
  <w:style w:type="paragraph" w:customStyle="1" w:styleId="439">
    <w:name w:val="标题3"/>
    <w:basedOn w:val="6"/>
    <w:link w:val="440"/>
    <w:qFormat/>
    <w:uiPriority w:val="0"/>
    <w:pPr>
      <w:numPr>
        <w:ilvl w:val="0"/>
        <w:numId w:val="0"/>
      </w:numPr>
      <w:tabs>
        <w:tab w:val="left" w:pos="1740"/>
      </w:tabs>
      <w:wordWrap/>
      <w:overflowPunct/>
      <w:autoSpaceDE/>
      <w:autoSpaceDN/>
      <w:adjustRightInd/>
      <w:spacing w:beforeLines="0" w:afterLines="0" w:line="416" w:lineRule="auto"/>
      <w:ind w:left="1740" w:hanging="420"/>
      <w:jc w:val="both"/>
      <w:textAlignment w:val="auto"/>
    </w:pPr>
    <w:rPr>
      <w:rFonts w:ascii="宋体" w:hAnsi="宋体" w:eastAsia="宋体"/>
      <w:b/>
      <w:bCs/>
      <w:kern w:val="2"/>
      <w:sz w:val="32"/>
      <w:szCs w:val="32"/>
    </w:rPr>
  </w:style>
  <w:style w:type="character" w:customStyle="1" w:styleId="440">
    <w:name w:val="标题3 Char"/>
    <w:link w:val="439"/>
    <w:qFormat/>
    <w:uiPriority w:val="0"/>
    <w:rPr>
      <w:rFonts w:ascii="宋体" w:hAnsi="宋体"/>
      <w:b/>
      <w:bCs/>
      <w:kern w:val="2"/>
      <w:sz w:val="32"/>
      <w:szCs w:val="32"/>
    </w:rPr>
  </w:style>
  <w:style w:type="paragraph" w:customStyle="1" w:styleId="441">
    <w:name w:val="标题5"/>
    <w:basedOn w:val="8"/>
    <w:link w:val="442"/>
    <w:qFormat/>
    <w:uiPriority w:val="0"/>
    <w:pPr>
      <w:numPr>
        <w:numId w:val="0"/>
      </w:numPr>
      <w:tabs>
        <w:tab w:val="left" w:pos="993"/>
        <w:tab w:val="left" w:pos="1134"/>
        <w:tab w:val="clear" w:pos="992"/>
      </w:tabs>
      <w:adjustRightInd/>
      <w:spacing w:line="376" w:lineRule="auto"/>
      <w:ind w:left="992" w:hanging="992"/>
      <w:jc w:val="both"/>
      <w:textAlignment w:val="auto"/>
    </w:pPr>
    <w:rPr>
      <w:rFonts w:ascii="宋体" w:hAnsi="宋体" w:eastAsia="宋体"/>
      <w:bCs/>
      <w:spacing w:val="0"/>
      <w:kern w:val="2"/>
      <w:szCs w:val="28"/>
    </w:rPr>
  </w:style>
  <w:style w:type="character" w:customStyle="1" w:styleId="442">
    <w:name w:val="标题5 Char"/>
    <w:link w:val="441"/>
    <w:qFormat/>
    <w:uiPriority w:val="0"/>
    <w:rPr>
      <w:rFonts w:ascii="宋体" w:hAnsi="宋体"/>
      <w:b/>
      <w:bCs/>
      <w:kern w:val="2"/>
      <w:sz w:val="28"/>
      <w:szCs w:val="28"/>
    </w:rPr>
  </w:style>
  <w:style w:type="character" w:customStyle="1" w:styleId="443">
    <w:name w:val="norr Char Char"/>
    <w:link w:val="444"/>
    <w:qFormat/>
    <w:uiPriority w:val="0"/>
    <w:rPr>
      <w:rFonts w:ascii="宋体" w:hAnsi="宋体"/>
      <w:spacing w:val="-10"/>
      <w:sz w:val="30"/>
      <w:szCs w:val="30"/>
    </w:rPr>
  </w:style>
  <w:style w:type="paragraph" w:customStyle="1" w:styleId="444">
    <w:name w:val="norr"/>
    <w:basedOn w:val="1"/>
    <w:link w:val="443"/>
    <w:qFormat/>
    <w:uiPriority w:val="0"/>
    <w:pPr>
      <w:widowControl w:val="0"/>
      <w:ind w:firstLine="600"/>
      <w:jc w:val="both"/>
    </w:pPr>
    <w:rPr>
      <w:rFonts w:ascii="宋体" w:hAnsi="宋体"/>
      <w:spacing w:val="-10"/>
      <w:sz w:val="30"/>
      <w:szCs w:val="30"/>
    </w:rPr>
  </w:style>
  <w:style w:type="character" w:customStyle="1" w:styleId="445">
    <w:name w:val="正文格式 Char Char"/>
    <w:qFormat/>
    <w:uiPriority w:val="0"/>
    <w:rPr>
      <w:sz w:val="24"/>
    </w:rPr>
  </w:style>
  <w:style w:type="character" w:customStyle="1" w:styleId="446">
    <w:name w:val="文档标题3 Char Char"/>
    <w:qFormat/>
    <w:uiPriority w:val="0"/>
    <w:rPr>
      <w:sz w:val="32"/>
      <w:szCs w:val="32"/>
    </w:rPr>
  </w:style>
  <w:style w:type="character" w:customStyle="1" w:styleId="447">
    <w:name w:val="headline-content2"/>
    <w:qFormat/>
    <w:uiPriority w:val="0"/>
  </w:style>
  <w:style w:type="character" w:customStyle="1" w:styleId="448">
    <w:name w:val="normal Char1"/>
    <w:link w:val="449"/>
    <w:qFormat/>
    <w:uiPriority w:val="0"/>
    <w:rPr>
      <w:rFonts w:ascii="仿宋_GB2312" w:eastAsia="仿宋_GB2312"/>
      <w:sz w:val="32"/>
      <w:szCs w:val="32"/>
    </w:rPr>
  </w:style>
  <w:style w:type="paragraph" w:customStyle="1" w:styleId="449">
    <w:name w:val="正文3"/>
    <w:basedOn w:val="1"/>
    <w:link w:val="448"/>
    <w:qFormat/>
    <w:uiPriority w:val="0"/>
    <w:pPr>
      <w:widowControl w:val="0"/>
      <w:spacing w:line="360" w:lineRule="auto"/>
      <w:ind w:firstLine="640" w:firstLineChars="200"/>
      <w:jc w:val="both"/>
    </w:pPr>
    <w:rPr>
      <w:rFonts w:ascii="仿宋_GB2312" w:eastAsia="仿宋_GB2312"/>
      <w:sz w:val="32"/>
      <w:szCs w:val="32"/>
    </w:rPr>
  </w:style>
  <w:style w:type="character" w:customStyle="1" w:styleId="450">
    <w:name w:val="4级标题 Char Char"/>
    <w:qFormat/>
    <w:uiPriority w:val="0"/>
    <w:rPr>
      <w:b/>
      <w:sz w:val="24"/>
      <w:szCs w:val="24"/>
    </w:rPr>
  </w:style>
  <w:style w:type="character" w:customStyle="1" w:styleId="451">
    <w:name w:val="纯文本 Char1"/>
    <w:qFormat/>
    <w:uiPriority w:val="0"/>
    <w:rPr>
      <w:rFonts w:ascii="宋体" w:hAnsi="Courier New" w:eastAsia="宋体" w:cs="Courier New"/>
      <w:szCs w:val="21"/>
    </w:rPr>
  </w:style>
  <w:style w:type="character" w:customStyle="1" w:styleId="452">
    <w:name w:val="日期 Char1"/>
    <w:qFormat/>
    <w:uiPriority w:val="0"/>
  </w:style>
  <w:style w:type="character" w:customStyle="1" w:styleId="453">
    <w:name w:val="批注框文本 Char1"/>
    <w:semiHidden/>
    <w:qFormat/>
    <w:uiPriority w:val="99"/>
    <w:rPr>
      <w:sz w:val="18"/>
      <w:szCs w:val="18"/>
    </w:rPr>
  </w:style>
  <w:style w:type="paragraph" w:customStyle="1" w:styleId="454">
    <w:name w:val="1.1 多级符号"/>
    <w:basedOn w:val="1"/>
    <w:qFormat/>
    <w:uiPriority w:val="0"/>
    <w:pPr>
      <w:widowControl w:val="0"/>
      <w:shd w:val="clear" w:color="auto" w:fill="FAFAFA"/>
      <w:tabs>
        <w:tab w:val="left" w:pos="1320"/>
      </w:tabs>
      <w:spacing w:line="300" w:lineRule="auto"/>
      <w:ind w:left="576" w:hanging="576"/>
      <w:jc w:val="both"/>
      <w:outlineLvl w:val="1"/>
    </w:pPr>
    <w:rPr>
      <w:color w:val="000000"/>
      <w:kern w:val="2"/>
      <w:sz w:val="21"/>
      <w:szCs w:val="21"/>
    </w:rPr>
  </w:style>
  <w:style w:type="paragraph" w:customStyle="1" w:styleId="455">
    <w:name w:val="1.1.1 多级符号"/>
    <w:basedOn w:val="1"/>
    <w:qFormat/>
    <w:uiPriority w:val="0"/>
    <w:pPr>
      <w:widowControl w:val="0"/>
      <w:jc w:val="both"/>
    </w:pPr>
    <w:rPr>
      <w:kern w:val="2"/>
      <w:sz w:val="21"/>
    </w:rPr>
  </w:style>
  <w:style w:type="paragraph" w:customStyle="1" w:styleId="456">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457">
    <w:name w:val="东莞正文"/>
    <w:basedOn w:val="1"/>
    <w:qFormat/>
    <w:uiPriority w:val="0"/>
    <w:pPr>
      <w:widowControl w:val="0"/>
      <w:spacing w:line="360" w:lineRule="auto"/>
      <w:ind w:firstLine="480" w:firstLineChars="200"/>
      <w:jc w:val="both"/>
    </w:pPr>
    <w:rPr>
      <w:rFonts w:ascii="Arial" w:hAnsi="Arial" w:eastAsia="仿宋_GB2312" w:cs="宋体"/>
      <w:color w:val="000000"/>
      <w:kern w:val="2"/>
      <w:szCs w:val="20"/>
    </w:rPr>
  </w:style>
  <w:style w:type="paragraph" w:customStyle="1" w:styleId="458">
    <w:name w:val="文档标题7"/>
    <w:basedOn w:val="10"/>
    <w:qFormat/>
    <w:uiPriority w:val="0"/>
    <w:pPr>
      <w:numPr>
        <w:ilvl w:val="0"/>
        <w:numId w:val="0"/>
      </w:numPr>
      <w:adjustRightInd/>
      <w:spacing w:before="100" w:beforeAutospacing="1" w:after="100" w:afterAutospacing="1" w:line="360" w:lineRule="auto"/>
      <w:ind w:left="1276" w:hanging="1276"/>
      <w:jc w:val="both"/>
      <w:textAlignment w:val="auto"/>
    </w:pPr>
    <w:rPr>
      <w:rFonts w:ascii="Times New Roman" w:eastAsia="宋体"/>
      <w:bCs/>
      <w:spacing w:val="0"/>
      <w:szCs w:val="24"/>
    </w:rPr>
  </w:style>
  <w:style w:type="paragraph" w:customStyle="1" w:styleId="459">
    <w:name w:val="正文缩进HS-正文1"/>
    <w:basedOn w:val="1"/>
    <w:qFormat/>
    <w:uiPriority w:val="0"/>
    <w:pPr>
      <w:widowControl w:val="0"/>
      <w:suppressAutoHyphens/>
      <w:spacing w:line="360" w:lineRule="auto"/>
      <w:ind w:firstLine="480"/>
      <w:jc w:val="both"/>
    </w:pPr>
    <w:rPr>
      <w:rFonts w:ascii="宋体" w:hAnsi="宋体"/>
      <w:color w:val="000000"/>
      <w:kern w:val="1"/>
      <w:sz w:val="21"/>
      <w:lang w:eastAsia="ar-SA"/>
    </w:rPr>
  </w:style>
  <w:style w:type="paragraph" w:customStyle="1" w:styleId="460">
    <w:name w:val="（空）多级符号"/>
    <w:basedOn w:val="1"/>
    <w:qFormat/>
    <w:uiPriority w:val="0"/>
    <w:pPr>
      <w:widowControl w:val="0"/>
      <w:tabs>
        <w:tab w:val="left" w:pos="587"/>
      </w:tabs>
      <w:spacing w:line="300" w:lineRule="auto"/>
      <w:jc w:val="both"/>
    </w:pPr>
    <w:rPr>
      <w:kern w:val="2"/>
      <w:sz w:val="21"/>
    </w:rPr>
  </w:style>
  <w:style w:type="paragraph" w:customStyle="1" w:styleId="461">
    <w:name w:val="Char Char Char Char Char Char Char Char Char Char Char Char Char Char Char Char Char Char Char Char Char Char Char Char 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462">
    <w:name w:val="Char Char Char Char Char Char Char Char Char Char Char Char Char Char Char Char Char Char Char Char Char Char Char Char Char Char Char Char"/>
    <w:basedOn w:val="1"/>
    <w:qFormat/>
    <w:uiPriority w:val="0"/>
    <w:pPr>
      <w:widowControl w:val="0"/>
      <w:spacing w:before="100" w:beforeAutospacing="1" w:after="100" w:afterAutospacing="1"/>
      <w:jc w:val="both"/>
    </w:pPr>
    <w:rPr>
      <w:rFonts w:ascii="仿宋_GB2312" w:eastAsia="仿宋_GB2312"/>
      <w:b/>
      <w:kern w:val="2"/>
      <w:sz w:val="32"/>
      <w:szCs w:val="32"/>
    </w:rPr>
  </w:style>
  <w:style w:type="paragraph" w:customStyle="1" w:styleId="463">
    <w:name w:val="Char Char Char Char Char Char Char Char Char Char Char Char Char Char Char"/>
    <w:next w:val="1"/>
    <w:qFormat/>
    <w:uiPriority w:val="0"/>
    <w:pPr>
      <w:keepNext/>
      <w:keepLines/>
      <w:spacing w:before="240" w:after="240"/>
      <w:ind w:hanging="624"/>
      <w:outlineLvl w:val="7"/>
    </w:pPr>
    <w:rPr>
      <w:rFonts w:ascii="Verdana" w:hAnsi="Verdana" w:eastAsia="宋体" w:cs="Times New Roman"/>
      <w:sz w:val="21"/>
      <w:lang w:val="en-US" w:eastAsia="en-US" w:bidi="ar-SA"/>
    </w:rPr>
  </w:style>
  <w:style w:type="paragraph" w:customStyle="1" w:styleId="464">
    <w:name w:val="排列"/>
    <w:basedOn w:val="1"/>
    <w:qFormat/>
    <w:uiPriority w:val="0"/>
    <w:pPr>
      <w:widowControl w:val="0"/>
      <w:numPr>
        <w:ilvl w:val="0"/>
        <w:numId w:val="27"/>
      </w:numPr>
      <w:tabs>
        <w:tab w:val="left" w:pos="840"/>
      </w:tabs>
      <w:adjustRightInd w:val="0"/>
      <w:spacing w:line="360" w:lineRule="auto"/>
      <w:jc w:val="both"/>
    </w:pPr>
    <w:rPr>
      <w:rFonts w:ascii="宋体" w:hAnsi="宋体"/>
      <w:szCs w:val="20"/>
    </w:rPr>
  </w:style>
  <w:style w:type="paragraph" w:customStyle="1" w:styleId="465">
    <w:name w:val="Char Char Char Char Char Char Char Char Char"/>
    <w:basedOn w:val="1"/>
    <w:qFormat/>
    <w:uiPriority w:val="0"/>
    <w:pPr>
      <w:spacing w:before="100" w:beforeAutospacing="1" w:after="100" w:afterAutospacing="1" w:line="360" w:lineRule="auto"/>
      <w:ind w:left="357"/>
    </w:pPr>
    <w:rPr>
      <w:rFonts w:ascii="ˎ̥" w:hAnsi="ˎ̥" w:cs="宋体"/>
      <w:color w:val="51585D"/>
      <w:szCs w:val="18"/>
    </w:rPr>
  </w:style>
  <w:style w:type="paragraph" w:customStyle="1" w:styleId="466">
    <w:name w:val="tabletext"/>
    <w:basedOn w:val="1"/>
    <w:qFormat/>
    <w:uiPriority w:val="0"/>
    <w:pPr>
      <w:spacing w:before="100" w:beforeAutospacing="1" w:after="100" w:afterAutospacing="1"/>
    </w:pPr>
    <w:rPr>
      <w:rFonts w:ascii="宋体" w:hAnsi="宋体" w:cs="宋体"/>
    </w:rPr>
  </w:style>
  <w:style w:type="paragraph" w:customStyle="1" w:styleId="467">
    <w:name w:val="修订1"/>
    <w:qFormat/>
    <w:uiPriority w:val="99"/>
    <w:rPr>
      <w:rFonts w:ascii="Calibri" w:hAnsi="Calibri" w:eastAsia="宋体" w:cs="Times New Roman"/>
      <w:kern w:val="2"/>
      <w:sz w:val="21"/>
      <w:szCs w:val="22"/>
      <w:lang w:val="en-US" w:eastAsia="zh-CN" w:bidi="ar-SA"/>
    </w:rPr>
  </w:style>
  <w:style w:type="paragraph" w:customStyle="1" w:styleId="468">
    <w:name w:val="tableheading"/>
    <w:basedOn w:val="1"/>
    <w:qFormat/>
    <w:uiPriority w:val="0"/>
    <w:pPr>
      <w:spacing w:before="100" w:beforeAutospacing="1" w:after="100" w:afterAutospacing="1"/>
    </w:pPr>
    <w:rPr>
      <w:rFonts w:ascii="宋体" w:hAnsi="宋体" w:cs="宋体"/>
    </w:rPr>
  </w:style>
  <w:style w:type="paragraph" w:customStyle="1" w:styleId="469">
    <w:name w:val="1.多级符号"/>
    <w:basedOn w:val="1"/>
    <w:qFormat/>
    <w:uiPriority w:val="0"/>
    <w:pPr>
      <w:widowControl w:val="0"/>
      <w:shd w:val="clear" w:color="auto" w:fill="F0F0F0"/>
      <w:tabs>
        <w:tab w:val="left" w:pos="420"/>
      </w:tabs>
      <w:spacing w:line="0" w:lineRule="atLeast"/>
      <w:ind w:left="432" w:hanging="432"/>
      <w:jc w:val="both"/>
      <w:outlineLvl w:val="0"/>
    </w:pPr>
    <w:rPr>
      <w:b/>
      <w:color w:val="000000"/>
      <w:kern w:val="30"/>
      <w:sz w:val="28"/>
      <w:szCs w:val="28"/>
    </w:rPr>
  </w:style>
  <w:style w:type="paragraph" w:customStyle="1" w:styleId="470">
    <w:name w:val="Char2 Char1 Char"/>
    <w:basedOn w:val="1"/>
    <w:qFormat/>
    <w:uiPriority w:val="0"/>
    <w:pPr>
      <w:widowControl w:val="0"/>
      <w:tabs>
        <w:tab w:val="left" w:pos="360"/>
      </w:tabs>
      <w:jc w:val="both"/>
    </w:pPr>
    <w:rPr>
      <w:kern w:val="2"/>
      <w:szCs w:val="32"/>
    </w:rPr>
  </w:style>
  <w:style w:type="paragraph" w:customStyle="1" w:styleId="471">
    <w:name w:val="8"/>
    <w:basedOn w:val="1"/>
    <w:qFormat/>
    <w:uiPriority w:val="0"/>
    <w:pPr>
      <w:widowControl w:val="0"/>
      <w:jc w:val="both"/>
    </w:pPr>
    <w:rPr>
      <w:rFonts w:ascii="Tahoma" w:hAnsi="Tahoma"/>
      <w:kern w:val="2"/>
      <w:szCs w:val="20"/>
    </w:rPr>
  </w:style>
  <w:style w:type="paragraph" w:customStyle="1" w:styleId="472">
    <w:name w:val="标准书眉_偶数页"/>
    <w:basedOn w:val="1"/>
    <w:next w:val="1"/>
    <w:qFormat/>
    <w:uiPriority w:val="0"/>
    <w:pPr>
      <w:tabs>
        <w:tab w:val="center" w:pos="4154"/>
        <w:tab w:val="right" w:pos="8306"/>
      </w:tabs>
      <w:spacing w:after="120"/>
    </w:pPr>
    <w:rPr>
      <w:sz w:val="21"/>
      <w:szCs w:val="20"/>
    </w:rPr>
  </w:style>
  <w:style w:type="character" w:customStyle="1" w:styleId="473">
    <w:name w:val="普通(网站) Char"/>
    <w:link w:val="53"/>
    <w:qFormat/>
    <w:uiPriority w:val="99"/>
    <w:rPr>
      <w:rFonts w:ascii="宋体" w:hAnsi="宋体"/>
      <w:color w:val="000000"/>
      <w:sz w:val="24"/>
      <w:szCs w:val="24"/>
    </w:rPr>
  </w:style>
  <w:style w:type="character" w:customStyle="1" w:styleId="474">
    <w:name w:val="正文首行缩进 Char"/>
    <w:basedOn w:val="296"/>
    <w:link w:val="57"/>
    <w:qFormat/>
    <w:uiPriority w:val="0"/>
    <w:rPr>
      <w:rFonts w:ascii="宋体"/>
      <w:kern w:val="2"/>
      <w:sz w:val="28"/>
      <w:szCs w:val="24"/>
    </w:rPr>
  </w:style>
  <w:style w:type="character" w:customStyle="1" w:styleId="475">
    <w:name w:val="文档结构图 Char1"/>
    <w:qFormat/>
    <w:uiPriority w:val="99"/>
    <w:rPr>
      <w:rFonts w:ascii="宋体" w:eastAsia="宋体"/>
      <w:sz w:val="18"/>
      <w:szCs w:val="18"/>
    </w:rPr>
  </w:style>
  <w:style w:type="paragraph" w:customStyle="1" w:styleId="476">
    <w:name w:val="巡警表头"/>
    <w:basedOn w:val="1"/>
    <w:qFormat/>
    <w:uiPriority w:val="0"/>
    <w:pPr>
      <w:widowControl w:val="0"/>
      <w:autoSpaceDE w:val="0"/>
      <w:autoSpaceDN w:val="0"/>
      <w:spacing w:line="360" w:lineRule="auto"/>
      <w:jc w:val="center"/>
    </w:pPr>
    <w:rPr>
      <w:rFonts w:ascii="仿宋_GB2312" w:eastAsia="仿宋_GB2312" w:cs="宋体"/>
      <w:snapToGrid w:val="0"/>
      <w:sz w:val="28"/>
      <w:szCs w:val="28"/>
    </w:rPr>
  </w:style>
  <w:style w:type="paragraph" w:customStyle="1" w:styleId="477">
    <w:name w:val="巡警表正文"/>
    <w:basedOn w:val="1"/>
    <w:qFormat/>
    <w:uiPriority w:val="0"/>
    <w:pPr>
      <w:widowControl w:val="0"/>
      <w:spacing w:line="360" w:lineRule="auto"/>
    </w:pPr>
    <w:rPr>
      <w:rFonts w:ascii="仿宋_GB2312" w:hAnsi="宋体" w:eastAsia="仿宋_GB2312"/>
      <w:bCs/>
      <w:snapToGrid w:val="0"/>
      <w:sz w:val="28"/>
      <w:szCs w:val="28"/>
    </w:rPr>
  </w:style>
  <w:style w:type="paragraph" w:customStyle="1" w:styleId="478">
    <w:name w:val="表格编号"/>
    <w:basedOn w:val="1"/>
    <w:qFormat/>
    <w:uiPriority w:val="0"/>
    <w:pPr>
      <w:widowControl w:val="0"/>
      <w:spacing w:line="360" w:lineRule="auto"/>
      <w:jc w:val="both"/>
    </w:pPr>
    <w:rPr>
      <w:rFonts w:ascii="宋体" w:hAnsi="宋体"/>
      <w:bCs/>
      <w:snapToGrid w:val="0"/>
      <w:color w:val="000000"/>
      <w:szCs w:val="21"/>
    </w:rPr>
  </w:style>
  <w:style w:type="character" w:customStyle="1" w:styleId="479">
    <w:name w:val="批注文字 Char1"/>
    <w:qFormat/>
    <w:uiPriority w:val="0"/>
  </w:style>
  <w:style w:type="character" w:customStyle="1" w:styleId="480">
    <w:name w:val="批注主题 Char1"/>
    <w:qFormat/>
    <w:uiPriority w:val="99"/>
    <w:rPr>
      <w:b/>
      <w:bCs/>
    </w:rPr>
  </w:style>
  <w:style w:type="paragraph" w:customStyle="1" w:styleId="481">
    <w:name w:val="my5Title"/>
    <w:basedOn w:val="8"/>
    <w:link w:val="482"/>
    <w:qFormat/>
    <w:uiPriority w:val="0"/>
    <w:pPr>
      <w:keepLines w:val="0"/>
      <w:numPr>
        <w:ilvl w:val="0"/>
        <w:numId w:val="0"/>
      </w:numPr>
      <w:adjustRightInd/>
      <w:spacing w:before="0" w:after="0" w:line="240" w:lineRule="auto"/>
      <w:ind w:left="840"/>
      <w:jc w:val="both"/>
      <w:textAlignment w:val="auto"/>
    </w:pPr>
    <w:rPr>
      <w:rFonts w:ascii="Times New Roman" w:eastAsia="宋体"/>
      <w:i/>
      <w:spacing w:val="0"/>
      <w:kern w:val="2"/>
      <w:sz w:val="22"/>
    </w:rPr>
  </w:style>
  <w:style w:type="character" w:customStyle="1" w:styleId="482">
    <w:name w:val="my5Title Char"/>
    <w:link w:val="481"/>
    <w:qFormat/>
    <w:uiPriority w:val="0"/>
    <w:rPr>
      <w:b/>
      <w:i/>
      <w:kern w:val="2"/>
      <w:sz w:val="22"/>
    </w:rPr>
  </w:style>
  <w:style w:type="character" w:customStyle="1" w:styleId="483">
    <w:name w:val="段落 Char1"/>
    <w:link w:val="484"/>
    <w:qFormat/>
    <w:locked/>
    <w:uiPriority w:val="0"/>
    <w:rPr>
      <w:rFonts w:eastAsia="仿宋_GB2312"/>
      <w:sz w:val="32"/>
      <w:szCs w:val="32"/>
    </w:rPr>
  </w:style>
  <w:style w:type="paragraph" w:customStyle="1" w:styleId="484">
    <w:name w:val="段落"/>
    <w:link w:val="483"/>
    <w:qFormat/>
    <w:uiPriority w:val="0"/>
    <w:pPr>
      <w:adjustRightInd w:val="0"/>
      <w:snapToGrid w:val="0"/>
      <w:spacing w:before="120" w:after="120" w:line="360" w:lineRule="auto"/>
      <w:ind w:left="845" w:firstLine="640" w:firstLineChars="200"/>
      <w:jc w:val="both"/>
    </w:pPr>
    <w:rPr>
      <w:rFonts w:ascii="Times New Roman" w:hAnsi="Times New Roman" w:eastAsia="仿宋_GB2312" w:cs="Times New Roman"/>
      <w:sz w:val="32"/>
      <w:szCs w:val="32"/>
      <w:lang w:val="en-US" w:eastAsia="zh-CN" w:bidi="ar-SA"/>
    </w:rPr>
  </w:style>
  <w:style w:type="character" w:customStyle="1" w:styleId="485">
    <w:name w:val="报告正文 Char"/>
    <w:link w:val="486"/>
    <w:qFormat/>
    <w:uiPriority w:val="0"/>
    <w:rPr>
      <w:sz w:val="24"/>
    </w:rPr>
  </w:style>
  <w:style w:type="paragraph" w:customStyle="1" w:styleId="486">
    <w:name w:val="报告正文"/>
    <w:basedOn w:val="1"/>
    <w:link w:val="485"/>
    <w:qFormat/>
    <w:uiPriority w:val="0"/>
    <w:pPr>
      <w:overflowPunct w:val="0"/>
      <w:autoSpaceDE w:val="0"/>
      <w:autoSpaceDN w:val="0"/>
      <w:adjustRightInd w:val="0"/>
      <w:spacing w:line="360" w:lineRule="auto"/>
      <w:ind w:firstLine="420"/>
      <w:jc w:val="both"/>
      <w:textAlignment w:val="baseline"/>
    </w:pPr>
    <w:rPr>
      <w:szCs w:val="20"/>
    </w:rPr>
  </w:style>
  <w:style w:type="paragraph" w:customStyle="1" w:styleId="487">
    <w:name w:val="my4Titile"/>
    <w:basedOn w:val="1"/>
    <w:link w:val="488"/>
    <w:qFormat/>
    <w:uiPriority w:val="0"/>
    <w:pPr>
      <w:keepNext/>
      <w:widowControl w:val="0"/>
      <w:jc w:val="both"/>
      <w:outlineLvl w:val="3"/>
    </w:pPr>
    <w:rPr>
      <w:rFonts w:cs="宋体"/>
      <w:b/>
      <w:i/>
      <w:iCs/>
      <w:kern w:val="2"/>
      <w:sz w:val="21"/>
      <w:szCs w:val="20"/>
    </w:rPr>
  </w:style>
  <w:style w:type="character" w:customStyle="1" w:styleId="488">
    <w:name w:val="my4Titile Char"/>
    <w:link w:val="487"/>
    <w:qFormat/>
    <w:uiPriority w:val="0"/>
    <w:rPr>
      <w:rFonts w:cs="宋体"/>
      <w:b/>
      <w:i/>
      <w:iCs/>
      <w:kern w:val="2"/>
      <w:sz w:val="21"/>
    </w:rPr>
  </w:style>
  <w:style w:type="paragraph" w:customStyle="1" w:styleId="489">
    <w:name w:val="正文(首行缩进)"/>
    <w:basedOn w:val="1"/>
    <w:link w:val="490"/>
    <w:qFormat/>
    <w:uiPriority w:val="0"/>
    <w:pPr>
      <w:widowControl w:val="0"/>
      <w:spacing w:line="360" w:lineRule="auto"/>
      <w:ind w:firstLine="200" w:firstLineChars="200"/>
      <w:jc w:val="both"/>
    </w:pPr>
    <w:rPr>
      <w:rFonts w:ascii="Arial Narrow" w:hAnsi="Arial Narrow"/>
      <w:kern w:val="2"/>
    </w:rPr>
  </w:style>
  <w:style w:type="character" w:customStyle="1" w:styleId="490">
    <w:name w:val="正文(首行缩进) Char"/>
    <w:link w:val="489"/>
    <w:qFormat/>
    <w:uiPriority w:val="0"/>
    <w:rPr>
      <w:rFonts w:ascii="Arial Narrow" w:hAnsi="Arial Narrow"/>
      <w:kern w:val="2"/>
      <w:sz w:val="24"/>
      <w:szCs w:val="24"/>
    </w:rPr>
  </w:style>
  <w:style w:type="paragraph" w:customStyle="1" w:styleId="491">
    <w:name w:val="样式 标题 2第一章 标题 2Heading 2 HiddenHeading 2 CCBSheading 2H2h2..."/>
    <w:basedOn w:val="5"/>
    <w:qFormat/>
    <w:uiPriority w:val="0"/>
    <w:pPr>
      <w:widowControl w:val="0"/>
      <w:numPr>
        <w:numId w:val="28"/>
      </w:numPr>
      <w:tabs>
        <w:tab w:val="left" w:pos="0"/>
      </w:tabs>
      <w:spacing w:beforeLines="0" w:afterLines="0"/>
      <w:ind w:firstLineChars="0"/>
      <w:jc w:val="both"/>
    </w:pPr>
    <w:rPr>
      <w:rFonts w:ascii="宋体" w:hAnsi="宋体"/>
      <w:kern w:val="2"/>
      <w:sz w:val="30"/>
    </w:rPr>
  </w:style>
  <w:style w:type="paragraph" w:customStyle="1" w:styleId="492">
    <w:name w:val="样式5"/>
    <w:basedOn w:val="1"/>
    <w:qFormat/>
    <w:uiPriority w:val="0"/>
    <w:pPr>
      <w:widowControl w:val="0"/>
      <w:tabs>
        <w:tab w:val="left" w:pos="617"/>
      </w:tabs>
      <w:ind w:left="617" w:hanging="420"/>
      <w:jc w:val="both"/>
    </w:pPr>
    <w:rPr>
      <w:kern w:val="2"/>
      <w:sz w:val="21"/>
    </w:rPr>
  </w:style>
  <w:style w:type="paragraph" w:customStyle="1" w:styleId="493">
    <w:name w:val="标题10"/>
    <w:basedOn w:val="1"/>
    <w:qFormat/>
    <w:uiPriority w:val="0"/>
    <w:pPr>
      <w:widowControl w:val="0"/>
      <w:spacing w:line="319" w:lineRule="auto"/>
      <w:jc w:val="both"/>
    </w:pPr>
    <w:rPr>
      <w:kern w:val="2"/>
      <w:sz w:val="28"/>
    </w:rPr>
  </w:style>
  <w:style w:type="character" w:customStyle="1" w:styleId="494">
    <w:name w:val="脚注文本 Char"/>
    <w:basedOn w:val="65"/>
    <w:link w:val="44"/>
    <w:qFormat/>
    <w:uiPriority w:val="0"/>
    <w:rPr>
      <w:kern w:val="2"/>
      <w:sz w:val="18"/>
      <w:szCs w:val="18"/>
    </w:rPr>
  </w:style>
  <w:style w:type="paragraph" w:customStyle="1" w:styleId="495">
    <w:name w:val="FA正文"/>
    <w:basedOn w:val="1"/>
    <w:link w:val="496"/>
    <w:qFormat/>
    <w:uiPriority w:val="0"/>
    <w:pPr>
      <w:widowControl w:val="0"/>
      <w:spacing w:line="360" w:lineRule="auto"/>
      <w:ind w:firstLine="480" w:firstLineChars="200"/>
    </w:pPr>
    <w:rPr>
      <w:rFonts w:ascii="宋体" w:hAnsi="宋体"/>
      <w:color w:val="000000"/>
      <w:kern w:val="2"/>
      <w:szCs w:val="21"/>
    </w:rPr>
  </w:style>
  <w:style w:type="character" w:customStyle="1" w:styleId="496">
    <w:name w:val="FA正文 Char Char"/>
    <w:link w:val="495"/>
    <w:qFormat/>
    <w:uiPriority w:val="0"/>
    <w:rPr>
      <w:rFonts w:ascii="宋体" w:hAnsi="宋体"/>
      <w:color w:val="000000"/>
      <w:kern w:val="2"/>
      <w:sz w:val="24"/>
      <w:szCs w:val="21"/>
    </w:rPr>
  </w:style>
  <w:style w:type="character" w:customStyle="1" w:styleId="497">
    <w:name w:val="正文2 Char Char"/>
    <w:link w:val="257"/>
    <w:qFormat/>
    <w:uiPriority w:val="0"/>
    <w:rPr>
      <w:sz w:val="24"/>
      <w:szCs w:val="24"/>
    </w:rPr>
  </w:style>
  <w:style w:type="paragraph" w:customStyle="1" w:styleId="498">
    <w:name w:val="content"/>
    <w:basedOn w:val="1"/>
    <w:qFormat/>
    <w:uiPriority w:val="0"/>
    <w:pPr>
      <w:widowControl w:val="0"/>
      <w:adjustRightInd w:val="0"/>
      <w:snapToGrid w:val="0"/>
      <w:spacing w:line="360" w:lineRule="auto"/>
      <w:ind w:firstLine="200" w:firstLineChars="200"/>
      <w:jc w:val="both"/>
    </w:pPr>
    <w:rPr>
      <w:iCs/>
      <w:kern w:val="2"/>
      <w:sz w:val="21"/>
    </w:rPr>
  </w:style>
  <w:style w:type="character" w:customStyle="1" w:styleId="499">
    <w:name w:val="正文（标记） Char2"/>
    <w:link w:val="500"/>
    <w:qFormat/>
    <w:locked/>
    <w:uiPriority w:val="0"/>
    <w:rPr>
      <w:sz w:val="24"/>
      <w:szCs w:val="24"/>
    </w:rPr>
  </w:style>
  <w:style w:type="paragraph" w:customStyle="1" w:styleId="500">
    <w:name w:val="正文（标记）"/>
    <w:basedOn w:val="1"/>
    <w:link w:val="499"/>
    <w:qFormat/>
    <w:uiPriority w:val="0"/>
    <w:pPr>
      <w:widowControl w:val="0"/>
      <w:numPr>
        <w:ilvl w:val="0"/>
        <w:numId w:val="29"/>
      </w:numPr>
      <w:spacing w:beforeLines="50" w:afterLines="50"/>
      <w:jc w:val="both"/>
    </w:pPr>
  </w:style>
  <w:style w:type="paragraph" w:customStyle="1" w:styleId="501">
    <w:name w:val="表标AW"/>
    <w:next w:val="1"/>
    <w:qFormat/>
    <w:uiPriority w:val="0"/>
    <w:pPr>
      <w:spacing w:after="120"/>
      <w:jc w:val="center"/>
    </w:pPr>
    <w:rPr>
      <w:rFonts w:ascii="Times New Roman" w:hAnsi="Times New Roman" w:eastAsia="宋体" w:cs="Times New Roman"/>
      <w:b/>
      <w:kern w:val="2"/>
      <w:sz w:val="21"/>
      <w:lang w:val="en-US" w:eastAsia="zh-CN" w:bidi="ar-SA"/>
    </w:rPr>
  </w:style>
  <w:style w:type="paragraph" w:customStyle="1" w:styleId="502">
    <w:name w:val="项目A3"/>
    <w:basedOn w:val="1"/>
    <w:next w:val="1"/>
    <w:qFormat/>
    <w:uiPriority w:val="0"/>
    <w:pPr>
      <w:numPr>
        <w:ilvl w:val="0"/>
        <w:numId w:val="30"/>
      </w:numPr>
      <w:spacing w:before="120" w:after="120" w:line="300" w:lineRule="auto"/>
      <w:ind w:left="760"/>
      <w:jc w:val="both"/>
      <w:outlineLvl w:val="3"/>
    </w:pPr>
    <w:rPr>
      <w:kern w:val="2"/>
      <w:szCs w:val="20"/>
    </w:rPr>
  </w:style>
  <w:style w:type="paragraph" w:customStyle="1" w:styleId="503">
    <w:name w:val="段"/>
    <w:link w:val="78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04">
    <w:name w:val="正文文本 3 Char1"/>
    <w:qFormat/>
    <w:locked/>
    <w:uiPriority w:val="0"/>
    <w:rPr>
      <w:rFonts w:ascii="Times New Roman" w:hAnsi="Times New Roman" w:eastAsia="宋体" w:cs="Times New Roman"/>
      <w:sz w:val="16"/>
      <w:szCs w:val="16"/>
    </w:rPr>
  </w:style>
  <w:style w:type="paragraph" w:customStyle="1" w:styleId="505">
    <w:name w:val="正文ql"/>
    <w:basedOn w:val="1"/>
    <w:link w:val="506"/>
    <w:qFormat/>
    <w:uiPriority w:val="0"/>
    <w:pPr>
      <w:widowControl w:val="0"/>
      <w:spacing w:line="360" w:lineRule="auto"/>
      <w:ind w:firstLine="480" w:firstLineChars="200"/>
      <w:jc w:val="both"/>
    </w:pPr>
    <w:rPr>
      <w:rFonts w:ascii="宋体" w:hAnsi="宋体" w:cs="宋体"/>
      <w:color w:val="000000"/>
    </w:rPr>
  </w:style>
  <w:style w:type="character" w:customStyle="1" w:styleId="506">
    <w:name w:val="正文ql Char"/>
    <w:link w:val="505"/>
    <w:qFormat/>
    <w:uiPriority w:val="0"/>
    <w:rPr>
      <w:rFonts w:ascii="宋体" w:hAnsi="宋体" w:cs="宋体"/>
      <w:color w:val="000000"/>
      <w:sz w:val="24"/>
      <w:szCs w:val="24"/>
    </w:rPr>
  </w:style>
  <w:style w:type="paragraph" w:customStyle="1" w:styleId="507">
    <w:name w:val="标-1"/>
    <w:basedOn w:val="3"/>
    <w:link w:val="510"/>
    <w:qFormat/>
    <w:uiPriority w:val="0"/>
    <w:pPr>
      <w:numPr>
        <w:ilvl w:val="0"/>
        <w:numId w:val="31"/>
      </w:numPr>
      <w:adjustRightInd/>
      <w:spacing w:beforeLines="0" w:afterLines="0" w:line="360" w:lineRule="auto"/>
      <w:ind w:firstLine="0" w:firstLineChars="0"/>
      <w:jc w:val="both"/>
      <w:textAlignment w:val="auto"/>
    </w:pPr>
    <w:rPr>
      <w:rFonts w:ascii="宋体" w:hAnsi="宋体" w:eastAsia="宋体"/>
      <w:bCs/>
      <w:spacing w:val="0"/>
      <w:szCs w:val="44"/>
    </w:rPr>
  </w:style>
  <w:style w:type="paragraph" w:customStyle="1" w:styleId="508">
    <w:name w:val="标-2"/>
    <w:basedOn w:val="507"/>
    <w:qFormat/>
    <w:uiPriority w:val="0"/>
    <w:pPr>
      <w:numPr>
        <w:ilvl w:val="1"/>
      </w:numPr>
      <w:tabs>
        <w:tab w:val="left" w:pos="1680"/>
      </w:tabs>
      <w:ind w:left="576" w:hanging="576"/>
    </w:pPr>
    <w:rPr>
      <w:sz w:val="32"/>
    </w:rPr>
  </w:style>
  <w:style w:type="paragraph" w:customStyle="1" w:styleId="509">
    <w:name w:val="标-3"/>
    <w:basedOn w:val="507"/>
    <w:link w:val="515"/>
    <w:qFormat/>
    <w:uiPriority w:val="0"/>
    <w:pPr>
      <w:numPr>
        <w:ilvl w:val="2"/>
      </w:numPr>
      <w:ind w:left="720" w:hanging="720"/>
    </w:pPr>
    <w:rPr>
      <w:sz w:val="28"/>
    </w:rPr>
  </w:style>
  <w:style w:type="character" w:customStyle="1" w:styleId="510">
    <w:name w:val="标-1 Char"/>
    <w:link w:val="507"/>
    <w:qFormat/>
    <w:uiPriority w:val="0"/>
    <w:rPr>
      <w:rFonts w:ascii="宋体" w:hAnsi="宋体"/>
      <w:b/>
      <w:bCs/>
      <w:kern w:val="44"/>
      <w:sz w:val="44"/>
      <w:szCs w:val="44"/>
    </w:rPr>
  </w:style>
  <w:style w:type="paragraph" w:customStyle="1" w:styleId="511">
    <w:name w:val="标-4"/>
    <w:basedOn w:val="509"/>
    <w:qFormat/>
    <w:uiPriority w:val="0"/>
    <w:pPr>
      <w:numPr>
        <w:ilvl w:val="3"/>
      </w:numPr>
      <w:tabs>
        <w:tab w:val="left" w:pos="2520"/>
      </w:tabs>
      <w:ind w:left="864" w:hanging="864"/>
    </w:pPr>
  </w:style>
  <w:style w:type="paragraph" w:customStyle="1" w:styleId="512">
    <w:name w:val="标-5"/>
    <w:basedOn w:val="511"/>
    <w:qFormat/>
    <w:uiPriority w:val="0"/>
    <w:pPr>
      <w:numPr>
        <w:ilvl w:val="4"/>
      </w:numPr>
      <w:tabs>
        <w:tab w:val="left" w:pos="2940"/>
      </w:tabs>
      <w:ind w:left="1008" w:hanging="1008"/>
    </w:pPr>
    <w:rPr>
      <w:sz w:val="24"/>
    </w:rPr>
  </w:style>
  <w:style w:type="paragraph" w:customStyle="1" w:styleId="513">
    <w:name w:val="标2"/>
    <w:basedOn w:val="1"/>
    <w:link w:val="514"/>
    <w:qFormat/>
    <w:uiPriority w:val="0"/>
    <w:pPr>
      <w:keepNext/>
      <w:keepLines/>
      <w:widowControl w:val="0"/>
      <w:spacing w:before="340" w:after="330" w:line="360" w:lineRule="auto"/>
      <w:ind w:left="850" w:hanging="425"/>
      <w:jc w:val="both"/>
      <w:outlineLvl w:val="1"/>
    </w:pPr>
    <w:rPr>
      <w:rFonts w:ascii="宋体" w:hAnsi="宋体"/>
      <w:b/>
      <w:bCs/>
      <w:kern w:val="2"/>
      <w:sz w:val="36"/>
      <w:szCs w:val="44"/>
    </w:rPr>
  </w:style>
  <w:style w:type="character" w:customStyle="1" w:styleId="514">
    <w:name w:val="标2 Char"/>
    <w:link w:val="513"/>
    <w:qFormat/>
    <w:uiPriority w:val="0"/>
    <w:rPr>
      <w:rFonts w:ascii="宋体" w:hAnsi="宋体"/>
      <w:b/>
      <w:bCs/>
      <w:kern w:val="2"/>
      <w:sz w:val="36"/>
      <w:szCs w:val="44"/>
    </w:rPr>
  </w:style>
  <w:style w:type="character" w:customStyle="1" w:styleId="515">
    <w:name w:val="标-3 Char"/>
    <w:link w:val="509"/>
    <w:qFormat/>
    <w:uiPriority w:val="0"/>
    <w:rPr>
      <w:rFonts w:ascii="宋体" w:hAnsi="宋体"/>
      <w:b/>
      <w:bCs/>
      <w:kern w:val="44"/>
      <w:sz w:val="28"/>
      <w:szCs w:val="44"/>
    </w:rPr>
  </w:style>
  <w:style w:type="paragraph" w:customStyle="1" w:styleId="516">
    <w:name w:val="标-正文"/>
    <w:basedOn w:val="1"/>
    <w:link w:val="517"/>
    <w:qFormat/>
    <w:uiPriority w:val="0"/>
    <w:pPr>
      <w:widowControl w:val="0"/>
      <w:spacing w:line="360" w:lineRule="auto"/>
      <w:ind w:firstLine="420" w:firstLineChars="200"/>
      <w:jc w:val="both"/>
    </w:pPr>
    <w:rPr>
      <w:sz w:val="21"/>
    </w:rPr>
  </w:style>
  <w:style w:type="character" w:customStyle="1" w:styleId="517">
    <w:name w:val="标-正文 Char"/>
    <w:link w:val="516"/>
    <w:qFormat/>
    <w:uiPriority w:val="0"/>
    <w:rPr>
      <w:sz w:val="21"/>
      <w:szCs w:val="24"/>
    </w:rPr>
  </w:style>
  <w:style w:type="paragraph" w:customStyle="1" w:styleId="518">
    <w:name w:val="标3"/>
    <w:basedOn w:val="513"/>
    <w:link w:val="521"/>
    <w:qFormat/>
    <w:uiPriority w:val="0"/>
    <w:pPr>
      <w:ind w:left="1275"/>
      <w:outlineLvl w:val="2"/>
    </w:pPr>
    <w:rPr>
      <w:sz w:val="32"/>
    </w:rPr>
  </w:style>
  <w:style w:type="paragraph" w:customStyle="1" w:styleId="519">
    <w:name w:val="标4"/>
    <w:basedOn w:val="518"/>
    <w:link w:val="520"/>
    <w:qFormat/>
    <w:uiPriority w:val="0"/>
    <w:pPr>
      <w:ind w:left="1700"/>
      <w:outlineLvl w:val="3"/>
    </w:pPr>
    <w:rPr>
      <w:sz w:val="30"/>
    </w:rPr>
  </w:style>
  <w:style w:type="character" w:customStyle="1" w:styleId="520">
    <w:name w:val="标4 Char"/>
    <w:link w:val="519"/>
    <w:qFormat/>
    <w:uiPriority w:val="0"/>
    <w:rPr>
      <w:rFonts w:ascii="宋体" w:hAnsi="宋体"/>
      <w:b/>
      <w:bCs/>
      <w:kern w:val="2"/>
      <w:sz w:val="30"/>
      <w:szCs w:val="44"/>
    </w:rPr>
  </w:style>
  <w:style w:type="character" w:customStyle="1" w:styleId="521">
    <w:name w:val="标3 Char"/>
    <w:link w:val="518"/>
    <w:qFormat/>
    <w:uiPriority w:val="0"/>
    <w:rPr>
      <w:rFonts w:ascii="宋体" w:hAnsi="宋体"/>
      <w:b/>
      <w:bCs/>
      <w:kern w:val="2"/>
      <w:sz w:val="32"/>
      <w:szCs w:val="44"/>
    </w:rPr>
  </w:style>
  <w:style w:type="character" w:customStyle="1" w:styleId="522">
    <w:name w:val="1级标题 Char"/>
    <w:link w:val="304"/>
    <w:qFormat/>
    <w:uiPriority w:val="0"/>
    <w:rPr>
      <w:b/>
      <w:kern w:val="2"/>
      <w:sz w:val="24"/>
      <w:szCs w:val="24"/>
    </w:rPr>
  </w:style>
  <w:style w:type="character" w:customStyle="1" w:styleId="523">
    <w:name w:val="normal Char"/>
    <w:qFormat/>
    <w:uiPriority w:val="0"/>
    <w:rPr>
      <w:rFonts w:ascii="仿宋_GB2312" w:eastAsia="仿宋_GB2312"/>
      <w:kern w:val="2"/>
      <w:sz w:val="32"/>
      <w:szCs w:val="32"/>
    </w:rPr>
  </w:style>
  <w:style w:type="character" w:customStyle="1" w:styleId="524">
    <w:name w:val="nor Char"/>
    <w:link w:val="256"/>
    <w:qFormat/>
    <w:uiPriority w:val="0"/>
    <w:rPr>
      <w:rFonts w:ascii="仿宋_GB2312" w:eastAsia="仿宋_GB2312"/>
      <w:sz w:val="32"/>
      <w:szCs w:val="32"/>
    </w:rPr>
  </w:style>
  <w:style w:type="character" w:customStyle="1" w:styleId="525">
    <w:name w:val="!标题6 Ctrl+6 Char"/>
    <w:link w:val="253"/>
    <w:qFormat/>
    <w:locked/>
    <w:uiPriority w:val="0"/>
    <w:rPr>
      <w:rFonts w:ascii="宋体" w:hAnsi="宋体"/>
      <w:b/>
      <w:sz w:val="24"/>
      <w:lang w:val="zh-CN"/>
    </w:rPr>
  </w:style>
  <w:style w:type="character" w:customStyle="1" w:styleId="526">
    <w:name w:val="图表目录 字符"/>
    <w:qFormat/>
    <w:uiPriority w:val="0"/>
    <w:rPr>
      <w:rFonts w:ascii="Arial" w:hAnsi="Arial" w:cs="宋体"/>
      <w:kern w:val="2"/>
      <w:sz w:val="24"/>
    </w:rPr>
  </w:style>
  <w:style w:type="character" w:customStyle="1" w:styleId="527">
    <w:name w:val="正文缩进 字符"/>
    <w:qFormat/>
    <w:uiPriority w:val="0"/>
    <w:rPr>
      <w:rFonts w:ascii="Times New Roman" w:hAnsi="Times New Roman" w:cs="Times New Roman"/>
      <w:szCs w:val="24"/>
    </w:rPr>
  </w:style>
  <w:style w:type="paragraph" w:customStyle="1" w:styleId="528">
    <w:name w:val="样式 正文文本 + 首行缩进:  2 字符"/>
    <w:basedOn w:val="26"/>
    <w:qFormat/>
    <w:uiPriority w:val="99"/>
    <w:pPr>
      <w:widowControl w:val="0"/>
      <w:adjustRightInd w:val="0"/>
      <w:spacing w:beforeLines="50" w:afterLines="50" w:line="360" w:lineRule="auto"/>
      <w:ind w:firstLine="200" w:firstLineChars="200"/>
      <w:textAlignment w:val="baseline"/>
    </w:pPr>
    <w:rPr>
      <w:rFonts w:cs="宋体"/>
      <w:color w:val="000000"/>
      <w:szCs w:val="20"/>
    </w:rPr>
  </w:style>
  <w:style w:type="character" w:customStyle="1" w:styleId="529">
    <w:name w:val="文字 Char"/>
    <w:link w:val="298"/>
    <w:qFormat/>
    <w:locked/>
    <w:uiPriority w:val="0"/>
    <w:rPr>
      <w:rFonts w:ascii="楷体_GB2312" w:eastAsia="楷体_GB2312"/>
      <w:kern w:val="2"/>
      <w:sz w:val="28"/>
    </w:rPr>
  </w:style>
  <w:style w:type="character" w:customStyle="1" w:styleId="530">
    <w:name w:val="三 Char"/>
    <w:link w:val="531"/>
    <w:qFormat/>
    <w:uiPriority w:val="0"/>
    <w:rPr>
      <w:rFonts w:ascii="黑体" w:hAnsi="黑体" w:eastAsia="黑体"/>
      <w:sz w:val="28"/>
      <w:szCs w:val="28"/>
      <w:lang w:bidi="en-US"/>
    </w:rPr>
  </w:style>
  <w:style w:type="paragraph" w:customStyle="1" w:styleId="531">
    <w:name w:val="三"/>
    <w:basedOn w:val="12"/>
    <w:link w:val="530"/>
    <w:qFormat/>
    <w:uiPriority w:val="0"/>
    <w:pPr>
      <w:keepNext w:val="0"/>
      <w:keepLines w:val="0"/>
      <w:adjustRightInd/>
      <w:spacing w:after="120" w:line="360" w:lineRule="auto"/>
      <w:contextualSpacing/>
      <w:jc w:val="both"/>
      <w:textAlignment w:val="auto"/>
      <w:outlineLvl w:val="2"/>
    </w:pPr>
    <w:rPr>
      <w:rFonts w:ascii="黑体" w:hAnsi="黑体"/>
      <w:spacing w:val="0"/>
      <w:sz w:val="28"/>
      <w:szCs w:val="28"/>
      <w:lang w:bidi="en-US"/>
    </w:rPr>
  </w:style>
  <w:style w:type="character" w:customStyle="1" w:styleId="532">
    <w:name w:val="Z-4 Char"/>
    <w:link w:val="533"/>
    <w:qFormat/>
    <w:uiPriority w:val="0"/>
    <w:rPr>
      <w:rFonts w:ascii="Cambria" w:hAnsi="Cambria"/>
      <w:b/>
      <w:bCs/>
      <w:sz w:val="28"/>
      <w:szCs w:val="28"/>
    </w:rPr>
  </w:style>
  <w:style w:type="paragraph" w:customStyle="1" w:styleId="533">
    <w:name w:val="Z-4"/>
    <w:basedOn w:val="7"/>
    <w:next w:val="1"/>
    <w:link w:val="532"/>
    <w:qFormat/>
    <w:uiPriority w:val="0"/>
    <w:pPr>
      <w:numPr>
        <w:ilvl w:val="0"/>
        <w:numId w:val="0"/>
      </w:numPr>
      <w:adjustRightInd/>
      <w:spacing w:before="100" w:after="100" w:line="360" w:lineRule="auto"/>
      <w:ind w:left="420" w:hanging="420"/>
      <w:textAlignment w:val="auto"/>
    </w:pPr>
    <w:rPr>
      <w:rFonts w:ascii="Cambria" w:hAnsi="Cambria" w:eastAsia="宋体"/>
      <w:bCs/>
      <w:spacing w:val="0"/>
      <w:szCs w:val="28"/>
    </w:rPr>
  </w:style>
  <w:style w:type="character" w:customStyle="1" w:styleId="534">
    <w:name w:val="标题 5 字符"/>
    <w:qFormat/>
    <w:uiPriority w:val="0"/>
    <w:rPr>
      <w:b/>
      <w:bCs/>
      <w:kern w:val="2"/>
      <w:sz w:val="28"/>
      <w:szCs w:val="28"/>
    </w:rPr>
  </w:style>
  <w:style w:type="character" w:customStyle="1" w:styleId="535">
    <w:name w:val="不明显强调1"/>
    <w:qFormat/>
    <w:uiPriority w:val="19"/>
    <w:rPr>
      <w:i/>
      <w:iCs/>
      <w:color w:val="808080"/>
    </w:rPr>
  </w:style>
  <w:style w:type="character" w:customStyle="1" w:styleId="536">
    <w:name w:val="题注 Char"/>
    <w:link w:val="17"/>
    <w:qFormat/>
    <w:locked/>
    <w:uiPriority w:val="0"/>
    <w:rPr>
      <w:rFonts w:ascii="Cambria" w:hAnsi="Cambria" w:eastAsia="黑体"/>
      <w:kern w:val="2"/>
    </w:rPr>
  </w:style>
  <w:style w:type="character" w:customStyle="1" w:styleId="537">
    <w:name w:val="图表批注 Char"/>
    <w:link w:val="538"/>
    <w:qFormat/>
    <w:uiPriority w:val="0"/>
    <w:rPr>
      <w:rFonts w:ascii="宋体" w:hAnsi="宋体"/>
      <w:szCs w:val="24"/>
      <w:lang w:eastAsia="en-US" w:bidi="en-US"/>
    </w:rPr>
  </w:style>
  <w:style w:type="paragraph" w:customStyle="1" w:styleId="538">
    <w:name w:val="图表批注"/>
    <w:basedOn w:val="259"/>
    <w:link w:val="537"/>
    <w:qFormat/>
    <w:uiPriority w:val="0"/>
    <w:pPr>
      <w:widowControl w:val="0"/>
      <w:spacing w:before="100" w:after="100"/>
      <w:ind w:firstLine="0" w:firstLineChars="0"/>
      <w:jc w:val="center"/>
    </w:pPr>
    <w:rPr>
      <w:rFonts w:eastAsia="宋体" w:cs="Times New Roman"/>
      <w:sz w:val="20"/>
    </w:rPr>
  </w:style>
  <w:style w:type="character" w:customStyle="1" w:styleId="539">
    <w:name w:val="副标题 Char1"/>
    <w:link w:val="42"/>
    <w:qFormat/>
    <w:uiPriority w:val="11"/>
    <w:rPr>
      <w:rFonts w:ascii="Cambria" w:hAnsi="Cambria"/>
      <w:i/>
      <w:iCs/>
      <w:color w:val="4F81BD"/>
      <w:spacing w:val="15"/>
      <w:sz w:val="24"/>
      <w:szCs w:val="24"/>
    </w:rPr>
  </w:style>
  <w:style w:type="character" w:customStyle="1" w:styleId="540">
    <w:name w:val="符号样式 Char"/>
    <w:link w:val="541"/>
    <w:qFormat/>
    <w:uiPriority w:val="0"/>
    <w:rPr>
      <w:rFonts w:ascii="Arial" w:hAnsi="Arial"/>
      <w:sz w:val="24"/>
    </w:rPr>
  </w:style>
  <w:style w:type="paragraph" w:customStyle="1" w:styleId="541">
    <w:name w:val="符号样式"/>
    <w:basedOn w:val="542"/>
    <w:link w:val="540"/>
    <w:qFormat/>
    <w:uiPriority w:val="0"/>
    <w:pPr>
      <w:numPr>
        <w:ilvl w:val="0"/>
        <w:numId w:val="32"/>
      </w:numPr>
      <w:tabs>
        <w:tab w:val="left" w:pos="1440"/>
      </w:tabs>
      <w:jc w:val="left"/>
    </w:pPr>
  </w:style>
  <w:style w:type="paragraph" w:customStyle="1" w:styleId="542">
    <w:name w:val="编号，小四"/>
    <w:basedOn w:val="1"/>
    <w:link w:val="607"/>
    <w:qFormat/>
    <w:uiPriority w:val="0"/>
    <w:pPr>
      <w:widowControl w:val="0"/>
      <w:numPr>
        <w:ilvl w:val="0"/>
        <w:numId w:val="33"/>
      </w:numPr>
      <w:spacing w:line="360" w:lineRule="auto"/>
      <w:jc w:val="both"/>
    </w:pPr>
    <w:rPr>
      <w:rFonts w:ascii="Arial" w:hAnsi="Arial"/>
      <w:szCs w:val="20"/>
    </w:rPr>
  </w:style>
  <w:style w:type="character" w:customStyle="1" w:styleId="543">
    <w:name w:val="正文首行缩进 字符"/>
    <w:qFormat/>
    <w:uiPriority w:val="0"/>
    <w:rPr>
      <w:rFonts w:ascii="Calibri" w:hAnsi="Calibri" w:eastAsia="宋体" w:cs="Times New Roman"/>
      <w:sz w:val="24"/>
      <w:szCs w:val="20"/>
    </w:rPr>
  </w:style>
  <w:style w:type="character" w:customStyle="1" w:styleId="544">
    <w:name w:val="标题5-1 Char"/>
    <w:link w:val="545"/>
    <w:qFormat/>
    <w:locked/>
    <w:uiPriority w:val="0"/>
  </w:style>
  <w:style w:type="paragraph" w:customStyle="1" w:styleId="545">
    <w:name w:val="标题5-1"/>
    <w:basedOn w:val="55"/>
    <w:link w:val="544"/>
    <w:qFormat/>
    <w:uiPriority w:val="0"/>
    <w:pPr>
      <w:spacing w:beforeLines="50" w:afterLines="50" w:line="360" w:lineRule="auto"/>
      <w:ind w:left="992" w:hanging="992"/>
      <w:jc w:val="both"/>
      <w:outlineLvl w:val="3"/>
    </w:pPr>
    <w:rPr>
      <w:rFonts w:ascii="Times New Roman" w:hAnsi="Times New Roman" w:cs="Times New Roman"/>
      <w:b w:val="0"/>
      <w:bCs w:val="0"/>
      <w:kern w:val="0"/>
      <w:sz w:val="20"/>
      <w:szCs w:val="20"/>
    </w:rPr>
  </w:style>
  <w:style w:type="character" w:customStyle="1" w:styleId="546">
    <w:name w:val="四 Char"/>
    <w:link w:val="547"/>
    <w:qFormat/>
    <w:uiPriority w:val="0"/>
    <w:rPr>
      <w:rFonts w:ascii="黑体" w:hAnsi="黑体" w:eastAsia="黑体"/>
      <w:sz w:val="24"/>
      <w:szCs w:val="24"/>
    </w:rPr>
  </w:style>
  <w:style w:type="paragraph" w:customStyle="1" w:styleId="547">
    <w:name w:val="四"/>
    <w:basedOn w:val="548"/>
    <w:link w:val="546"/>
    <w:qFormat/>
    <w:uiPriority w:val="0"/>
    <w:pPr>
      <w:ind w:left="1984" w:hanging="1984"/>
    </w:pPr>
    <w:rPr>
      <w:szCs w:val="24"/>
    </w:rPr>
  </w:style>
  <w:style w:type="paragraph" w:customStyle="1" w:styleId="548">
    <w:name w:val="四级标题"/>
    <w:basedOn w:val="258"/>
    <w:link w:val="585"/>
    <w:qFormat/>
    <w:uiPriority w:val="0"/>
    <w:pPr>
      <w:keepLines/>
      <w:widowControl w:val="0"/>
      <w:spacing w:beforeLines="0" w:afterLines="0"/>
      <w:ind w:left="720" w:firstLine="0" w:firstLineChars="0"/>
      <w:contextualSpacing/>
      <w:jc w:val="both"/>
      <w:outlineLvl w:val="3"/>
    </w:pPr>
    <w:rPr>
      <w:rFonts w:ascii="黑体" w:hAnsi="黑体" w:eastAsia="黑体"/>
      <w:szCs w:val="21"/>
    </w:rPr>
  </w:style>
  <w:style w:type="character" w:customStyle="1" w:styleId="549">
    <w:name w:val="Default Char Char"/>
    <w:link w:val="100"/>
    <w:qFormat/>
    <w:uiPriority w:val="0"/>
    <w:rPr>
      <w:rFonts w:ascii="宋体" w:hAnsi="Calibri" w:cs="宋体"/>
      <w:color w:val="000000"/>
      <w:sz w:val="24"/>
      <w:szCs w:val="24"/>
    </w:rPr>
  </w:style>
  <w:style w:type="character" w:customStyle="1" w:styleId="550">
    <w:name w:val="info4"/>
    <w:qFormat/>
    <w:uiPriority w:val="0"/>
  </w:style>
  <w:style w:type="character" w:customStyle="1" w:styleId="551">
    <w:name w:val="html_txt1"/>
    <w:qFormat/>
    <w:uiPriority w:val="0"/>
    <w:rPr>
      <w:color w:val="000000"/>
    </w:rPr>
  </w:style>
  <w:style w:type="character" w:customStyle="1" w:styleId="552">
    <w:name w:val="标题 6 字符"/>
    <w:qFormat/>
    <w:uiPriority w:val="0"/>
    <w:rPr>
      <w:rFonts w:ascii="Cambria" w:hAnsi="Cambria"/>
      <w:b/>
      <w:bCs/>
      <w:kern w:val="2"/>
      <w:sz w:val="24"/>
      <w:szCs w:val="24"/>
    </w:rPr>
  </w:style>
  <w:style w:type="character" w:customStyle="1" w:styleId="553">
    <w:name w:val="称呼 字符"/>
    <w:qFormat/>
    <w:uiPriority w:val="0"/>
    <w:rPr>
      <w:rFonts w:ascii="Times New Roman" w:hAnsi="Times New Roman"/>
      <w:kern w:val="2"/>
      <w:sz w:val="24"/>
    </w:rPr>
  </w:style>
  <w:style w:type="character" w:customStyle="1" w:styleId="554">
    <w:name w:val="明显参考1"/>
    <w:qFormat/>
    <w:uiPriority w:val="32"/>
    <w:rPr>
      <w:b/>
      <w:bCs/>
      <w:smallCaps/>
      <w:color w:val="C0504D"/>
      <w:spacing w:val="5"/>
      <w:u w:val="single"/>
    </w:rPr>
  </w:style>
  <w:style w:type="character" w:customStyle="1" w:styleId="555">
    <w:name w:val="页眉 字符"/>
    <w:qFormat/>
    <w:uiPriority w:val="0"/>
    <w:rPr>
      <w:sz w:val="18"/>
      <w:szCs w:val="18"/>
    </w:rPr>
  </w:style>
  <w:style w:type="character" w:customStyle="1" w:styleId="556">
    <w:name w:val="图片格式 Char"/>
    <w:link w:val="557"/>
    <w:qFormat/>
    <w:uiPriority w:val="0"/>
    <w:rPr>
      <w:rFonts w:ascii="宋体" w:hAnsi="宋体"/>
      <w:sz w:val="24"/>
      <w:szCs w:val="24"/>
      <w:lang w:eastAsia="en-US" w:bidi="en-US"/>
    </w:rPr>
  </w:style>
  <w:style w:type="paragraph" w:customStyle="1" w:styleId="557">
    <w:name w:val="图片格式"/>
    <w:basedOn w:val="259"/>
    <w:link w:val="556"/>
    <w:qFormat/>
    <w:uiPriority w:val="0"/>
    <w:pPr>
      <w:widowControl w:val="0"/>
      <w:spacing w:before="100" w:after="100"/>
      <w:ind w:firstLine="0" w:firstLineChars="0"/>
      <w:jc w:val="center"/>
    </w:pPr>
    <w:rPr>
      <w:rFonts w:eastAsia="宋体" w:cs="Times New Roman"/>
    </w:rPr>
  </w:style>
  <w:style w:type="character" w:customStyle="1" w:styleId="558">
    <w:name w:val="日期 字符"/>
    <w:qFormat/>
    <w:uiPriority w:val="0"/>
    <w:rPr>
      <w:rFonts w:ascii="Arial" w:hAnsi="Arial" w:eastAsia="宋体" w:cs="宋体"/>
      <w:sz w:val="24"/>
      <w:szCs w:val="20"/>
    </w:rPr>
  </w:style>
  <w:style w:type="character" w:customStyle="1" w:styleId="559">
    <w:name w:val="一一 Char"/>
    <w:link w:val="560"/>
    <w:qFormat/>
    <w:uiPriority w:val="0"/>
    <w:rPr>
      <w:rFonts w:ascii="黑体" w:hAnsi="黑体" w:eastAsia="黑体"/>
      <w:sz w:val="36"/>
      <w:szCs w:val="36"/>
    </w:rPr>
  </w:style>
  <w:style w:type="paragraph" w:customStyle="1" w:styleId="560">
    <w:name w:val="一一"/>
    <w:basedOn w:val="561"/>
    <w:link w:val="559"/>
    <w:qFormat/>
    <w:uiPriority w:val="0"/>
    <w:pPr>
      <w:ind w:left="0" w:firstLine="0"/>
    </w:pPr>
    <w:rPr>
      <w:kern w:val="0"/>
    </w:rPr>
  </w:style>
  <w:style w:type="paragraph" w:customStyle="1" w:styleId="561">
    <w:name w:val="一级标题"/>
    <w:basedOn w:val="258"/>
    <w:qFormat/>
    <w:uiPriority w:val="0"/>
    <w:pPr>
      <w:keepLines/>
      <w:pageBreakBefore/>
      <w:widowControl w:val="0"/>
      <w:spacing w:beforeLines="0" w:afterLines="0"/>
      <w:ind w:left="425" w:hanging="425" w:firstLineChars="0"/>
      <w:contextualSpacing/>
      <w:jc w:val="center"/>
      <w:outlineLvl w:val="0"/>
    </w:pPr>
    <w:rPr>
      <w:rFonts w:ascii="黑体" w:hAnsi="黑体" w:eastAsia="黑体"/>
      <w:kern w:val="2"/>
      <w:sz w:val="36"/>
      <w:szCs w:val="36"/>
    </w:rPr>
  </w:style>
  <w:style w:type="character" w:customStyle="1" w:styleId="562">
    <w:name w:val="标准正文 Char"/>
    <w:link w:val="354"/>
    <w:qFormat/>
    <w:locked/>
    <w:uiPriority w:val="0"/>
    <w:rPr>
      <w:kern w:val="2"/>
      <w:sz w:val="24"/>
    </w:rPr>
  </w:style>
  <w:style w:type="character" w:customStyle="1" w:styleId="563">
    <w:name w:val="正文文本缩进 2 字符"/>
    <w:qFormat/>
    <w:uiPriority w:val="0"/>
    <w:rPr>
      <w:rFonts w:ascii="Times New Roman" w:hAnsi="Times New Roman"/>
      <w:kern w:val="2"/>
      <w:sz w:val="24"/>
    </w:rPr>
  </w:style>
  <w:style w:type="character" w:customStyle="1" w:styleId="564">
    <w:name w:val="正文文本 字符"/>
    <w:qFormat/>
    <w:uiPriority w:val="0"/>
  </w:style>
  <w:style w:type="character" w:customStyle="1" w:styleId="565">
    <w:name w:val="1级符号 Char"/>
    <w:link w:val="566"/>
    <w:qFormat/>
    <w:uiPriority w:val="0"/>
    <w:rPr>
      <w:b/>
      <w:sz w:val="24"/>
      <w:szCs w:val="24"/>
    </w:rPr>
  </w:style>
  <w:style w:type="paragraph" w:customStyle="1" w:styleId="566">
    <w:name w:val="1级符号"/>
    <w:next w:val="1"/>
    <w:link w:val="565"/>
    <w:qFormat/>
    <w:uiPriority w:val="0"/>
    <w:pPr>
      <w:tabs>
        <w:tab w:val="left" w:pos="397"/>
      </w:tabs>
      <w:spacing w:line="360" w:lineRule="auto"/>
      <w:ind w:left="397" w:hanging="397"/>
    </w:pPr>
    <w:rPr>
      <w:rFonts w:ascii="Times New Roman" w:hAnsi="Times New Roman" w:eastAsia="宋体" w:cs="Times New Roman"/>
      <w:b/>
      <w:sz w:val="24"/>
      <w:szCs w:val="24"/>
      <w:lang w:val="en-US" w:eastAsia="zh-CN" w:bidi="ar-SA"/>
    </w:rPr>
  </w:style>
  <w:style w:type="character" w:customStyle="1" w:styleId="567">
    <w:name w:val="1）样式 Char"/>
    <w:link w:val="568"/>
    <w:qFormat/>
    <w:uiPriority w:val="0"/>
    <w:rPr>
      <w:sz w:val="24"/>
      <w:szCs w:val="24"/>
    </w:rPr>
  </w:style>
  <w:style w:type="paragraph" w:customStyle="1" w:styleId="568">
    <w:name w:val="1）样式"/>
    <w:basedOn w:val="1"/>
    <w:link w:val="567"/>
    <w:qFormat/>
    <w:uiPriority w:val="0"/>
    <w:pPr>
      <w:widowControl w:val="0"/>
      <w:numPr>
        <w:ilvl w:val="0"/>
        <w:numId w:val="34"/>
      </w:numPr>
      <w:spacing w:line="360" w:lineRule="auto"/>
      <w:ind w:firstLine="0"/>
      <w:jc w:val="both"/>
    </w:pPr>
  </w:style>
  <w:style w:type="character" w:customStyle="1" w:styleId="569">
    <w:name w:val="引用 Char1"/>
    <w:link w:val="570"/>
    <w:qFormat/>
    <w:uiPriority w:val="29"/>
    <w:rPr>
      <w:i/>
      <w:iCs/>
      <w:color w:val="000000"/>
      <w:sz w:val="24"/>
      <w:szCs w:val="21"/>
    </w:rPr>
  </w:style>
  <w:style w:type="paragraph" w:styleId="570">
    <w:name w:val="Quote"/>
    <w:basedOn w:val="1"/>
    <w:next w:val="1"/>
    <w:link w:val="569"/>
    <w:qFormat/>
    <w:uiPriority w:val="29"/>
    <w:pPr>
      <w:widowControl w:val="0"/>
      <w:spacing w:line="360" w:lineRule="auto"/>
      <w:jc w:val="both"/>
    </w:pPr>
    <w:rPr>
      <w:i/>
      <w:iCs/>
      <w:color w:val="000000"/>
      <w:szCs w:val="21"/>
    </w:rPr>
  </w:style>
  <w:style w:type="character" w:customStyle="1" w:styleId="571">
    <w:name w:val="脚注文本 字符"/>
    <w:qFormat/>
    <w:uiPriority w:val="99"/>
    <w:rPr>
      <w:rFonts w:ascii="Times New Roman" w:hAnsi="Times New Roman" w:eastAsia="宋体" w:cs="Times New Roman"/>
      <w:sz w:val="18"/>
      <w:szCs w:val="18"/>
    </w:rPr>
  </w:style>
  <w:style w:type="character" w:customStyle="1" w:styleId="572">
    <w:name w:val="二级标题 Char"/>
    <w:link w:val="573"/>
    <w:qFormat/>
    <w:uiPriority w:val="0"/>
    <w:rPr>
      <w:rFonts w:ascii="黑体" w:hAnsi="黑体" w:eastAsia="黑体"/>
      <w:sz w:val="30"/>
      <w:szCs w:val="30"/>
    </w:rPr>
  </w:style>
  <w:style w:type="paragraph" w:customStyle="1" w:styleId="573">
    <w:name w:val="二级标题"/>
    <w:basedOn w:val="258"/>
    <w:link w:val="572"/>
    <w:qFormat/>
    <w:uiPriority w:val="0"/>
    <w:pPr>
      <w:keepLines/>
      <w:widowControl w:val="0"/>
      <w:spacing w:beforeLines="0" w:afterLines="0"/>
      <w:ind w:left="720" w:firstLine="0" w:firstLineChars="0"/>
      <w:contextualSpacing/>
      <w:jc w:val="both"/>
      <w:outlineLvl w:val="1"/>
    </w:pPr>
    <w:rPr>
      <w:rFonts w:ascii="黑体" w:hAnsi="黑体" w:eastAsia="黑体"/>
      <w:sz w:val="30"/>
      <w:szCs w:val="30"/>
    </w:rPr>
  </w:style>
  <w:style w:type="character" w:customStyle="1" w:styleId="574">
    <w:name w:val="纯文本 字符"/>
    <w:qFormat/>
    <w:uiPriority w:val="0"/>
    <w:rPr>
      <w:rFonts w:ascii="宋体" w:hAnsi="Courier New" w:eastAsia="宋体" w:cs="Times New Roman"/>
      <w:szCs w:val="20"/>
    </w:rPr>
  </w:style>
  <w:style w:type="character" w:customStyle="1" w:styleId="575">
    <w:name w:val="明显引用 Char1"/>
    <w:link w:val="576"/>
    <w:qFormat/>
    <w:uiPriority w:val="30"/>
    <w:rPr>
      <w:b/>
      <w:bCs/>
      <w:i/>
      <w:iCs/>
      <w:color w:val="4F81BD"/>
      <w:sz w:val="24"/>
      <w:szCs w:val="21"/>
    </w:rPr>
  </w:style>
  <w:style w:type="paragraph" w:styleId="576">
    <w:name w:val="Intense Quote"/>
    <w:basedOn w:val="1"/>
    <w:next w:val="1"/>
    <w:link w:val="575"/>
    <w:qFormat/>
    <w:uiPriority w:val="30"/>
    <w:pPr>
      <w:widowControl w:val="0"/>
      <w:pBdr>
        <w:bottom w:val="single" w:color="4F81BD" w:sz="4" w:space="4"/>
      </w:pBdr>
      <w:spacing w:before="200" w:after="280" w:line="360" w:lineRule="auto"/>
      <w:ind w:left="936" w:right="936"/>
      <w:jc w:val="both"/>
    </w:pPr>
    <w:rPr>
      <w:b/>
      <w:bCs/>
      <w:i/>
      <w:iCs/>
      <w:color w:val="4F81BD"/>
      <w:szCs w:val="21"/>
    </w:rPr>
  </w:style>
  <w:style w:type="character" w:customStyle="1" w:styleId="577">
    <w:name w:val="正文文本 2 字符"/>
    <w:qFormat/>
    <w:uiPriority w:val="0"/>
    <w:rPr>
      <w:rFonts w:ascii="Times New Roman" w:hAnsi="Times New Roman"/>
      <w:kern w:val="2"/>
      <w:sz w:val="24"/>
    </w:rPr>
  </w:style>
  <w:style w:type="character" w:customStyle="1" w:styleId="578">
    <w:name w:val="Z-3 Char"/>
    <w:link w:val="579"/>
    <w:qFormat/>
    <w:uiPriority w:val="0"/>
    <w:rPr>
      <w:b/>
      <w:bCs/>
      <w:color w:val="000000"/>
      <w:sz w:val="28"/>
      <w:szCs w:val="32"/>
    </w:rPr>
  </w:style>
  <w:style w:type="paragraph" w:customStyle="1" w:styleId="579">
    <w:name w:val="Z-3"/>
    <w:basedOn w:val="6"/>
    <w:next w:val="1"/>
    <w:link w:val="578"/>
    <w:qFormat/>
    <w:uiPriority w:val="0"/>
    <w:pPr>
      <w:numPr>
        <w:ilvl w:val="0"/>
        <w:numId w:val="0"/>
      </w:numPr>
      <w:wordWrap/>
      <w:overflowPunct/>
      <w:autoSpaceDE/>
      <w:autoSpaceDN/>
      <w:adjustRightInd/>
      <w:spacing w:beforeLines="0" w:afterLines="0"/>
      <w:textAlignment w:val="auto"/>
    </w:pPr>
    <w:rPr>
      <w:rFonts w:ascii="Times New Roman" w:hAnsi="Times New Roman" w:eastAsia="宋体"/>
      <w:b/>
      <w:bCs/>
      <w:color w:val="000000"/>
      <w:szCs w:val="32"/>
    </w:rPr>
  </w:style>
  <w:style w:type="character" w:customStyle="1" w:styleId="580">
    <w:name w:val="5级 Char"/>
    <w:link w:val="581"/>
    <w:qFormat/>
    <w:uiPriority w:val="0"/>
    <w:rPr>
      <w:b/>
      <w:bCs/>
      <w:sz w:val="24"/>
      <w:szCs w:val="24"/>
    </w:rPr>
  </w:style>
  <w:style w:type="paragraph" w:customStyle="1" w:styleId="581">
    <w:name w:val="5级"/>
    <w:basedOn w:val="582"/>
    <w:link w:val="580"/>
    <w:qFormat/>
    <w:uiPriority w:val="0"/>
    <w:pPr>
      <w:numPr>
        <w:ilvl w:val="0"/>
        <w:numId w:val="0"/>
      </w:numPr>
      <w:spacing w:beforeLines="50" w:afterLines="50" w:line="360" w:lineRule="auto"/>
      <w:ind w:left="420" w:leftChars="-1" w:hanging="420"/>
      <w:outlineLvl w:val="4"/>
    </w:pPr>
    <w:rPr>
      <w:rFonts w:ascii="Times New Roman" w:hAnsi="Times New Roman"/>
    </w:rPr>
  </w:style>
  <w:style w:type="paragraph" w:customStyle="1" w:styleId="582">
    <w:name w:val="样式 标题6 + 左"/>
    <w:basedOn w:val="343"/>
    <w:qFormat/>
    <w:uiPriority w:val="0"/>
    <w:pPr>
      <w:numPr>
        <w:ilvl w:val="5"/>
        <w:numId w:val="1"/>
      </w:numPr>
      <w:tabs>
        <w:tab w:val="clear" w:pos="1134"/>
      </w:tabs>
      <w:spacing w:line="319" w:lineRule="auto"/>
      <w:ind w:left="-2" w:leftChars="-1" w:firstLine="1" w:firstLineChars="0"/>
      <w:jc w:val="left"/>
    </w:pPr>
    <w:rPr>
      <w:rFonts w:ascii="宋体" w:hAnsi="宋体" w:eastAsia="宋体"/>
      <w:i w:val="0"/>
      <w:kern w:val="0"/>
      <w:sz w:val="24"/>
      <w:szCs w:val="24"/>
    </w:rPr>
  </w:style>
  <w:style w:type="character" w:customStyle="1" w:styleId="583">
    <w:name w:val="书籍标题1"/>
    <w:qFormat/>
    <w:uiPriority w:val="33"/>
    <w:rPr>
      <w:b/>
      <w:bCs/>
      <w:smallCaps/>
      <w:spacing w:val="5"/>
    </w:rPr>
  </w:style>
  <w:style w:type="character" w:customStyle="1" w:styleId="584">
    <w:name w:val="标题 字符"/>
    <w:qFormat/>
    <w:uiPriority w:val="0"/>
    <w:rPr>
      <w:rFonts w:ascii="Cambria" w:hAnsi="Cambria" w:eastAsia="黑体" w:cs="Times New Roman"/>
      <w:b/>
      <w:bCs/>
      <w:sz w:val="24"/>
      <w:szCs w:val="32"/>
    </w:rPr>
  </w:style>
  <w:style w:type="character" w:customStyle="1" w:styleId="585">
    <w:name w:val="四级标题 Char"/>
    <w:link w:val="548"/>
    <w:qFormat/>
    <w:uiPriority w:val="0"/>
    <w:rPr>
      <w:rFonts w:ascii="黑体" w:hAnsi="黑体" w:eastAsia="黑体"/>
      <w:sz w:val="24"/>
      <w:szCs w:val="21"/>
    </w:rPr>
  </w:style>
  <w:style w:type="character" w:customStyle="1" w:styleId="586">
    <w:name w:val="标题 4 字符"/>
    <w:qFormat/>
    <w:uiPriority w:val="0"/>
    <w:rPr>
      <w:rFonts w:ascii="Cambria" w:hAnsi="Cambria"/>
      <w:b/>
      <w:bCs/>
      <w:kern w:val="2"/>
      <w:sz w:val="28"/>
      <w:szCs w:val="28"/>
    </w:rPr>
  </w:style>
  <w:style w:type="character" w:customStyle="1" w:styleId="587">
    <w:name w:val="标题 3 字符"/>
    <w:qFormat/>
    <w:uiPriority w:val="0"/>
    <w:rPr>
      <w:b/>
      <w:bCs/>
      <w:kern w:val="2"/>
      <w:sz w:val="32"/>
      <w:szCs w:val="32"/>
    </w:rPr>
  </w:style>
  <w:style w:type="character" w:customStyle="1" w:styleId="588">
    <w:name w:val="标题6 Char"/>
    <w:link w:val="343"/>
    <w:qFormat/>
    <w:uiPriority w:val="0"/>
    <w:rPr>
      <w:rFonts w:ascii="Arial" w:hAnsi="Arial" w:eastAsia="楷体_GB2312"/>
      <w:b/>
      <w:bCs/>
      <w:i/>
      <w:kern w:val="2"/>
      <w:sz w:val="28"/>
      <w:szCs w:val="28"/>
    </w:rPr>
  </w:style>
  <w:style w:type="character" w:customStyle="1" w:styleId="589">
    <w:name w:val="正文首行缩进 2 Char1"/>
    <w:link w:val="58"/>
    <w:qFormat/>
    <w:uiPriority w:val="0"/>
    <w:rPr>
      <w:sz w:val="24"/>
      <w:szCs w:val="24"/>
    </w:rPr>
  </w:style>
  <w:style w:type="character" w:customStyle="1" w:styleId="590">
    <w:name w:val="正文文本缩进 3 字符"/>
    <w:qFormat/>
    <w:uiPriority w:val="0"/>
    <w:rPr>
      <w:rFonts w:ascii="Times New Roman" w:hAnsi="Times New Roman"/>
      <w:kern w:val="2"/>
      <w:sz w:val="16"/>
      <w:szCs w:val="16"/>
    </w:rPr>
  </w:style>
  <w:style w:type="character" w:customStyle="1" w:styleId="591">
    <w:name w:val="批注框文本 字符"/>
    <w:qFormat/>
    <w:uiPriority w:val="0"/>
    <w:rPr>
      <w:sz w:val="18"/>
      <w:szCs w:val="18"/>
    </w:rPr>
  </w:style>
  <w:style w:type="character" w:customStyle="1" w:styleId="592">
    <w:name w:val="突出编号项 Char"/>
    <w:link w:val="593"/>
    <w:qFormat/>
    <w:uiPriority w:val="0"/>
    <w:rPr>
      <w:rFonts w:ascii="宋体" w:hAnsi="宋体"/>
      <w:b/>
      <w:sz w:val="24"/>
      <w:szCs w:val="24"/>
      <w:lang w:eastAsia="en-US" w:bidi="en-US"/>
    </w:rPr>
  </w:style>
  <w:style w:type="paragraph" w:customStyle="1" w:styleId="593">
    <w:name w:val="突出编号项"/>
    <w:basedOn w:val="259"/>
    <w:link w:val="592"/>
    <w:qFormat/>
    <w:uiPriority w:val="0"/>
    <w:pPr>
      <w:widowControl w:val="0"/>
      <w:numPr>
        <w:ilvl w:val="0"/>
        <w:numId w:val="35"/>
      </w:numPr>
      <w:spacing w:beforeAutospacing="0" w:afterAutospacing="0"/>
      <w:ind w:firstLine="0" w:firstLineChars="0"/>
    </w:pPr>
    <w:rPr>
      <w:rFonts w:eastAsia="宋体" w:cs="Times New Roman"/>
      <w:b/>
    </w:rPr>
  </w:style>
  <w:style w:type="character" w:customStyle="1" w:styleId="594">
    <w:name w:val="def正文 Char"/>
    <w:link w:val="595"/>
    <w:qFormat/>
    <w:uiPriority w:val="0"/>
    <w:rPr>
      <w:rFonts w:ascii="黑体" w:hAnsi="黑体" w:eastAsia="黑体"/>
      <w:sz w:val="24"/>
      <w:szCs w:val="24"/>
    </w:rPr>
  </w:style>
  <w:style w:type="paragraph" w:customStyle="1" w:styleId="595">
    <w:name w:val="def正文"/>
    <w:basedOn w:val="26"/>
    <w:link w:val="594"/>
    <w:qFormat/>
    <w:uiPriority w:val="0"/>
    <w:pPr>
      <w:widowControl w:val="0"/>
      <w:spacing w:line="360" w:lineRule="auto"/>
      <w:ind w:firstLine="200" w:firstLineChars="200"/>
      <w:jc w:val="both"/>
    </w:pPr>
    <w:rPr>
      <w:rFonts w:ascii="黑体" w:hAnsi="黑体" w:eastAsia="黑体"/>
    </w:rPr>
  </w:style>
  <w:style w:type="character" w:customStyle="1" w:styleId="596">
    <w:name w:val="Default Char"/>
    <w:qFormat/>
    <w:uiPriority w:val="0"/>
    <w:rPr>
      <w:rFonts w:ascii="宋体" w:cs="宋体"/>
      <w:color w:val="000000"/>
      <w:sz w:val="24"/>
      <w:szCs w:val="24"/>
    </w:rPr>
  </w:style>
  <w:style w:type="character" w:customStyle="1" w:styleId="597">
    <w:name w:val="标题 1 Char1"/>
    <w:qFormat/>
    <w:uiPriority w:val="0"/>
    <w:rPr>
      <w:b/>
      <w:bCs/>
      <w:kern w:val="44"/>
      <w:sz w:val="44"/>
      <w:szCs w:val="44"/>
    </w:rPr>
  </w:style>
  <w:style w:type="character" w:customStyle="1" w:styleId="598">
    <w:name w:val="标题 1 字符"/>
    <w:qFormat/>
    <w:uiPriority w:val="9"/>
    <w:rPr>
      <w:b/>
      <w:bCs/>
      <w:kern w:val="44"/>
      <w:sz w:val="44"/>
      <w:szCs w:val="44"/>
    </w:rPr>
  </w:style>
  <w:style w:type="character" w:customStyle="1" w:styleId="599">
    <w:name w:val="标题 9 字符"/>
    <w:qFormat/>
    <w:uiPriority w:val="0"/>
    <w:rPr>
      <w:rFonts w:ascii="Cambria" w:hAnsi="Cambria"/>
      <w:kern w:val="2"/>
      <w:sz w:val="21"/>
      <w:szCs w:val="21"/>
    </w:rPr>
  </w:style>
  <w:style w:type="character" w:customStyle="1" w:styleId="600">
    <w:name w:val="标题 2 字符"/>
    <w:qFormat/>
    <w:uiPriority w:val="0"/>
    <w:rPr>
      <w:rFonts w:ascii="Cambria" w:hAnsi="Cambria"/>
      <w:b/>
      <w:bCs/>
      <w:kern w:val="2"/>
      <w:sz w:val="32"/>
      <w:szCs w:val="32"/>
    </w:rPr>
  </w:style>
  <w:style w:type="character" w:customStyle="1" w:styleId="601">
    <w:name w:val="三级标题 Char"/>
    <w:qFormat/>
    <w:uiPriority w:val="0"/>
    <w:rPr>
      <w:rFonts w:ascii="黑体" w:hAnsi="黑体" w:eastAsia="黑体"/>
      <w:sz w:val="28"/>
      <w:szCs w:val="28"/>
      <w:lang w:bidi="en-US"/>
    </w:rPr>
  </w:style>
  <w:style w:type="character" w:customStyle="1" w:styleId="602">
    <w:name w:val="无间隔 Char1"/>
    <w:link w:val="344"/>
    <w:qFormat/>
    <w:uiPriority w:val="1"/>
    <w:rPr>
      <w:rFonts w:eastAsia="楷体_GB2312"/>
      <w:kern w:val="2"/>
      <w:sz w:val="30"/>
    </w:rPr>
  </w:style>
  <w:style w:type="character" w:customStyle="1" w:styleId="603">
    <w:name w:val="标题 7 字符"/>
    <w:qFormat/>
    <w:uiPriority w:val="0"/>
    <w:rPr>
      <w:b/>
      <w:bCs/>
      <w:kern w:val="2"/>
      <w:sz w:val="24"/>
      <w:szCs w:val="24"/>
    </w:rPr>
  </w:style>
  <w:style w:type="character" w:customStyle="1" w:styleId="604">
    <w:name w:val="并列项 Char"/>
    <w:link w:val="605"/>
    <w:qFormat/>
    <w:uiPriority w:val="0"/>
    <w:rPr>
      <w:rFonts w:ascii="宋体" w:hAnsi="宋体"/>
      <w:sz w:val="24"/>
      <w:szCs w:val="24"/>
      <w:lang w:eastAsia="en-US" w:bidi="en-US"/>
    </w:rPr>
  </w:style>
  <w:style w:type="paragraph" w:customStyle="1" w:styleId="605">
    <w:name w:val="并列项"/>
    <w:basedOn w:val="259"/>
    <w:link w:val="604"/>
    <w:qFormat/>
    <w:uiPriority w:val="0"/>
    <w:pPr>
      <w:widowControl w:val="0"/>
      <w:spacing w:beforeAutospacing="0" w:afterAutospacing="0"/>
      <w:ind w:left="420" w:firstLine="0" w:firstLineChars="0"/>
    </w:pPr>
    <w:rPr>
      <w:rFonts w:eastAsia="宋体" w:cs="Times New Roman"/>
    </w:rPr>
  </w:style>
  <w:style w:type="character" w:customStyle="1" w:styleId="606">
    <w:name w:val="页脚 字符"/>
    <w:qFormat/>
    <w:uiPriority w:val="99"/>
    <w:rPr>
      <w:sz w:val="18"/>
      <w:szCs w:val="18"/>
    </w:rPr>
  </w:style>
  <w:style w:type="character" w:customStyle="1" w:styleId="607">
    <w:name w:val="编号，小四 Char"/>
    <w:link w:val="542"/>
    <w:qFormat/>
    <w:uiPriority w:val="0"/>
    <w:rPr>
      <w:rFonts w:ascii="Arial" w:hAnsi="Arial"/>
      <w:sz w:val="24"/>
    </w:rPr>
  </w:style>
  <w:style w:type="character" w:customStyle="1" w:styleId="608">
    <w:name w:val="标题 8 字符"/>
    <w:qFormat/>
    <w:uiPriority w:val="0"/>
    <w:rPr>
      <w:rFonts w:ascii="Cambria" w:hAnsi="Cambria"/>
      <w:kern w:val="2"/>
      <w:sz w:val="24"/>
      <w:szCs w:val="24"/>
    </w:rPr>
  </w:style>
  <w:style w:type="character" w:customStyle="1" w:styleId="609">
    <w:name w:val="批注主题 字符"/>
    <w:qFormat/>
    <w:uiPriority w:val="0"/>
    <w:rPr>
      <w:rFonts w:ascii="Arial" w:hAnsi="Arial" w:eastAsia="宋体" w:cs="宋体"/>
      <w:b/>
      <w:bCs/>
      <w:sz w:val="24"/>
      <w:szCs w:val="20"/>
    </w:rPr>
  </w:style>
  <w:style w:type="character" w:customStyle="1" w:styleId="610">
    <w:name w:val="批注文字 字符"/>
    <w:qFormat/>
    <w:uiPriority w:val="0"/>
    <w:rPr>
      <w:rFonts w:ascii="Arial" w:hAnsi="Arial" w:eastAsia="宋体" w:cs="宋体"/>
      <w:sz w:val="24"/>
      <w:szCs w:val="20"/>
    </w:rPr>
  </w:style>
  <w:style w:type="character" w:customStyle="1" w:styleId="611">
    <w:name w:val="标题6 Char Char"/>
    <w:qFormat/>
    <w:uiPriority w:val="0"/>
    <w:rPr>
      <w:rFonts w:hint="eastAsia" w:ascii="宋体" w:hAnsi="宋体" w:eastAsia="宋体"/>
      <w:kern w:val="2"/>
      <w:sz w:val="24"/>
      <w:szCs w:val="24"/>
      <w:lang w:val="en-US" w:eastAsia="zh-CN" w:bidi="ar-SA"/>
    </w:rPr>
  </w:style>
  <w:style w:type="character" w:customStyle="1" w:styleId="612">
    <w:name w:val="标题 2 Char1"/>
    <w:qFormat/>
    <w:uiPriority w:val="0"/>
    <w:rPr>
      <w:rFonts w:ascii="Cambria" w:hAnsi="Cambria" w:eastAsia="宋体" w:cs="Times New Roman"/>
      <w:b/>
      <w:bCs/>
      <w:kern w:val="2"/>
      <w:sz w:val="32"/>
      <w:szCs w:val="32"/>
    </w:rPr>
  </w:style>
  <w:style w:type="character" w:customStyle="1" w:styleId="613">
    <w:name w:val="不明显参考1"/>
    <w:qFormat/>
    <w:uiPriority w:val="31"/>
    <w:rPr>
      <w:smallCaps/>
      <w:color w:val="C0504D"/>
      <w:u w:val="single"/>
    </w:rPr>
  </w:style>
  <w:style w:type="character" w:customStyle="1" w:styleId="614">
    <w:name w:val="标题5-2 Char"/>
    <w:link w:val="615"/>
    <w:qFormat/>
    <w:locked/>
    <w:uiPriority w:val="0"/>
    <w:rPr>
      <w:b/>
      <w:sz w:val="24"/>
      <w:szCs w:val="24"/>
    </w:rPr>
  </w:style>
  <w:style w:type="paragraph" w:customStyle="1" w:styleId="615">
    <w:name w:val="标题5-2"/>
    <w:basedOn w:val="545"/>
    <w:next w:val="354"/>
    <w:link w:val="614"/>
    <w:qFormat/>
    <w:uiPriority w:val="0"/>
    <w:pPr>
      <w:tabs>
        <w:tab w:val="left" w:pos="0"/>
        <w:tab w:val="left" w:pos="284"/>
      </w:tabs>
      <w:spacing w:before="156" w:after="156"/>
      <w:ind w:left="284" w:hanging="284"/>
      <w:jc w:val="left"/>
      <w:outlineLvl w:val="4"/>
    </w:pPr>
    <w:rPr>
      <w:b/>
      <w:sz w:val="24"/>
      <w:szCs w:val="24"/>
    </w:rPr>
  </w:style>
  <w:style w:type="character" w:customStyle="1" w:styleId="616">
    <w:name w:val="一般编号项 Char"/>
    <w:link w:val="617"/>
    <w:qFormat/>
    <w:uiPriority w:val="0"/>
    <w:rPr>
      <w:rFonts w:ascii="宋体" w:hAnsi="宋体"/>
      <w:sz w:val="24"/>
      <w:szCs w:val="24"/>
      <w:lang w:eastAsia="en-US" w:bidi="en-US"/>
    </w:rPr>
  </w:style>
  <w:style w:type="paragraph" w:customStyle="1" w:styleId="617">
    <w:name w:val="一般编号项"/>
    <w:basedOn w:val="259"/>
    <w:link w:val="616"/>
    <w:qFormat/>
    <w:uiPriority w:val="0"/>
    <w:pPr>
      <w:widowControl w:val="0"/>
      <w:numPr>
        <w:ilvl w:val="0"/>
        <w:numId w:val="36"/>
      </w:numPr>
      <w:spacing w:beforeAutospacing="0" w:afterAutospacing="0"/>
      <w:ind w:firstLine="0" w:firstLineChars="0"/>
    </w:pPr>
    <w:rPr>
      <w:rFonts w:eastAsia="宋体" w:cs="Times New Roman"/>
    </w:rPr>
  </w:style>
  <w:style w:type="character" w:customStyle="1" w:styleId="618">
    <w:name w:val="正文文本缩进 字符"/>
    <w:qFormat/>
    <w:uiPriority w:val="0"/>
    <w:rPr>
      <w:rFonts w:ascii="Times New Roman" w:hAnsi="Times New Roman" w:eastAsia="宋体" w:cs="Times New Roman"/>
      <w:sz w:val="24"/>
      <w:szCs w:val="24"/>
    </w:rPr>
  </w:style>
  <w:style w:type="character" w:customStyle="1" w:styleId="619">
    <w:name w:val="文档结构图 字符"/>
    <w:qFormat/>
    <w:uiPriority w:val="0"/>
    <w:rPr>
      <w:rFonts w:ascii="宋体" w:eastAsia="宋体"/>
      <w:sz w:val="18"/>
      <w:szCs w:val="18"/>
    </w:rPr>
  </w:style>
  <w:style w:type="character" w:customStyle="1" w:styleId="620">
    <w:name w:val="正文文本 3 字符"/>
    <w:qFormat/>
    <w:uiPriority w:val="0"/>
    <w:rPr>
      <w:rFonts w:ascii="Times New Roman" w:hAnsi="Times New Roman"/>
      <w:kern w:val="2"/>
      <w:sz w:val="16"/>
      <w:szCs w:val="16"/>
    </w:rPr>
  </w:style>
  <w:style w:type="character" w:customStyle="1" w:styleId="621">
    <w:name w:val="样式19 Char"/>
    <w:link w:val="622"/>
    <w:qFormat/>
    <w:uiPriority w:val="0"/>
    <w:rPr>
      <w:rFonts w:ascii="Arial" w:hAnsi="Arial" w:cs="宋体"/>
      <w:color w:val="000000"/>
      <w:sz w:val="24"/>
      <w:szCs w:val="24"/>
    </w:rPr>
  </w:style>
  <w:style w:type="paragraph" w:customStyle="1" w:styleId="622">
    <w:name w:val="样式19"/>
    <w:basedOn w:val="1"/>
    <w:link w:val="621"/>
    <w:qFormat/>
    <w:uiPriority w:val="0"/>
    <w:pPr>
      <w:tabs>
        <w:tab w:val="left" w:pos="0"/>
      </w:tabs>
      <w:spacing w:line="360" w:lineRule="auto"/>
      <w:ind w:firstLine="480" w:firstLineChars="200"/>
      <w:jc w:val="both"/>
    </w:pPr>
    <w:rPr>
      <w:rFonts w:ascii="Arial" w:hAnsi="Arial" w:cs="宋体"/>
      <w:color w:val="000000"/>
    </w:rPr>
  </w:style>
  <w:style w:type="character" w:customStyle="1" w:styleId="623">
    <w:name w:val="细小编号项 Char"/>
    <w:link w:val="624"/>
    <w:qFormat/>
    <w:uiPriority w:val="0"/>
    <w:rPr>
      <w:rFonts w:ascii="宋体" w:hAnsi="宋体"/>
      <w:sz w:val="24"/>
      <w:szCs w:val="24"/>
      <w:lang w:eastAsia="en-US" w:bidi="en-US"/>
    </w:rPr>
  </w:style>
  <w:style w:type="paragraph" w:customStyle="1" w:styleId="624">
    <w:name w:val="细小编号项"/>
    <w:basedOn w:val="259"/>
    <w:link w:val="623"/>
    <w:qFormat/>
    <w:uiPriority w:val="0"/>
    <w:pPr>
      <w:widowControl w:val="0"/>
      <w:numPr>
        <w:ilvl w:val="0"/>
        <w:numId w:val="37"/>
      </w:numPr>
      <w:spacing w:beforeAutospacing="0" w:afterAutospacing="0"/>
      <w:ind w:firstLine="0" w:firstLineChars="0"/>
    </w:pPr>
    <w:rPr>
      <w:rFonts w:eastAsia="宋体" w:cs="Times New Roman"/>
    </w:rPr>
  </w:style>
  <w:style w:type="character" w:customStyle="1" w:styleId="625">
    <w:name w:val="内容文本 Char"/>
    <w:link w:val="259"/>
    <w:qFormat/>
    <w:uiPriority w:val="0"/>
    <w:rPr>
      <w:rFonts w:ascii="宋体" w:hAnsi="宋体" w:eastAsiaTheme="minorEastAsia" w:cstheme="minorBidi"/>
      <w:sz w:val="24"/>
      <w:szCs w:val="24"/>
      <w:lang w:eastAsia="en-US" w:bidi="en-US"/>
    </w:rPr>
  </w:style>
  <w:style w:type="character" w:customStyle="1" w:styleId="626">
    <w:name w:val="尾注文本 Char1"/>
    <w:link w:val="36"/>
    <w:qFormat/>
    <w:uiPriority w:val="0"/>
    <w:rPr>
      <w:rFonts w:eastAsia="仿宋_GB2312"/>
      <w:szCs w:val="24"/>
    </w:rPr>
  </w:style>
  <w:style w:type="character" w:customStyle="1" w:styleId="627">
    <w:name w:val="明显强调1"/>
    <w:qFormat/>
    <w:uiPriority w:val="21"/>
    <w:rPr>
      <w:b/>
      <w:bCs/>
      <w:i/>
      <w:iCs/>
      <w:color w:val="4F81BD"/>
    </w:rPr>
  </w:style>
  <w:style w:type="character" w:customStyle="1" w:styleId="628">
    <w:name w:val="项目符号圆点 Char"/>
    <w:link w:val="629"/>
    <w:qFormat/>
    <w:uiPriority w:val="0"/>
    <w:rPr>
      <w:rFonts w:ascii="Arial" w:hAnsi="Arial"/>
      <w:sz w:val="24"/>
    </w:rPr>
  </w:style>
  <w:style w:type="paragraph" w:customStyle="1" w:styleId="629">
    <w:name w:val="项目符号圆点"/>
    <w:basedOn w:val="541"/>
    <w:link w:val="628"/>
    <w:qFormat/>
    <w:uiPriority w:val="0"/>
    <w:pPr>
      <w:numPr>
        <w:numId w:val="0"/>
      </w:numPr>
      <w:tabs>
        <w:tab w:val="left" w:pos="900"/>
      </w:tabs>
      <w:ind w:firstLine="200"/>
    </w:pPr>
  </w:style>
  <w:style w:type="character" w:customStyle="1" w:styleId="630">
    <w:name w:val="apple-style-span"/>
    <w:qFormat/>
    <w:uiPriority w:val="0"/>
  </w:style>
  <w:style w:type="paragraph" w:customStyle="1" w:styleId="631">
    <w:name w:val="正文四号"/>
    <w:basedOn w:val="1"/>
    <w:qFormat/>
    <w:uiPriority w:val="0"/>
    <w:pPr>
      <w:widowControl w:val="0"/>
      <w:spacing w:line="360" w:lineRule="auto"/>
      <w:ind w:firstLine="200" w:firstLineChars="200"/>
      <w:jc w:val="both"/>
    </w:pPr>
    <w:rPr>
      <w:rFonts w:ascii="Calibri" w:hAnsi="Calibri" w:cs="宋体"/>
      <w:kern w:val="2"/>
      <w:sz w:val="28"/>
      <w:szCs w:val="20"/>
    </w:rPr>
  </w:style>
  <w:style w:type="paragraph" w:customStyle="1" w:styleId="632">
    <w:name w:val="表格表头"/>
    <w:basedOn w:val="1"/>
    <w:qFormat/>
    <w:uiPriority w:val="0"/>
    <w:pPr>
      <w:widowControl w:val="0"/>
      <w:spacing w:line="360" w:lineRule="auto"/>
      <w:jc w:val="center"/>
      <w:outlineLvl w:val="0"/>
    </w:pPr>
    <w:rPr>
      <w:rFonts w:ascii="宋体" w:hAnsi="宋体" w:eastAsia="黑体" w:cs="宋体"/>
      <w:kern w:val="2"/>
      <w:szCs w:val="21"/>
    </w:rPr>
  </w:style>
  <w:style w:type="paragraph" w:customStyle="1" w:styleId="633">
    <w:name w:val="p18"/>
    <w:basedOn w:val="1"/>
    <w:qFormat/>
    <w:uiPriority w:val="0"/>
    <w:pPr>
      <w:ind w:firstLine="420"/>
    </w:pPr>
    <w:rPr>
      <w:sz w:val="21"/>
      <w:szCs w:val="21"/>
    </w:rPr>
  </w:style>
  <w:style w:type="paragraph" w:customStyle="1" w:styleId="634">
    <w:name w:val="样式 标题 7 +"/>
    <w:basedOn w:val="10"/>
    <w:qFormat/>
    <w:uiPriority w:val="0"/>
    <w:pPr>
      <w:adjustRightInd/>
      <w:spacing w:before="120" w:line="360" w:lineRule="auto"/>
      <w:jc w:val="center"/>
      <w:textAlignment w:val="auto"/>
    </w:pPr>
    <w:rPr>
      <w:rFonts w:ascii="Arial" w:hAnsi="Arial" w:eastAsia="宋体" w:cs="宋体"/>
      <w:bCs/>
      <w:spacing w:val="0"/>
      <w:kern w:val="2"/>
      <w:szCs w:val="24"/>
      <w:lang w:eastAsia="en-US"/>
    </w:rPr>
  </w:style>
  <w:style w:type="paragraph" w:customStyle="1" w:styleId="635">
    <w:name w:val="正文小四"/>
    <w:basedOn w:val="1"/>
    <w:qFormat/>
    <w:uiPriority w:val="0"/>
    <w:pPr>
      <w:widowControl w:val="0"/>
      <w:spacing w:beforeLines="50" w:afterLines="50" w:line="360" w:lineRule="auto"/>
      <w:ind w:firstLine="360" w:firstLineChars="200"/>
    </w:pPr>
    <w:rPr>
      <w:kern w:val="2"/>
      <w:sz w:val="18"/>
      <w:szCs w:val="18"/>
    </w:rPr>
  </w:style>
  <w:style w:type="paragraph" w:customStyle="1" w:styleId="636">
    <w:name w:val="Char Char2"/>
    <w:basedOn w:val="1"/>
    <w:qFormat/>
    <w:uiPriority w:val="0"/>
    <w:pPr>
      <w:widowControl w:val="0"/>
      <w:tabs>
        <w:tab w:val="left" w:pos="425"/>
      </w:tabs>
      <w:ind w:left="425" w:hanging="425"/>
      <w:jc w:val="both"/>
    </w:pPr>
    <w:rPr>
      <w:kern w:val="2"/>
    </w:rPr>
  </w:style>
  <w:style w:type="paragraph" w:customStyle="1" w:styleId="637">
    <w:name w:val="_Style 2"/>
    <w:basedOn w:val="1"/>
    <w:qFormat/>
    <w:uiPriority w:val="34"/>
    <w:pPr>
      <w:widowControl w:val="0"/>
      <w:spacing w:before="100" w:beforeAutospacing="1" w:after="100" w:afterAutospacing="1"/>
      <w:ind w:firstLine="420" w:firstLineChars="200"/>
      <w:jc w:val="both"/>
    </w:pPr>
    <w:rPr>
      <w:rFonts w:ascii="Calibri" w:hAnsi="Calibri"/>
      <w:kern w:val="2"/>
      <w:sz w:val="21"/>
      <w:szCs w:val="22"/>
    </w:rPr>
  </w:style>
  <w:style w:type="paragraph" w:customStyle="1" w:styleId="638">
    <w:name w:val="_Style 1"/>
    <w:basedOn w:val="1"/>
    <w:qFormat/>
    <w:uiPriority w:val="0"/>
    <w:pPr>
      <w:widowControl w:val="0"/>
      <w:spacing w:before="100" w:beforeAutospacing="1" w:after="100" w:afterAutospacing="1"/>
      <w:ind w:firstLine="420" w:firstLineChars="200"/>
      <w:jc w:val="both"/>
    </w:pPr>
    <w:rPr>
      <w:rFonts w:ascii="Calibri" w:hAnsi="Calibri"/>
      <w:kern w:val="2"/>
      <w:sz w:val="21"/>
      <w:szCs w:val="22"/>
    </w:rPr>
  </w:style>
  <w:style w:type="character" w:customStyle="1" w:styleId="639">
    <w:name w:val="副标题 Char"/>
    <w:basedOn w:val="65"/>
    <w:qFormat/>
    <w:uiPriority w:val="0"/>
    <w:rPr>
      <w:rFonts w:asciiTheme="majorHAnsi" w:hAnsiTheme="majorHAnsi" w:cstheme="majorBidi"/>
      <w:b/>
      <w:bCs/>
      <w:kern w:val="28"/>
      <w:sz w:val="32"/>
      <w:szCs w:val="32"/>
    </w:rPr>
  </w:style>
  <w:style w:type="paragraph" w:customStyle="1" w:styleId="640">
    <w:name w:val="CM51"/>
    <w:basedOn w:val="100"/>
    <w:next w:val="100"/>
    <w:qFormat/>
    <w:uiPriority w:val="0"/>
    <w:pPr>
      <w:spacing w:after="103"/>
    </w:pPr>
    <w:rPr>
      <w:rFonts w:ascii="黑体" w:eastAsia="黑体" w:cs="Times New Roman"/>
      <w:color w:val="auto"/>
      <w:kern w:val="2"/>
    </w:rPr>
  </w:style>
  <w:style w:type="paragraph" w:customStyle="1" w:styleId="641">
    <w:name w:val="样式 标题 9 +"/>
    <w:basedOn w:val="642"/>
    <w:qFormat/>
    <w:uiPriority w:val="0"/>
    <w:pPr>
      <w:tabs>
        <w:tab w:val="left" w:pos="1559"/>
      </w:tabs>
    </w:pPr>
  </w:style>
  <w:style w:type="paragraph" w:customStyle="1" w:styleId="642">
    <w:name w:val="标题9"/>
    <w:basedOn w:val="12"/>
    <w:next w:val="1"/>
    <w:qFormat/>
    <w:uiPriority w:val="0"/>
    <w:pPr>
      <w:adjustRightInd/>
      <w:spacing w:line="320" w:lineRule="auto"/>
      <w:jc w:val="both"/>
      <w:textAlignment w:val="auto"/>
    </w:pPr>
    <w:rPr>
      <w:rFonts w:ascii="Cambria" w:hAnsi="Cambria" w:eastAsia="宋体"/>
      <w:spacing w:val="0"/>
      <w:kern w:val="2"/>
      <w:sz w:val="21"/>
      <w:szCs w:val="21"/>
      <w:lang w:eastAsia="en-US"/>
    </w:rPr>
  </w:style>
  <w:style w:type="character" w:customStyle="1" w:styleId="643">
    <w:name w:val="明显引用 Char"/>
    <w:basedOn w:val="65"/>
    <w:qFormat/>
    <w:uiPriority w:val="30"/>
    <w:rPr>
      <w:b/>
      <w:bCs/>
      <w:i/>
      <w:iCs/>
      <w:color w:val="4F81BD" w:themeColor="accent1"/>
      <w:sz w:val="24"/>
      <w:szCs w:val="24"/>
      <w14:textFill>
        <w14:solidFill>
          <w14:schemeClr w14:val="accent1"/>
        </w14:solidFill>
      </w14:textFill>
    </w:rPr>
  </w:style>
  <w:style w:type="paragraph" w:customStyle="1" w:styleId="644">
    <w:name w:val="无间隔1"/>
    <w:qFormat/>
    <w:uiPriority w:val="1"/>
    <w:pPr>
      <w:widowControl w:val="0"/>
      <w:jc w:val="both"/>
    </w:pPr>
    <w:rPr>
      <w:rFonts w:ascii="Times New Roman" w:hAnsi="Times New Roman" w:eastAsia="宋体" w:cs="Times New Roman"/>
      <w:kern w:val="2"/>
      <w:sz w:val="24"/>
      <w:szCs w:val="21"/>
      <w:lang w:val="en-US" w:eastAsia="zh-CN" w:bidi="ar-SA"/>
    </w:rPr>
  </w:style>
  <w:style w:type="paragraph" w:customStyle="1" w:styleId="645">
    <w:name w:val="样式 标题8 + 段前: 0.5 行 段后: 0.5 行"/>
    <w:basedOn w:val="646"/>
    <w:next w:val="1"/>
    <w:qFormat/>
    <w:uiPriority w:val="0"/>
    <w:pPr>
      <w:tabs>
        <w:tab w:val="left" w:pos="1418"/>
      </w:tabs>
      <w:ind w:left="0" w:firstLine="0"/>
    </w:pPr>
    <w:rPr>
      <w:rFonts w:cs="宋体"/>
    </w:rPr>
  </w:style>
  <w:style w:type="paragraph" w:customStyle="1" w:styleId="646">
    <w:name w:val="标题8"/>
    <w:basedOn w:val="11"/>
    <w:next w:val="1"/>
    <w:qFormat/>
    <w:uiPriority w:val="0"/>
    <w:pPr>
      <w:adjustRightInd/>
      <w:spacing w:beforeLines="50" w:afterLines="50" w:line="360" w:lineRule="auto"/>
      <w:ind w:left="2268" w:hanging="2268"/>
      <w:textAlignment w:val="auto"/>
    </w:pPr>
    <w:rPr>
      <w:spacing w:val="0"/>
      <w:kern w:val="2"/>
      <w:sz w:val="21"/>
    </w:rPr>
  </w:style>
  <w:style w:type="paragraph" w:customStyle="1" w:styleId="647">
    <w:name w:val="Body Text First Indent1"/>
    <w:basedOn w:val="1"/>
    <w:qFormat/>
    <w:uiPriority w:val="0"/>
    <w:pPr>
      <w:widowControl w:val="0"/>
      <w:ind w:firstLine="200" w:firstLineChars="200"/>
      <w:jc w:val="both"/>
    </w:pPr>
    <w:rPr>
      <w:color w:val="000000"/>
      <w:kern w:val="2"/>
      <w:sz w:val="21"/>
    </w:rPr>
  </w:style>
  <w:style w:type="paragraph" w:customStyle="1" w:styleId="648">
    <w:name w:val="符号 箭头"/>
    <w:basedOn w:val="1"/>
    <w:qFormat/>
    <w:uiPriority w:val="0"/>
    <w:pPr>
      <w:widowControl w:val="0"/>
      <w:tabs>
        <w:tab w:val="left" w:pos="284"/>
      </w:tabs>
      <w:spacing w:line="360" w:lineRule="auto"/>
      <w:ind w:left="284"/>
      <w:jc w:val="both"/>
    </w:pPr>
    <w:rPr>
      <w:rFonts w:ascii="Arial" w:hAnsi="Arial" w:cs="宋体"/>
      <w:kern w:val="2"/>
      <w:szCs w:val="20"/>
    </w:rPr>
  </w:style>
  <w:style w:type="paragraph" w:customStyle="1" w:styleId="649">
    <w:name w:val="列出段落1"/>
    <w:basedOn w:val="1"/>
    <w:qFormat/>
    <w:uiPriority w:val="0"/>
    <w:pPr>
      <w:widowControl w:val="0"/>
      <w:spacing w:line="360" w:lineRule="auto"/>
      <w:ind w:firstLine="420" w:firstLineChars="200"/>
      <w:jc w:val="both"/>
    </w:pPr>
    <w:rPr>
      <w:rFonts w:ascii="Arial" w:hAnsi="Arial" w:cs="宋体"/>
      <w:kern w:val="2"/>
      <w:szCs w:val="20"/>
    </w:rPr>
  </w:style>
  <w:style w:type="paragraph" w:customStyle="1" w:styleId="650">
    <w:name w:val="列出段落3"/>
    <w:basedOn w:val="1"/>
    <w:qFormat/>
    <w:uiPriority w:val="0"/>
    <w:pPr>
      <w:widowControl w:val="0"/>
      <w:ind w:firstLine="420" w:firstLineChars="200"/>
      <w:jc w:val="both"/>
    </w:pPr>
    <w:rPr>
      <w:kern w:val="2"/>
      <w:sz w:val="21"/>
    </w:rPr>
  </w:style>
  <w:style w:type="paragraph" w:customStyle="1" w:styleId="651">
    <w:name w:val="正文缩进3"/>
    <w:basedOn w:val="1"/>
    <w:qFormat/>
    <w:uiPriority w:val="0"/>
    <w:pPr>
      <w:ind w:firstLine="420"/>
    </w:pPr>
    <w:rPr>
      <w:kern w:val="2"/>
      <w:sz w:val="21"/>
      <w:szCs w:val="21"/>
    </w:rPr>
  </w:style>
  <w:style w:type="paragraph" w:customStyle="1" w:styleId="652">
    <w:name w:val="标题1"/>
    <w:basedOn w:val="1"/>
    <w:link w:val="734"/>
    <w:qFormat/>
    <w:uiPriority w:val="0"/>
    <w:pPr>
      <w:widowControl w:val="0"/>
      <w:spacing w:beforeLines="50" w:afterLines="50" w:line="360" w:lineRule="auto"/>
      <w:jc w:val="both"/>
      <w:outlineLvl w:val="0"/>
    </w:pPr>
    <w:rPr>
      <w:b/>
      <w:kern w:val="2"/>
      <w:sz w:val="32"/>
      <w:szCs w:val="32"/>
    </w:rPr>
  </w:style>
  <w:style w:type="paragraph" w:customStyle="1" w:styleId="653">
    <w:name w:val="ZCY-3"/>
    <w:basedOn w:val="6"/>
    <w:qFormat/>
    <w:uiPriority w:val="0"/>
    <w:pPr>
      <w:numPr>
        <w:ilvl w:val="0"/>
        <w:numId w:val="0"/>
      </w:numPr>
      <w:wordWrap/>
      <w:overflowPunct/>
      <w:autoSpaceDE/>
      <w:autoSpaceDN/>
      <w:spacing w:beforeLines="0" w:afterLines="0" w:line="300" w:lineRule="auto"/>
      <w:ind w:left="420" w:hanging="420"/>
    </w:pPr>
    <w:rPr>
      <w:rFonts w:ascii="Times New Roman" w:hAnsi="Times New Roman" w:eastAsia="宋体"/>
      <w:b/>
      <w:szCs w:val="24"/>
    </w:rPr>
  </w:style>
  <w:style w:type="paragraph" w:customStyle="1" w:styleId="654">
    <w:name w:val="reader-word-layer"/>
    <w:basedOn w:val="1"/>
    <w:qFormat/>
    <w:uiPriority w:val="0"/>
    <w:pPr>
      <w:spacing w:before="100" w:beforeAutospacing="1" w:after="100" w:afterAutospacing="1"/>
    </w:pPr>
    <w:rPr>
      <w:rFonts w:ascii="宋体" w:hAnsi="宋体" w:cs="宋体"/>
    </w:rPr>
  </w:style>
  <w:style w:type="paragraph" w:customStyle="1" w:styleId="655">
    <w:name w:val="正文缩进4"/>
    <w:basedOn w:val="1"/>
    <w:qFormat/>
    <w:uiPriority w:val="0"/>
    <w:pPr>
      <w:ind w:firstLine="420"/>
    </w:pPr>
    <w:rPr>
      <w:kern w:val="2"/>
      <w:sz w:val="21"/>
      <w:szCs w:val="21"/>
    </w:rPr>
  </w:style>
  <w:style w:type="character" w:customStyle="1" w:styleId="656">
    <w:name w:val="尾注文本 Char"/>
    <w:basedOn w:val="65"/>
    <w:qFormat/>
    <w:uiPriority w:val="0"/>
    <w:rPr>
      <w:sz w:val="24"/>
      <w:szCs w:val="24"/>
    </w:rPr>
  </w:style>
  <w:style w:type="paragraph" w:customStyle="1" w:styleId="657">
    <w:name w:val="表1"/>
    <w:basedOn w:val="1"/>
    <w:qFormat/>
    <w:uiPriority w:val="0"/>
    <w:pPr>
      <w:widowControl w:val="0"/>
      <w:numPr>
        <w:ilvl w:val="0"/>
        <w:numId w:val="38"/>
      </w:numPr>
      <w:spacing w:line="360" w:lineRule="auto"/>
      <w:ind w:left="0" w:firstLine="0"/>
      <w:jc w:val="center"/>
    </w:pPr>
    <w:rPr>
      <w:rFonts w:ascii="Arial" w:hAnsi="Arial" w:cs="宋体"/>
      <w:kern w:val="2"/>
      <w:sz w:val="21"/>
      <w:szCs w:val="20"/>
    </w:rPr>
  </w:style>
  <w:style w:type="paragraph" w:customStyle="1" w:styleId="658">
    <w:name w:val="GP正文(首行缩进)"/>
    <w:basedOn w:val="1"/>
    <w:qFormat/>
    <w:uiPriority w:val="0"/>
    <w:pPr>
      <w:widowControl w:val="0"/>
      <w:spacing w:line="360" w:lineRule="auto"/>
      <w:ind w:firstLine="200" w:firstLineChars="200"/>
    </w:pPr>
    <w:rPr>
      <w:kern w:val="2"/>
      <w:szCs w:val="21"/>
    </w:rPr>
  </w:style>
  <w:style w:type="paragraph" w:customStyle="1" w:styleId="659">
    <w:name w:val="无间隔2"/>
    <w:qFormat/>
    <w:uiPriority w:val="0"/>
    <w:pPr>
      <w:widowControl w:val="0"/>
      <w:jc w:val="both"/>
    </w:pPr>
    <w:rPr>
      <w:rFonts w:ascii="Times New Roman" w:hAnsi="Times New Roman" w:eastAsia="宋体" w:cs="Times New Roman"/>
      <w:kern w:val="2"/>
      <w:sz w:val="24"/>
      <w:szCs w:val="21"/>
      <w:lang w:val="en-US" w:eastAsia="zh-CN" w:bidi="ar-SA"/>
    </w:rPr>
  </w:style>
  <w:style w:type="paragraph" w:customStyle="1" w:styleId="660">
    <w:name w:val="样式 标题 8 +"/>
    <w:basedOn w:val="11"/>
    <w:qFormat/>
    <w:uiPriority w:val="0"/>
    <w:pPr>
      <w:adjustRightInd/>
      <w:spacing w:line="319" w:lineRule="auto"/>
      <w:textAlignment w:val="auto"/>
    </w:pPr>
    <w:rPr>
      <w:rFonts w:ascii="Cambria" w:hAnsi="Cambria" w:eastAsia="宋体"/>
      <w:spacing w:val="0"/>
      <w:kern w:val="2"/>
      <w:szCs w:val="24"/>
      <w:lang w:eastAsia="en-US"/>
    </w:rPr>
  </w:style>
  <w:style w:type="character" w:customStyle="1" w:styleId="661">
    <w:name w:val="正文首行缩进 2 Char"/>
    <w:basedOn w:val="137"/>
    <w:link w:val="662"/>
    <w:qFormat/>
    <w:uiPriority w:val="0"/>
    <w:rPr>
      <w:sz w:val="24"/>
      <w:szCs w:val="24"/>
    </w:rPr>
  </w:style>
  <w:style w:type="paragraph" w:customStyle="1" w:styleId="662">
    <w:name w:val="正文首行缩进 21"/>
    <w:basedOn w:val="1"/>
    <w:link w:val="661"/>
    <w:qFormat/>
    <w:uiPriority w:val="0"/>
    <w:pPr>
      <w:widowControl w:val="0"/>
      <w:spacing w:after="120" w:line="312" w:lineRule="auto"/>
      <w:ind w:left="420" w:leftChars="200" w:firstLine="420" w:firstLineChars="200"/>
    </w:pPr>
    <w:rPr>
      <w:szCs w:val="20"/>
    </w:rPr>
  </w:style>
  <w:style w:type="paragraph" w:customStyle="1" w:styleId="663">
    <w:name w:val="标题6-1"/>
    <w:basedOn w:val="55"/>
    <w:qFormat/>
    <w:uiPriority w:val="0"/>
    <w:pPr>
      <w:spacing w:beforeLines="50" w:afterLines="50" w:line="360" w:lineRule="auto"/>
      <w:ind w:left="1134" w:hanging="1134"/>
      <w:jc w:val="both"/>
      <w:outlineLvl w:val="3"/>
    </w:pPr>
    <w:rPr>
      <w:rFonts w:ascii="Times New Roman" w:hAnsi="Times New Roman" w:cs="Times New Roman"/>
      <w:b w:val="0"/>
      <w:bCs w:val="0"/>
      <w:kern w:val="0"/>
      <w:sz w:val="24"/>
      <w:szCs w:val="24"/>
    </w:rPr>
  </w:style>
  <w:style w:type="paragraph" w:customStyle="1" w:styleId="664">
    <w:name w:val="样式 首行缩进:  0 字符"/>
    <w:basedOn w:val="1"/>
    <w:qFormat/>
    <w:uiPriority w:val="0"/>
    <w:pPr>
      <w:widowControl w:val="0"/>
      <w:spacing w:before="100" w:beforeAutospacing="1" w:after="100" w:afterAutospacing="1" w:line="360" w:lineRule="auto"/>
      <w:ind w:firstLine="200" w:firstLineChars="200"/>
      <w:jc w:val="both"/>
    </w:pPr>
    <w:rPr>
      <w:rFonts w:ascii="Arial" w:hAnsi="Arial" w:cs="宋体"/>
      <w:kern w:val="2"/>
      <w:szCs w:val="20"/>
    </w:rPr>
  </w:style>
  <w:style w:type="paragraph" w:customStyle="1" w:styleId="665">
    <w:name w:val="列表项目符号-其他2"/>
    <w:basedOn w:val="14"/>
    <w:qFormat/>
    <w:uiPriority w:val="0"/>
    <w:pPr>
      <w:numPr>
        <w:ilvl w:val="0"/>
        <w:numId w:val="39"/>
      </w:numPr>
      <w:adjustRightInd/>
      <w:snapToGrid/>
      <w:spacing w:line="312" w:lineRule="auto"/>
      <w:ind w:left="0" w:firstLine="200" w:firstLineChars="200"/>
      <w:contextualSpacing/>
    </w:pPr>
    <w:rPr>
      <w:rFonts w:ascii="Times New Roman" w:hAnsi="Times New Roman"/>
      <w:bCs w:val="0"/>
      <w:color w:val="auto"/>
    </w:rPr>
  </w:style>
  <w:style w:type="paragraph" w:customStyle="1" w:styleId="666">
    <w:name w:val="样式 首行缩进:  0.74 厘米"/>
    <w:basedOn w:val="1"/>
    <w:qFormat/>
    <w:uiPriority w:val="0"/>
    <w:pPr>
      <w:widowControl w:val="0"/>
      <w:spacing w:line="360" w:lineRule="auto"/>
      <w:ind w:firstLine="200" w:firstLineChars="200"/>
      <w:jc w:val="both"/>
    </w:pPr>
    <w:rPr>
      <w:rFonts w:eastAsia="仿宋" w:cs="宋体"/>
      <w:kern w:val="2"/>
      <w:szCs w:val="20"/>
    </w:rPr>
  </w:style>
  <w:style w:type="paragraph" w:customStyle="1" w:styleId="667">
    <w:name w:val="标题7"/>
    <w:basedOn w:val="10"/>
    <w:next w:val="1"/>
    <w:qFormat/>
    <w:uiPriority w:val="0"/>
    <w:pPr>
      <w:adjustRightInd/>
      <w:spacing w:beforeLines="50" w:afterLines="50" w:line="360" w:lineRule="auto"/>
      <w:textAlignment w:val="auto"/>
    </w:pPr>
    <w:rPr>
      <w:rFonts w:ascii="Arial" w:hAnsi="Arial" w:cs="宋体"/>
      <w:bCs/>
      <w:spacing w:val="0"/>
      <w:kern w:val="2"/>
    </w:rPr>
  </w:style>
  <w:style w:type="paragraph" w:customStyle="1" w:styleId="668">
    <w:name w:val="规范正文"/>
    <w:basedOn w:val="1"/>
    <w:qFormat/>
    <w:uiPriority w:val="0"/>
    <w:pPr>
      <w:widowControl w:val="0"/>
      <w:spacing w:afterLines="50" w:line="360" w:lineRule="auto"/>
      <w:ind w:left="359" w:leftChars="171"/>
      <w:jc w:val="both"/>
    </w:pPr>
    <w:rPr>
      <w:kern w:val="2"/>
    </w:rPr>
  </w:style>
  <w:style w:type="paragraph" w:customStyle="1" w:styleId="669">
    <w:name w:val="默认段落字体 Para Char Char Char Char"/>
    <w:basedOn w:val="1"/>
    <w:qFormat/>
    <w:uiPriority w:val="0"/>
    <w:pPr>
      <w:widowControl w:val="0"/>
      <w:adjustRightInd w:val="0"/>
      <w:spacing w:line="360" w:lineRule="auto"/>
      <w:jc w:val="both"/>
    </w:pPr>
    <w:rPr>
      <w:szCs w:val="20"/>
    </w:rPr>
  </w:style>
  <w:style w:type="paragraph" w:customStyle="1" w:styleId="670">
    <w:name w:val="正文缩进2"/>
    <w:basedOn w:val="1"/>
    <w:qFormat/>
    <w:uiPriority w:val="0"/>
    <w:pPr>
      <w:ind w:firstLine="420"/>
    </w:pPr>
    <w:rPr>
      <w:kern w:val="2"/>
      <w:sz w:val="21"/>
      <w:szCs w:val="21"/>
    </w:rPr>
  </w:style>
  <w:style w:type="paragraph" w:customStyle="1" w:styleId="671">
    <w:name w:val="表格正文"/>
    <w:basedOn w:val="1"/>
    <w:qFormat/>
    <w:uiPriority w:val="0"/>
    <w:pPr>
      <w:widowControl w:val="0"/>
      <w:spacing w:line="360" w:lineRule="auto"/>
    </w:pPr>
    <w:rPr>
      <w:rFonts w:ascii="Arial" w:hAnsi="Arial" w:cs="宋体"/>
      <w:kern w:val="2"/>
      <w:sz w:val="21"/>
      <w:szCs w:val="20"/>
    </w:rPr>
  </w:style>
  <w:style w:type="paragraph" w:customStyle="1" w:styleId="672">
    <w:name w:val="正文黑体"/>
    <w:basedOn w:val="664"/>
    <w:qFormat/>
    <w:uiPriority w:val="0"/>
    <w:pPr>
      <w:spacing w:before="0" w:beforeAutospacing="0" w:after="0" w:afterAutospacing="0"/>
      <w:ind w:firstLine="480"/>
    </w:pPr>
    <w:rPr>
      <w:rFonts w:ascii="黑体" w:hAnsi="黑体" w:eastAsia="黑体"/>
    </w:rPr>
  </w:style>
  <w:style w:type="paragraph" w:customStyle="1" w:styleId="673">
    <w:name w:val="样式 标题 8 + 左"/>
    <w:basedOn w:val="11"/>
    <w:qFormat/>
    <w:uiPriority w:val="0"/>
    <w:pPr>
      <w:adjustRightInd/>
      <w:spacing w:line="319" w:lineRule="auto"/>
      <w:textAlignment w:val="auto"/>
    </w:pPr>
    <w:rPr>
      <w:rFonts w:ascii="Cambria" w:hAnsi="Cambria" w:eastAsia="宋体" w:cs="宋体"/>
      <w:spacing w:val="0"/>
      <w:kern w:val="2"/>
      <w:lang w:eastAsia="en-US"/>
    </w:rPr>
  </w:style>
  <w:style w:type="paragraph" w:customStyle="1" w:styleId="674">
    <w:name w:val="InfoBlue"/>
    <w:basedOn w:val="1"/>
    <w:next w:val="26"/>
    <w:qFormat/>
    <w:uiPriority w:val="0"/>
    <w:pPr>
      <w:spacing w:after="120" w:line="240" w:lineRule="atLeast"/>
      <w:ind w:left="720"/>
    </w:pPr>
    <w:rPr>
      <w:i/>
      <w:color w:val="0000FF"/>
      <w:sz w:val="20"/>
      <w:szCs w:val="20"/>
      <w:lang w:eastAsia="en-US"/>
    </w:rPr>
  </w:style>
  <w:style w:type="paragraph" w:customStyle="1" w:styleId="675">
    <w:name w:val="样式 正文首行缩进 + 首行缩进:  1 字符"/>
    <w:basedOn w:val="57"/>
    <w:qFormat/>
    <w:uiPriority w:val="0"/>
    <w:pPr>
      <w:widowControl/>
      <w:spacing w:after="40"/>
      <w:ind w:firstLine="200" w:firstLineChars="200"/>
      <w:jc w:val="left"/>
    </w:pPr>
    <w:rPr>
      <w:rFonts w:ascii="Times New Roman" w:cs="宋体"/>
      <w:kern w:val="0"/>
      <w:sz w:val="21"/>
    </w:rPr>
  </w:style>
  <w:style w:type="paragraph" w:customStyle="1" w:styleId="676">
    <w:name w:val="样式 标题 5 + 段前: 0.5 行"/>
    <w:basedOn w:val="8"/>
    <w:qFormat/>
    <w:uiPriority w:val="0"/>
    <w:pPr>
      <w:numPr>
        <w:ilvl w:val="0"/>
        <w:numId w:val="0"/>
      </w:numPr>
      <w:adjustRightInd/>
      <w:snapToGrid w:val="0"/>
      <w:spacing w:beforeLines="50" w:after="0" w:line="360" w:lineRule="auto"/>
      <w:ind w:left="1008" w:hanging="420"/>
      <w:textAlignment w:val="auto"/>
    </w:pPr>
    <w:rPr>
      <w:rFonts w:ascii="Arial" w:hAnsi="Arial" w:cs="宋体"/>
      <w:b w:val="0"/>
      <w:spacing w:val="0"/>
      <w:kern w:val="2"/>
    </w:rPr>
  </w:style>
  <w:style w:type="paragraph" w:customStyle="1" w:styleId="677">
    <w:name w:val="ZCY-4"/>
    <w:basedOn w:val="7"/>
    <w:qFormat/>
    <w:uiPriority w:val="0"/>
    <w:pPr>
      <w:numPr>
        <w:ilvl w:val="0"/>
        <w:numId w:val="0"/>
      </w:numPr>
      <w:adjustRightInd/>
      <w:spacing w:before="100" w:after="100" w:line="360" w:lineRule="auto"/>
      <w:ind w:left="420" w:hanging="420"/>
      <w:textAlignment w:val="auto"/>
    </w:pPr>
    <w:rPr>
      <w:rFonts w:ascii="Cambria" w:hAnsi="Cambria" w:eastAsia="宋体"/>
      <w:bCs/>
      <w:spacing w:val="0"/>
      <w:kern w:val="2"/>
      <w:szCs w:val="28"/>
    </w:rPr>
  </w:style>
  <w:style w:type="character" w:customStyle="1" w:styleId="678">
    <w:name w:val="引用 Char"/>
    <w:basedOn w:val="65"/>
    <w:qFormat/>
    <w:uiPriority w:val="29"/>
    <w:rPr>
      <w:i/>
      <w:iCs/>
      <w:color w:val="000000" w:themeColor="text1"/>
      <w:sz w:val="24"/>
      <w:szCs w:val="24"/>
      <w14:textFill>
        <w14:solidFill>
          <w14:schemeClr w14:val="tx1"/>
        </w14:solidFill>
      </w14:textFill>
    </w:rPr>
  </w:style>
  <w:style w:type="paragraph" w:customStyle="1" w:styleId="679">
    <w:name w:val="样式 标题9 +"/>
    <w:basedOn w:val="642"/>
    <w:qFormat/>
    <w:uiPriority w:val="0"/>
    <w:rPr>
      <w:rFonts w:eastAsia="黑体"/>
    </w:rPr>
  </w:style>
  <w:style w:type="paragraph" w:customStyle="1" w:styleId="680">
    <w:name w:val="正文（首行缩进2字符）"/>
    <w:basedOn w:val="1"/>
    <w:qFormat/>
    <w:uiPriority w:val="0"/>
    <w:pPr>
      <w:widowControl w:val="0"/>
      <w:spacing w:line="360" w:lineRule="auto"/>
      <w:ind w:firstLine="480" w:firstLineChars="200"/>
      <w:jc w:val="both"/>
    </w:pPr>
    <w:rPr>
      <w:kern w:val="2"/>
    </w:rPr>
  </w:style>
  <w:style w:type="paragraph" w:customStyle="1" w:styleId="681">
    <w:name w:val="编号，四号"/>
    <w:basedOn w:val="1"/>
    <w:qFormat/>
    <w:uiPriority w:val="0"/>
    <w:pPr>
      <w:widowControl w:val="0"/>
      <w:numPr>
        <w:ilvl w:val="0"/>
        <w:numId w:val="40"/>
      </w:numPr>
      <w:spacing w:line="360" w:lineRule="auto"/>
      <w:ind w:firstLine="0"/>
      <w:jc w:val="both"/>
    </w:pPr>
    <w:rPr>
      <w:rFonts w:eastAsia="仿宋_GB2312" w:cs="宋体"/>
      <w:kern w:val="2"/>
      <w:sz w:val="28"/>
      <w:szCs w:val="20"/>
    </w:rPr>
  </w:style>
  <w:style w:type="paragraph" w:customStyle="1" w:styleId="682">
    <w:name w:val="xl157"/>
    <w:basedOn w:val="1"/>
    <w:qFormat/>
    <w:uiPriority w:val="0"/>
    <w:pPr>
      <w:pBdr>
        <w:top w:val="single" w:color="auto" w:sz="4" w:space="0"/>
        <w:bottom w:val="single" w:color="auto" w:sz="4" w:space="0"/>
      </w:pBdr>
      <w:shd w:val="clear" w:color="000000" w:fill="CCE8CF"/>
      <w:spacing w:before="100" w:beforeAutospacing="1" w:after="100" w:afterAutospacing="1"/>
    </w:pPr>
    <w:rPr>
      <w:rFonts w:ascii="宋体" w:hAnsi="宋体" w:cs="宋体"/>
      <w:b/>
      <w:bCs/>
      <w:sz w:val="20"/>
      <w:szCs w:val="20"/>
    </w:rPr>
  </w:style>
  <w:style w:type="paragraph" w:customStyle="1" w:styleId="683">
    <w:name w:val="xl158"/>
    <w:basedOn w:val="1"/>
    <w:qFormat/>
    <w:uiPriority w:val="0"/>
    <w:pPr>
      <w:pBdr>
        <w:top w:val="single" w:color="auto" w:sz="4" w:space="0"/>
        <w:left w:val="single" w:color="auto" w:sz="4" w:space="0"/>
        <w:bottom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684">
    <w:name w:val="xl159"/>
    <w:basedOn w:val="1"/>
    <w:qFormat/>
    <w:uiPriority w:val="0"/>
    <w:pPr>
      <w:pBdr>
        <w:top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685">
    <w:name w:val="xl160"/>
    <w:basedOn w:val="1"/>
    <w:qFormat/>
    <w:uiPriority w:val="0"/>
    <w:pPr>
      <w:pBdr>
        <w:top w:val="single" w:color="auto" w:sz="4" w:space="0"/>
        <w:left w:val="single" w:color="auto" w:sz="4" w:space="0"/>
        <w:bottom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686">
    <w:name w:val="xl161"/>
    <w:basedOn w:val="1"/>
    <w:qFormat/>
    <w:uiPriority w:val="0"/>
    <w:pPr>
      <w:pBdr>
        <w:top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687">
    <w:name w:val="xl162"/>
    <w:basedOn w:val="1"/>
    <w:qFormat/>
    <w:uiPriority w:val="0"/>
    <w:pPr>
      <w:pBdr>
        <w:top w:val="single" w:color="auto" w:sz="4" w:space="0"/>
        <w:left w:val="single" w:color="auto" w:sz="4" w:space="0"/>
        <w:right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688">
    <w:name w:val="xl163"/>
    <w:basedOn w:val="1"/>
    <w:qFormat/>
    <w:uiPriority w:val="0"/>
    <w:pPr>
      <w:pBdr>
        <w:left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689">
    <w:name w:val="xl164"/>
    <w:basedOn w:val="1"/>
    <w:qFormat/>
    <w:uiPriority w:val="0"/>
    <w:pPr>
      <w:pBdr>
        <w:top w:val="single" w:color="auto" w:sz="4" w:space="0"/>
        <w:left w:val="single" w:color="auto" w:sz="4" w:space="0"/>
        <w:right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690">
    <w:name w:val="xl165"/>
    <w:basedOn w:val="1"/>
    <w:qFormat/>
    <w:uiPriority w:val="0"/>
    <w:pPr>
      <w:pBdr>
        <w:left w:val="single" w:color="auto" w:sz="4" w:space="0"/>
        <w:right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691">
    <w:name w:val="xl166"/>
    <w:basedOn w:val="1"/>
    <w:qFormat/>
    <w:uiPriority w:val="0"/>
    <w:pPr>
      <w:pBdr>
        <w:left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692">
    <w:name w:val="xl167"/>
    <w:basedOn w:val="1"/>
    <w:qFormat/>
    <w:uiPriority w:val="0"/>
    <w:pPr>
      <w:pBdr>
        <w:left w:val="single" w:color="auto" w:sz="4" w:space="0"/>
        <w:right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693">
    <w:name w:val="xl168"/>
    <w:basedOn w:val="1"/>
    <w:qFormat/>
    <w:uiPriority w:val="0"/>
    <w:pPr>
      <w:pBdr>
        <w:top w:val="single" w:color="auto" w:sz="4" w:space="0"/>
        <w:bottom w:val="single" w:color="auto" w:sz="4" w:space="0"/>
        <w:right w:val="single" w:color="auto" w:sz="4" w:space="0"/>
      </w:pBdr>
      <w:shd w:val="clear" w:color="000000" w:fill="CCE8CF"/>
      <w:spacing w:before="100" w:beforeAutospacing="1" w:after="100" w:afterAutospacing="1"/>
    </w:pPr>
    <w:rPr>
      <w:rFonts w:ascii="宋体" w:hAnsi="宋体" w:cs="宋体"/>
      <w:b/>
      <w:bCs/>
      <w:sz w:val="20"/>
      <w:szCs w:val="20"/>
    </w:rPr>
  </w:style>
  <w:style w:type="paragraph" w:customStyle="1" w:styleId="694">
    <w:name w:val="xl169"/>
    <w:basedOn w:val="1"/>
    <w:qFormat/>
    <w:uiPriority w:val="0"/>
    <w:pPr>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695">
    <w:name w:val="xl170"/>
    <w:basedOn w:val="1"/>
    <w:qFormat/>
    <w:uiPriority w:val="0"/>
    <w:pPr>
      <w:pBdr>
        <w:left w:val="single" w:color="auto" w:sz="4" w:space="0"/>
        <w:bottom w:val="single" w:color="auto" w:sz="4" w:space="0"/>
        <w:right w:val="single" w:color="auto" w:sz="4" w:space="0"/>
      </w:pBdr>
      <w:shd w:val="clear" w:color="000000" w:fill="CCE8CF"/>
      <w:spacing w:before="100" w:beforeAutospacing="1" w:after="100" w:afterAutospacing="1"/>
    </w:pPr>
    <w:rPr>
      <w:rFonts w:ascii="宋体" w:hAnsi="宋体" w:cs="宋体"/>
      <w:sz w:val="20"/>
      <w:szCs w:val="20"/>
    </w:rPr>
  </w:style>
  <w:style w:type="paragraph" w:customStyle="1" w:styleId="696">
    <w:name w:val="xl171"/>
    <w:basedOn w:val="1"/>
    <w:qFormat/>
    <w:uiPriority w:val="0"/>
    <w:pPr>
      <w:pBdr>
        <w:top w:val="single" w:color="auto" w:sz="4" w:space="0"/>
        <w:left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697">
    <w:name w:val="xl172"/>
    <w:basedOn w:val="1"/>
    <w:qFormat/>
    <w:uiPriority w:val="0"/>
    <w:pPr>
      <w:pBdr>
        <w:left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698">
    <w:name w:val="xl173"/>
    <w:basedOn w:val="1"/>
    <w:qFormat/>
    <w:uiPriority w:val="0"/>
    <w:pPr>
      <w:pBdr>
        <w:left w:val="single" w:color="auto" w:sz="4" w:space="0"/>
        <w:bottom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699">
    <w:name w:val="xl174"/>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sz w:val="20"/>
      <w:szCs w:val="20"/>
    </w:rPr>
  </w:style>
  <w:style w:type="paragraph" w:customStyle="1" w:styleId="700">
    <w:name w:val="xl175"/>
    <w:basedOn w:val="1"/>
    <w:qFormat/>
    <w:uiPriority w:val="0"/>
    <w:pPr>
      <w:pBdr>
        <w:left w:val="single" w:color="auto" w:sz="4" w:space="0"/>
        <w:right w:val="single" w:color="auto" w:sz="4" w:space="0"/>
      </w:pBdr>
      <w:spacing w:before="100" w:beforeAutospacing="1" w:after="100" w:afterAutospacing="1"/>
      <w:jc w:val="center"/>
    </w:pPr>
    <w:rPr>
      <w:rFonts w:ascii="宋体" w:hAnsi="宋体" w:cs="宋体"/>
      <w:color w:val="000000"/>
      <w:sz w:val="20"/>
      <w:szCs w:val="20"/>
    </w:rPr>
  </w:style>
  <w:style w:type="paragraph" w:customStyle="1" w:styleId="701">
    <w:name w:val="xl176"/>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rPr>
  </w:style>
  <w:style w:type="paragraph" w:customStyle="1" w:styleId="702">
    <w:name w:val="xl177"/>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703">
    <w:name w:val="xl178"/>
    <w:basedOn w:val="1"/>
    <w:qFormat/>
    <w:uiPriority w:val="0"/>
    <w:pPr>
      <w:pBdr>
        <w:left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704">
    <w:name w:val="xl17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705">
    <w:name w:val="xl180"/>
    <w:basedOn w:val="1"/>
    <w:qFormat/>
    <w:uiPriority w:val="0"/>
    <w:pPr>
      <w:pBdr>
        <w:top w:val="single" w:color="auto" w:sz="4" w:space="0"/>
        <w:left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706">
    <w:name w:val="xl181"/>
    <w:basedOn w:val="1"/>
    <w:qFormat/>
    <w:uiPriority w:val="0"/>
    <w:pPr>
      <w:pBdr>
        <w:left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707">
    <w:name w:val="xl182"/>
    <w:basedOn w:val="1"/>
    <w:qFormat/>
    <w:uiPriority w:val="0"/>
    <w:pPr>
      <w:pBdr>
        <w:left w:val="single" w:color="auto" w:sz="4" w:space="0"/>
        <w:bottom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708">
    <w:name w:val="xl183"/>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709">
    <w:name w:val="xl184"/>
    <w:basedOn w:val="1"/>
    <w:qFormat/>
    <w:uiPriority w:val="0"/>
    <w:pPr>
      <w:pBdr>
        <w:left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710">
    <w:name w:val="xl185"/>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711">
    <w:name w:val="xl186"/>
    <w:basedOn w:val="1"/>
    <w:qFormat/>
    <w:uiPriority w:val="0"/>
    <w:pPr>
      <w:pBdr>
        <w:top w:val="single" w:color="auto" w:sz="4" w:space="0"/>
        <w:left w:val="single" w:color="auto" w:sz="4" w:space="0"/>
        <w:bottom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712">
    <w:name w:val="xl187"/>
    <w:basedOn w:val="1"/>
    <w:qFormat/>
    <w:uiPriority w:val="0"/>
    <w:pPr>
      <w:pBdr>
        <w:top w:val="single" w:color="auto" w:sz="4" w:space="0"/>
        <w:bottom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713">
    <w:name w:val="xl188"/>
    <w:basedOn w:val="1"/>
    <w:qFormat/>
    <w:uiPriority w:val="0"/>
    <w:pPr>
      <w:pBdr>
        <w:top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714">
    <w:name w:val="xl189"/>
    <w:basedOn w:val="1"/>
    <w:qFormat/>
    <w:uiPriority w:val="0"/>
    <w:pPr>
      <w:pBdr>
        <w:top w:val="single" w:color="auto" w:sz="4" w:space="0"/>
        <w:left w:val="single" w:color="auto" w:sz="4" w:space="0"/>
        <w:bottom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715">
    <w:name w:val="xl190"/>
    <w:basedOn w:val="1"/>
    <w:qFormat/>
    <w:uiPriority w:val="0"/>
    <w:pPr>
      <w:pBdr>
        <w:top w:val="single" w:color="auto" w:sz="4" w:space="0"/>
        <w:bottom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716">
    <w:name w:val="xl191"/>
    <w:basedOn w:val="1"/>
    <w:qFormat/>
    <w:uiPriority w:val="0"/>
    <w:pPr>
      <w:pBdr>
        <w:top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717">
    <w:name w:val="xl192"/>
    <w:basedOn w:val="1"/>
    <w:qFormat/>
    <w:uiPriority w:val="0"/>
    <w:pPr>
      <w:pBdr>
        <w:top w:val="single" w:color="auto" w:sz="4" w:space="0"/>
        <w:left w:val="single" w:color="auto" w:sz="4" w:space="0"/>
        <w:bottom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718">
    <w:name w:val="xl193"/>
    <w:basedOn w:val="1"/>
    <w:qFormat/>
    <w:uiPriority w:val="0"/>
    <w:pPr>
      <w:pBdr>
        <w:top w:val="single" w:color="auto" w:sz="4" w:space="0"/>
        <w:bottom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719">
    <w:name w:val="xl194"/>
    <w:basedOn w:val="1"/>
    <w:qFormat/>
    <w:uiPriority w:val="0"/>
    <w:pPr>
      <w:pBdr>
        <w:top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b/>
      <w:bCs/>
      <w:sz w:val="20"/>
      <w:szCs w:val="20"/>
    </w:rPr>
  </w:style>
  <w:style w:type="paragraph" w:customStyle="1" w:styleId="720">
    <w:name w:val="xl195"/>
    <w:basedOn w:val="1"/>
    <w:qFormat/>
    <w:uiPriority w:val="0"/>
    <w:pPr>
      <w:pBdr>
        <w:top w:val="single" w:color="auto" w:sz="4" w:space="0"/>
        <w:left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721">
    <w:name w:val="xl196"/>
    <w:basedOn w:val="1"/>
    <w:qFormat/>
    <w:uiPriority w:val="0"/>
    <w:pPr>
      <w:pBdr>
        <w:left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722">
    <w:name w:val="xl197"/>
    <w:basedOn w:val="1"/>
    <w:qFormat/>
    <w:uiPriority w:val="0"/>
    <w:pPr>
      <w:pBdr>
        <w:left w:val="single" w:color="auto" w:sz="4" w:space="0"/>
        <w:bottom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723">
    <w:name w:val="xl198"/>
    <w:basedOn w:val="1"/>
    <w:qFormat/>
    <w:uiPriority w:val="0"/>
    <w:pPr>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724">
    <w:name w:val="xl199"/>
    <w:basedOn w:val="1"/>
    <w:qFormat/>
    <w:uiPriority w:val="0"/>
    <w:pPr>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right"/>
    </w:pPr>
    <w:rPr>
      <w:rFonts w:ascii="宋体" w:hAnsi="宋体" w:cs="宋体"/>
      <w:sz w:val="20"/>
      <w:szCs w:val="20"/>
    </w:rPr>
  </w:style>
  <w:style w:type="paragraph" w:customStyle="1" w:styleId="725">
    <w:name w:val="xl200"/>
    <w:basedOn w:val="1"/>
    <w:qFormat/>
    <w:uiPriority w:val="0"/>
    <w:pPr>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right"/>
    </w:pPr>
    <w:rPr>
      <w:rFonts w:ascii="宋体" w:hAnsi="宋体" w:cs="宋体"/>
      <w:b/>
      <w:bCs/>
      <w:sz w:val="20"/>
      <w:szCs w:val="20"/>
    </w:rPr>
  </w:style>
  <w:style w:type="paragraph" w:customStyle="1" w:styleId="726">
    <w:name w:val="xl201"/>
    <w:basedOn w:val="1"/>
    <w:qFormat/>
    <w:uiPriority w:val="0"/>
    <w:pPr>
      <w:shd w:val="clear" w:color="000000" w:fill="CCE8CF"/>
      <w:spacing w:before="100" w:beforeAutospacing="1" w:after="100" w:afterAutospacing="1"/>
      <w:jc w:val="right"/>
    </w:pPr>
    <w:rPr>
      <w:rFonts w:ascii="宋体" w:hAnsi="宋体" w:cs="宋体"/>
      <w:sz w:val="20"/>
      <w:szCs w:val="20"/>
    </w:rPr>
  </w:style>
  <w:style w:type="paragraph" w:customStyle="1" w:styleId="727">
    <w:name w:val="xl202"/>
    <w:basedOn w:val="1"/>
    <w:qFormat/>
    <w:uiPriority w:val="0"/>
    <w:pPr>
      <w:pBdr>
        <w:top w:val="single" w:color="auto" w:sz="4" w:space="0"/>
        <w:left w:val="single" w:color="auto" w:sz="4" w:space="0"/>
        <w:bottom w:val="single" w:color="auto" w:sz="4" w:space="0"/>
      </w:pBdr>
      <w:shd w:val="clear" w:color="000000" w:fill="CCE8CF"/>
      <w:spacing w:before="100" w:beforeAutospacing="1" w:after="100" w:afterAutospacing="1"/>
    </w:pPr>
    <w:rPr>
      <w:rFonts w:ascii="宋体" w:hAnsi="宋体" w:cs="宋体"/>
      <w:b/>
      <w:bCs/>
      <w:sz w:val="20"/>
      <w:szCs w:val="20"/>
    </w:rPr>
  </w:style>
  <w:style w:type="paragraph" w:customStyle="1" w:styleId="728">
    <w:name w:val="xl203"/>
    <w:basedOn w:val="1"/>
    <w:qFormat/>
    <w:uiPriority w:val="0"/>
    <w:pPr>
      <w:pBdr>
        <w:top w:val="single" w:color="auto" w:sz="4" w:space="0"/>
        <w:bottom w:val="single" w:color="auto" w:sz="4" w:space="0"/>
      </w:pBdr>
      <w:shd w:val="clear" w:color="000000" w:fill="CCE8CF"/>
      <w:spacing w:before="100" w:beforeAutospacing="1" w:after="100" w:afterAutospacing="1"/>
    </w:pPr>
    <w:rPr>
      <w:rFonts w:ascii="宋体" w:hAnsi="宋体" w:cs="宋体"/>
      <w:b/>
      <w:bCs/>
      <w:sz w:val="20"/>
      <w:szCs w:val="20"/>
    </w:rPr>
  </w:style>
  <w:style w:type="paragraph" w:customStyle="1" w:styleId="729">
    <w:name w:val="xl204"/>
    <w:basedOn w:val="1"/>
    <w:qFormat/>
    <w:uiPriority w:val="0"/>
    <w:pPr>
      <w:pBdr>
        <w:top w:val="single" w:color="auto" w:sz="4" w:space="0"/>
        <w:bottom w:val="single" w:color="auto" w:sz="4" w:space="0"/>
        <w:right w:val="single" w:color="auto" w:sz="4" w:space="0"/>
      </w:pBdr>
      <w:shd w:val="clear" w:color="000000" w:fill="CCE8CF"/>
      <w:spacing w:before="100" w:beforeAutospacing="1" w:after="100" w:afterAutospacing="1"/>
    </w:pPr>
    <w:rPr>
      <w:rFonts w:ascii="宋体" w:hAnsi="宋体" w:cs="宋体"/>
      <w:b/>
      <w:bCs/>
      <w:sz w:val="20"/>
      <w:szCs w:val="20"/>
    </w:rPr>
  </w:style>
  <w:style w:type="paragraph" w:customStyle="1" w:styleId="730">
    <w:name w:val="xl205"/>
    <w:basedOn w:val="1"/>
    <w:qFormat/>
    <w:uiPriority w:val="0"/>
    <w:pPr>
      <w:pBdr>
        <w:top w:val="single" w:color="auto" w:sz="4" w:space="0"/>
        <w:left w:val="single" w:color="auto" w:sz="4" w:space="0"/>
        <w:bottom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731">
    <w:name w:val="xl206"/>
    <w:basedOn w:val="1"/>
    <w:qFormat/>
    <w:uiPriority w:val="0"/>
    <w:pPr>
      <w:pBdr>
        <w:top w:val="single" w:color="auto" w:sz="4" w:space="0"/>
        <w:bottom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732">
    <w:name w:val="xl207"/>
    <w:basedOn w:val="1"/>
    <w:qFormat/>
    <w:uiPriority w:val="0"/>
    <w:pPr>
      <w:pBdr>
        <w:top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sz w:val="20"/>
      <w:szCs w:val="20"/>
    </w:rPr>
  </w:style>
  <w:style w:type="paragraph" w:customStyle="1" w:styleId="733">
    <w:name w:val="xl208"/>
    <w:basedOn w:val="1"/>
    <w:qFormat/>
    <w:uiPriority w:val="0"/>
    <w:pPr>
      <w:pBdr>
        <w:top w:val="single" w:color="auto" w:sz="4" w:space="0"/>
        <w:bottom w:val="single" w:color="auto" w:sz="4" w:space="0"/>
      </w:pBdr>
      <w:shd w:val="clear" w:color="000000" w:fill="CCE8CF"/>
      <w:spacing w:before="100" w:beforeAutospacing="1" w:after="100" w:afterAutospacing="1"/>
    </w:pPr>
    <w:rPr>
      <w:rFonts w:ascii="宋体" w:hAnsi="宋体" w:cs="宋体"/>
      <w:b/>
      <w:bCs/>
      <w:sz w:val="20"/>
      <w:szCs w:val="20"/>
    </w:rPr>
  </w:style>
  <w:style w:type="character" w:customStyle="1" w:styleId="734">
    <w:name w:val="标题1 Char"/>
    <w:link w:val="652"/>
    <w:qFormat/>
    <w:uiPriority w:val="0"/>
    <w:rPr>
      <w:b/>
      <w:kern w:val="2"/>
      <w:sz w:val="32"/>
      <w:szCs w:val="32"/>
    </w:rPr>
  </w:style>
  <w:style w:type="character" w:customStyle="1" w:styleId="735">
    <w:name w:val="1Pic Char"/>
    <w:link w:val="379"/>
    <w:qFormat/>
    <w:uiPriority w:val="0"/>
    <w:rPr>
      <w:kern w:val="2"/>
      <w:sz w:val="24"/>
    </w:rPr>
  </w:style>
  <w:style w:type="character" w:customStyle="1" w:styleId="736">
    <w:name w:val="列出段落 字符"/>
    <w:qFormat/>
    <w:uiPriority w:val="34"/>
  </w:style>
  <w:style w:type="character" w:customStyle="1" w:styleId="737">
    <w:name w:val="题注 字符"/>
    <w:qFormat/>
    <w:locked/>
    <w:uiPriority w:val="0"/>
    <w:rPr>
      <w:rFonts w:ascii="Arial Unicode MS" w:hAnsi="Arial Unicode MS"/>
    </w:rPr>
  </w:style>
  <w:style w:type="character" w:customStyle="1" w:styleId="738">
    <w:name w:val="副标题 字符"/>
    <w:qFormat/>
    <w:uiPriority w:val="11"/>
    <w:rPr>
      <w:rFonts w:ascii="Cambria" w:hAnsi="Cambria" w:eastAsia="宋体" w:cs="Times New Roman"/>
      <w:i/>
      <w:iCs/>
      <w:color w:val="4F81BD"/>
      <w:spacing w:val="15"/>
      <w:sz w:val="24"/>
      <w:szCs w:val="24"/>
    </w:rPr>
  </w:style>
  <w:style w:type="character" w:customStyle="1" w:styleId="739">
    <w:name w:val="引用 字符"/>
    <w:qFormat/>
    <w:uiPriority w:val="29"/>
    <w:rPr>
      <w:rFonts w:ascii="Times New Roman" w:hAnsi="Times New Roman" w:eastAsia="宋体" w:cs="Times New Roman"/>
      <w:i/>
      <w:iCs/>
      <w:color w:val="000000"/>
      <w:sz w:val="24"/>
      <w:szCs w:val="21"/>
    </w:rPr>
  </w:style>
  <w:style w:type="character" w:customStyle="1" w:styleId="740">
    <w:name w:val="明显引用 字符"/>
    <w:qFormat/>
    <w:uiPriority w:val="30"/>
    <w:rPr>
      <w:rFonts w:ascii="Times New Roman" w:hAnsi="Times New Roman" w:eastAsia="宋体" w:cs="Times New Roman"/>
      <w:b/>
      <w:bCs/>
      <w:i/>
      <w:iCs/>
      <w:color w:val="4F81BD"/>
      <w:sz w:val="24"/>
      <w:szCs w:val="21"/>
    </w:rPr>
  </w:style>
  <w:style w:type="character" w:customStyle="1" w:styleId="741">
    <w:name w:val="正文首行缩进 2 字符"/>
    <w:qFormat/>
    <w:uiPriority w:val="99"/>
    <w:rPr>
      <w:rFonts w:ascii="Times New Roman" w:hAnsi="Times New Roman" w:eastAsia="宋体" w:cs="Times New Roman"/>
      <w:sz w:val="24"/>
      <w:szCs w:val="20"/>
    </w:rPr>
  </w:style>
  <w:style w:type="character" w:customStyle="1" w:styleId="742">
    <w:name w:val="无间隔 字符"/>
    <w:qFormat/>
    <w:uiPriority w:val="0"/>
    <w:rPr>
      <w:rFonts w:ascii="Times New Roman" w:hAnsi="Times New Roman"/>
      <w:kern w:val="2"/>
      <w:sz w:val="21"/>
      <w:szCs w:val="22"/>
      <w:lang w:val="en-US" w:eastAsia="zh-CN" w:bidi="ar-SA"/>
    </w:rPr>
  </w:style>
  <w:style w:type="character" w:customStyle="1" w:styleId="743">
    <w:name w:val="尾注文本 字符"/>
    <w:qFormat/>
    <w:uiPriority w:val="0"/>
    <w:rPr>
      <w:rFonts w:ascii="Times New Roman" w:hAnsi="Times New Roman" w:eastAsia="仿宋_GB2312"/>
      <w:kern w:val="2"/>
      <w:sz w:val="21"/>
      <w:szCs w:val="24"/>
    </w:rPr>
  </w:style>
  <w:style w:type="character" w:customStyle="1" w:styleId="744">
    <w:name w:val="标书样式 Char"/>
    <w:link w:val="745"/>
    <w:qFormat/>
    <w:uiPriority w:val="0"/>
    <w:rPr>
      <w:rFonts w:eastAsia="仿宋_GB2312"/>
      <w:sz w:val="24"/>
      <w:szCs w:val="24"/>
    </w:rPr>
  </w:style>
  <w:style w:type="paragraph" w:customStyle="1" w:styleId="745">
    <w:name w:val="标书样式"/>
    <w:basedOn w:val="1"/>
    <w:link w:val="744"/>
    <w:qFormat/>
    <w:uiPriority w:val="0"/>
    <w:pPr>
      <w:widowControl w:val="0"/>
      <w:spacing w:line="360" w:lineRule="auto"/>
      <w:ind w:firstLine="480" w:firstLineChars="200"/>
      <w:jc w:val="both"/>
    </w:pPr>
    <w:rPr>
      <w:rFonts w:eastAsia="仿宋_GB2312"/>
    </w:rPr>
  </w:style>
  <w:style w:type="paragraph" w:customStyle="1" w:styleId="746">
    <w:name w:val="正文首缩两字"/>
    <w:basedOn w:val="1"/>
    <w:qFormat/>
    <w:uiPriority w:val="0"/>
    <w:pPr>
      <w:widowControl w:val="0"/>
      <w:adjustRightInd w:val="0"/>
      <w:spacing w:line="360" w:lineRule="auto"/>
      <w:ind w:firstLine="482" w:firstLineChars="200"/>
      <w:jc w:val="both"/>
      <w:textAlignment w:val="baseline"/>
    </w:pPr>
  </w:style>
  <w:style w:type="paragraph" w:customStyle="1" w:styleId="747">
    <w:name w:val="文档正文"/>
    <w:basedOn w:val="1"/>
    <w:qFormat/>
    <w:uiPriority w:val="0"/>
    <w:pPr>
      <w:widowControl w:val="0"/>
      <w:adjustRightInd w:val="0"/>
      <w:spacing w:line="312" w:lineRule="atLeast"/>
      <w:ind w:firstLine="567"/>
      <w:jc w:val="both"/>
      <w:textAlignment w:val="baseline"/>
    </w:pPr>
    <w:rPr>
      <w:rFonts w:ascii="长城仿宋" w:eastAsia="长城仿宋"/>
      <w:sz w:val="28"/>
      <w:szCs w:val="20"/>
    </w:rPr>
  </w:style>
  <w:style w:type="character" w:customStyle="1" w:styleId="748">
    <w:name w:val="样式 正文 +"/>
    <w:qFormat/>
    <w:uiPriority w:val="0"/>
    <w:rPr>
      <w:rFonts w:eastAsia="宋体"/>
      <w:color w:val="auto"/>
      <w:kern w:val="0"/>
      <w:sz w:val="24"/>
      <w:u w:val="none"/>
      <w:vertAlign w:val="baseline"/>
    </w:rPr>
  </w:style>
  <w:style w:type="character" w:customStyle="1" w:styleId="749">
    <w:name w:val="正文首行缩进 Char1"/>
    <w:qFormat/>
    <w:uiPriority w:val="0"/>
    <w:rPr>
      <w:sz w:val="24"/>
      <w:szCs w:val="20"/>
    </w:rPr>
  </w:style>
  <w:style w:type="character" w:customStyle="1" w:styleId="750">
    <w:name w:val="称呼 Char1"/>
    <w:qFormat/>
    <w:uiPriority w:val="0"/>
    <w:rPr>
      <w:rFonts w:ascii="Times New Roman" w:hAnsi="Times New Roman"/>
      <w:sz w:val="24"/>
    </w:rPr>
  </w:style>
  <w:style w:type="character" w:customStyle="1" w:styleId="751">
    <w:name w:val="正文文本缩进 2 Char1"/>
    <w:qFormat/>
    <w:uiPriority w:val="0"/>
    <w:rPr>
      <w:rFonts w:ascii="Times New Roman" w:hAnsi="Times New Roman"/>
      <w:sz w:val="24"/>
    </w:rPr>
  </w:style>
  <w:style w:type="character" w:customStyle="1" w:styleId="752">
    <w:name w:val="正文文本 Char2"/>
    <w:qFormat/>
    <w:uiPriority w:val="0"/>
  </w:style>
  <w:style w:type="character" w:customStyle="1" w:styleId="753">
    <w:name w:val="脚注文本 Char1"/>
    <w:qFormat/>
    <w:uiPriority w:val="99"/>
    <w:rPr>
      <w:rFonts w:ascii="Times New Roman" w:hAnsi="Times New Roman" w:eastAsia="宋体" w:cs="Times New Roman"/>
      <w:sz w:val="18"/>
      <w:szCs w:val="18"/>
    </w:rPr>
  </w:style>
  <w:style w:type="character" w:customStyle="1" w:styleId="754">
    <w:name w:val="正文文本 2 Char1"/>
    <w:qFormat/>
    <w:uiPriority w:val="0"/>
    <w:rPr>
      <w:rFonts w:ascii="Times New Roman" w:hAnsi="Times New Roman"/>
      <w:sz w:val="24"/>
    </w:rPr>
  </w:style>
  <w:style w:type="character" w:customStyle="1" w:styleId="755">
    <w:name w:val="标题 Char1"/>
    <w:qFormat/>
    <w:uiPriority w:val="0"/>
    <w:rPr>
      <w:rFonts w:ascii="Cambria" w:hAnsi="Cambria" w:eastAsia="黑体" w:cs="Times New Roman"/>
      <w:b/>
      <w:bCs/>
      <w:sz w:val="24"/>
      <w:szCs w:val="32"/>
    </w:rPr>
  </w:style>
  <w:style w:type="character" w:customStyle="1" w:styleId="756">
    <w:name w:val="正文文本缩进 3 Char1"/>
    <w:qFormat/>
    <w:uiPriority w:val="0"/>
    <w:rPr>
      <w:rFonts w:ascii="Times New Roman" w:hAnsi="Times New Roman"/>
      <w:sz w:val="16"/>
      <w:szCs w:val="16"/>
    </w:rPr>
  </w:style>
  <w:style w:type="character" w:customStyle="1" w:styleId="757">
    <w:name w:val="标题 9 Char1"/>
    <w:qFormat/>
    <w:uiPriority w:val="0"/>
    <w:rPr>
      <w:rFonts w:ascii="Cambria" w:hAnsi="Cambria" w:eastAsia="宋体" w:cs="Times New Roman"/>
      <w:szCs w:val="21"/>
    </w:rPr>
  </w:style>
  <w:style w:type="character" w:customStyle="1" w:styleId="758">
    <w:name w:val="标题 7 Char1"/>
    <w:qFormat/>
    <w:uiPriority w:val="0"/>
    <w:rPr>
      <w:rFonts w:ascii="Calibri" w:hAnsi="Calibri" w:eastAsia="宋体" w:cs="Times New Roman"/>
      <w:b/>
      <w:bCs/>
      <w:sz w:val="24"/>
      <w:szCs w:val="24"/>
    </w:rPr>
  </w:style>
  <w:style w:type="character" w:customStyle="1" w:styleId="759">
    <w:name w:val="标题 8 Char1"/>
    <w:qFormat/>
    <w:uiPriority w:val="0"/>
    <w:rPr>
      <w:rFonts w:ascii="Cambria" w:hAnsi="Cambria" w:eastAsia="宋体" w:cs="Times New Roman"/>
      <w:sz w:val="24"/>
      <w:szCs w:val="24"/>
    </w:rPr>
  </w:style>
  <w:style w:type="paragraph" w:customStyle="1" w:styleId="760">
    <w:name w:val="1w"/>
    <w:basedOn w:val="1"/>
    <w:link w:val="761"/>
    <w:qFormat/>
    <w:uiPriority w:val="0"/>
    <w:pPr>
      <w:widowControl w:val="0"/>
      <w:spacing w:beforeLines="50" w:afterLines="50" w:line="360" w:lineRule="auto"/>
      <w:ind w:firstLine="200" w:firstLineChars="200"/>
      <w:jc w:val="both"/>
    </w:pPr>
    <w:rPr>
      <w:rFonts w:ascii="宋体" w:hAnsi="宋体"/>
      <w:kern w:val="2"/>
    </w:rPr>
  </w:style>
  <w:style w:type="character" w:customStyle="1" w:styleId="761">
    <w:name w:val="1w Char"/>
    <w:link w:val="760"/>
    <w:qFormat/>
    <w:uiPriority w:val="0"/>
    <w:rPr>
      <w:rFonts w:ascii="宋体" w:hAnsi="宋体"/>
      <w:kern w:val="2"/>
      <w:sz w:val="24"/>
      <w:szCs w:val="24"/>
    </w:rPr>
  </w:style>
  <w:style w:type="paragraph" w:customStyle="1" w:styleId="762">
    <w:name w:val="pic"/>
    <w:basedOn w:val="1"/>
    <w:link w:val="763"/>
    <w:qFormat/>
    <w:uiPriority w:val="0"/>
    <w:pPr>
      <w:spacing w:line="360" w:lineRule="auto"/>
    </w:pPr>
    <w:rPr>
      <w:rFonts w:asciiTheme="majorEastAsia" w:hAnsiTheme="majorHAnsi" w:eastAsiaTheme="majorEastAsia" w:cstheme="majorBidi"/>
      <w:bCs/>
      <w:kern w:val="2"/>
      <w:szCs w:val="32"/>
    </w:rPr>
  </w:style>
  <w:style w:type="character" w:customStyle="1" w:styleId="763">
    <w:name w:val="pic Char"/>
    <w:basedOn w:val="65"/>
    <w:link w:val="762"/>
    <w:qFormat/>
    <w:uiPriority w:val="0"/>
    <w:rPr>
      <w:rFonts w:asciiTheme="majorEastAsia" w:hAnsiTheme="majorHAnsi" w:eastAsiaTheme="majorEastAsia" w:cstheme="majorBidi"/>
      <w:bCs/>
      <w:kern w:val="2"/>
      <w:sz w:val="24"/>
      <w:szCs w:val="32"/>
    </w:rPr>
  </w:style>
  <w:style w:type="paragraph" w:customStyle="1" w:styleId="764">
    <w:name w:val="节标题"/>
    <w:basedOn w:val="1"/>
    <w:next w:val="1"/>
    <w:qFormat/>
    <w:uiPriority w:val="0"/>
    <w:pPr>
      <w:spacing w:line="289" w:lineRule="atLeast"/>
      <w:jc w:val="center"/>
      <w:textAlignment w:val="baseline"/>
    </w:pPr>
    <w:rPr>
      <w:color w:val="000000"/>
      <w:sz w:val="28"/>
      <w:szCs w:val="20"/>
      <w:u w:color="000000"/>
    </w:rPr>
  </w:style>
  <w:style w:type="paragraph" w:customStyle="1" w:styleId="765">
    <w:name w:val="图片"/>
    <w:basedOn w:val="1"/>
    <w:link w:val="766"/>
    <w:qFormat/>
    <w:uiPriority w:val="0"/>
    <w:pPr>
      <w:widowControl w:val="0"/>
      <w:adjustRightInd w:val="0"/>
      <w:snapToGrid w:val="0"/>
      <w:spacing w:line="360" w:lineRule="auto"/>
      <w:jc w:val="center"/>
    </w:pPr>
    <w:rPr>
      <w:rFonts w:cstheme="minorBidi"/>
      <w:snapToGrid w:val="0"/>
    </w:rPr>
  </w:style>
  <w:style w:type="character" w:customStyle="1" w:styleId="766">
    <w:name w:val="图片 Char"/>
    <w:basedOn w:val="65"/>
    <w:link w:val="765"/>
    <w:qFormat/>
    <w:uiPriority w:val="0"/>
    <w:rPr>
      <w:rFonts w:cstheme="minorBidi"/>
      <w:snapToGrid w:val="0"/>
      <w:sz w:val="24"/>
      <w:szCs w:val="24"/>
    </w:rPr>
  </w:style>
  <w:style w:type="paragraph" w:customStyle="1" w:styleId="767">
    <w:name w:val="font20"/>
    <w:basedOn w:val="1"/>
    <w:qFormat/>
    <w:uiPriority w:val="0"/>
    <w:pPr>
      <w:spacing w:before="100" w:beforeAutospacing="1" w:after="100" w:afterAutospacing="1"/>
    </w:pPr>
    <w:rPr>
      <w:rFonts w:ascii="宋体" w:hAnsi="宋体" w:cs="宋体"/>
      <w:sz w:val="18"/>
      <w:szCs w:val="18"/>
    </w:rPr>
  </w:style>
  <w:style w:type="paragraph" w:customStyle="1" w:styleId="768">
    <w:name w:val="font21"/>
    <w:basedOn w:val="1"/>
    <w:qFormat/>
    <w:uiPriority w:val="0"/>
    <w:pPr>
      <w:spacing w:before="100" w:beforeAutospacing="1" w:after="100" w:afterAutospacing="1"/>
    </w:pPr>
    <w:rPr>
      <w:rFonts w:ascii="宋体" w:hAnsi="宋体" w:cs="宋体"/>
      <w:color w:val="000000"/>
      <w:sz w:val="20"/>
      <w:szCs w:val="20"/>
    </w:rPr>
  </w:style>
  <w:style w:type="paragraph" w:customStyle="1" w:styleId="769">
    <w:name w:val="font22"/>
    <w:basedOn w:val="1"/>
    <w:qFormat/>
    <w:uiPriority w:val="0"/>
    <w:pPr>
      <w:spacing w:before="100" w:beforeAutospacing="1" w:after="100" w:afterAutospacing="1"/>
    </w:pPr>
    <w:rPr>
      <w:rFonts w:ascii="宋体" w:hAnsi="宋体" w:cs="宋体"/>
      <w:color w:val="000000"/>
      <w:sz w:val="20"/>
      <w:szCs w:val="20"/>
    </w:rPr>
  </w:style>
  <w:style w:type="paragraph" w:customStyle="1" w:styleId="770">
    <w:name w:val="font23"/>
    <w:basedOn w:val="1"/>
    <w:qFormat/>
    <w:uiPriority w:val="0"/>
    <w:pPr>
      <w:spacing w:before="100" w:beforeAutospacing="1" w:after="100" w:afterAutospacing="1"/>
    </w:pPr>
    <w:rPr>
      <w:rFonts w:ascii="宋体" w:hAnsi="宋体" w:cs="宋体"/>
      <w:color w:val="000000"/>
      <w:sz w:val="20"/>
      <w:szCs w:val="20"/>
    </w:rPr>
  </w:style>
  <w:style w:type="paragraph" w:customStyle="1" w:styleId="771">
    <w:name w:val="font24"/>
    <w:basedOn w:val="1"/>
    <w:qFormat/>
    <w:uiPriority w:val="0"/>
    <w:pPr>
      <w:spacing w:before="100" w:beforeAutospacing="1" w:after="100" w:afterAutospacing="1"/>
    </w:pPr>
    <w:rPr>
      <w:rFonts w:ascii="Calibri" w:hAnsi="Calibri" w:cs="Calibri"/>
      <w:color w:val="000000"/>
      <w:sz w:val="21"/>
      <w:szCs w:val="21"/>
    </w:rPr>
  </w:style>
  <w:style w:type="paragraph" w:customStyle="1" w:styleId="772">
    <w:name w:val="font25"/>
    <w:basedOn w:val="1"/>
    <w:qFormat/>
    <w:uiPriority w:val="0"/>
    <w:pPr>
      <w:spacing w:before="100" w:beforeAutospacing="1" w:after="100" w:afterAutospacing="1"/>
    </w:pPr>
    <w:rPr>
      <w:rFonts w:ascii="宋体" w:hAnsi="宋体" w:cs="宋体"/>
      <w:color w:val="000000"/>
      <w:sz w:val="21"/>
      <w:szCs w:val="21"/>
    </w:rPr>
  </w:style>
  <w:style w:type="paragraph" w:customStyle="1" w:styleId="773">
    <w:name w:val="font26"/>
    <w:basedOn w:val="1"/>
    <w:qFormat/>
    <w:uiPriority w:val="0"/>
    <w:pPr>
      <w:spacing w:before="100" w:beforeAutospacing="1" w:after="100" w:afterAutospacing="1"/>
    </w:pPr>
    <w:rPr>
      <w:rFonts w:ascii="宋体" w:hAnsi="宋体" w:cs="宋体"/>
      <w:sz w:val="18"/>
      <w:szCs w:val="18"/>
    </w:rPr>
  </w:style>
  <w:style w:type="paragraph" w:customStyle="1" w:styleId="774">
    <w:name w:val="font27"/>
    <w:basedOn w:val="1"/>
    <w:qFormat/>
    <w:uiPriority w:val="0"/>
    <w:pPr>
      <w:spacing w:before="100" w:beforeAutospacing="1" w:after="100" w:afterAutospacing="1"/>
    </w:pPr>
    <w:rPr>
      <w:rFonts w:ascii="宋体" w:hAnsi="宋体" w:cs="宋体"/>
      <w:color w:val="000000"/>
      <w:sz w:val="20"/>
      <w:szCs w:val="20"/>
    </w:rPr>
  </w:style>
  <w:style w:type="paragraph" w:customStyle="1" w:styleId="775">
    <w:name w:val="font28"/>
    <w:basedOn w:val="1"/>
    <w:qFormat/>
    <w:uiPriority w:val="0"/>
    <w:pPr>
      <w:spacing w:before="100" w:beforeAutospacing="1" w:after="100" w:afterAutospacing="1"/>
    </w:pPr>
    <w:rPr>
      <w:rFonts w:ascii="宋体" w:hAnsi="宋体" w:cs="宋体"/>
      <w:color w:val="000000"/>
      <w:sz w:val="20"/>
      <w:szCs w:val="20"/>
    </w:rPr>
  </w:style>
  <w:style w:type="paragraph" w:customStyle="1" w:styleId="776">
    <w:name w:val="font29"/>
    <w:basedOn w:val="1"/>
    <w:qFormat/>
    <w:uiPriority w:val="0"/>
    <w:pPr>
      <w:spacing w:before="100" w:beforeAutospacing="1" w:after="100" w:afterAutospacing="1"/>
    </w:pPr>
    <w:rPr>
      <w:rFonts w:ascii="宋体" w:hAnsi="宋体" w:cs="宋体"/>
      <w:color w:val="000000"/>
      <w:sz w:val="21"/>
      <w:szCs w:val="21"/>
    </w:rPr>
  </w:style>
  <w:style w:type="paragraph" w:customStyle="1" w:styleId="777">
    <w:name w:val="font30"/>
    <w:basedOn w:val="1"/>
    <w:qFormat/>
    <w:uiPriority w:val="0"/>
    <w:pPr>
      <w:spacing w:before="100" w:beforeAutospacing="1" w:after="100" w:afterAutospacing="1"/>
    </w:pPr>
    <w:rPr>
      <w:rFonts w:ascii="宋体" w:hAnsi="宋体" w:cs="宋体"/>
      <w:color w:val="000000"/>
      <w:sz w:val="20"/>
      <w:szCs w:val="20"/>
    </w:rPr>
  </w:style>
  <w:style w:type="paragraph" w:customStyle="1" w:styleId="778">
    <w:name w:val="font31"/>
    <w:basedOn w:val="1"/>
    <w:qFormat/>
    <w:uiPriority w:val="0"/>
    <w:pPr>
      <w:spacing w:before="100" w:beforeAutospacing="1" w:after="100" w:afterAutospacing="1"/>
    </w:pPr>
    <w:rPr>
      <w:rFonts w:ascii="宋体" w:hAnsi="宋体" w:cs="宋体"/>
      <w:color w:val="000000"/>
      <w:sz w:val="20"/>
      <w:szCs w:val="20"/>
    </w:rPr>
  </w:style>
  <w:style w:type="paragraph" w:customStyle="1" w:styleId="779">
    <w:name w:val="font32"/>
    <w:basedOn w:val="1"/>
    <w:qFormat/>
    <w:uiPriority w:val="0"/>
    <w:pPr>
      <w:spacing w:before="100" w:beforeAutospacing="1" w:after="100" w:afterAutospacing="1"/>
    </w:pPr>
    <w:rPr>
      <w:rFonts w:ascii="宋体" w:hAnsi="宋体" w:cs="宋体"/>
      <w:sz w:val="18"/>
      <w:szCs w:val="18"/>
    </w:rPr>
  </w:style>
  <w:style w:type="character" w:customStyle="1" w:styleId="780">
    <w:name w:val="GW-正文 Char Char"/>
    <w:link w:val="781"/>
    <w:qFormat/>
    <w:uiPriority w:val="0"/>
    <w:rPr>
      <w:rFonts w:eastAsia="仿宋_GB2312"/>
      <w:sz w:val="24"/>
      <w:szCs w:val="24"/>
    </w:rPr>
  </w:style>
  <w:style w:type="paragraph" w:customStyle="1" w:styleId="781">
    <w:name w:val="GW-正文"/>
    <w:link w:val="780"/>
    <w:qFormat/>
    <w:uiPriority w:val="0"/>
    <w:pPr>
      <w:spacing w:line="300" w:lineRule="auto"/>
      <w:ind w:firstLine="200" w:firstLineChars="200"/>
    </w:pPr>
    <w:rPr>
      <w:rFonts w:ascii="Times New Roman" w:hAnsi="Times New Roman" w:eastAsia="仿宋_GB2312" w:cs="Times New Roman"/>
      <w:sz w:val="24"/>
      <w:szCs w:val="24"/>
      <w:lang w:val="en-US" w:eastAsia="zh-CN" w:bidi="ar-SA"/>
    </w:rPr>
  </w:style>
  <w:style w:type="character" w:customStyle="1" w:styleId="782">
    <w:name w:val="段 Char Char"/>
    <w:link w:val="503"/>
    <w:qFormat/>
    <w:uiPriority w:val="0"/>
    <w:rPr>
      <w:rFonts w:ascii="宋体"/>
      <w:sz w:val="21"/>
    </w:rPr>
  </w:style>
  <w:style w:type="character" w:customStyle="1" w:styleId="783">
    <w:name w:val="样式12 Char Char"/>
    <w:link w:val="784"/>
    <w:qFormat/>
    <w:uiPriority w:val="0"/>
  </w:style>
  <w:style w:type="paragraph" w:customStyle="1" w:styleId="784">
    <w:name w:val="样式12"/>
    <w:basedOn w:val="1"/>
    <w:link w:val="783"/>
    <w:qFormat/>
    <w:uiPriority w:val="0"/>
    <w:pPr>
      <w:widowControl w:val="0"/>
      <w:spacing w:before="151" w:after="151"/>
      <w:jc w:val="both"/>
    </w:pPr>
    <w:rPr>
      <w:sz w:val="20"/>
      <w:szCs w:val="20"/>
    </w:rPr>
  </w:style>
  <w:style w:type="character" w:customStyle="1" w:styleId="785">
    <w:name w:val="1正文缩进 Char Char"/>
    <w:qFormat/>
    <w:uiPriority w:val="0"/>
    <w:rPr>
      <w:rFonts w:ascii="Arial" w:hAnsi="Arial"/>
      <w:color w:val="0000FF"/>
      <w:sz w:val="24"/>
      <w:szCs w:val="24"/>
    </w:rPr>
  </w:style>
  <w:style w:type="character" w:customStyle="1" w:styleId="786">
    <w:name w:val="纯文本 Char2"/>
    <w:semiHidden/>
    <w:qFormat/>
    <w:uiPriority w:val="99"/>
    <w:rPr>
      <w:rFonts w:ascii="宋体" w:hAnsi="Courier New" w:eastAsia="宋体" w:cs="Courier New"/>
      <w:color w:val="000000"/>
      <w:szCs w:val="21"/>
    </w:rPr>
  </w:style>
  <w:style w:type="paragraph" w:customStyle="1" w:styleId="787">
    <w:name w:val="章标题"/>
    <w:next w:val="503"/>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788">
    <w:name w:val="正文文本缩进1"/>
    <w:basedOn w:val="1"/>
    <w:qFormat/>
    <w:uiPriority w:val="0"/>
    <w:pPr>
      <w:widowControl w:val="0"/>
      <w:spacing w:after="120" w:line="360" w:lineRule="auto"/>
      <w:ind w:left="420" w:leftChars="200" w:firstLine="480" w:firstLineChars="200"/>
    </w:pPr>
    <w:rPr>
      <w:rFonts w:ascii="Calibri" w:hAnsi="Calibri"/>
      <w:kern w:val="2"/>
      <w:sz w:val="21"/>
      <w:szCs w:val="22"/>
    </w:rPr>
  </w:style>
  <w:style w:type="paragraph" w:customStyle="1" w:styleId="789">
    <w:name w:val="TOC 标题11"/>
    <w:basedOn w:val="1"/>
    <w:next w:val="1"/>
    <w:qFormat/>
    <w:uiPriority w:val="0"/>
    <w:pPr>
      <w:keepNext/>
      <w:keepLines/>
      <w:spacing w:line="276" w:lineRule="auto"/>
      <w:ind w:left="900" w:hanging="420"/>
    </w:pPr>
    <w:rPr>
      <w:rFonts w:ascii="Cambria" w:hAnsi="Cambria"/>
      <w:b/>
      <w:color w:val="365F91"/>
      <w:sz w:val="28"/>
      <w:szCs w:val="28"/>
    </w:rPr>
  </w:style>
  <w:style w:type="paragraph" w:customStyle="1" w:styleId="790">
    <w:name w:val="样式 样式 样式 小四 行距: 1.5 倍行距 + 左侧:  6 字符 首行缩进:  2 字符 段后: 0.5 行 + 首行缩进..."/>
    <w:basedOn w:val="1"/>
    <w:qFormat/>
    <w:uiPriority w:val="0"/>
    <w:pPr>
      <w:widowControl w:val="0"/>
      <w:spacing w:afterLines="50" w:line="300" w:lineRule="auto"/>
      <w:ind w:left="600" w:leftChars="600" w:firstLine="200" w:firstLineChars="200"/>
      <w:jc w:val="both"/>
    </w:pPr>
    <w:rPr>
      <w:rFonts w:ascii="宋体" w:hAnsi="宋体"/>
      <w:color w:val="000000"/>
      <w:kern w:val="2"/>
      <w:szCs w:val="21"/>
    </w:rPr>
  </w:style>
  <w:style w:type="paragraph" w:customStyle="1" w:styleId="791">
    <w:name w:val="五级条标题"/>
    <w:basedOn w:val="1"/>
    <w:next w:val="503"/>
    <w:qFormat/>
    <w:uiPriority w:val="0"/>
    <w:pPr>
      <w:spacing w:beforeLines="50" w:afterLines="50"/>
      <w:jc w:val="both"/>
      <w:outlineLvl w:val="6"/>
    </w:pPr>
    <w:rPr>
      <w:rFonts w:ascii="黑体" w:eastAsia="黑体"/>
      <w:sz w:val="21"/>
      <w:szCs w:val="20"/>
    </w:rPr>
  </w:style>
  <w:style w:type="paragraph" w:customStyle="1" w:styleId="792">
    <w:name w:val="正文文本缩进 21"/>
    <w:basedOn w:val="1"/>
    <w:qFormat/>
    <w:uiPriority w:val="0"/>
    <w:pPr>
      <w:widowControl w:val="0"/>
      <w:spacing w:after="120" w:line="480" w:lineRule="auto"/>
      <w:ind w:left="420" w:leftChars="200" w:firstLine="480" w:firstLineChars="200"/>
    </w:pPr>
    <w:rPr>
      <w:kern w:val="2"/>
      <w:sz w:val="21"/>
      <w:szCs w:val="22"/>
    </w:rPr>
  </w:style>
  <w:style w:type="paragraph" w:customStyle="1" w:styleId="793">
    <w:name w:val="批注主题1"/>
    <w:basedOn w:val="1"/>
    <w:next w:val="22"/>
    <w:qFormat/>
    <w:uiPriority w:val="99"/>
    <w:pPr>
      <w:widowControl w:val="0"/>
    </w:pPr>
    <w:rPr>
      <w:b/>
      <w:bCs/>
      <w:kern w:val="2"/>
      <w:sz w:val="21"/>
    </w:rPr>
  </w:style>
  <w:style w:type="paragraph" w:customStyle="1" w:styleId="794">
    <w:name w:val="四级条标题"/>
    <w:basedOn w:val="1"/>
    <w:next w:val="503"/>
    <w:qFormat/>
    <w:uiPriority w:val="0"/>
    <w:pPr>
      <w:spacing w:beforeLines="50" w:afterLines="50"/>
      <w:jc w:val="both"/>
      <w:outlineLvl w:val="5"/>
    </w:pPr>
    <w:rPr>
      <w:rFonts w:ascii="黑体" w:eastAsia="黑体"/>
      <w:sz w:val="21"/>
      <w:szCs w:val="20"/>
    </w:rPr>
  </w:style>
  <w:style w:type="paragraph" w:customStyle="1" w:styleId="795">
    <w:name w:val="文档结构图1"/>
    <w:basedOn w:val="1"/>
    <w:qFormat/>
    <w:uiPriority w:val="0"/>
    <w:pPr>
      <w:widowControl w:val="0"/>
      <w:shd w:val="clear" w:color="auto" w:fill="000080"/>
      <w:spacing w:line="360" w:lineRule="auto"/>
      <w:ind w:firstLine="480" w:firstLineChars="200"/>
    </w:pPr>
    <w:rPr>
      <w:rFonts w:ascii="宋体" w:hAnsi="宋体"/>
      <w:color w:val="000000"/>
      <w:kern w:val="2"/>
    </w:rPr>
  </w:style>
  <w:style w:type="paragraph" w:customStyle="1" w:styleId="796">
    <w:name w:val="三级条标题"/>
    <w:basedOn w:val="1"/>
    <w:next w:val="503"/>
    <w:qFormat/>
    <w:uiPriority w:val="0"/>
    <w:pPr>
      <w:spacing w:beforeLines="50" w:afterLines="50"/>
      <w:jc w:val="both"/>
      <w:outlineLvl w:val="4"/>
    </w:pPr>
    <w:rPr>
      <w:rFonts w:ascii="黑体" w:eastAsia="黑体"/>
      <w:sz w:val="21"/>
      <w:szCs w:val="20"/>
    </w:rPr>
  </w:style>
  <w:style w:type="paragraph" w:customStyle="1" w:styleId="797">
    <w:name w:val="Cover"/>
    <w:basedOn w:val="1"/>
    <w:qFormat/>
    <w:uiPriority w:val="0"/>
    <w:pPr>
      <w:spacing w:before="40" w:after="40" w:line="240" w:lineRule="atLeast"/>
      <w:ind w:firstLine="210" w:firstLineChars="100"/>
    </w:pPr>
    <w:rPr>
      <w:rFonts w:ascii="Arial" w:hAnsi="Arial"/>
      <w:color w:val="000000"/>
      <w:kern w:val="20"/>
      <w:sz w:val="18"/>
      <w:lang w:eastAsia="en-US"/>
    </w:rPr>
  </w:style>
  <w:style w:type="paragraph" w:customStyle="1" w:styleId="798">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99">
    <w:name w:val="索引标题1"/>
    <w:basedOn w:val="1"/>
    <w:next w:val="800"/>
    <w:qFormat/>
    <w:uiPriority w:val="0"/>
    <w:pPr>
      <w:widowControl w:val="0"/>
      <w:spacing w:line="360" w:lineRule="auto"/>
      <w:ind w:firstLine="480" w:firstLineChars="200"/>
    </w:pPr>
    <w:rPr>
      <w:rFonts w:ascii="宋体" w:hAnsi="宋体"/>
      <w:color w:val="000000"/>
      <w:kern w:val="2"/>
    </w:rPr>
  </w:style>
  <w:style w:type="paragraph" w:customStyle="1" w:styleId="800">
    <w:name w:val="索引 11"/>
    <w:basedOn w:val="1"/>
    <w:next w:val="1"/>
    <w:qFormat/>
    <w:uiPriority w:val="0"/>
    <w:pPr>
      <w:widowControl w:val="0"/>
      <w:spacing w:line="360" w:lineRule="auto"/>
      <w:ind w:firstLine="480" w:firstLineChars="200"/>
    </w:pPr>
    <w:rPr>
      <w:rFonts w:ascii="宋体" w:hAnsi="宋体"/>
      <w:color w:val="000000"/>
      <w:kern w:val="2"/>
    </w:rPr>
  </w:style>
  <w:style w:type="paragraph" w:customStyle="1" w:styleId="801">
    <w:name w:val="纯文本1"/>
    <w:basedOn w:val="1"/>
    <w:qFormat/>
    <w:uiPriority w:val="0"/>
    <w:pPr>
      <w:widowControl w:val="0"/>
      <w:spacing w:line="360" w:lineRule="auto"/>
      <w:jc w:val="both"/>
    </w:pPr>
    <w:rPr>
      <w:rFonts w:ascii="宋体" w:hAnsi="Courier New"/>
      <w:kern w:val="2"/>
      <w:szCs w:val="22"/>
    </w:rPr>
  </w:style>
  <w:style w:type="paragraph" w:customStyle="1" w:styleId="802">
    <w:name w:val="二级条标题"/>
    <w:basedOn w:val="1"/>
    <w:next w:val="503"/>
    <w:qFormat/>
    <w:uiPriority w:val="0"/>
    <w:pPr>
      <w:spacing w:beforeLines="50" w:afterLines="50"/>
      <w:jc w:val="both"/>
      <w:outlineLvl w:val="3"/>
    </w:pPr>
    <w:rPr>
      <w:rFonts w:ascii="黑体" w:eastAsia="黑体"/>
      <w:sz w:val="21"/>
      <w:szCs w:val="20"/>
    </w:rPr>
  </w:style>
  <w:style w:type="paragraph" w:customStyle="1" w:styleId="803">
    <w:name w:val="一级条标题"/>
    <w:basedOn w:val="1"/>
    <w:next w:val="503"/>
    <w:qFormat/>
    <w:uiPriority w:val="0"/>
    <w:pPr>
      <w:spacing w:beforeLines="50" w:afterLines="50"/>
      <w:jc w:val="both"/>
      <w:outlineLvl w:val="2"/>
    </w:pPr>
    <w:rPr>
      <w:rFonts w:ascii="黑体" w:eastAsia="黑体"/>
      <w:sz w:val="21"/>
      <w:szCs w:val="20"/>
    </w:rPr>
  </w:style>
  <w:style w:type="paragraph" w:customStyle="1" w:styleId="804">
    <w:name w:val="样式13"/>
    <w:basedOn w:val="1"/>
    <w:qFormat/>
    <w:uiPriority w:val="0"/>
    <w:pPr>
      <w:widowControl w:val="0"/>
      <w:spacing w:before="151" w:after="151"/>
      <w:jc w:val="both"/>
    </w:pPr>
    <w:rPr>
      <w:rFonts w:ascii="宋体" w:hAnsi="宋体"/>
      <w:color w:val="000000"/>
      <w:kern w:val="2"/>
      <w:szCs w:val="28"/>
    </w:rPr>
  </w:style>
  <w:style w:type="paragraph" w:customStyle="1" w:styleId="805">
    <w:name w:val="缺省文本:1"/>
    <w:basedOn w:val="1"/>
    <w:qFormat/>
    <w:uiPriority w:val="0"/>
    <w:pPr>
      <w:widowControl w:val="0"/>
      <w:tabs>
        <w:tab w:val="right" w:leader="dot" w:pos="9000"/>
      </w:tabs>
      <w:autoSpaceDE w:val="0"/>
      <w:autoSpaceDN w:val="0"/>
      <w:adjustRightInd w:val="0"/>
      <w:ind w:right="12" w:rightChars="5"/>
      <w:jc w:val="both"/>
    </w:pPr>
    <w:rPr>
      <w:rFonts w:ascii="宋体" w:hAnsi="宋体"/>
      <w:color w:val="000000"/>
      <w:szCs w:val="20"/>
    </w:rPr>
  </w:style>
  <w:style w:type="paragraph" w:customStyle="1" w:styleId="806">
    <w:name w:val="一级列表"/>
    <w:basedOn w:val="1"/>
    <w:qFormat/>
    <w:uiPriority w:val="0"/>
    <w:pPr>
      <w:widowControl w:val="0"/>
      <w:numPr>
        <w:ilvl w:val="0"/>
        <w:numId w:val="41"/>
      </w:numPr>
      <w:spacing w:line="360" w:lineRule="auto"/>
      <w:ind w:firstLine="0"/>
      <w:jc w:val="both"/>
    </w:pPr>
    <w:rPr>
      <w:rFonts w:ascii="宋体" w:hAnsi="宋体"/>
      <w:color w:val="000000"/>
      <w:kern w:val="2"/>
      <w:szCs w:val="20"/>
    </w:rPr>
  </w:style>
  <w:style w:type="paragraph" w:customStyle="1" w:styleId="807">
    <w:name w:val="正文-1"/>
    <w:basedOn w:val="1"/>
    <w:link w:val="808"/>
    <w:qFormat/>
    <w:uiPriority w:val="0"/>
    <w:pPr>
      <w:widowControl w:val="0"/>
      <w:autoSpaceDE w:val="0"/>
      <w:autoSpaceDN w:val="0"/>
      <w:adjustRightInd w:val="0"/>
      <w:spacing w:line="360" w:lineRule="auto"/>
      <w:ind w:firstLine="420" w:firstLineChars="200"/>
    </w:pPr>
    <w:rPr>
      <w:rFonts w:ascii="宋体" w:hAnsi="宋体"/>
      <w:color w:val="000000"/>
      <w:szCs w:val="21"/>
    </w:rPr>
  </w:style>
  <w:style w:type="character" w:customStyle="1" w:styleId="808">
    <w:name w:val="正文-1 Char"/>
    <w:link w:val="807"/>
    <w:qFormat/>
    <w:uiPriority w:val="0"/>
    <w:rPr>
      <w:rFonts w:ascii="宋体" w:hAnsi="宋体"/>
      <w:color w:val="000000"/>
      <w:sz w:val="24"/>
      <w:szCs w:val="21"/>
    </w:rPr>
  </w:style>
  <w:style w:type="character" w:customStyle="1" w:styleId="809">
    <w:name w:val="Table Text Char"/>
    <w:link w:val="401"/>
    <w:qFormat/>
    <w:uiPriority w:val="0"/>
    <w:rPr>
      <w:sz w:val="24"/>
      <w:szCs w:val="24"/>
    </w:rPr>
  </w:style>
  <w:style w:type="paragraph" w:customStyle="1" w:styleId="810">
    <w:name w:val="Table Heading"/>
    <w:link w:val="811"/>
    <w:qFormat/>
    <w:uiPriority w:val="0"/>
    <w:pPr>
      <w:snapToGrid w:val="0"/>
      <w:jc w:val="center"/>
    </w:pPr>
    <w:rPr>
      <w:rFonts w:ascii="Arial" w:hAnsi="Arial" w:eastAsia="黑体" w:cs="Times New Roman"/>
      <w:sz w:val="21"/>
      <w:lang w:val="en-US" w:eastAsia="zh-CN" w:bidi="ar-SA"/>
    </w:rPr>
  </w:style>
  <w:style w:type="character" w:customStyle="1" w:styleId="811">
    <w:name w:val="Table Heading Char"/>
    <w:link w:val="810"/>
    <w:qFormat/>
    <w:uiPriority w:val="0"/>
    <w:rPr>
      <w:rFonts w:ascii="Arial" w:hAnsi="Arial" w:eastAsia="黑体"/>
      <w:sz w:val="21"/>
    </w:rPr>
  </w:style>
  <w:style w:type="character" w:customStyle="1" w:styleId="812">
    <w:name w:val="GW-正文 Char"/>
    <w:qFormat/>
    <w:uiPriority w:val="0"/>
    <w:rPr>
      <w:rFonts w:eastAsia="仿宋_GB2312"/>
      <w:kern w:val="2"/>
      <w:sz w:val="24"/>
      <w:szCs w:val="24"/>
    </w:rPr>
  </w:style>
  <w:style w:type="paragraph" w:customStyle="1" w:styleId="813">
    <w:name w:val="GW-标题1"/>
    <w:basedOn w:val="1"/>
    <w:next w:val="1"/>
    <w:qFormat/>
    <w:uiPriority w:val="0"/>
    <w:pPr>
      <w:keepNext/>
      <w:keepLines/>
      <w:widowControl w:val="0"/>
      <w:spacing w:beforeLines="100" w:afterLines="100" w:line="360" w:lineRule="auto"/>
      <w:ind w:left="900" w:hanging="420"/>
      <w:jc w:val="both"/>
      <w:outlineLvl w:val="0"/>
    </w:pPr>
    <w:rPr>
      <w:rFonts w:ascii="Calibri" w:hAnsi="Calibri" w:eastAsia="仿宋_GB2312"/>
      <w:b/>
      <w:bCs/>
      <w:kern w:val="44"/>
      <w:sz w:val="44"/>
      <w:szCs w:val="44"/>
    </w:rPr>
  </w:style>
  <w:style w:type="paragraph" w:customStyle="1" w:styleId="814">
    <w:name w:val="GW-标题2"/>
    <w:basedOn w:val="813"/>
    <w:next w:val="1"/>
    <w:link w:val="827"/>
    <w:qFormat/>
    <w:uiPriority w:val="0"/>
    <w:pPr>
      <w:spacing w:before="312" w:after="312"/>
      <w:outlineLvl w:val="1"/>
    </w:pPr>
    <w:rPr>
      <w:rFonts w:eastAsia="宋体"/>
      <w:sz w:val="24"/>
    </w:rPr>
  </w:style>
  <w:style w:type="paragraph" w:customStyle="1" w:styleId="815">
    <w:name w:val="GW-标题3"/>
    <w:basedOn w:val="814"/>
    <w:next w:val="1"/>
    <w:link w:val="822"/>
    <w:qFormat/>
    <w:uiPriority w:val="0"/>
    <w:pPr>
      <w:spacing w:beforeLines="50" w:afterLines="50"/>
      <w:ind w:left="720" w:hanging="720"/>
      <w:outlineLvl w:val="2"/>
    </w:pPr>
    <w:rPr>
      <w:rFonts w:ascii="仿宋_GB2312"/>
      <w:sz w:val="32"/>
      <w:szCs w:val="24"/>
    </w:rPr>
  </w:style>
  <w:style w:type="paragraph" w:customStyle="1" w:styleId="816">
    <w:name w:val="GW-标题4"/>
    <w:basedOn w:val="815"/>
    <w:next w:val="1"/>
    <w:link w:val="823"/>
    <w:qFormat/>
    <w:uiPriority w:val="0"/>
    <w:pPr>
      <w:spacing w:before="156" w:after="156"/>
      <w:outlineLvl w:val="3"/>
    </w:pPr>
    <w:rPr>
      <w:sz w:val="30"/>
    </w:rPr>
  </w:style>
  <w:style w:type="paragraph" w:customStyle="1" w:styleId="817">
    <w:name w:val="GW-标题5"/>
    <w:basedOn w:val="816"/>
    <w:next w:val="1"/>
    <w:qFormat/>
    <w:uiPriority w:val="0"/>
    <w:pPr>
      <w:outlineLvl w:val="4"/>
    </w:pPr>
    <w:rPr>
      <w:sz w:val="28"/>
    </w:rPr>
  </w:style>
  <w:style w:type="paragraph" w:customStyle="1" w:styleId="818">
    <w:name w:val="GW-标题6"/>
    <w:basedOn w:val="817"/>
    <w:next w:val="1"/>
    <w:qFormat/>
    <w:uiPriority w:val="0"/>
    <w:pPr>
      <w:outlineLvl w:val="5"/>
    </w:pPr>
    <w:rPr>
      <w:sz w:val="24"/>
    </w:rPr>
  </w:style>
  <w:style w:type="paragraph" w:customStyle="1" w:styleId="819">
    <w:name w:val="GW-标题7"/>
    <w:basedOn w:val="818"/>
    <w:next w:val="1"/>
    <w:qFormat/>
    <w:uiPriority w:val="0"/>
    <w:pPr>
      <w:tabs>
        <w:tab w:val="left" w:pos="360"/>
        <w:tab w:val="left" w:pos="3000"/>
        <w:tab w:val="left" w:pos="3420"/>
      </w:tabs>
      <w:ind w:left="3420"/>
      <w:outlineLvl w:val="6"/>
    </w:pPr>
    <w:rPr>
      <w:sz w:val="21"/>
    </w:rPr>
  </w:style>
  <w:style w:type="paragraph" w:customStyle="1" w:styleId="820">
    <w:name w:val="GW-标题8"/>
    <w:basedOn w:val="819"/>
    <w:qFormat/>
    <w:uiPriority w:val="0"/>
    <w:pPr>
      <w:tabs>
        <w:tab w:val="left" w:pos="3840"/>
      </w:tabs>
      <w:ind w:left="3840"/>
    </w:pPr>
    <w:rPr>
      <w:b w:val="0"/>
    </w:rPr>
  </w:style>
  <w:style w:type="paragraph" w:customStyle="1" w:styleId="821">
    <w:name w:val="GW-标题9"/>
    <w:basedOn w:val="820"/>
    <w:qFormat/>
    <w:uiPriority w:val="0"/>
    <w:pPr>
      <w:tabs>
        <w:tab w:val="left" w:pos="4260"/>
      </w:tabs>
      <w:ind w:left="4260"/>
    </w:pPr>
  </w:style>
  <w:style w:type="character" w:customStyle="1" w:styleId="822">
    <w:name w:val="GW-标题3 Char"/>
    <w:link w:val="815"/>
    <w:qFormat/>
    <w:uiPriority w:val="0"/>
    <w:rPr>
      <w:rFonts w:ascii="仿宋_GB2312" w:hAnsi="Calibri"/>
      <w:b/>
      <w:bCs/>
      <w:kern w:val="44"/>
      <w:sz w:val="32"/>
      <w:szCs w:val="24"/>
    </w:rPr>
  </w:style>
  <w:style w:type="character" w:customStyle="1" w:styleId="823">
    <w:name w:val="GW-标题4 Char"/>
    <w:link w:val="816"/>
    <w:qFormat/>
    <w:uiPriority w:val="0"/>
    <w:rPr>
      <w:rFonts w:ascii="仿宋_GB2312" w:hAnsi="Calibri"/>
      <w:b/>
      <w:bCs/>
      <w:kern w:val="44"/>
      <w:sz w:val="30"/>
      <w:szCs w:val="24"/>
    </w:rPr>
  </w:style>
  <w:style w:type="paragraph" w:customStyle="1" w:styleId="824">
    <w:name w:val="Notes Text List in Table"/>
    <w:qFormat/>
    <w:uiPriority w:val="0"/>
    <w:pPr>
      <w:numPr>
        <w:ilvl w:val="0"/>
        <w:numId w:val="42"/>
      </w:numPr>
      <w:spacing w:before="40" w:after="80" w:line="200" w:lineRule="atLeast"/>
      <w:jc w:val="both"/>
    </w:pPr>
    <w:rPr>
      <w:rFonts w:ascii="Times New Roman" w:hAnsi="Times New Roman" w:eastAsia="楷体_GB2312" w:cs="楷体_GB2312"/>
      <w:sz w:val="18"/>
      <w:szCs w:val="18"/>
      <w:lang w:val="en-US" w:eastAsia="zh-CN" w:bidi="ar-SA"/>
    </w:rPr>
  </w:style>
  <w:style w:type="paragraph" w:customStyle="1" w:styleId="825">
    <w:name w:val="Item List"/>
    <w:link w:val="826"/>
    <w:qFormat/>
    <w:uiPriority w:val="0"/>
    <w:pPr>
      <w:numPr>
        <w:ilvl w:val="0"/>
        <w:numId w:val="43"/>
      </w:numPr>
      <w:adjustRightInd w:val="0"/>
      <w:snapToGrid w:val="0"/>
      <w:spacing w:before="80" w:after="80" w:line="360" w:lineRule="auto"/>
      <w:ind w:left="0" w:firstLine="480"/>
    </w:pPr>
    <w:rPr>
      <w:rFonts w:ascii="Arial" w:hAnsi="Times New Roman" w:eastAsia="宋体" w:cs="Times New Roman"/>
      <w:b/>
      <w:bCs/>
      <w:sz w:val="24"/>
      <w:szCs w:val="24"/>
      <w:lang w:val="en-US" w:eastAsia="zh-CN" w:bidi="ar-SA"/>
    </w:rPr>
  </w:style>
  <w:style w:type="character" w:customStyle="1" w:styleId="826">
    <w:name w:val="Item List Char"/>
    <w:link w:val="825"/>
    <w:qFormat/>
    <w:uiPriority w:val="0"/>
    <w:rPr>
      <w:rFonts w:ascii="Arial"/>
      <w:b/>
      <w:bCs/>
      <w:sz w:val="24"/>
      <w:szCs w:val="24"/>
    </w:rPr>
  </w:style>
  <w:style w:type="character" w:customStyle="1" w:styleId="827">
    <w:name w:val="GW-标题2 Char"/>
    <w:link w:val="814"/>
    <w:qFormat/>
    <w:uiPriority w:val="0"/>
    <w:rPr>
      <w:rFonts w:ascii="Calibri" w:hAnsi="Calibri"/>
      <w:b/>
      <w:bCs/>
      <w:kern w:val="44"/>
      <w:sz w:val="24"/>
      <w:szCs w:val="44"/>
    </w:rPr>
  </w:style>
  <w:style w:type="paragraph" w:customStyle="1" w:styleId="828">
    <w:name w:val="正文缩进1"/>
    <w:basedOn w:val="1"/>
    <w:qFormat/>
    <w:uiPriority w:val="0"/>
    <w:pPr>
      <w:widowControl w:val="0"/>
      <w:ind w:firstLine="420"/>
      <w:jc w:val="both"/>
    </w:pPr>
    <w:rPr>
      <w:rFonts w:ascii="Calibri" w:hAnsi="Calibri"/>
      <w:kern w:val="2"/>
      <w:sz w:val="21"/>
      <w:szCs w:val="20"/>
    </w:rPr>
  </w:style>
  <w:style w:type="paragraph" w:customStyle="1" w:styleId="829">
    <w:name w:val="封面3-1"/>
    <w:basedOn w:val="2"/>
    <w:qFormat/>
    <w:uiPriority w:val="0"/>
    <w:pPr>
      <w:widowControl w:val="0"/>
      <w:spacing w:after="120" w:line="360" w:lineRule="auto"/>
      <w:ind w:firstLine="100" w:firstLineChars="100"/>
      <w:jc w:val="both"/>
    </w:pPr>
    <w:rPr>
      <w:rFonts w:ascii="Calibri" w:hAnsi="Calibri"/>
      <w:kern w:val="2"/>
      <w:szCs w:val="22"/>
    </w:rPr>
  </w:style>
  <w:style w:type="paragraph" w:customStyle="1" w:styleId="830">
    <w:name w:val="Char Char Char Char Char Char1 Char Char Char Char Char Char Char"/>
    <w:basedOn w:val="1"/>
    <w:qFormat/>
    <w:uiPriority w:val="0"/>
    <w:pPr>
      <w:widowControl w:val="0"/>
      <w:spacing w:line="360" w:lineRule="auto"/>
      <w:jc w:val="both"/>
    </w:pPr>
    <w:rPr>
      <w:rFonts w:ascii="Tahoma" w:hAnsi="Tahoma"/>
      <w:szCs w:val="20"/>
      <w:lang w:eastAsia="en-US"/>
    </w:rPr>
  </w:style>
  <w:style w:type="paragraph" w:customStyle="1" w:styleId="831">
    <w:name w:val="Style First line:  2 ch"/>
    <w:basedOn w:val="1"/>
    <w:qFormat/>
    <w:uiPriority w:val="0"/>
    <w:pPr>
      <w:widowControl w:val="0"/>
      <w:spacing w:line="440" w:lineRule="exact"/>
      <w:ind w:firstLine="200" w:firstLineChars="200"/>
      <w:jc w:val="both"/>
    </w:pPr>
    <w:rPr>
      <w:rFonts w:ascii="Calibri" w:hAnsi="Calibri" w:cs="宋体"/>
      <w:kern w:val="2"/>
    </w:rPr>
  </w:style>
  <w:style w:type="paragraph" w:customStyle="1" w:styleId="832">
    <w:name w:val="论文正文"/>
    <w:basedOn w:val="1"/>
    <w:qFormat/>
    <w:uiPriority w:val="0"/>
    <w:pPr>
      <w:widowControl w:val="0"/>
      <w:spacing w:line="300" w:lineRule="auto"/>
      <w:ind w:firstLine="200" w:firstLineChars="200"/>
      <w:jc w:val="both"/>
    </w:pPr>
    <w:rPr>
      <w:kern w:val="2"/>
    </w:rPr>
  </w:style>
  <w:style w:type="paragraph" w:customStyle="1" w:styleId="833">
    <w:name w:val="xl34"/>
    <w:basedOn w:val="1"/>
    <w:qFormat/>
    <w:uiPriority w:val="0"/>
    <w:pPr>
      <w:spacing w:before="100" w:beforeAutospacing="1" w:after="100" w:afterAutospacing="1"/>
      <w:jc w:val="center"/>
    </w:pPr>
    <w:rPr>
      <w:rFonts w:ascii="Arial Unicode MS" w:hAnsi="Arial Unicode MS" w:eastAsia="Arial Unicode MS" w:cs="Arial Unicode MS"/>
    </w:rPr>
  </w:style>
  <w:style w:type="character" w:customStyle="1" w:styleId="834">
    <w:name w:val="加点正文缩进 Char"/>
    <w:link w:val="835"/>
    <w:qFormat/>
    <w:uiPriority w:val="0"/>
    <w:rPr>
      <w:rFonts w:ascii="宋体" w:hAnsi="宋体"/>
      <w:sz w:val="24"/>
      <w:szCs w:val="24"/>
    </w:rPr>
  </w:style>
  <w:style w:type="paragraph" w:customStyle="1" w:styleId="835">
    <w:name w:val="加点正文缩进"/>
    <w:basedOn w:val="1"/>
    <w:link w:val="834"/>
    <w:qFormat/>
    <w:uiPriority w:val="0"/>
    <w:pPr>
      <w:widowControl w:val="0"/>
      <w:spacing w:line="300" w:lineRule="auto"/>
      <w:jc w:val="both"/>
    </w:pPr>
    <w:rPr>
      <w:rFonts w:ascii="宋体" w:hAnsi="宋体"/>
    </w:rPr>
  </w:style>
  <w:style w:type="character" w:customStyle="1" w:styleId="836">
    <w:name w:val="正文（标记） Char"/>
    <w:qFormat/>
    <w:uiPriority w:val="0"/>
    <w:rPr>
      <w:rFonts w:ascii="Times New Roman" w:hAnsi="Times New Roman" w:eastAsia="宋体" w:cs="Times New Roman"/>
      <w:sz w:val="24"/>
      <w:szCs w:val="24"/>
    </w:rPr>
  </w:style>
  <w:style w:type="paragraph" w:customStyle="1" w:styleId="837">
    <w:name w:val="列项——（一级）"/>
    <w:qFormat/>
    <w:uiPriority w:val="0"/>
    <w:pPr>
      <w:widowControl w:val="0"/>
      <w:ind w:left="1260"/>
      <w:jc w:val="both"/>
    </w:pPr>
    <w:rPr>
      <w:rFonts w:ascii="宋体" w:hAnsi="Times New Roman" w:eastAsia="宋体" w:cs="Times New Roman"/>
      <w:sz w:val="21"/>
      <w:lang w:val="en-US" w:eastAsia="zh-CN" w:bidi="ar-SA"/>
    </w:rPr>
  </w:style>
  <w:style w:type="character" w:customStyle="1" w:styleId="838">
    <w:name w:val="正文（缩进） Char"/>
    <w:link w:val="839"/>
    <w:qFormat/>
    <w:locked/>
    <w:uiPriority w:val="0"/>
    <w:rPr>
      <w:sz w:val="24"/>
      <w:szCs w:val="24"/>
    </w:rPr>
  </w:style>
  <w:style w:type="paragraph" w:customStyle="1" w:styleId="839">
    <w:name w:val="正文（缩进）"/>
    <w:basedOn w:val="1"/>
    <w:link w:val="838"/>
    <w:qFormat/>
    <w:uiPriority w:val="0"/>
    <w:pPr>
      <w:widowControl w:val="0"/>
      <w:spacing w:beforeLines="50" w:afterLines="50" w:line="360" w:lineRule="auto"/>
      <w:ind w:firstLine="480" w:firstLineChars="200"/>
      <w:jc w:val="both"/>
    </w:pPr>
  </w:style>
  <w:style w:type="character" w:customStyle="1" w:styleId="840">
    <w:name w:val="正文段落 Char"/>
    <w:link w:val="841"/>
    <w:qFormat/>
    <w:locked/>
    <w:uiPriority w:val="0"/>
    <w:rPr>
      <w:sz w:val="24"/>
      <w:szCs w:val="24"/>
      <w:lang w:eastAsia="en-US" w:bidi="en-US"/>
    </w:rPr>
  </w:style>
  <w:style w:type="paragraph" w:customStyle="1" w:styleId="841">
    <w:name w:val="正文段落"/>
    <w:basedOn w:val="1"/>
    <w:next w:val="1"/>
    <w:link w:val="840"/>
    <w:qFormat/>
    <w:uiPriority w:val="0"/>
    <w:pPr>
      <w:spacing w:line="360" w:lineRule="auto"/>
      <w:ind w:firstLine="200" w:firstLineChars="200"/>
    </w:pPr>
    <w:rPr>
      <w:lang w:eastAsia="en-US" w:bidi="en-US"/>
    </w:rPr>
  </w:style>
  <w:style w:type="paragraph" w:customStyle="1" w:styleId="842">
    <w:name w:val="正文编号1"/>
    <w:basedOn w:val="1"/>
    <w:qFormat/>
    <w:uiPriority w:val="0"/>
    <w:pPr>
      <w:tabs>
        <w:tab w:val="left" w:leader="dot" w:pos="1701"/>
        <w:tab w:val="left" w:pos="9072"/>
      </w:tabs>
      <w:adjustRightInd w:val="0"/>
      <w:snapToGrid w:val="0"/>
      <w:spacing w:before="120" w:after="120" w:line="360" w:lineRule="atLeast"/>
      <w:ind w:left="2342" w:hanging="471"/>
    </w:pPr>
    <w:rPr>
      <w:rFonts w:ascii="Calibri" w:hAnsi="Calibri"/>
      <w:kern w:val="21"/>
      <w:sz w:val="21"/>
      <w:lang w:eastAsia="en-US" w:bidi="en-US"/>
    </w:rPr>
  </w:style>
  <w:style w:type="paragraph" w:customStyle="1" w:styleId="843">
    <w:name w:val="附录标识"/>
    <w:basedOn w:val="798"/>
    <w:qFormat/>
    <w:uiPriority w:val="0"/>
    <w:pPr>
      <w:numPr>
        <w:ilvl w:val="0"/>
        <w:numId w:val="44"/>
      </w:numPr>
      <w:tabs>
        <w:tab w:val="left" w:pos="6405"/>
      </w:tabs>
      <w:spacing w:after="200"/>
    </w:pPr>
    <w:rPr>
      <w:sz w:val="21"/>
    </w:rPr>
  </w:style>
  <w:style w:type="paragraph" w:customStyle="1" w:styleId="844">
    <w:name w:val="附录章标题"/>
    <w:next w:val="503"/>
    <w:qFormat/>
    <w:uiPriority w:val="0"/>
    <w:pPr>
      <w:numPr>
        <w:ilvl w:val="1"/>
        <w:numId w:val="44"/>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45">
    <w:name w:val="附录一级条标题"/>
    <w:basedOn w:val="844"/>
    <w:next w:val="503"/>
    <w:qFormat/>
    <w:uiPriority w:val="0"/>
    <w:pPr>
      <w:numPr>
        <w:ilvl w:val="2"/>
      </w:numPr>
      <w:autoSpaceDN w:val="0"/>
      <w:spacing w:beforeLines="0" w:afterLines="0"/>
      <w:outlineLvl w:val="2"/>
    </w:pPr>
  </w:style>
  <w:style w:type="paragraph" w:customStyle="1" w:styleId="846">
    <w:name w:val="附录二级条标题"/>
    <w:basedOn w:val="845"/>
    <w:next w:val="503"/>
    <w:qFormat/>
    <w:uiPriority w:val="0"/>
    <w:pPr>
      <w:numPr>
        <w:ilvl w:val="3"/>
      </w:numPr>
      <w:outlineLvl w:val="3"/>
    </w:pPr>
  </w:style>
  <w:style w:type="paragraph" w:customStyle="1" w:styleId="847">
    <w:name w:val="附录三级条标题"/>
    <w:basedOn w:val="846"/>
    <w:next w:val="503"/>
    <w:qFormat/>
    <w:uiPriority w:val="0"/>
    <w:pPr>
      <w:numPr>
        <w:ilvl w:val="4"/>
      </w:numPr>
      <w:outlineLvl w:val="4"/>
    </w:pPr>
  </w:style>
  <w:style w:type="paragraph" w:customStyle="1" w:styleId="848">
    <w:name w:val="附录四级条标题"/>
    <w:basedOn w:val="847"/>
    <w:next w:val="503"/>
    <w:qFormat/>
    <w:uiPriority w:val="0"/>
    <w:pPr>
      <w:numPr>
        <w:ilvl w:val="5"/>
      </w:numPr>
      <w:outlineLvl w:val="5"/>
    </w:pPr>
  </w:style>
  <w:style w:type="paragraph" w:customStyle="1" w:styleId="849">
    <w:name w:val="附录五级条标题"/>
    <w:basedOn w:val="848"/>
    <w:next w:val="503"/>
    <w:qFormat/>
    <w:uiPriority w:val="0"/>
    <w:pPr>
      <w:numPr>
        <w:ilvl w:val="6"/>
      </w:numPr>
      <w:outlineLvl w:val="6"/>
    </w:pPr>
  </w:style>
  <w:style w:type="paragraph" w:customStyle="1" w:styleId="850">
    <w:name w:val="注×："/>
    <w:qFormat/>
    <w:uiPriority w:val="0"/>
    <w:pPr>
      <w:widowControl w:val="0"/>
      <w:numPr>
        <w:ilvl w:val="0"/>
        <w:numId w:val="45"/>
      </w:numPr>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851">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852">
    <w:name w:val="itemlistintable"/>
    <w:basedOn w:val="1"/>
    <w:qFormat/>
    <w:uiPriority w:val="0"/>
    <w:pPr>
      <w:spacing w:before="100" w:beforeAutospacing="1" w:after="100" w:afterAutospacing="1"/>
    </w:pPr>
    <w:rPr>
      <w:rFonts w:ascii="宋体" w:hAnsi="宋体" w:cs="宋体"/>
    </w:rPr>
  </w:style>
  <w:style w:type="paragraph" w:customStyle="1" w:styleId="853">
    <w:name w:val="z-窗体顶端1"/>
    <w:basedOn w:val="1"/>
    <w:next w:val="1"/>
    <w:link w:val="854"/>
    <w:unhideWhenUsed/>
    <w:qFormat/>
    <w:uiPriority w:val="0"/>
    <w:pPr>
      <w:pBdr>
        <w:bottom w:val="single" w:color="auto" w:sz="6" w:space="1"/>
      </w:pBdr>
      <w:jc w:val="center"/>
    </w:pPr>
    <w:rPr>
      <w:rFonts w:ascii="Arial" w:hAnsi="Arial"/>
      <w:vanish/>
      <w:sz w:val="16"/>
      <w:szCs w:val="16"/>
    </w:rPr>
  </w:style>
  <w:style w:type="character" w:customStyle="1" w:styleId="854">
    <w:name w:val="z-窗体顶端 Char"/>
    <w:basedOn w:val="65"/>
    <w:link w:val="853"/>
    <w:qFormat/>
    <w:uiPriority w:val="0"/>
    <w:rPr>
      <w:rFonts w:ascii="Arial" w:hAnsi="Arial"/>
      <w:vanish/>
      <w:sz w:val="16"/>
      <w:szCs w:val="16"/>
    </w:rPr>
  </w:style>
  <w:style w:type="paragraph" w:customStyle="1" w:styleId="855">
    <w:name w:val="z-窗体底端1"/>
    <w:basedOn w:val="1"/>
    <w:next w:val="1"/>
    <w:link w:val="856"/>
    <w:unhideWhenUsed/>
    <w:qFormat/>
    <w:uiPriority w:val="0"/>
    <w:pPr>
      <w:pBdr>
        <w:top w:val="single" w:color="auto" w:sz="6" w:space="1"/>
      </w:pBdr>
      <w:jc w:val="center"/>
    </w:pPr>
    <w:rPr>
      <w:rFonts w:ascii="Arial" w:hAnsi="Arial"/>
      <w:vanish/>
      <w:sz w:val="16"/>
      <w:szCs w:val="16"/>
    </w:rPr>
  </w:style>
  <w:style w:type="character" w:customStyle="1" w:styleId="856">
    <w:name w:val="z-窗体底端 Char"/>
    <w:basedOn w:val="65"/>
    <w:link w:val="855"/>
    <w:qFormat/>
    <w:uiPriority w:val="0"/>
    <w:rPr>
      <w:rFonts w:ascii="Arial" w:hAnsi="Arial"/>
      <w:vanish/>
      <w:sz w:val="16"/>
      <w:szCs w:val="16"/>
    </w:rPr>
  </w:style>
  <w:style w:type="character" w:customStyle="1" w:styleId="857">
    <w:name w:val="color003366"/>
    <w:qFormat/>
    <w:uiPriority w:val="0"/>
  </w:style>
  <w:style w:type="character" w:customStyle="1" w:styleId="858">
    <w:name w:val="themebody"/>
    <w:qFormat/>
    <w:uiPriority w:val="0"/>
  </w:style>
  <w:style w:type="paragraph" w:customStyle="1" w:styleId="859">
    <w:name w:val="默认段落字体 Para Char Char Char Char Char Char Char Char Char1 Char Char Char Char"/>
    <w:basedOn w:val="1"/>
    <w:qFormat/>
    <w:uiPriority w:val="0"/>
    <w:pPr>
      <w:widowControl w:val="0"/>
      <w:jc w:val="both"/>
    </w:pPr>
    <w:rPr>
      <w:rFonts w:ascii="Tahoma" w:hAnsi="Tahoma"/>
      <w:kern w:val="2"/>
      <w:szCs w:val="20"/>
    </w:rPr>
  </w:style>
  <w:style w:type="paragraph" w:customStyle="1" w:styleId="860">
    <w:name w:val="正文（编号）"/>
    <w:basedOn w:val="839"/>
    <w:qFormat/>
    <w:uiPriority w:val="0"/>
    <w:pPr>
      <w:numPr>
        <w:ilvl w:val="0"/>
        <w:numId w:val="46"/>
      </w:numPr>
      <w:tabs>
        <w:tab w:val="left" w:pos="360"/>
        <w:tab w:val="left" w:pos="425"/>
        <w:tab w:val="left" w:pos="1080"/>
        <w:tab w:val="left" w:pos="1200"/>
        <w:tab w:val="clear" w:pos="780"/>
      </w:tabs>
      <w:spacing w:before="156" w:after="156"/>
      <w:ind w:left="1080" w:leftChars="400" w:hanging="540" w:firstLineChars="0"/>
    </w:pPr>
    <w:rPr>
      <w:rFonts w:ascii="Calibri" w:hAnsi="Calibri"/>
    </w:rPr>
  </w:style>
  <w:style w:type="character" w:customStyle="1" w:styleId="861">
    <w:name w:val="HTML 预设格式 Char"/>
    <w:basedOn w:val="65"/>
    <w:link w:val="52"/>
    <w:qFormat/>
    <w:uiPriority w:val="99"/>
    <w:rPr>
      <w:rFonts w:ascii="宋体" w:hAnsi="宋体"/>
      <w:sz w:val="24"/>
      <w:szCs w:val="24"/>
    </w:rPr>
  </w:style>
  <w:style w:type="character" w:customStyle="1" w:styleId="862">
    <w:name w:val="start-tag"/>
    <w:qFormat/>
    <w:uiPriority w:val="0"/>
  </w:style>
  <w:style w:type="character" w:customStyle="1" w:styleId="863">
    <w:name w:val="attribute-name"/>
    <w:qFormat/>
    <w:uiPriority w:val="0"/>
  </w:style>
  <w:style w:type="character" w:customStyle="1" w:styleId="864">
    <w:name w:val="attribute-value"/>
    <w:qFormat/>
    <w:uiPriority w:val="0"/>
  </w:style>
  <w:style w:type="character" w:customStyle="1" w:styleId="865">
    <w:name w:val="end-tag"/>
    <w:qFormat/>
    <w:uiPriority w:val="0"/>
  </w:style>
  <w:style w:type="paragraph" w:customStyle="1" w:styleId="866">
    <w:name w:val="首行缩进"/>
    <w:basedOn w:val="1"/>
    <w:link w:val="867"/>
    <w:qFormat/>
    <w:uiPriority w:val="0"/>
    <w:pPr>
      <w:widowControl w:val="0"/>
      <w:spacing w:line="360" w:lineRule="auto"/>
      <w:ind w:firstLine="480" w:firstLineChars="200"/>
      <w:jc w:val="both"/>
    </w:pPr>
    <w:rPr>
      <w:kern w:val="2"/>
    </w:rPr>
  </w:style>
  <w:style w:type="character" w:customStyle="1" w:styleId="867">
    <w:name w:val="首行缩进 Char"/>
    <w:link w:val="866"/>
    <w:qFormat/>
    <w:uiPriority w:val="0"/>
    <w:rPr>
      <w:kern w:val="2"/>
      <w:sz w:val="24"/>
      <w:szCs w:val="24"/>
    </w:rPr>
  </w:style>
  <w:style w:type="paragraph" w:customStyle="1" w:styleId="868">
    <w:name w:val="居中"/>
    <w:basedOn w:val="1"/>
    <w:qFormat/>
    <w:uiPriority w:val="0"/>
    <w:pPr>
      <w:widowControl w:val="0"/>
      <w:snapToGrid w:val="0"/>
      <w:spacing w:line="360" w:lineRule="auto"/>
      <w:ind w:firstLine="200" w:firstLineChars="200"/>
      <w:jc w:val="center"/>
    </w:pPr>
    <w:rPr>
      <w:kern w:val="2"/>
    </w:rPr>
  </w:style>
  <w:style w:type="paragraph" w:customStyle="1" w:styleId="869">
    <w:name w:val="正文首行缩进 + 首行缩进:  2 字符"/>
    <w:basedOn w:val="57"/>
    <w:qFormat/>
    <w:uiPriority w:val="0"/>
    <w:pPr>
      <w:spacing w:line="360" w:lineRule="auto"/>
      <w:ind w:firstLine="480" w:firstLineChars="200"/>
    </w:pPr>
    <w:rPr>
      <w:rFonts w:hAnsi="宋体"/>
      <w:sz w:val="24"/>
    </w:rPr>
  </w:style>
  <w:style w:type="paragraph" w:customStyle="1" w:styleId="870">
    <w:name w:val="正文（黑体）"/>
    <w:basedOn w:val="1"/>
    <w:next w:val="1"/>
    <w:qFormat/>
    <w:uiPriority w:val="0"/>
    <w:pPr>
      <w:widowControl w:val="0"/>
      <w:spacing w:beforeLines="50" w:afterLines="50" w:line="360" w:lineRule="auto"/>
      <w:ind w:firstLine="480" w:firstLineChars="200"/>
      <w:jc w:val="both"/>
    </w:pPr>
    <w:rPr>
      <w:rFonts w:ascii="黑体" w:eastAsia="黑体"/>
      <w:color w:val="000080"/>
      <w:kern w:val="2"/>
    </w:rPr>
  </w:style>
  <w:style w:type="paragraph" w:customStyle="1" w:styleId="871">
    <w:name w:val="首航缩进"/>
    <w:basedOn w:val="1"/>
    <w:qFormat/>
    <w:uiPriority w:val="0"/>
    <w:pPr>
      <w:widowControl w:val="0"/>
      <w:spacing w:line="360" w:lineRule="auto"/>
      <w:ind w:firstLine="480" w:firstLineChars="200"/>
      <w:jc w:val="both"/>
    </w:pPr>
    <w:rPr>
      <w:rFonts w:eastAsia="仿宋_GB2312"/>
      <w:kern w:val="2"/>
      <w:szCs w:val="20"/>
    </w:rPr>
  </w:style>
  <w:style w:type="paragraph" w:customStyle="1" w:styleId="872">
    <w:name w:val="加点正文"/>
    <w:basedOn w:val="1"/>
    <w:qFormat/>
    <w:uiPriority w:val="0"/>
    <w:pPr>
      <w:widowControl w:val="0"/>
      <w:tabs>
        <w:tab w:val="left" w:pos="420"/>
      </w:tabs>
      <w:spacing w:line="300" w:lineRule="auto"/>
      <w:jc w:val="both"/>
    </w:pPr>
    <w:rPr>
      <w:rFonts w:ascii="宋体" w:hAnsi="宋体" w:eastAsia="仿宋_GB2312"/>
      <w:kern w:val="2"/>
      <w:szCs w:val="20"/>
    </w:rPr>
  </w:style>
  <w:style w:type="paragraph" w:customStyle="1" w:styleId="873">
    <w:name w:val="正文（居中）"/>
    <w:basedOn w:val="1"/>
    <w:qFormat/>
    <w:uiPriority w:val="0"/>
    <w:pPr>
      <w:widowControl w:val="0"/>
      <w:spacing w:beforeLines="50" w:afterLines="50" w:line="360" w:lineRule="auto"/>
      <w:jc w:val="center"/>
    </w:pPr>
    <w:rPr>
      <w:rFonts w:eastAsia="仿宋_GB2312"/>
      <w:kern w:val="2"/>
      <w:szCs w:val="20"/>
    </w:rPr>
  </w:style>
  <w:style w:type="paragraph" w:customStyle="1" w:styleId="874">
    <w:name w:val="表内文字"/>
    <w:qFormat/>
    <w:uiPriority w:val="0"/>
    <w:rPr>
      <w:rFonts w:ascii="Times New Roman" w:hAnsi="Times New Roman" w:eastAsia="宋体" w:cs="Times New Roman"/>
      <w:sz w:val="21"/>
      <w:lang w:val="en-US" w:eastAsia="zh-CN" w:bidi="ar-SA"/>
    </w:rPr>
  </w:style>
  <w:style w:type="paragraph" w:customStyle="1" w:styleId="875">
    <w:name w:val="序号正文缩进"/>
    <w:basedOn w:val="1"/>
    <w:qFormat/>
    <w:uiPriority w:val="0"/>
    <w:pPr>
      <w:widowControl w:val="0"/>
      <w:tabs>
        <w:tab w:val="left" w:pos="240"/>
        <w:tab w:val="left" w:pos="978"/>
      </w:tabs>
      <w:adjustRightInd w:val="0"/>
      <w:snapToGrid w:val="0"/>
      <w:spacing w:line="360" w:lineRule="auto"/>
    </w:pPr>
    <w:rPr>
      <w:rFonts w:ascii="宋体" w:hAnsi="宋体" w:eastAsia="仿宋_GB2312"/>
      <w:kern w:val="2"/>
      <w:szCs w:val="20"/>
    </w:rPr>
  </w:style>
  <w:style w:type="paragraph" w:customStyle="1" w:styleId="876">
    <w:name w:val="项目段落"/>
    <w:basedOn w:val="1"/>
    <w:qFormat/>
    <w:uiPriority w:val="0"/>
    <w:pPr>
      <w:widowControl w:val="0"/>
      <w:adjustRightInd w:val="0"/>
      <w:spacing w:line="360" w:lineRule="auto"/>
      <w:ind w:left="900"/>
    </w:pPr>
    <w:rPr>
      <w:kern w:val="2"/>
    </w:rPr>
  </w:style>
  <w:style w:type="paragraph" w:customStyle="1" w:styleId="877">
    <w:name w:val="题目1"/>
    <w:basedOn w:val="1"/>
    <w:qFormat/>
    <w:uiPriority w:val="0"/>
    <w:pPr>
      <w:widowControl w:val="0"/>
      <w:adjustRightInd w:val="0"/>
      <w:spacing w:line="312" w:lineRule="atLeast"/>
      <w:jc w:val="both"/>
      <w:textAlignment w:val="baseline"/>
    </w:pPr>
    <w:rPr>
      <w:sz w:val="21"/>
      <w:szCs w:val="20"/>
    </w:rPr>
  </w:style>
  <w:style w:type="paragraph" w:customStyle="1" w:styleId="878">
    <w:name w:val="项目编号"/>
    <w:basedOn w:val="1"/>
    <w:qFormat/>
    <w:uiPriority w:val="0"/>
    <w:pPr>
      <w:widowControl w:val="0"/>
      <w:spacing w:line="360" w:lineRule="auto"/>
      <w:ind w:left="425" w:hanging="425" w:firstLineChars="200"/>
      <w:jc w:val="both"/>
    </w:pPr>
    <w:rPr>
      <w:rFonts w:cs="宋体"/>
      <w:kern w:val="2"/>
      <w:szCs w:val="20"/>
    </w:rPr>
  </w:style>
  <w:style w:type="paragraph" w:customStyle="1" w:styleId="879">
    <w:name w:val="图标题"/>
    <w:basedOn w:val="1"/>
    <w:next w:val="1"/>
    <w:qFormat/>
    <w:uiPriority w:val="0"/>
    <w:pPr>
      <w:widowControl w:val="0"/>
      <w:spacing w:line="360" w:lineRule="atLeast"/>
      <w:jc w:val="center"/>
    </w:pPr>
    <w:rPr>
      <w:bCs/>
      <w:kern w:val="2"/>
      <w:sz w:val="21"/>
    </w:rPr>
  </w:style>
  <w:style w:type="paragraph" w:customStyle="1" w:styleId="880">
    <w:name w:val="xl2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sz w:val="20"/>
      <w:szCs w:val="20"/>
    </w:rPr>
  </w:style>
  <w:style w:type="paragraph" w:customStyle="1" w:styleId="881">
    <w:name w:val="样式 题注 + 居中 首行缩进:  2 字符"/>
    <w:basedOn w:val="17"/>
    <w:qFormat/>
    <w:uiPriority w:val="0"/>
    <w:pPr>
      <w:ind w:firstLine="400" w:firstLineChars="200"/>
      <w:jc w:val="center"/>
    </w:pPr>
    <w:rPr>
      <w:rFonts w:ascii="Times New Roman" w:hAnsi="Times New Roman" w:eastAsia="宋体" w:cs="宋体"/>
      <w:sz w:val="24"/>
      <w:szCs w:val="24"/>
    </w:rPr>
  </w:style>
  <w:style w:type="character" w:customStyle="1" w:styleId="882">
    <w:name w:val="正文（缩进） Char1"/>
    <w:qFormat/>
    <w:uiPriority w:val="0"/>
    <w:rPr>
      <w:rFonts w:eastAsia="宋体"/>
      <w:kern w:val="2"/>
      <w:sz w:val="24"/>
      <w:szCs w:val="24"/>
      <w:lang w:val="en-US" w:eastAsia="zh-CN" w:bidi="ar-SA"/>
    </w:rPr>
  </w:style>
  <w:style w:type="paragraph" w:customStyle="1" w:styleId="883">
    <w:name w:val="正文（标记） Char Char"/>
    <w:basedOn w:val="1"/>
    <w:link w:val="884"/>
    <w:qFormat/>
    <w:uiPriority w:val="0"/>
    <w:pPr>
      <w:widowControl w:val="0"/>
      <w:numPr>
        <w:ilvl w:val="0"/>
        <w:numId w:val="47"/>
      </w:numPr>
      <w:spacing w:beforeLines="50" w:afterLines="50" w:line="360" w:lineRule="auto"/>
      <w:ind w:firstLine="0"/>
      <w:jc w:val="both"/>
    </w:pPr>
    <w:rPr>
      <w:kern w:val="2"/>
    </w:rPr>
  </w:style>
  <w:style w:type="character" w:customStyle="1" w:styleId="884">
    <w:name w:val="正文（标记） Char Char Char"/>
    <w:link w:val="883"/>
    <w:qFormat/>
    <w:uiPriority w:val="0"/>
    <w:rPr>
      <w:kern w:val="2"/>
      <w:sz w:val="24"/>
      <w:szCs w:val="24"/>
    </w:rPr>
  </w:style>
  <w:style w:type="paragraph" w:customStyle="1" w:styleId="885">
    <w:name w:val="小初 加粗 居中"/>
    <w:basedOn w:val="1"/>
    <w:qFormat/>
    <w:uiPriority w:val="0"/>
    <w:pPr>
      <w:widowControl w:val="0"/>
      <w:spacing w:line="300" w:lineRule="auto"/>
      <w:jc w:val="center"/>
    </w:pPr>
    <w:rPr>
      <w:rFonts w:ascii="隶书" w:cs="宋体"/>
      <w:b/>
      <w:bCs/>
      <w:sz w:val="52"/>
      <w:szCs w:val="52"/>
    </w:rPr>
  </w:style>
  <w:style w:type="paragraph" w:customStyle="1" w:styleId="886">
    <w:name w:val="编号1"/>
    <w:basedOn w:val="1"/>
    <w:link w:val="887"/>
    <w:qFormat/>
    <w:uiPriority w:val="0"/>
    <w:pPr>
      <w:widowControl w:val="0"/>
      <w:spacing w:line="360" w:lineRule="auto"/>
      <w:jc w:val="both"/>
    </w:pPr>
    <w:rPr>
      <w:kern w:val="2"/>
    </w:rPr>
  </w:style>
  <w:style w:type="character" w:customStyle="1" w:styleId="887">
    <w:name w:val="编号1 Char Char"/>
    <w:link w:val="886"/>
    <w:qFormat/>
    <w:uiPriority w:val="0"/>
    <w:rPr>
      <w:kern w:val="2"/>
      <w:sz w:val="24"/>
      <w:szCs w:val="24"/>
    </w:rPr>
  </w:style>
  <w:style w:type="paragraph" w:customStyle="1" w:styleId="888">
    <w:name w:val="height"/>
    <w:basedOn w:val="1"/>
    <w:qFormat/>
    <w:uiPriority w:val="0"/>
    <w:pPr>
      <w:spacing w:before="100" w:beforeAutospacing="1" w:after="100" w:afterAutospacing="1" w:line="335" w:lineRule="atLeast"/>
    </w:pPr>
    <w:rPr>
      <w:rFonts w:ascii="宋体" w:hAnsi="宋体" w:cs="宋体"/>
    </w:rPr>
  </w:style>
  <w:style w:type="character" w:customStyle="1" w:styleId="889">
    <w:name w:val="sony12"/>
    <w:qFormat/>
    <w:uiPriority w:val="0"/>
  </w:style>
  <w:style w:type="character" w:customStyle="1" w:styleId="890">
    <w:name w:val="style11"/>
    <w:qFormat/>
    <w:uiPriority w:val="0"/>
    <w:rPr>
      <w:color w:val="000000"/>
    </w:rPr>
  </w:style>
  <w:style w:type="paragraph" w:customStyle="1" w:styleId="891">
    <w:name w:val="tabledescription"/>
    <w:basedOn w:val="1"/>
    <w:qFormat/>
    <w:uiPriority w:val="0"/>
    <w:pPr>
      <w:spacing w:before="100" w:beforeAutospacing="1" w:after="100" w:afterAutospacing="1"/>
    </w:pPr>
    <w:rPr>
      <w:rFonts w:ascii="宋体" w:hAnsi="宋体" w:cs="宋体"/>
    </w:rPr>
  </w:style>
  <w:style w:type="paragraph" w:customStyle="1" w:styleId="892">
    <w:name w:val="列出段落11"/>
    <w:basedOn w:val="1"/>
    <w:qFormat/>
    <w:uiPriority w:val="0"/>
    <w:pPr>
      <w:widowControl w:val="0"/>
      <w:ind w:firstLine="420" w:firstLineChars="200"/>
      <w:jc w:val="both"/>
    </w:pPr>
    <w:rPr>
      <w:rFonts w:ascii="Calibri" w:hAnsi="Calibri" w:cs="Calibri"/>
      <w:kern w:val="2"/>
      <w:sz w:val="21"/>
      <w:szCs w:val="21"/>
    </w:rPr>
  </w:style>
  <w:style w:type="paragraph" w:customStyle="1" w:styleId="893">
    <w:name w:val="shx-1"/>
    <w:basedOn w:val="55"/>
    <w:qFormat/>
    <w:uiPriority w:val="0"/>
    <w:pPr>
      <w:tabs>
        <w:tab w:val="right" w:leader="dot" w:pos="8789"/>
      </w:tabs>
      <w:adjustRightInd w:val="0"/>
      <w:spacing w:line="360" w:lineRule="auto"/>
      <w:jc w:val="both"/>
      <w:textAlignment w:val="baseline"/>
    </w:pPr>
    <w:rPr>
      <w:rFonts w:ascii="宋体" w:hAnsi="宋体"/>
      <w:b w:val="0"/>
      <w:sz w:val="36"/>
    </w:rPr>
  </w:style>
  <w:style w:type="paragraph" w:customStyle="1" w:styleId="894">
    <w:name w:val="新样式1"/>
    <w:basedOn w:val="3"/>
    <w:qFormat/>
    <w:uiPriority w:val="0"/>
    <w:pPr>
      <w:numPr>
        <w:ilvl w:val="0"/>
        <w:numId w:val="48"/>
      </w:numPr>
      <w:adjustRightInd/>
      <w:spacing w:beforeLines="0" w:afterLines="0" w:line="360" w:lineRule="auto"/>
      <w:ind w:firstLineChars="0"/>
      <w:jc w:val="center"/>
      <w:textAlignment w:val="auto"/>
    </w:pPr>
    <w:rPr>
      <w:rFonts w:ascii="Times New Roman" w:hAnsi="Times New Roman" w:eastAsia="宋体" w:cs="宋体"/>
      <w:bCs/>
      <w:spacing w:val="0"/>
      <w:kern w:val="0"/>
    </w:rPr>
  </w:style>
  <w:style w:type="paragraph" w:customStyle="1" w:styleId="895">
    <w:name w:val="内容"/>
    <w:basedOn w:val="1"/>
    <w:qFormat/>
    <w:uiPriority w:val="0"/>
    <w:pPr>
      <w:widowControl w:val="0"/>
      <w:spacing w:line="480" w:lineRule="exact"/>
      <w:ind w:firstLine="480" w:firstLineChars="200"/>
      <w:jc w:val="both"/>
    </w:pPr>
    <w:rPr>
      <w:rFonts w:ascii="宋体" w:hAnsi="宋体" w:cs="Arial"/>
      <w:kern w:val="2"/>
    </w:rPr>
  </w:style>
  <w:style w:type="paragraph" w:customStyle="1" w:styleId="896">
    <w:name w:val="7"/>
    <w:qFormat/>
    <w:uiPriority w:val="0"/>
    <w:rPr>
      <w:rFonts w:ascii="Calibri" w:hAnsi="Calibri" w:eastAsia="宋体" w:cs="Times New Roman"/>
      <w:lang w:val="en-US" w:eastAsia="zh-CN" w:bidi="ar-SA"/>
    </w:rPr>
  </w:style>
  <w:style w:type="character" w:customStyle="1" w:styleId="897">
    <w:name w:val="访问过的超链接1"/>
    <w:semiHidden/>
    <w:unhideWhenUsed/>
    <w:qFormat/>
    <w:uiPriority w:val="99"/>
    <w:rPr>
      <w:color w:val="800080"/>
      <w:u w:val="single"/>
    </w:rPr>
  </w:style>
  <w:style w:type="character" w:customStyle="1" w:styleId="898">
    <w:name w:val="明显参考11"/>
    <w:qFormat/>
    <w:uiPriority w:val="32"/>
    <w:rPr>
      <w:b/>
      <w:bCs/>
      <w:smallCaps/>
      <w:color w:val="FF0000"/>
      <w:spacing w:val="5"/>
      <w:u w:val="double"/>
    </w:rPr>
  </w:style>
  <w:style w:type="paragraph" w:customStyle="1" w:styleId="899">
    <w:name w:val="附件标题"/>
    <w:basedOn w:val="1"/>
    <w:qFormat/>
    <w:uiPriority w:val="0"/>
    <w:pPr>
      <w:widowControl w:val="0"/>
      <w:spacing w:line="360" w:lineRule="auto"/>
      <w:jc w:val="center"/>
    </w:pPr>
    <w:rPr>
      <w:rFonts w:ascii="Arial" w:hAnsi="Arial" w:eastAsia="黑体"/>
      <w:kern w:val="2"/>
    </w:rPr>
  </w:style>
  <w:style w:type="paragraph" w:customStyle="1" w:styleId="900">
    <w:name w:val="附件(1)"/>
    <w:basedOn w:val="1"/>
    <w:qFormat/>
    <w:uiPriority w:val="0"/>
    <w:pPr>
      <w:widowControl w:val="0"/>
      <w:spacing w:line="360" w:lineRule="auto"/>
      <w:ind w:left="900"/>
      <w:jc w:val="both"/>
    </w:pPr>
    <w:rPr>
      <w:kern w:val="2"/>
    </w:rPr>
  </w:style>
  <w:style w:type="paragraph" w:customStyle="1" w:styleId="901">
    <w:name w:val="附件1."/>
    <w:basedOn w:val="3"/>
    <w:qFormat/>
    <w:uiPriority w:val="0"/>
    <w:pPr>
      <w:keepNext w:val="0"/>
      <w:keepLines w:val="0"/>
      <w:numPr>
        <w:numId w:val="0"/>
      </w:numPr>
      <w:tabs>
        <w:tab w:val="left" w:pos="360"/>
        <w:tab w:val="left" w:pos="420"/>
      </w:tabs>
      <w:adjustRightInd/>
      <w:spacing w:beforeLines="0" w:afterLines="0" w:line="360" w:lineRule="auto"/>
      <w:ind w:left="567" w:hanging="567"/>
      <w:jc w:val="both"/>
      <w:textAlignment w:val="auto"/>
    </w:pPr>
    <w:rPr>
      <w:rFonts w:ascii="Times New Roman" w:hAnsi="Times New Roman" w:eastAsia="宋体"/>
      <w:b w:val="0"/>
      <w:bCs/>
      <w:spacing w:val="0"/>
      <w:sz w:val="24"/>
      <w:szCs w:val="44"/>
    </w:rPr>
  </w:style>
  <w:style w:type="paragraph" w:customStyle="1" w:styleId="902">
    <w:name w:val="附件圈"/>
    <w:basedOn w:val="900"/>
    <w:qFormat/>
    <w:uiPriority w:val="0"/>
    <w:pPr>
      <w:ind w:left="425" w:hanging="425"/>
    </w:pPr>
  </w:style>
  <w:style w:type="paragraph" w:customStyle="1" w:styleId="903">
    <w:name w:val="样式 标题 2H2Heading 2 HiddenHeading 2 CCBSheading 22nd levelh..."/>
    <w:basedOn w:val="5"/>
    <w:qFormat/>
    <w:uiPriority w:val="0"/>
    <w:pPr>
      <w:widowControl w:val="0"/>
      <w:numPr>
        <w:numId w:val="0"/>
      </w:numPr>
      <w:spacing w:beforeLines="0" w:afterLines="0" w:line="240" w:lineRule="auto"/>
      <w:ind w:left="576"/>
      <w:jc w:val="both"/>
    </w:pPr>
    <w:rPr>
      <w:rFonts w:eastAsia="宋体" w:cs="宋体"/>
      <w:b w:val="0"/>
      <w:bCs w:val="0"/>
      <w:kern w:val="2"/>
      <w:sz w:val="28"/>
      <w:szCs w:val="28"/>
    </w:rPr>
  </w:style>
  <w:style w:type="paragraph" w:customStyle="1" w:styleId="904">
    <w:name w:val="样式 标题 2H2Heading 2 HiddenHeading 2 CCBSheading 22nd levelh...1"/>
    <w:basedOn w:val="5"/>
    <w:qFormat/>
    <w:uiPriority w:val="0"/>
    <w:pPr>
      <w:widowControl w:val="0"/>
      <w:numPr>
        <w:numId w:val="0"/>
      </w:numPr>
      <w:spacing w:beforeLines="0" w:afterLines="0" w:line="240" w:lineRule="auto"/>
      <w:ind w:left="576"/>
      <w:jc w:val="both"/>
    </w:pPr>
    <w:rPr>
      <w:rFonts w:ascii="宋体" w:hAnsi="宋体" w:eastAsia="宋体"/>
      <w:b w:val="0"/>
      <w:bCs w:val="0"/>
      <w:kern w:val="2"/>
      <w:sz w:val="28"/>
      <w:szCs w:val="28"/>
    </w:rPr>
  </w:style>
  <w:style w:type="paragraph" w:customStyle="1" w:styleId="905">
    <w:name w:val="Char Char Char Char Char Char Char Char Char Char"/>
    <w:basedOn w:val="1"/>
    <w:qFormat/>
    <w:uiPriority w:val="0"/>
    <w:pPr>
      <w:widowControl w:val="0"/>
      <w:jc w:val="both"/>
    </w:pPr>
    <w:rPr>
      <w:kern w:val="2"/>
      <w:sz w:val="21"/>
    </w:rPr>
  </w:style>
  <w:style w:type="paragraph" w:customStyle="1" w:styleId="906">
    <w:name w:val="样式 正文文本缩进 2 + Century Gothic 四号 行距: 多倍行距 1.75 字行"/>
    <w:basedOn w:val="1"/>
    <w:qFormat/>
    <w:uiPriority w:val="0"/>
    <w:pPr>
      <w:widowControl w:val="0"/>
      <w:adjustRightInd w:val="0"/>
      <w:snapToGrid w:val="0"/>
      <w:spacing w:line="396" w:lineRule="auto"/>
      <w:ind w:firstLine="207" w:firstLineChars="207"/>
      <w:jc w:val="both"/>
    </w:pPr>
    <w:rPr>
      <w:rFonts w:ascii="Century Gothic" w:cs="宋体"/>
      <w:kern w:val="2"/>
      <w:sz w:val="28"/>
      <w:szCs w:val="20"/>
    </w:rPr>
  </w:style>
  <w:style w:type="paragraph" w:customStyle="1" w:styleId="907">
    <w:name w:val="Char Char2 Char"/>
    <w:basedOn w:val="1"/>
    <w:qFormat/>
    <w:uiPriority w:val="0"/>
    <w:pPr>
      <w:keepNext/>
      <w:keepLines/>
      <w:pageBreakBefore/>
      <w:widowControl w:val="0"/>
      <w:tabs>
        <w:tab w:val="left" w:pos="845"/>
      </w:tabs>
      <w:ind w:left="845" w:hanging="420"/>
      <w:jc w:val="both"/>
    </w:pPr>
    <w:rPr>
      <w:rFonts w:ascii="Tahoma" w:hAnsi="Tahoma"/>
      <w:kern w:val="2"/>
      <w:szCs w:val="20"/>
    </w:rPr>
  </w:style>
  <w:style w:type="paragraph" w:customStyle="1" w:styleId="908">
    <w:name w:val="标题三"/>
    <w:basedOn w:val="6"/>
    <w:next w:val="6"/>
    <w:qFormat/>
    <w:uiPriority w:val="0"/>
    <w:pPr>
      <w:numPr>
        <w:numId w:val="0"/>
      </w:numPr>
      <w:wordWrap/>
      <w:overflowPunct/>
      <w:autoSpaceDE/>
      <w:autoSpaceDN/>
      <w:adjustRightInd/>
      <w:spacing w:beforeLines="0" w:afterLines="0" w:line="416" w:lineRule="auto"/>
      <w:ind w:left="720"/>
      <w:jc w:val="both"/>
      <w:textAlignment w:val="auto"/>
    </w:pPr>
    <w:rPr>
      <w:rFonts w:ascii="Times New Roman" w:hAnsi="Times New Roman" w:eastAsia="宋体"/>
      <w:b/>
      <w:bCs/>
      <w:kern w:val="2"/>
      <w:sz w:val="24"/>
      <w:szCs w:val="18"/>
    </w:rPr>
  </w:style>
  <w:style w:type="paragraph" w:customStyle="1" w:styleId="909">
    <w:name w:val="Char Char2 Char1"/>
    <w:basedOn w:val="1"/>
    <w:qFormat/>
    <w:uiPriority w:val="0"/>
    <w:pPr>
      <w:keepNext/>
      <w:keepLines/>
      <w:pageBreakBefore/>
      <w:widowControl w:val="0"/>
      <w:tabs>
        <w:tab w:val="left" w:pos="845"/>
      </w:tabs>
      <w:ind w:left="845" w:hanging="420"/>
      <w:jc w:val="both"/>
    </w:pPr>
    <w:rPr>
      <w:rFonts w:ascii="Tahoma" w:hAnsi="Tahoma"/>
      <w:kern w:val="2"/>
      <w:szCs w:val="20"/>
    </w:rPr>
  </w:style>
  <w:style w:type="paragraph" w:customStyle="1" w:styleId="910">
    <w:name w:val="CM12"/>
    <w:basedOn w:val="1"/>
    <w:next w:val="1"/>
    <w:qFormat/>
    <w:uiPriority w:val="0"/>
    <w:pPr>
      <w:widowControl w:val="0"/>
      <w:autoSpaceDE w:val="0"/>
      <w:autoSpaceDN w:val="0"/>
      <w:adjustRightInd w:val="0"/>
      <w:spacing w:line="468" w:lineRule="atLeast"/>
    </w:pPr>
    <w:rPr>
      <w:rFonts w:ascii="宋体"/>
    </w:rPr>
  </w:style>
  <w:style w:type="paragraph" w:customStyle="1" w:styleId="911">
    <w:name w:val="1样式1"/>
    <w:basedOn w:val="1"/>
    <w:qFormat/>
    <w:uiPriority w:val="0"/>
    <w:pPr>
      <w:numPr>
        <w:ilvl w:val="0"/>
        <w:numId w:val="49"/>
      </w:numPr>
      <w:adjustRightInd w:val="0"/>
      <w:snapToGrid w:val="0"/>
      <w:spacing w:line="288" w:lineRule="auto"/>
    </w:pPr>
    <w:rPr>
      <w:kern w:val="2"/>
      <w:sz w:val="21"/>
      <w:szCs w:val="21"/>
    </w:rPr>
  </w:style>
  <w:style w:type="paragraph" w:customStyle="1" w:styleId="912">
    <w:name w:val="a0"/>
    <w:basedOn w:val="1"/>
    <w:qFormat/>
    <w:uiPriority w:val="0"/>
    <w:pPr>
      <w:spacing w:before="100" w:beforeAutospacing="1" w:after="100" w:afterAutospacing="1"/>
    </w:pPr>
    <w:rPr>
      <w:rFonts w:ascii="宋体" w:hAnsi="宋体" w:cs="宋体"/>
    </w:rPr>
  </w:style>
  <w:style w:type="paragraph" w:customStyle="1" w:styleId="913">
    <w:name w:val="正文21"/>
    <w:qFormat/>
    <w:uiPriority w:val="0"/>
    <w:pPr>
      <w:widowControl w:val="0"/>
      <w:adjustRightInd w:val="0"/>
      <w:spacing w:line="312" w:lineRule="atLeast"/>
      <w:jc w:val="both"/>
      <w:textAlignment w:val="baseline"/>
    </w:pPr>
    <w:rPr>
      <w:rFonts w:ascii="宋体" w:hAnsi="Times New Roman" w:eastAsia="宋体" w:cs="Times New Roman"/>
      <w:sz w:val="28"/>
      <w:lang w:val="en-US" w:eastAsia="zh-CN" w:bidi="ar-SA"/>
    </w:rPr>
  </w:style>
  <w:style w:type="paragraph" w:customStyle="1" w:styleId="914">
    <w:name w:val="标题 10"/>
    <w:basedOn w:val="1"/>
    <w:next w:val="1"/>
    <w:qFormat/>
    <w:uiPriority w:val="0"/>
    <w:pPr>
      <w:spacing w:before="100" w:beforeAutospacing="1" w:after="100" w:afterAutospacing="1" w:line="360" w:lineRule="auto"/>
    </w:pPr>
    <w:rPr>
      <w:rFonts w:ascii="Arial" w:hAnsi="Arial"/>
      <w:b/>
      <w:sz w:val="21"/>
      <w:szCs w:val="21"/>
      <w:lang w:eastAsia="en-US"/>
    </w:rPr>
  </w:style>
  <w:style w:type="paragraph" w:customStyle="1" w:styleId="915">
    <w:name w:val="B3711001DC9A4C11A6314D6F32AB03C0"/>
    <w:qFormat/>
    <w:uiPriority w:val="0"/>
    <w:pPr>
      <w:spacing w:after="200" w:line="276" w:lineRule="auto"/>
    </w:pPr>
    <w:rPr>
      <w:rFonts w:ascii="Calibri" w:hAnsi="Calibri" w:eastAsia="宋体" w:cs="Times New Roman"/>
      <w:sz w:val="22"/>
      <w:szCs w:val="22"/>
      <w:lang w:val="en-US" w:eastAsia="zh-CN" w:bidi="ar-SA"/>
    </w:rPr>
  </w:style>
  <w:style w:type="character" w:customStyle="1" w:styleId="916">
    <w:name w:val="样式 宋体"/>
    <w:qFormat/>
    <w:uiPriority w:val="0"/>
    <w:rPr>
      <w:rFonts w:ascii="宋体" w:hAnsi="宋体" w:eastAsia="宋体"/>
      <w:sz w:val="24"/>
      <w:szCs w:val="24"/>
    </w:rPr>
  </w:style>
  <w:style w:type="paragraph" w:customStyle="1" w:styleId="917">
    <w:name w:val="CM81"/>
    <w:basedOn w:val="100"/>
    <w:next w:val="100"/>
    <w:qFormat/>
    <w:uiPriority w:val="0"/>
    <w:pPr>
      <w:spacing w:afterLines="50" w:line="360" w:lineRule="auto"/>
      <w:ind w:right="142" w:firstLine="480" w:firstLineChars="200"/>
    </w:pPr>
    <w:rPr>
      <w:rFonts w:hAnsi="宋体" w:cs="Times New Roman"/>
      <w:color w:val="auto"/>
    </w:rPr>
  </w:style>
  <w:style w:type="paragraph" w:customStyle="1" w:styleId="918">
    <w:name w:val="标书二级标题2"/>
    <w:basedOn w:val="1"/>
    <w:qFormat/>
    <w:uiPriority w:val="0"/>
    <w:pPr>
      <w:keepNext/>
      <w:keepLines/>
      <w:widowControl w:val="0"/>
      <w:tabs>
        <w:tab w:val="left" w:pos="720"/>
      </w:tabs>
      <w:spacing w:before="120" w:after="120" w:line="415" w:lineRule="auto"/>
      <w:jc w:val="both"/>
      <w:outlineLvl w:val="1"/>
    </w:pPr>
    <w:rPr>
      <w:rFonts w:ascii="Arial" w:hAnsi="Arial" w:eastAsia="黑体" w:cs="Arial"/>
      <w:bCs/>
      <w:kern w:val="2"/>
      <w:sz w:val="30"/>
      <w:szCs w:val="30"/>
    </w:rPr>
  </w:style>
  <w:style w:type="paragraph" w:customStyle="1" w:styleId="919">
    <w:name w:val="标书三级标题"/>
    <w:basedOn w:val="6"/>
    <w:qFormat/>
    <w:uiPriority w:val="0"/>
    <w:pPr>
      <w:numPr>
        <w:numId w:val="0"/>
      </w:numPr>
      <w:wordWrap/>
      <w:overflowPunct/>
      <w:autoSpaceDE/>
      <w:autoSpaceDN/>
      <w:adjustRightInd/>
      <w:spacing w:beforeLines="0" w:afterLines="0" w:line="415" w:lineRule="auto"/>
      <w:ind w:left="1418" w:hanging="567"/>
      <w:jc w:val="both"/>
      <w:textAlignment w:val="auto"/>
    </w:pPr>
    <w:rPr>
      <w:rFonts w:ascii="Times New Roman" w:hAnsi="Times New Roman" w:eastAsia="宋体"/>
      <w:b/>
      <w:bCs/>
      <w:kern w:val="2"/>
      <w:sz w:val="30"/>
      <w:szCs w:val="30"/>
    </w:rPr>
  </w:style>
  <w:style w:type="paragraph" w:customStyle="1" w:styleId="920">
    <w:name w:val="页脚1"/>
    <w:basedOn w:val="1"/>
    <w:qFormat/>
    <w:uiPriority w:val="0"/>
    <w:pPr>
      <w:widowControl w:val="0"/>
      <w:tabs>
        <w:tab w:val="center" w:pos="4153"/>
        <w:tab w:val="right" w:pos="8306"/>
      </w:tabs>
      <w:snapToGrid w:val="0"/>
    </w:pPr>
    <w:rPr>
      <w:rFonts w:ascii="Calibri" w:hAnsi="Calibri"/>
      <w:kern w:val="2"/>
      <w:sz w:val="18"/>
      <w:szCs w:val="20"/>
    </w:rPr>
  </w:style>
  <w:style w:type="paragraph" w:customStyle="1" w:styleId="921">
    <w:name w:val="样式 样式1 + 两端对齐 左侧:  0 厘米"/>
    <w:qFormat/>
    <w:uiPriority w:val="0"/>
    <w:pPr>
      <w:numPr>
        <w:ilvl w:val="0"/>
        <w:numId w:val="50"/>
      </w:numPr>
      <w:tabs>
        <w:tab w:val="left" w:pos="360"/>
        <w:tab w:val="left" w:pos="420"/>
        <w:tab w:val="clear" w:pos="1440"/>
      </w:tabs>
      <w:ind w:left="420" w:hanging="420"/>
      <w:jc w:val="both"/>
    </w:pPr>
    <w:rPr>
      <w:rFonts w:ascii="Times New Roman" w:hAnsi="Calibri" w:eastAsia="宋体" w:cs="Times New Roman"/>
      <w:kern w:val="2"/>
      <w:sz w:val="21"/>
      <w:szCs w:val="24"/>
      <w:lang w:val="en-US" w:eastAsia="zh-CN" w:bidi="ar-SA"/>
    </w:rPr>
  </w:style>
  <w:style w:type="paragraph" w:customStyle="1" w:styleId="922">
    <w:name w:val="段落缩进2 小四"/>
    <w:basedOn w:val="1"/>
    <w:qFormat/>
    <w:uiPriority w:val="0"/>
    <w:pPr>
      <w:widowControl w:val="0"/>
      <w:spacing w:line="360" w:lineRule="auto"/>
      <w:ind w:firstLine="480" w:firstLineChars="200"/>
      <w:jc w:val="both"/>
    </w:pPr>
    <w:rPr>
      <w:rFonts w:ascii="宋体" w:hAnsi="宋体"/>
      <w:kern w:val="2"/>
    </w:rPr>
  </w:style>
  <w:style w:type="paragraph" w:customStyle="1" w:styleId="923">
    <w:name w:val="正文退两格"/>
    <w:basedOn w:val="1"/>
    <w:next w:val="1"/>
    <w:qFormat/>
    <w:uiPriority w:val="0"/>
    <w:pPr>
      <w:widowControl w:val="0"/>
      <w:spacing w:line="360" w:lineRule="auto"/>
      <w:ind w:firstLine="200" w:firstLineChars="200"/>
    </w:pPr>
    <w:rPr>
      <w:rFonts w:ascii="Calibri" w:hAnsi="Calibri"/>
      <w:kern w:val="2"/>
      <w:szCs w:val="21"/>
    </w:rPr>
  </w:style>
  <w:style w:type="table" w:customStyle="1" w:styleId="924">
    <w:name w:val="网格型1"/>
    <w:basedOn w:val="59"/>
    <w:qFormat/>
    <w:uiPriority w:val="59"/>
    <w:rPr>
      <w:rFonts w:ascii="Calibri" w:hAnsi="Calibri"/>
      <w:kern w:val="2"/>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样式 首行缩进:  0.85 厘米"/>
    <w:basedOn w:val="1"/>
    <w:qFormat/>
    <w:uiPriority w:val="0"/>
    <w:pPr>
      <w:suppressAutoHyphens/>
      <w:spacing w:beforeLines="50" w:afterLines="50"/>
      <w:ind w:firstLine="482"/>
      <w:jc w:val="both"/>
    </w:pPr>
    <w:rPr>
      <w:rFonts w:ascii="Calibri" w:hAnsi="Calibri"/>
      <w:kern w:val="1"/>
      <w:sz w:val="21"/>
      <w:szCs w:val="20"/>
      <w:lang w:eastAsia="ar-SA" w:bidi="en-US"/>
    </w:rPr>
  </w:style>
  <w:style w:type="character" w:customStyle="1" w:styleId="926">
    <w:name w:val="正文文本缩进 Char2"/>
    <w:qFormat/>
    <w:uiPriority w:val="0"/>
    <w:rPr>
      <w:rFonts w:ascii="Calibri" w:hAnsi="Calibri" w:eastAsia="宋体" w:cs="Times New Roman"/>
      <w:sz w:val="24"/>
    </w:rPr>
  </w:style>
  <w:style w:type="character" w:customStyle="1" w:styleId="927">
    <w:name w:val="样式12 Char"/>
    <w:qFormat/>
    <w:uiPriority w:val="0"/>
  </w:style>
  <w:style w:type="paragraph" w:customStyle="1" w:styleId="928">
    <w:name w:val="样式 标题 2标题 2 Charh2Level 2 Topic HeadingPIM2H2Heading 2 Hid..."/>
    <w:basedOn w:val="5"/>
    <w:qFormat/>
    <w:uiPriority w:val="0"/>
    <w:pPr>
      <w:widowControl w:val="0"/>
      <w:numPr>
        <w:numId w:val="0"/>
      </w:numPr>
      <w:spacing w:beforeLines="0" w:afterLines="0" w:line="360" w:lineRule="auto"/>
      <w:ind w:left="567" w:hanging="567"/>
      <w:jc w:val="both"/>
    </w:pPr>
    <w:rPr>
      <w:rFonts w:ascii="Times New Roman" w:hAnsi="Times New Roman" w:eastAsia="宋体" w:cs="宋体"/>
      <w:kern w:val="2"/>
      <w:sz w:val="28"/>
      <w:szCs w:val="20"/>
    </w:rPr>
  </w:style>
  <w:style w:type="paragraph" w:customStyle="1" w:styleId="929">
    <w:name w:val="样式 标题 4H4h444headingPIM 4正文四级标题Heading 14Heading 141Hea..."/>
    <w:basedOn w:val="7"/>
    <w:qFormat/>
    <w:uiPriority w:val="0"/>
    <w:pPr>
      <w:numPr>
        <w:numId w:val="0"/>
      </w:numPr>
      <w:adjustRightInd/>
      <w:spacing w:before="156" w:after="156" w:line="374" w:lineRule="auto"/>
      <w:ind w:left="851" w:right="240" w:rightChars="100" w:hanging="851"/>
      <w:jc w:val="both"/>
      <w:textAlignment w:val="auto"/>
    </w:pPr>
    <w:rPr>
      <w:rFonts w:ascii="宋体" w:hAnsi="宋体" w:cs="宋体"/>
      <w:bCs/>
      <w:spacing w:val="0"/>
      <w:kern w:val="2"/>
      <w:szCs w:val="28"/>
    </w:rPr>
  </w:style>
  <w:style w:type="paragraph" w:customStyle="1" w:styleId="930">
    <w:name w:val="样式 标题 1H1Section Headh11st levell11H11H12H13H14H15H1..."/>
    <w:basedOn w:val="3"/>
    <w:qFormat/>
    <w:uiPriority w:val="0"/>
    <w:pPr>
      <w:numPr>
        <w:numId w:val="0"/>
      </w:numPr>
      <w:tabs>
        <w:tab w:val="left" w:pos="425"/>
      </w:tabs>
      <w:adjustRightInd/>
      <w:spacing w:beforeLines="0" w:afterLines="0" w:line="576" w:lineRule="auto"/>
      <w:ind w:left="425" w:hanging="425"/>
      <w:jc w:val="both"/>
      <w:textAlignment w:val="auto"/>
    </w:pPr>
    <w:rPr>
      <w:rFonts w:ascii="Times New Roman" w:hAnsi="Times New Roman" w:eastAsia="宋体"/>
      <w:bCs/>
      <w:spacing w:val="0"/>
      <w:sz w:val="36"/>
      <w:szCs w:val="44"/>
    </w:rPr>
  </w:style>
  <w:style w:type="paragraph" w:customStyle="1" w:styleId="931">
    <w:name w:val="1.1 四号"/>
    <w:basedOn w:val="1"/>
    <w:qFormat/>
    <w:uiPriority w:val="0"/>
    <w:pPr>
      <w:keepNext/>
      <w:keepLines/>
      <w:widowControl w:val="0"/>
      <w:spacing w:line="240" w:lineRule="atLeast"/>
      <w:outlineLvl w:val="1"/>
    </w:pPr>
    <w:rPr>
      <w:rFonts w:ascii="Calibri" w:hAnsi="Calibri" w:eastAsia="黑体"/>
      <w:b/>
      <w:bCs/>
      <w:kern w:val="44"/>
      <w:sz w:val="28"/>
      <w:szCs w:val="21"/>
    </w:rPr>
  </w:style>
  <w:style w:type="character" w:customStyle="1" w:styleId="932">
    <w:name w:val="1级正文+缩进 Char Char"/>
    <w:link w:val="933"/>
    <w:qFormat/>
    <w:locked/>
    <w:uiPriority w:val="0"/>
    <w:rPr>
      <w:rFonts w:ascii="Calibri" w:hAnsi="Calibri"/>
      <w:sz w:val="24"/>
      <w:szCs w:val="24"/>
    </w:rPr>
  </w:style>
  <w:style w:type="paragraph" w:customStyle="1" w:styleId="933">
    <w:name w:val="1级正文+缩进"/>
    <w:basedOn w:val="1"/>
    <w:link w:val="932"/>
    <w:qFormat/>
    <w:uiPriority w:val="0"/>
    <w:pPr>
      <w:widowControl w:val="0"/>
      <w:autoSpaceDE w:val="0"/>
      <w:autoSpaceDN w:val="0"/>
      <w:adjustRightInd w:val="0"/>
      <w:spacing w:line="360" w:lineRule="auto"/>
      <w:jc w:val="both"/>
    </w:pPr>
    <w:rPr>
      <w:rFonts w:ascii="Calibri" w:hAnsi="Calibri"/>
    </w:rPr>
  </w:style>
  <w:style w:type="character" w:customStyle="1" w:styleId="934">
    <w:name w:val="blue1"/>
    <w:qFormat/>
    <w:uiPriority w:val="0"/>
    <w:rPr>
      <w:color w:val="242DA1"/>
    </w:rPr>
  </w:style>
  <w:style w:type="paragraph" w:customStyle="1" w:styleId="935">
    <w:name w:val="前面加点"/>
    <w:basedOn w:val="1"/>
    <w:qFormat/>
    <w:uiPriority w:val="0"/>
    <w:pPr>
      <w:widowControl w:val="0"/>
      <w:numPr>
        <w:ilvl w:val="0"/>
        <w:numId w:val="51"/>
      </w:numPr>
      <w:tabs>
        <w:tab w:val="left" w:pos="720"/>
      </w:tabs>
      <w:ind w:firstLine="0"/>
    </w:pPr>
    <w:rPr>
      <w:rFonts w:ascii="Calibri" w:hAnsi="Calibri"/>
      <w:kern w:val="2"/>
      <w:sz w:val="21"/>
    </w:rPr>
  </w:style>
  <w:style w:type="paragraph" w:customStyle="1" w:styleId="936">
    <w:name w:val="招标文件1"/>
    <w:basedOn w:val="1"/>
    <w:qFormat/>
    <w:uiPriority w:val="0"/>
    <w:pPr>
      <w:widowControl w:val="0"/>
      <w:numPr>
        <w:ilvl w:val="2"/>
        <w:numId w:val="52"/>
      </w:numPr>
      <w:tabs>
        <w:tab w:val="left" w:pos="420"/>
      </w:tabs>
      <w:spacing w:before="120" w:after="120" w:line="480" w:lineRule="exact"/>
      <w:outlineLvl w:val="1"/>
    </w:pPr>
    <w:rPr>
      <w:rFonts w:ascii="宋体" w:hAnsi="Calibri"/>
      <w:b/>
      <w:spacing w:val="10"/>
      <w:w w:val="95"/>
      <w:sz w:val="36"/>
    </w:rPr>
  </w:style>
  <w:style w:type="paragraph" w:customStyle="1" w:styleId="937">
    <w:name w:val="招标文件1.1"/>
    <w:qFormat/>
    <w:uiPriority w:val="0"/>
    <w:pPr>
      <w:numPr>
        <w:ilvl w:val="3"/>
        <w:numId w:val="52"/>
      </w:numPr>
      <w:tabs>
        <w:tab w:val="left" w:pos="630"/>
      </w:tabs>
      <w:spacing w:before="120" w:after="120" w:line="480" w:lineRule="exact"/>
      <w:outlineLvl w:val="2"/>
    </w:pPr>
    <w:rPr>
      <w:rFonts w:ascii="宋体" w:hAnsi="Times New Roman" w:eastAsia="宋体" w:cs="Times New Roman"/>
      <w:b/>
      <w:spacing w:val="10"/>
      <w:w w:val="95"/>
      <w:sz w:val="30"/>
      <w:lang w:val="en-US" w:eastAsia="zh-CN" w:bidi="ar-SA"/>
    </w:rPr>
  </w:style>
  <w:style w:type="paragraph" w:customStyle="1" w:styleId="938">
    <w:name w:val="招标文件1.1.1"/>
    <w:qFormat/>
    <w:uiPriority w:val="0"/>
    <w:pPr>
      <w:numPr>
        <w:ilvl w:val="4"/>
        <w:numId w:val="52"/>
      </w:numPr>
      <w:spacing w:before="120" w:after="120" w:line="480" w:lineRule="exact"/>
      <w:outlineLvl w:val="3"/>
    </w:pPr>
    <w:rPr>
      <w:rFonts w:ascii="宋体" w:hAnsi="Times New Roman" w:eastAsia="宋体" w:cs="Times New Roman"/>
      <w:b/>
      <w:spacing w:val="10"/>
      <w:w w:val="95"/>
      <w:sz w:val="28"/>
      <w:lang w:val="en-US" w:eastAsia="zh-CN" w:bidi="ar-SA"/>
    </w:rPr>
  </w:style>
  <w:style w:type="paragraph" w:customStyle="1" w:styleId="939">
    <w:name w:val="招标文件1.1.1.1"/>
    <w:basedOn w:val="1"/>
    <w:qFormat/>
    <w:uiPriority w:val="0"/>
    <w:pPr>
      <w:widowControl w:val="0"/>
      <w:numPr>
        <w:ilvl w:val="5"/>
        <w:numId w:val="52"/>
      </w:numPr>
      <w:spacing w:before="120" w:after="120" w:line="480" w:lineRule="exact"/>
      <w:outlineLvl w:val="4"/>
    </w:pPr>
    <w:rPr>
      <w:rFonts w:ascii="宋体" w:hAnsi="Calibri"/>
      <w:b/>
      <w:spacing w:val="10"/>
      <w:w w:val="95"/>
      <w:kern w:val="2"/>
      <w:sz w:val="21"/>
    </w:rPr>
  </w:style>
  <w:style w:type="paragraph" w:customStyle="1" w:styleId="940">
    <w:name w:val="首行缩进2字符"/>
    <w:basedOn w:val="1"/>
    <w:qFormat/>
    <w:uiPriority w:val="0"/>
    <w:pPr>
      <w:widowControl w:val="0"/>
      <w:adjustRightInd w:val="0"/>
      <w:snapToGrid w:val="0"/>
      <w:ind w:firstLine="560"/>
      <w:jc w:val="both"/>
    </w:pPr>
    <w:rPr>
      <w:rFonts w:ascii="仿宋_GB2312" w:hAnsi="Franklin Gothic Medium" w:eastAsia="仿宋_GB2312" w:cs="宋体"/>
      <w:sz w:val="28"/>
      <w:szCs w:val="28"/>
    </w:rPr>
  </w:style>
  <w:style w:type="paragraph" w:customStyle="1" w:styleId="941">
    <w:name w:val="样式 标题 4"/>
    <w:basedOn w:val="7"/>
    <w:qFormat/>
    <w:uiPriority w:val="0"/>
    <w:pPr>
      <w:numPr>
        <w:numId w:val="0"/>
      </w:numPr>
      <w:tabs>
        <w:tab w:val="left" w:pos="1080"/>
        <w:tab w:val="left" w:pos="1116"/>
        <w:tab w:val="left" w:pos="1224"/>
        <w:tab w:val="left" w:pos="1260"/>
      </w:tabs>
      <w:spacing w:line="374" w:lineRule="auto"/>
      <w:ind w:left="1224"/>
      <w:textAlignment w:val="auto"/>
    </w:pPr>
    <w:rPr>
      <w:rFonts w:ascii="黑体" w:hAnsi="黑体" w:cs="Arial"/>
      <w:bCs/>
      <w:color w:val="000000"/>
      <w:spacing w:val="0"/>
      <w:kern w:val="2"/>
      <w:sz w:val="24"/>
      <w:szCs w:val="24"/>
    </w:rPr>
  </w:style>
  <w:style w:type="paragraph" w:customStyle="1" w:styleId="942">
    <w:name w:val="样式目录三"/>
    <w:basedOn w:val="30"/>
    <w:qFormat/>
    <w:uiPriority w:val="0"/>
    <w:pPr>
      <w:widowControl w:val="0"/>
      <w:tabs>
        <w:tab w:val="right" w:leader="dot" w:pos="9356"/>
      </w:tabs>
      <w:ind w:left="200" w:leftChars="200"/>
      <w:jc w:val="both"/>
    </w:pPr>
    <w:rPr>
      <w:rFonts w:ascii="Calibri" w:hAnsi="Calibri" w:cs="Times New Roman"/>
      <w:b/>
      <w:i/>
      <w:kern w:val="2"/>
      <w:sz w:val="21"/>
      <w:szCs w:val="22"/>
    </w:rPr>
  </w:style>
  <w:style w:type="character" w:customStyle="1" w:styleId="943">
    <w:name w:val="font131"/>
    <w:qFormat/>
    <w:uiPriority w:val="0"/>
    <w:rPr>
      <w:sz w:val="20"/>
      <w:szCs w:val="20"/>
    </w:rPr>
  </w:style>
  <w:style w:type="paragraph" w:customStyle="1" w:styleId="944">
    <w:name w:val="正文（绿盟科技）"/>
    <w:link w:val="945"/>
    <w:qFormat/>
    <w:uiPriority w:val="0"/>
    <w:pPr>
      <w:spacing w:line="300" w:lineRule="auto"/>
    </w:pPr>
    <w:rPr>
      <w:rFonts w:ascii="Arial" w:hAnsi="Arial" w:eastAsia="宋体" w:cs="Times New Roman"/>
      <w:sz w:val="21"/>
      <w:szCs w:val="21"/>
      <w:lang w:val="en-US" w:eastAsia="zh-CN" w:bidi="ar-SA"/>
    </w:rPr>
  </w:style>
  <w:style w:type="character" w:customStyle="1" w:styleId="945">
    <w:name w:val="正文（绿盟科技） Char"/>
    <w:link w:val="944"/>
    <w:qFormat/>
    <w:uiPriority w:val="0"/>
    <w:rPr>
      <w:rFonts w:ascii="Arial" w:hAnsi="Arial"/>
      <w:sz w:val="21"/>
      <w:szCs w:val="21"/>
    </w:rPr>
  </w:style>
  <w:style w:type="paragraph" w:customStyle="1" w:styleId="946">
    <w:name w:val="标题 1（绿盟科技）"/>
    <w:basedOn w:val="3"/>
    <w:next w:val="944"/>
    <w:qFormat/>
    <w:uiPriority w:val="0"/>
    <w:pPr>
      <w:numPr>
        <w:ilvl w:val="0"/>
        <w:numId w:val="53"/>
      </w:numPr>
      <w:pBdr>
        <w:bottom w:val="single" w:color="auto" w:sz="48" w:space="1"/>
      </w:pBdr>
      <w:adjustRightInd/>
      <w:spacing w:beforeLines="0" w:afterLines="0" w:line="576" w:lineRule="auto"/>
      <w:ind w:firstLine="0" w:firstLineChars="0"/>
      <w:textAlignment w:val="auto"/>
    </w:pPr>
    <w:rPr>
      <w:rFonts w:ascii="Arial"/>
      <w:bCs/>
      <w:spacing w:val="0"/>
      <w:szCs w:val="44"/>
    </w:rPr>
  </w:style>
  <w:style w:type="paragraph" w:customStyle="1" w:styleId="947">
    <w:name w:val="标题 2（绿盟科技）"/>
    <w:basedOn w:val="5"/>
    <w:next w:val="944"/>
    <w:qFormat/>
    <w:uiPriority w:val="0"/>
    <w:pPr>
      <w:widowControl w:val="0"/>
      <w:numPr>
        <w:numId w:val="0"/>
      </w:numPr>
      <w:spacing w:beforeLines="0" w:afterLines="0" w:line="415" w:lineRule="auto"/>
      <w:ind w:left="907" w:hanging="907"/>
    </w:pPr>
    <w:rPr>
      <w:rFonts w:eastAsia="宋体"/>
      <w:bCs w:val="0"/>
      <w:sz w:val="28"/>
      <w:szCs w:val="28"/>
    </w:rPr>
  </w:style>
  <w:style w:type="paragraph" w:customStyle="1" w:styleId="948">
    <w:name w:val="标题 3（绿盟科技）"/>
    <w:basedOn w:val="6"/>
    <w:next w:val="944"/>
    <w:qFormat/>
    <w:uiPriority w:val="0"/>
    <w:pPr>
      <w:numPr>
        <w:numId w:val="0"/>
      </w:numPr>
      <w:tabs>
        <w:tab w:val="left" w:pos="960"/>
      </w:tabs>
      <w:wordWrap/>
      <w:overflowPunct/>
      <w:autoSpaceDE/>
      <w:autoSpaceDN/>
      <w:adjustRightInd/>
      <w:spacing w:beforeLines="0" w:afterLines="0" w:line="415" w:lineRule="auto"/>
      <w:ind w:left="907" w:hanging="907"/>
      <w:textAlignment w:val="auto"/>
    </w:pPr>
    <w:rPr>
      <w:b/>
      <w:sz w:val="30"/>
      <w:szCs w:val="30"/>
    </w:rPr>
  </w:style>
  <w:style w:type="paragraph" w:customStyle="1" w:styleId="949">
    <w:name w:val="标题 4（绿盟科技）"/>
    <w:basedOn w:val="7"/>
    <w:next w:val="944"/>
    <w:qFormat/>
    <w:uiPriority w:val="0"/>
    <w:pPr>
      <w:widowControl/>
      <w:numPr>
        <w:numId w:val="54"/>
      </w:numPr>
      <w:adjustRightInd/>
      <w:spacing w:after="156" w:line="376" w:lineRule="auto"/>
      <w:textAlignment w:val="auto"/>
    </w:pPr>
    <w:rPr>
      <w:spacing w:val="0"/>
      <w:szCs w:val="28"/>
    </w:rPr>
  </w:style>
  <w:style w:type="paragraph" w:customStyle="1" w:styleId="950">
    <w:name w:val="标题 5（有编号）（绿盟科技）"/>
    <w:basedOn w:val="1"/>
    <w:next w:val="944"/>
    <w:qFormat/>
    <w:uiPriority w:val="0"/>
    <w:pPr>
      <w:keepNext/>
      <w:keepLines/>
      <w:widowControl w:val="0"/>
      <w:numPr>
        <w:ilvl w:val="4"/>
        <w:numId w:val="53"/>
      </w:numPr>
      <w:spacing w:before="280" w:after="156" w:line="377" w:lineRule="auto"/>
      <w:ind w:firstLine="0"/>
      <w:outlineLvl w:val="4"/>
    </w:pPr>
    <w:rPr>
      <w:rFonts w:ascii="Arial" w:hAnsi="Arial" w:eastAsia="黑体"/>
      <w:b/>
      <w:sz w:val="21"/>
      <w:szCs w:val="28"/>
    </w:rPr>
  </w:style>
  <w:style w:type="paragraph" w:customStyle="1" w:styleId="951">
    <w:name w:val="标题 6（有编号）（绿盟科技）"/>
    <w:basedOn w:val="1"/>
    <w:next w:val="944"/>
    <w:qFormat/>
    <w:uiPriority w:val="0"/>
    <w:pPr>
      <w:keepNext/>
      <w:keepLines/>
      <w:widowControl w:val="0"/>
      <w:numPr>
        <w:ilvl w:val="5"/>
        <w:numId w:val="53"/>
      </w:numPr>
      <w:spacing w:before="240" w:after="64" w:line="319" w:lineRule="auto"/>
      <w:ind w:firstLine="0"/>
      <w:outlineLvl w:val="5"/>
    </w:pPr>
    <w:rPr>
      <w:rFonts w:ascii="Arial" w:hAnsi="Arial" w:eastAsia="黑体"/>
      <w:b/>
      <w:sz w:val="21"/>
    </w:rPr>
  </w:style>
  <w:style w:type="paragraph" w:customStyle="1" w:styleId="952">
    <w:name w:val="插图标注（绿盟科技）"/>
    <w:next w:val="944"/>
    <w:qFormat/>
    <w:uiPriority w:val="0"/>
    <w:pPr>
      <w:numPr>
        <w:ilvl w:val="6"/>
        <w:numId w:val="53"/>
      </w:numPr>
      <w:spacing w:after="156"/>
      <w:jc w:val="center"/>
    </w:pPr>
    <w:rPr>
      <w:rFonts w:ascii="Arial" w:hAnsi="Arial" w:eastAsia="宋体" w:cs="Arial"/>
      <w:sz w:val="21"/>
      <w:szCs w:val="21"/>
      <w:lang w:val="en-US" w:eastAsia="zh-CN" w:bidi="ar-SA"/>
    </w:rPr>
  </w:style>
  <w:style w:type="paragraph" w:customStyle="1" w:styleId="953">
    <w:name w:val="表格标注（绿盟科技）"/>
    <w:basedOn w:val="952"/>
    <w:next w:val="944"/>
    <w:qFormat/>
    <w:uiPriority w:val="0"/>
    <w:pPr>
      <w:numPr>
        <w:ilvl w:val="7"/>
      </w:numPr>
    </w:pPr>
  </w:style>
  <w:style w:type="character" w:customStyle="1" w:styleId="954">
    <w:name w:val="ZX-正文 Char"/>
    <w:link w:val="955"/>
    <w:qFormat/>
    <w:locked/>
    <w:uiPriority w:val="0"/>
    <w:rPr>
      <w:rFonts w:ascii="Trebuchet MS" w:hAnsi="FuturaA Bk BT"/>
      <w:sz w:val="24"/>
    </w:rPr>
  </w:style>
  <w:style w:type="paragraph" w:customStyle="1" w:styleId="955">
    <w:name w:val="ZX-正文"/>
    <w:link w:val="954"/>
    <w:qFormat/>
    <w:uiPriority w:val="0"/>
    <w:pPr>
      <w:spacing w:beforeLines="50"/>
      <w:ind w:firstLine="480" w:firstLineChars="200"/>
    </w:pPr>
    <w:rPr>
      <w:rFonts w:ascii="Trebuchet MS" w:hAnsi="FuturaA Bk BT" w:eastAsia="宋体" w:cs="Times New Roman"/>
      <w:sz w:val="24"/>
      <w:lang w:val="en-US" w:eastAsia="zh-CN" w:bidi="ar-SA"/>
    </w:rPr>
  </w:style>
  <w:style w:type="paragraph" w:customStyle="1" w:styleId="956">
    <w:name w:val="样式2"/>
    <w:basedOn w:val="814"/>
    <w:link w:val="957"/>
    <w:qFormat/>
    <w:uiPriority w:val="0"/>
  </w:style>
  <w:style w:type="character" w:customStyle="1" w:styleId="957">
    <w:name w:val="样式2 Char"/>
    <w:link w:val="956"/>
    <w:qFormat/>
    <w:uiPriority w:val="0"/>
    <w:rPr>
      <w:rFonts w:ascii="Calibri" w:hAnsi="Calibri"/>
      <w:b/>
      <w:bCs/>
      <w:kern w:val="44"/>
      <w:sz w:val="24"/>
      <w:szCs w:val="44"/>
    </w:rPr>
  </w:style>
  <w:style w:type="character" w:customStyle="1" w:styleId="958">
    <w:name w:val="*正文 Char Char"/>
    <w:qFormat/>
    <w:uiPriority w:val="0"/>
    <w:rPr>
      <w:rFonts w:ascii="宋体" w:hAnsi="宋体"/>
      <w:sz w:val="22"/>
    </w:rPr>
  </w:style>
  <w:style w:type="character" w:customStyle="1" w:styleId="959">
    <w:name w:val="3级标题 Char Char"/>
    <w:qFormat/>
    <w:uiPriority w:val="0"/>
    <w:rPr>
      <w:rFonts w:ascii="Arial Unicode MS" w:hAnsi="Arial Unicode MS" w:eastAsia="宋体" w:cs="Times New Roman"/>
      <w:b/>
      <w:sz w:val="28"/>
      <w:szCs w:val="24"/>
    </w:rPr>
  </w:style>
  <w:style w:type="character" w:customStyle="1" w:styleId="960">
    <w:name w:val="正文-1 Char Char"/>
    <w:qFormat/>
    <w:uiPriority w:val="0"/>
    <w:rPr>
      <w:rFonts w:ascii="Calibri" w:hAnsi="Calibri"/>
      <w:kern w:val="0"/>
      <w:szCs w:val="21"/>
    </w:rPr>
  </w:style>
  <w:style w:type="paragraph" w:customStyle="1" w:styleId="961">
    <w:name w:val="111111"/>
    <w:basedOn w:val="1"/>
    <w:link w:val="962"/>
    <w:qFormat/>
    <w:uiPriority w:val="0"/>
    <w:pPr>
      <w:widowControl w:val="0"/>
      <w:numPr>
        <w:ilvl w:val="0"/>
        <w:numId w:val="55"/>
      </w:numPr>
      <w:spacing w:beforeLines="50" w:line="360" w:lineRule="auto"/>
      <w:ind w:firstLine="0"/>
      <w:jc w:val="both"/>
      <w:outlineLvl w:val="0"/>
    </w:pPr>
    <w:rPr>
      <w:rFonts w:ascii="宋体" w:hAnsi="宋体"/>
      <w:b/>
      <w:kern w:val="2"/>
      <w:sz w:val="32"/>
      <w:szCs w:val="32"/>
    </w:rPr>
  </w:style>
  <w:style w:type="character" w:customStyle="1" w:styleId="962">
    <w:name w:val="111111 Char"/>
    <w:link w:val="961"/>
    <w:qFormat/>
    <w:uiPriority w:val="0"/>
    <w:rPr>
      <w:rFonts w:ascii="宋体" w:hAnsi="宋体"/>
      <w:b/>
      <w:kern w:val="2"/>
      <w:sz w:val="32"/>
      <w:szCs w:val="32"/>
    </w:rPr>
  </w:style>
  <w:style w:type="paragraph" w:customStyle="1" w:styleId="963">
    <w:name w:val="4.2"/>
    <w:basedOn w:val="1"/>
    <w:link w:val="964"/>
    <w:qFormat/>
    <w:uiPriority w:val="0"/>
    <w:pPr>
      <w:widowControl w:val="0"/>
      <w:spacing w:beforeLines="50" w:line="360" w:lineRule="auto"/>
      <w:ind w:left="567" w:hanging="567"/>
      <w:jc w:val="both"/>
      <w:outlineLvl w:val="1"/>
    </w:pPr>
    <w:rPr>
      <w:rFonts w:ascii="宋体" w:hAnsi="宋体"/>
      <w:b/>
      <w:kern w:val="2"/>
      <w:sz w:val="28"/>
      <w:szCs w:val="28"/>
    </w:rPr>
  </w:style>
  <w:style w:type="character" w:customStyle="1" w:styleId="964">
    <w:name w:val="4.2 Char"/>
    <w:link w:val="963"/>
    <w:qFormat/>
    <w:uiPriority w:val="0"/>
    <w:rPr>
      <w:rFonts w:ascii="宋体" w:hAnsi="宋体"/>
      <w:b/>
      <w:kern w:val="2"/>
      <w:sz w:val="28"/>
      <w:szCs w:val="28"/>
    </w:rPr>
  </w:style>
  <w:style w:type="paragraph" w:customStyle="1" w:styleId="965">
    <w:name w:val="3级小标题"/>
    <w:basedOn w:val="7"/>
    <w:link w:val="967"/>
    <w:qFormat/>
    <w:uiPriority w:val="0"/>
    <w:pPr>
      <w:numPr>
        <w:ilvl w:val="2"/>
        <w:numId w:val="56"/>
      </w:numPr>
      <w:adjustRightInd/>
      <w:spacing w:line="360" w:lineRule="auto"/>
      <w:textAlignment w:val="auto"/>
    </w:pPr>
    <w:rPr>
      <w:rFonts w:ascii="宋体" w:hAnsi="宋体" w:eastAsia="宋体"/>
      <w:bCs/>
      <w:color w:val="000000"/>
      <w:spacing w:val="0"/>
      <w:kern w:val="2"/>
      <w:szCs w:val="24"/>
    </w:rPr>
  </w:style>
  <w:style w:type="paragraph" w:customStyle="1" w:styleId="966">
    <w:name w:val="2级小标题"/>
    <w:basedOn w:val="5"/>
    <w:link w:val="969"/>
    <w:qFormat/>
    <w:uiPriority w:val="0"/>
    <w:pPr>
      <w:widowControl w:val="0"/>
      <w:numPr>
        <w:numId w:val="56"/>
      </w:numPr>
      <w:spacing w:beforeLines="0" w:afterLines="0"/>
      <w:ind w:firstLine="0" w:firstLineChars="0"/>
    </w:pPr>
    <w:rPr>
      <w:rFonts w:ascii="Cambria" w:hAnsi="Cambria"/>
      <w:color w:val="000000"/>
      <w:szCs w:val="24"/>
    </w:rPr>
  </w:style>
  <w:style w:type="character" w:customStyle="1" w:styleId="967">
    <w:name w:val="3级小标题 Char"/>
    <w:link w:val="965"/>
    <w:qFormat/>
    <w:uiPriority w:val="0"/>
    <w:rPr>
      <w:rFonts w:ascii="宋体" w:hAnsi="宋体"/>
      <w:b/>
      <w:bCs/>
      <w:color w:val="000000"/>
      <w:kern w:val="2"/>
      <w:sz w:val="28"/>
      <w:szCs w:val="24"/>
    </w:rPr>
  </w:style>
  <w:style w:type="paragraph" w:customStyle="1" w:styleId="968">
    <w:name w:val="第一章标题"/>
    <w:basedOn w:val="3"/>
    <w:link w:val="971"/>
    <w:qFormat/>
    <w:uiPriority w:val="0"/>
    <w:pPr>
      <w:widowControl/>
      <w:numPr>
        <w:numId w:val="56"/>
      </w:numPr>
      <w:adjustRightInd/>
      <w:spacing w:beforeLines="0" w:afterLines="0" w:line="360" w:lineRule="auto"/>
      <w:ind w:firstLine="0" w:firstLineChars="0"/>
      <w:textAlignment w:val="auto"/>
    </w:pPr>
    <w:rPr>
      <w:rFonts w:ascii="Times New Roman" w:hAnsi="Times New Roman"/>
      <w:spacing w:val="0"/>
      <w:kern w:val="0"/>
      <w:szCs w:val="52"/>
    </w:rPr>
  </w:style>
  <w:style w:type="character" w:customStyle="1" w:styleId="969">
    <w:name w:val="2级小标题 Char"/>
    <w:link w:val="966"/>
    <w:qFormat/>
    <w:uiPriority w:val="0"/>
    <w:rPr>
      <w:rFonts w:ascii="Cambria" w:hAnsi="Cambria" w:eastAsia="黑体"/>
      <w:b/>
      <w:bCs/>
      <w:color w:val="000000"/>
      <w:sz w:val="32"/>
      <w:szCs w:val="24"/>
    </w:rPr>
  </w:style>
  <w:style w:type="character" w:customStyle="1" w:styleId="970">
    <w:name w:val="1级标题 Char Char"/>
    <w:qFormat/>
    <w:uiPriority w:val="0"/>
    <w:rPr>
      <w:rFonts w:ascii="Calibri" w:hAnsi="Calibri" w:eastAsia="黑体" w:cs="Times New Roman"/>
      <w:color w:val="000000"/>
      <w:kern w:val="44"/>
      <w:sz w:val="32"/>
    </w:rPr>
  </w:style>
  <w:style w:type="character" w:customStyle="1" w:styleId="971">
    <w:name w:val="第一章标题 Char"/>
    <w:link w:val="968"/>
    <w:qFormat/>
    <w:uiPriority w:val="0"/>
    <w:rPr>
      <w:rFonts w:eastAsia="黑体"/>
      <w:b/>
      <w:sz w:val="44"/>
      <w:szCs w:val="52"/>
    </w:rPr>
  </w:style>
  <w:style w:type="paragraph" w:customStyle="1" w:styleId="972">
    <w:name w:val="tupian"/>
    <w:basedOn w:val="1"/>
    <w:link w:val="973"/>
    <w:qFormat/>
    <w:uiPriority w:val="0"/>
    <w:pPr>
      <w:keepNext/>
      <w:widowControl w:val="0"/>
      <w:jc w:val="center"/>
    </w:pPr>
    <w:rPr>
      <w:rFonts w:ascii="Calibri" w:hAnsi="Calibri"/>
      <w:kern w:val="2"/>
    </w:rPr>
  </w:style>
  <w:style w:type="character" w:customStyle="1" w:styleId="973">
    <w:name w:val="tupian Char"/>
    <w:link w:val="972"/>
    <w:qFormat/>
    <w:uiPriority w:val="0"/>
    <w:rPr>
      <w:rFonts w:ascii="Calibri" w:hAnsi="Calibri"/>
      <w:kern w:val="2"/>
      <w:sz w:val="24"/>
      <w:szCs w:val="24"/>
    </w:rPr>
  </w:style>
  <w:style w:type="character" w:customStyle="1" w:styleId="974">
    <w:name w:val="表格 Char"/>
    <w:link w:val="119"/>
    <w:qFormat/>
    <w:uiPriority w:val="0"/>
    <w:rPr>
      <w:rFonts w:ascii="宋体" w:hAnsi="宋体"/>
      <w:snapToGrid w:val="0"/>
      <w:sz w:val="24"/>
    </w:rPr>
  </w:style>
  <w:style w:type="character" w:customStyle="1" w:styleId="975">
    <w:name w:val="样式11 Char"/>
    <w:link w:val="255"/>
    <w:qFormat/>
    <w:uiPriority w:val="0"/>
    <w:rPr>
      <w:rFonts w:ascii="宋体" w:hAnsi="宋体"/>
      <w:sz w:val="24"/>
      <w:szCs w:val="24"/>
      <w:lang w:val="zh-CN"/>
    </w:rPr>
  </w:style>
  <w:style w:type="paragraph" w:customStyle="1" w:styleId="976">
    <w:name w:val="font0"/>
    <w:basedOn w:val="1"/>
    <w:qFormat/>
    <w:uiPriority w:val="0"/>
    <w:pPr>
      <w:spacing w:before="100" w:beforeAutospacing="1" w:after="100" w:afterAutospacing="1"/>
    </w:pPr>
    <w:rPr>
      <w:rFonts w:ascii="宋体" w:hAnsi="宋体" w:cs="宋体"/>
      <w:color w:val="000000"/>
      <w:sz w:val="22"/>
      <w:szCs w:val="22"/>
    </w:rPr>
  </w:style>
  <w:style w:type="character" w:customStyle="1" w:styleId="977">
    <w:name w:val="检箭头正文 Char"/>
    <w:link w:val="978"/>
    <w:qFormat/>
    <w:uiPriority w:val="0"/>
    <w:rPr>
      <w:rFonts w:ascii="宋体" w:hAnsi="宋体" w:eastAsia="仿宋_GB2312"/>
      <w:snapToGrid w:val="0"/>
      <w:color w:val="800080"/>
      <w:sz w:val="24"/>
      <w:szCs w:val="24"/>
    </w:rPr>
  </w:style>
  <w:style w:type="paragraph" w:customStyle="1" w:styleId="978">
    <w:name w:val="检箭头正文"/>
    <w:basedOn w:val="649"/>
    <w:link w:val="977"/>
    <w:qFormat/>
    <w:uiPriority w:val="0"/>
    <w:pPr>
      <w:ind w:left="1050" w:firstLine="0" w:firstLineChars="0"/>
      <w:jc w:val="left"/>
    </w:pPr>
    <w:rPr>
      <w:rFonts w:ascii="宋体" w:hAnsi="宋体" w:eastAsia="仿宋_GB2312" w:cs="Times New Roman"/>
      <w:snapToGrid w:val="0"/>
      <w:color w:val="800080"/>
      <w:kern w:val="0"/>
      <w:szCs w:val="24"/>
    </w:rPr>
  </w:style>
  <w:style w:type="character" w:customStyle="1" w:styleId="979">
    <w:name w:val="检无缩居中 Char"/>
    <w:link w:val="980"/>
    <w:qFormat/>
    <w:uiPriority w:val="0"/>
    <w:rPr>
      <w:rFonts w:eastAsia="仿宋_GB2312"/>
      <w:sz w:val="24"/>
    </w:rPr>
  </w:style>
  <w:style w:type="paragraph" w:customStyle="1" w:styleId="980">
    <w:name w:val="检无缩居中"/>
    <w:basedOn w:val="1"/>
    <w:link w:val="979"/>
    <w:qFormat/>
    <w:uiPriority w:val="0"/>
    <w:pPr>
      <w:widowControl w:val="0"/>
      <w:spacing w:line="360" w:lineRule="auto"/>
      <w:jc w:val="center"/>
    </w:pPr>
    <w:rPr>
      <w:rFonts w:eastAsia="仿宋_GB2312"/>
      <w:szCs w:val="20"/>
    </w:rPr>
  </w:style>
  <w:style w:type="paragraph" w:customStyle="1" w:styleId="981">
    <w:name w:val="市场调研报告正文样式"/>
    <w:basedOn w:val="1"/>
    <w:link w:val="982"/>
    <w:qFormat/>
    <w:uiPriority w:val="0"/>
    <w:pPr>
      <w:widowControl w:val="0"/>
      <w:spacing w:afterLines="50" w:line="276" w:lineRule="auto"/>
      <w:ind w:firstLine="200" w:firstLineChars="200"/>
      <w:jc w:val="both"/>
    </w:pPr>
    <w:rPr>
      <w:kern w:val="2"/>
      <w:sz w:val="21"/>
      <w:szCs w:val="20"/>
    </w:rPr>
  </w:style>
  <w:style w:type="character" w:customStyle="1" w:styleId="982">
    <w:name w:val="市场调研报告正文样式 Char"/>
    <w:link w:val="981"/>
    <w:qFormat/>
    <w:uiPriority w:val="0"/>
    <w:rPr>
      <w:kern w:val="2"/>
      <w:sz w:val="21"/>
    </w:rPr>
  </w:style>
  <w:style w:type="paragraph" w:customStyle="1" w:styleId="983">
    <w:name w:val="font33"/>
    <w:basedOn w:val="1"/>
    <w:qFormat/>
    <w:uiPriority w:val="0"/>
    <w:pPr>
      <w:spacing w:before="100" w:beforeAutospacing="1" w:after="100" w:afterAutospacing="1"/>
    </w:pPr>
    <w:rPr>
      <w:rFonts w:ascii="宋体" w:hAnsi="宋体" w:cs="宋体"/>
      <w:b/>
      <w:bCs/>
      <w:color w:val="000000"/>
      <w:sz w:val="20"/>
      <w:szCs w:val="20"/>
    </w:rPr>
  </w:style>
  <w:style w:type="paragraph" w:customStyle="1" w:styleId="984">
    <w:name w:val="font34"/>
    <w:basedOn w:val="1"/>
    <w:qFormat/>
    <w:uiPriority w:val="0"/>
    <w:pPr>
      <w:spacing w:before="100" w:beforeAutospacing="1" w:after="100" w:afterAutospacing="1"/>
    </w:pPr>
    <w:rPr>
      <w:rFonts w:ascii="宋体" w:hAnsi="宋体" w:cs="宋体"/>
      <w:color w:val="000000"/>
      <w:sz w:val="20"/>
      <w:szCs w:val="20"/>
    </w:rPr>
  </w:style>
  <w:style w:type="paragraph" w:customStyle="1" w:styleId="985">
    <w:name w:val="font35"/>
    <w:basedOn w:val="1"/>
    <w:qFormat/>
    <w:uiPriority w:val="0"/>
    <w:pPr>
      <w:spacing w:before="100" w:beforeAutospacing="1" w:after="100" w:afterAutospacing="1"/>
    </w:pPr>
    <w:rPr>
      <w:rFonts w:ascii="宋体" w:hAnsi="宋体" w:cs="宋体"/>
      <w:b/>
      <w:bCs/>
      <w:color w:val="000000"/>
      <w:sz w:val="20"/>
      <w:szCs w:val="20"/>
    </w:rPr>
  </w:style>
  <w:style w:type="paragraph" w:customStyle="1" w:styleId="986">
    <w:name w:val="font36"/>
    <w:basedOn w:val="1"/>
    <w:qFormat/>
    <w:uiPriority w:val="0"/>
    <w:pPr>
      <w:spacing w:before="100" w:beforeAutospacing="1" w:after="100" w:afterAutospacing="1"/>
    </w:pPr>
    <w:rPr>
      <w:rFonts w:ascii="宋体" w:hAnsi="宋体" w:cs="宋体"/>
      <w:sz w:val="18"/>
      <w:szCs w:val="18"/>
    </w:rPr>
  </w:style>
  <w:style w:type="paragraph" w:customStyle="1" w:styleId="987">
    <w:name w:val="xl209"/>
    <w:basedOn w:val="1"/>
    <w:qFormat/>
    <w:uiPriority w:val="0"/>
    <w:pPr>
      <w:pBdr>
        <w:top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988">
    <w:name w:val="xl210"/>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989">
    <w:name w:val="xl211"/>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990">
    <w:name w:val="xl212"/>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991">
    <w:name w:val="xl213"/>
    <w:basedOn w:val="1"/>
    <w:qFormat/>
    <w:uiPriority w:val="0"/>
    <w:pPr>
      <w:pBdr>
        <w:top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992">
    <w:name w:val="xl214"/>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993">
    <w:name w:val="xl215"/>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pPr>
    <w:rPr>
      <w:rFonts w:ascii="宋体" w:hAnsi="宋体" w:cs="宋体"/>
      <w:b/>
      <w:bCs/>
      <w:sz w:val="20"/>
      <w:szCs w:val="20"/>
    </w:rPr>
  </w:style>
  <w:style w:type="paragraph" w:customStyle="1" w:styleId="994">
    <w:name w:val="xl21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b/>
      <w:bCs/>
      <w:sz w:val="20"/>
      <w:szCs w:val="20"/>
    </w:rPr>
  </w:style>
  <w:style w:type="paragraph" w:customStyle="1" w:styleId="995">
    <w:name w:val="xl21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b/>
      <w:bCs/>
      <w:sz w:val="20"/>
      <w:szCs w:val="20"/>
    </w:rPr>
  </w:style>
  <w:style w:type="paragraph" w:customStyle="1" w:styleId="996">
    <w:name w:val="font37"/>
    <w:basedOn w:val="1"/>
    <w:qFormat/>
    <w:uiPriority w:val="0"/>
    <w:pPr>
      <w:spacing w:before="100" w:beforeAutospacing="1" w:after="100" w:afterAutospacing="1"/>
    </w:pPr>
    <w:rPr>
      <w:rFonts w:ascii="宋体" w:hAnsi="宋体" w:cs="宋体"/>
      <w:color w:val="000000"/>
      <w:sz w:val="20"/>
      <w:szCs w:val="20"/>
    </w:rPr>
  </w:style>
  <w:style w:type="paragraph" w:customStyle="1" w:styleId="997">
    <w:name w:val="font38"/>
    <w:basedOn w:val="1"/>
    <w:qFormat/>
    <w:uiPriority w:val="0"/>
    <w:pPr>
      <w:spacing w:before="100" w:beforeAutospacing="1" w:after="100" w:afterAutospacing="1"/>
    </w:pPr>
    <w:rPr>
      <w:rFonts w:ascii="宋体" w:hAnsi="宋体" w:cs="宋体"/>
      <w:color w:val="000000"/>
      <w:sz w:val="20"/>
      <w:szCs w:val="20"/>
    </w:rPr>
  </w:style>
  <w:style w:type="paragraph" w:customStyle="1" w:styleId="998">
    <w:name w:val="font39"/>
    <w:basedOn w:val="1"/>
    <w:qFormat/>
    <w:uiPriority w:val="0"/>
    <w:pPr>
      <w:spacing w:before="100" w:beforeAutospacing="1" w:after="100" w:afterAutospacing="1"/>
    </w:pPr>
    <w:rPr>
      <w:rFonts w:ascii="宋体" w:hAnsi="宋体" w:cs="宋体"/>
      <w:color w:val="000000"/>
      <w:sz w:val="20"/>
      <w:szCs w:val="20"/>
    </w:rPr>
  </w:style>
  <w:style w:type="paragraph" w:customStyle="1" w:styleId="999">
    <w:name w:val="xl218"/>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16"/>
      <w:szCs w:val="16"/>
    </w:rPr>
  </w:style>
  <w:style w:type="character" w:customStyle="1" w:styleId="1000">
    <w:name w:val="fontstyle01"/>
    <w:basedOn w:val="65"/>
    <w:qFormat/>
    <w:uiPriority w:val="0"/>
    <w:rPr>
      <w:rFonts w:hint="eastAsia" w:ascii="宋体" w:hAnsi="宋体" w:eastAsia="宋体"/>
      <w:color w:val="000000"/>
      <w:sz w:val="32"/>
      <w:szCs w:val="32"/>
    </w:rPr>
  </w:style>
  <w:style w:type="character" w:customStyle="1" w:styleId="1001">
    <w:name w:val="标题 3 Char1"/>
    <w:qFormat/>
    <w:uiPriority w:val="0"/>
    <w:rPr>
      <w:rFonts w:eastAsia="黑体"/>
      <w:bCs/>
      <w:kern w:val="2"/>
      <w:sz w:val="32"/>
      <w:szCs w:val="32"/>
    </w:rPr>
  </w:style>
  <w:style w:type="paragraph" w:customStyle="1" w:styleId="1002">
    <w:name w:val="TOC 标题2"/>
    <w:basedOn w:val="3"/>
    <w:next w:val="1"/>
    <w:unhideWhenUsed/>
    <w:qFormat/>
    <w:uiPriority w:val="39"/>
    <w:pPr>
      <w:widowControl/>
      <w:numPr>
        <w:numId w:val="0"/>
      </w:numPr>
      <w:adjustRightInd/>
      <w:spacing w:beforeLines="0" w:afterLines="0" w:line="259" w:lineRule="auto"/>
      <w:textAlignment w:val="auto"/>
      <w:outlineLvl w:val="9"/>
    </w:pPr>
    <w:rPr>
      <w:rFonts w:ascii="等线 Light" w:hAnsi="等线 Light" w:eastAsia="等线 Light"/>
      <w:b w:val="0"/>
      <w:color w:val="2E75B5"/>
      <w:spacing w:val="0"/>
      <w:kern w:val="0"/>
      <w:sz w:val="32"/>
      <w:szCs w:val="32"/>
    </w:rPr>
  </w:style>
  <w:style w:type="paragraph" w:customStyle="1" w:styleId="1003">
    <w:name w:val="样式"/>
    <w:qFormat/>
    <w:uiPriority w:val="0"/>
    <w:pPr>
      <w:widowControl w:val="0"/>
      <w:autoSpaceDE w:val="0"/>
      <w:autoSpaceDN w:val="0"/>
      <w:adjustRightInd w:val="0"/>
    </w:pPr>
    <w:rPr>
      <w:rFonts w:ascii="宋体" w:hAnsi="宋体" w:eastAsia="宋体" w:cs="宋体"/>
      <w:sz w:val="24"/>
      <w:szCs w:val="24"/>
      <w:lang w:val="en-US" w:eastAsia="zh-CN" w:bidi="he-IL"/>
    </w:rPr>
  </w:style>
  <w:style w:type="paragraph" w:customStyle="1" w:styleId="1004">
    <w:name w:val="修订2"/>
    <w:unhideWhenUsed/>
    <w:qFormat/>
    <w:uiPriority w:val="99"/>
    <w:rPr>
      <w:rFonts w:ascii="等线" w:hAnsi="等线" w:eastAsia="等线" w:cs="Times New Roman"/>
      <w:kern w:val="2"/>
      <w:sz w:val="21"/>
      <w:szCs w:val="22"/>
      <w:lang w:val="en-US" w:eastAsia="zh-CN" w:bidi="ar-SA"/>
    </w:rPr>
  </w:style>
  <w:style w:type="paragraph" w:customStyle="1" w:styleId="1005">
    <w:name w:val="L4"/>
    <w:basedOn w:val="1006"/>
    <w:qFormat/>
    <w:uiPriority w:val="0"/>
    <w:pPr>
      <w:outlineLvl w:val="3"/>
    </w:pPr>
  </w:style>
  <w:style w:type="paragraph" w:customStyle="1" w:styleId="1006">
    <w:name w:val="L3"/>
    <w:basedOn w:val="1"/>
    <w:qFormat/>
    <w:uiPriority w:val="0"/>
    <w:pPr>
      <w:spacing w:before="100" w:beforeAutospacing="1" w:after="100" w:afterAutospacing="1" w:line="360" w:lineRule="auto"/>
      <w:ind w:left="720" w:hanging="720"/>
      <w:outlineLvl w:val="2"/>
    </w:pPr>
    <w:rPr>
      <w:rFonts w:ascii="宋体" w:hAnsi="宋体" w:eastAsia="黑体"/>
      <w:b/>
      <w:sz w:val="28"/>
    </w:rPr>
  </w:style>
  <w:style w:type="paragraph" w:customStyle="1" w:styleId="1007">
    <w:name w:val="L1"/>
    <w:basedOn w:val="1006"/>
    <w:qFormat/>
    <w:uiPriority w:val="0"/>
    <w:pPr>
      <w:ind w:left="168" w:hanging="315"/>
      <w:outlineLvl w:val="0"/>
    </w:pPr>
    <w:rPr>
      <w:sz w:val="44"/>
    </w:rPr>
  </w:style>
  <w:style w:type="paragraph" w:customStyle="1" w:styleId="1008">
    <w:name w:val="正文标题后"/>
    <w:basedOn w:val="1"/>
    <w:qFormat/>
    <w:uiPriority w:val="0"/>
    <w:pPr>
      <w:spacing w:before="100" w:beforeAutospacing="1" w:after="100" w:afterAutospacing="1" w:line="360" w:lineRule="auto"/>
      <w:ind w:firstLine="480" w:firstLineChars="200"/>
    </w:pPr>
    <w:rPr>
      <w:rFonts w:ascii="宋体" w:hAnsi="宋体" w:eastAsia="仿宋"/>
      <w:sz w:val="28"/>
      <w:szCs w:val="20"/>
    </w:rPr>
  </w:style>
  <w:style w:type="paragraph" w:customStyle="1" w:styleId="1009">
    <w:name w:val="表内文字居左"/>
    <w:qFormat/>
    <w:uiPriority w:val="0"/>
    <w:pPr>
      <w:widowControl w:val="0"/>
      <w:adjustRightInd w:val="0"/>
      <w:snapToGrid w:val="0"/>
      <w:spacing w:line="312" w:lineRule="auto"/>
    </w:pPr>
    <w:rPr>
      <w:rFonts w:ascii="Times New Roman" w:hAnsi="Times New Roman" w:eastAsia="宋体" w:cs="Times New Roman"/>
      <w:kern w:val="2"/>
      <w:sz w:val="21"/>
      <w:szCs w:val="21"/>
      <w:lang w:val="en-US" w:eastAsia="zh-CN" w:bidi="ar-SA"/>
    </w:rPr>
  </w:style>
  <w:style w:type="paragraph" w:customStyle="1" w:styleId="1010">
    <w:name w:val="插图居中"/>
    <w:basedOn w:val="1"/>
    <w:next w:val="1"/>
    <w:qFormat/>
    <w:uiPriority w:val="0"/>
    <w:pPr>
      <w:spacing w:beforeLines="50" w:beforeAutospacing="1" w:afterLines="50" w:afterAutospacing="1" w:line="360" w:lineRule="auto"/>
      <w:ind w:firstLine="200" w:firstLineChars="200"/>
      <w:jc w:val="center"/>
    </w:pPr>
    <w:rPr>
      <w:rFonts w:ascii="宋体" w:hAnsi="宋体" w:eastAsia="仿宋"/>
    </w:rPr>
  </w:style>
  <w:style w:type="paragraph" w:customStyle="1" w:styleId="1011">
    <w:name w:val="彩色列表 - 着色 11"/>
    <w:basedOn w:val="1"/>
    <w:qFormat/>
    <w:uiPriority w:val="0"/>
    <w:pPr>
      <w:spacing w:before="100" w:beforeAutospacing="1" w:after="100" w:afterAutospacing="1" w:line="360" w:lineRule="auto"/>
      <w:ind w:firstLine="420" w:firstLineChars="200"/>
    </w:pPr>
    <w:rPr>
      <w:rFonts w:ascii="宋体" w:hAnsi="宋体" w:eastAsia="仿宋"/>
      <w:sz w:val="28"/>
    </w:rPr>
  </w:style>
  <w:style w:type="paragraph" w:customStyle="1" w:styleId="1012">
    <w:name w:val="方案正文"/>
    <w:basedOn w:val="26"/>
    <w:qFormat/>
    <w:uiPriority w:val="0"/>
    <w:pPr>
      <w:spacing w:before="100" w:beforeAutospacing="1" w:afterAutospacing="1" w:line="360" w:lineRule="auto"/>
      <w:ind w:firstLine="359" w:firstLineChars="171"/>
    </w:pPr>
    <w:rPr>
      <w:rFonts w:ascii="Arial" w:hAnsi="Arial" w:eastAsia="仿宋" w:cs="宋体"/>
      <w:kern w:val="2"/>
      <w:szCs w:val="21"/>
    </w:rPr>
  </w:style>
  <w:style w:type="paragraph" w:customStyle="1" w:styleId="1013">
    <w:name w:val="_Style 4"/>
    <w:basedOn w:val="1"/>
    <w:qFormat/>
    <w:uiPriority w:val="0"/>
    <w:pPr>
      <w:spacing w:beforeLines="50" w:beforeAutospacing="1" w:afterLines="50" w:afterAutospacing="1" w:line="360" w:lineRule="auto"/>
      <w:ind w:firstLine="420" w:firstLineChars="200"/>
    </w:pPr>
    <w:rPr>
      <w:rFonts w:ascii="仿宋" w:hAnsi="等线" w:eastAsia="仿宋"/>
      <w:kern w:val="2"/>
    </w:rPr>
  </w:style>
  <w:style w:type="paragraph" w:customStyle="1" w:styleId="1014">
    <w:name w:val="List Paragraph1"/>
    <w:basedOn w:val="1"/>
    <w:qFormat/>
    <w:uiPriority w:val="34"/>
    <w:pPr>
      <w:spacing w:before="100" w:beforeAutospacing="1" w:after="100" w:afterAutospacing="1" w:line="360" w:lineRule="auto"/>
      <w:ind w:firstLine="420" w:firstLineChars="200"/>
    </w:pPr>
    <w:rPr>
      <w:rFonts w:ascii="宋体" w:hAnsi="宋体" w:eastAsia="仿宋"/>
      <w:sz w:val="32"/>
    </w:rPr>
  </w:style>
  <w:style w:type="paragraph" w:customStyle="1" w:styleId="1015">
    <w:name w:val="表格样式居左"/>
    <w:qFormat/>
    <w:uiPriority w:val="0"/>
    <w:pPr>
      <w:adjustRightInd w:val="0"/>
      <w:snapToGrid w:val="0"/>
      <w:spacing w:line="360" w:lineRule="exact"/>
    </w:pPr>
    <w:rPr>
      <w:rFonts w:ascii="等线" w:hAnsi="等线" w:eastAsia="仿宋_GB2312" w:cs="Times New Roman"/>
      <w:bCs/>
      <w:color w:val="000000"/>
      <w:sz w:val="21"/>
      <w:szCs w:val="44"/>
      <w:lang w:val="en-US" w:eastAsia="zh-CN" w:bidi="ar-SA"/>
    </w:rPr>
  </w:style>
  <w:style w:type="paragraph" w:customStyle="1" w:styleId="1016">
    <w:name w:val="L2"/>
    <w:basedOn w:val="1"/>
    <w:qFormat/>
    <w:uiPriority w:val="0"/>
    <w:pPr>
      <w:spacing w:before="100" w:beforeAutospacing="1" w:after="100" w:afterAutospacing="1" w:line="360" w:lineRule="auto"/>
      <w:ind w:left="576" w:hanging="576"/>
      <w:outlineLvl w:val="1"/>
    </w:pPr>
    <w:rPr>
      <w:rFonts w:ascii="宋体" w:hAnsi="宋体" w:eastAsia="黑体"/>
      <w:b/>
      <w:sz w:val="36"/>
    </w:rPr>
  </w:style>
  <w:style w:type="character" w:customStyle="1" w:styleId="1017">
    <w:name w:val="font41"/>
    <w:basedOn w:val="65"/>
    <w:qFormat/>
    <w:uiPriority w:val="0"/>
    <w:rPr>
      <w:rFonts w:hint="default" w:ascii="等线" w:hAnsi="等线" w:eastAsia="等线" w:cs="等线"/>
      <w:color w:val="000000"/>
      <w:sz w:val="22"/>
      <w:szCs w:val="22"/>
      <w:u w:val="none"/>
    </w:rPr>
  </w:style>
  <w:style w:type="character" w:customStyle="1" w:styleId="1018">
    <w:name w:val="font71"/>
    <w:basedOn w:val="65"/>
    <w:qFormat/>
    <w:uiPriority w:val="0"/>
    <w:rPr>
      <w:rFonts w:hint="default" w:ascii="等线" w:hAnsi="等线" w:eastAsia="等线" w:cs="等线"/>
      <w:color w:val="000000"/>
      <w:sz w:val="22"/>
      <w:szCs w:val="22"/>
      <w:u w:val="none"/>
    </w:rPr>
  </w:style>
  <w:style w:type="character" w:customStyle="1" w:styleId="1019">
    <w:name w:val="font61"/>
    <w:basedOn w:val="65"/>
    <w:qFormat/>
    <w:uiPriority w:val="0"/>
    <w:rPr>
      <w:rFonts w:hint="eastAsia" w:ascii="宋体" w:hAnsi="宋体" w:eastAsia="宋体" w:cs="宋体"/>
      <w:color w:val="000000"/>
      <w:sz w:val="18"/>
      <w:szCs w:val="18"/>
      <w:u w:val="none"/>
    </w:rPr>
  </w:style>
  <w:style w:type="character" w:customStyle="1" w:styleId="1020">
    <w:name w:val="font01"/>
    <w:basedOn w:val="65"/>
    <w:qFormat/>
    <w:uiPriority w:val="0"/>
    <w:rPr>
      <w:rFonts w:hint="default" w:ascii="等线" w:hAnsi="等线" w:eastAsia="等线" w:cs="等线"/>
      <w:color w:val="000000"/>
      <w:sz w:val="22"/>
      <w:szCs w:val="22"/>
      <w:u w:val="none"/>
    </w:rPr>
  </w:style>
  <w:style w:type="table" w:customStyle="1" w:styleId="1021">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022">
    <w:name w:val="font81"/>
    <w:basedOn w:val="65"/>
    <w:qFormat/>
    <w:uiPriority w:val="0"/>
    <w:rPr>
      <w:rFonts w:hint="eastAsia" w:ascii="宋体" w:hAnsi="宋体" w:eastAsia="宋体" w:cs="宋体"/>
      <w:color w:val="DD0806"/>
      <w:sz w:val="24"/>
      <w:szCs w:val="24"/>
      <w:u w:val="none"/>
    </w:rPr>
  </w:style>
  <w:style w:type="character" w:customStyle="1" w:styleId="1023">
    <w:name w:val="font51"/>
    <w:basedOn w:val="65"/>
    <w:qFormat/>
    <w:uiPriority w:val="0"/>
    <w:rPr>
      <w:rFonts w:hint="eastAsia" w:ascii="宋体" w:hAnsi="宋体" w:eastAsia="宋体" w:cs="宋体"/>
      <w:color w:val="000000"/>
      <w:sz w:val="24"/>
      <w:szCs w:val="24"/>
      <w:u w:val="none"/>
    </w:rPr>
  </w:style>
  <w:style w:type="character" w:customStyle="1" w:styleId="1024">
    <w:name w:val="font91"/>
    <w:basedOn w:val="65"/>
    <w:qFormat/>
    <w:uiPriority w:val="0"/>
    <w:rPr>
      <w:rFonts w:hint="eastAsia" w:ascii="宋体" w:hAnsi="宋体" w:eastAsia="宋体" w:cs="宋体"/>
      <w:color w:val="000000"/>
      <w:sz w:val="24"/>
      <w:szCs w:val="24"/>
      <w:u w:val="none"/>
    </w:rPr>
  </w:style>
  <w:style w:type="paragraph" w:customStyle="1" w:styleId="1025">
    <w:name w:val="Normal1"/>
    <w:qFormat/>
    <w:uiPriority w:val="0"/>
    <w:rPr>
      <w:rFonts w:ascii="Calibri" w:hAnsi="Calibri" w:eastAsia="Times New Roman" w:cs="Times New Roman"/>
      <w:sz w:val="24"/>
      <w:szCs w:val="24"/>
      <w:lang w:val="en-US" w:eastAsia="zh-CN" w:bidi="ar-SA"/>
    </w:rPr>
  </w:style>
  <w:style w:type="character" w:customStyle="1" w:styleId="1026">
    <w:name w:val="NormalCharacter"/>
    <w:semiHidden/>
    <w:qFormat/>
    <w:uiPriority w:val="0"/>
    <w:rPr>
      <w:rFonts w:ascii="Tahoma" w:hAnsi="Tahoma" w:eastAsia="微软雅黑" w:cstheme="minorBidi"/>
      <w:sz w:val="22"/>
      <w:szCs w:val="22"/>
      <w:lang w:val="en-US" w:eastAsia="zh-CN" w:bidi="ar-SA"/>
    </w:rPr>
  </w:style>
  <w:style w:type="paragraph" w:customStyle="1" w:styleId="1027">
    <w:name w:val="没有缩进（为图形使用）"/>
    <w:basedOn w:val="1"/>
    <w:qFormat/>
    <w:uiPriority w:val="0"/>
    <w:pPr>
      <w:spacing w:before="120" w:after="120"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pn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header" Target="header2.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pn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1.bin"/><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0"/>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386D2F-0CCE-4E1F-B5D3-AB5BBC71C9D9}">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169</Pages>
  <Words>63736</Words>
  <Characters>69468</Characters>
  <Lines>361</Lines>
  <Paragraphs>101</Paragraphs>
  <TotalTime>0</TotalTime>
  <ScaleCrop>false</ScaleCrop>
  <LinksUpToDate>false</LinksUpToDate>
  <CharactersWithSpaces>74722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2018-09-18T14:43:00Z</dcterms:created>
  <dc:creator>微软用户</dc:creator>
  <cp:lastModifiedBy>Administrator</cp:lastModifiedBy>
  <cp:lastPrinted>2019-11-19T03:45:00Z</cp:lastPrinted>
  <dcterms:modified xsi:type="dcterms:W3CDTF">2023-06-02T09:39:10Z</dcterms:modified>
  <dc:title>嘉峪关市公安局指挥中心建设政府采购项目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36997207661349B5826D59E11A612358_12</vt:lpwstr>
  </property>
</Properties>
</file>