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0" w:name="_Toc35393832"/>
      <w:bookmarkStart w:id="1" w:name="_Toc28359042"/>
      <w:r>
        <w:rPr>
          <w:rFonts w:hint="eastAsia" w:ascii="华文中宋" w:hAnsi="华文中宋" w:eastAsia="华文中宋"/>
        </w:rPr>
        <w:t>单一来源采购公示</w:t>
      </w:r>
      <w:bookmarkEnd w:id="0"/>
      <w:bookmarkEnd w:id="1"/>
    </w:p>
    <w:p>
      <w:pPr>
        <w:rPr>
          <w:rFonts w:ascii="黑体" w:hAnsi="黑体" w:eastAsia="黑体"/>
          <w:sz w:val="28"/>
          <w:szCs w:val="28"/>
        </w:rPr>
      </w:pPr>
      <w:r>
        <w:rPr>
          <w:rFonts w:hint="eastAsia" w:ascii="黑体" w:hAnsi="黑体" w:eastAsia="黑体"/>
          <w:sz w:val="28"/>
          <w:szCs w:val="28"/>
        </w:rPr>
        <w:t>一、项目信息</w:t>
      </w:r>
    </w:p>
    <w:p>
      <w:pPr>
        <w:ind w:firstLine="560" w:firstLineChars="200"/>
        <w:rPr>
          <w:rFonts w:ascii="仿宋" w:hAnsi="仿宋" w:eastAsia="仿宋"/>
          <w:sz w:val="28"/>
          <w:szCs w:val="28"/>
        </w:rPr>
      </w:pPr>
      <w:r>
        <w:rPr>
          <w:rFonts w:hint="eastAsia" w:ascii="仿宋" w:hAnsi="仿宋" w:eastAsia="仿宋"/>
          <w:sz w:val="28"/>
          <w:szCs w:val="28"/>
        </w:rPr>
        <w:t>采购人：</w:t>
      </w:r>
      <w:r>
        <w:rPr>
          <w:rFonts w:hint="eastAsia" w:ascii="仿宋" w:hAnsi="仿宋" w:eastAsia="仿宋"/>
          <w:sz w:val="28"/>
          <w:szCs w:val="28"/>
          <w:u w:val="single"/>
        </w:rPr>
        <w:t>甘肃交通职业技术学院</w:t>
      </w:r>
    </w:p>
    <w:p>
      <w:pPr>
        <w:ind w:firstLine="560" w:firstLineChars="200"/>
        <w:rPr>
          <w:rFonts w:hint="eastAsia"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甘肃交通职业技术学院新校区智慧校园集成与优化建设（财务内控信息化平台建设采购二期）项目</w:t>
      </w:r>
    </w:p>
    <w:p>
      <w:pPr>
        <w:ind w:firstLine="560" w:firstLineChars="200"/>
        <w:rPr>
          <w:rFonts w:hint="eastAsia" w:ascii="仿宋" w:hAnsi="仿宋" w:eastAsia="仿宋"/>
          <w:sz w:val="28"/>
          <w:szCs w:val="28"/>
          <w:u w:val="single"/>
        </w:rPr>
      </w:pPr>
      <w:r>
        <w:rPr>
          <w:rFonts w:hint="eastAsia" w:ascii="仿宋" w:hAnsi="仿宋" w:eastAsia="仿宋"/>
          <w:sz w:val="28"/>
          <w:szCs w:val="28"/>
        </w:rPr>
        <w:t>拟</w:t>
      </w:r>
      <w:r>
        <w:rPr>
          <w:rFonts w:ascii="仿宋" w:hAnsi="仿宋" w:eastAsia="仿宋"/>
          <w:sz w:val="28"/>
          <w:szCs w:val="28"/>
        </w:rPr>
        <w:t>采购的货物或服务的说明</w:t>
      </w:r>
      <w:r>
        <w:rPr>
          <w:rFonts w:hint="eastAsia" w:ascii="仿宋" w:hAnsi="仿宋" w:eastAsia="仿宋"/>
          <w:sz w:val="28"/>
          <w:szCs w:val="28"/>
        </w:rPr>
        <w:t>：</w:t>
      </w:r>
      <w:r>
        <w:rPr>
          <w:rFonts w:hint="eastAsia" w:ascii="仿宋" w:hAnsi="仿宋" w:eastAsia="仿宋"/>
          <w:sz w:val="28"/>
          <w:szCs w:val="28"/>
          <w:u w:val="single"/>
        </w:rPr>
        <w:t>根据中共中央国务院、财政部关于行政事业单位全面实施预算绩效管理、业财融合的政策要求，甘肃交通职业技术学院为了提高学院财务预算管理及财务内控信息化水平，大幅提升和完善原有财务管理系统性能，规范采购管理、档案合同管理、领导决策分析为实施全面预算绩效管理奠定良好基础。随着业务的增加及功能需求扩充，需要对财务内控信息化平台软件系统进行升级、扩容。</w:t>
      </w:r>
    </w:p>
    <w:p>
      <w:pPr>
        <w:ind w:firstLine="560" w:firstLineChars="200"/>
        <w:rPr>
          <w:rFonts w:hint="eastAsia" w:ascii="仿宋" w:hAnsi="仿宋" w:eastAsia="仿宋"/>
          <w:sz w:val="28"/>
          <w:szCs w:val="28"/>
          <w:u w:val="single"/>
          <w:lang w:val="en-US" w:eastAsia="zh-CN"/>
        </w:rPr>
      </w:pPr>
      <w:r>
        <w:rPr>
          <w:rFonts w:hint="eastAsia" w:ascii="仿宋" w:hAnsi="仿宋" w:eastAsia="仿宋"/>
          <w:sz w:val="28"/>
          <w:szCs w:val="28"/>
        </w:rPr>
        <w:t>拟</w:t>
      </w:r>
      <w:r>
        <w:rPr>
          <w:rFonts w:ascii="仿宋" w:hAnsi="仿宋" w:eastAsia="仿宋"/>
          <w:sz w:val="28"/>
          <w:szCs w:val="28"/>
        </w:rPr>
        <w:t>采购的货物或服务的预算金额</w:t>
      </w:r>
      <w:r>
        <w:rPr>
          <w:rFonts w:hint="eastAsia" w:ascii="仿宋" w:hAnsi="仿宋" w:eastAsia="仿宋"/>
          <w:sz w:val="28"/>
          <w:szCs w:val="28"/>
        </w:rPr>
        <w:t>：</w:t>
      </w:r>
      <w:r>
        <w:rPr>
          <w:rFonts w:hint="eastAsia" w:ascii="仿宋" w:hAnsi="仿宋" w:eastAsia="仿宋"/>
          <w:sz w:val="28"/>
          <w:szCs w:val="28"/>
          <w:u w:val="single"/>
        </w:rPr>
        <w:t>220.4</w:t>
      </w:r>
      <w:r>
        <w:rPr>
          <w:rFonts w:hint="eastAsia" w:ascii="仿宋" w:hAnsi="仿宋" w:eastAsia="仿宋"/>
          <w:sz w:val="28"/>
          <w:szCs w:val="28"/>
          <w:u w:val="single"/>
          <w:lang w:val="en-US" w:eastAsia="zh-CN"/>
        </w:rPr>
        <w:t>万元</w:t>
      </w:r>
    </w:p>
    <w:p>
      <w:pPr>
        <w:ind w:firstLine="560" w:firstLineChars="200"/>
        <w:rPr>
          <w:rFonts w:ascii="仿宋" w:hAnsi="仿宋" w:eastAsia="仿宋"/>
          <w:sz w:val="28"/>
          <w:szCs w:val="28"/>
          <w:u w:val="single"/>
        </w:rPr>
      </w:pPr>
      <w:r>
        <w:rPr>
          <w:rFonts w:hint="eastAsia" w:ascii="仿宋" w:hAnsi="仿宋" w:eastAsia="仿宋"/>
          <w:sz w:val="28"/>
          <w:szCs w:val="28"/>
        </w:rPr>
        <w:t>采用单一来源采购方式的原因及说明：</w:t>
      </w:r>
      <w:r>
        <w:rPr>
          <w:rFonts w:hint="eastAsia" w:ascii="仿宋" w:hAnsi="仿宋" w:eastAsia="仿宋"/>
          <w:sz w:val="28"/>
          <w:szCs w:val="28"/>
          <w:u w:val="single"/>
        </w:rPr>
        <w:t>由于学院一直采用用友软件进行财务管理，目前使用的用友财务内控信息化平台版本已不能满足实际工作的需要，为了满足学院对预算精细化管理和一体化平台管理的要求，保证与现有系统已有数据资源无缝衔接，保证系统建设的一致性、稳定性和数据的安全性，避免重复投资，节约运维成本，保障系统服务的有效性和及时性，只能采购用友财务内控管理平台。原财务软件内控平台由兰州用恒电子科技有限公司于2018年中标承建并提供运维，且经调查了解、该公司能为学院提供较好的质量保证和服务。该供应商是兰州地区高校行业用友政务授权的代理商。为了保证原有采购项目一致性和服务配套的要求，因此本次采购具有唯一性和延续性，必须采用单一来源方式进行采购，由兰州用恒电子科技有限公司负责实施具有现实的和技术的可行性。</w:t>
      </w:r>
    </w:p>
    <w:p>
      <w:pPr>
        <w:rPr>
          <w:rFonts w:ascii="黑体" w:hAnsi="黑体" w:eastAsia="黑体"/>
          <w:sz w:val="28"/>
          <w:szCs w:val="28"/>
        </w:rPr>
      </w:pPr>
      <w:r>
        <w:rPr>
          <w:rFonts w:hint="eastAsia" w:ascii="黑体" w:hAnsi="黑体" w:eastAsia="黑体"/>
          <w:sz w:val="28"/>
          <w:szCs w:val="28"/>
        </w:rPr>
        <w:t>二、拟定供应商信息</w:t>
      </w:r>
    </w:p>
    <w:p>
      <w:pPr>
        <w:ind w:firstLine="560" w:firstLineChars="200"/>
        <w:rPr>
          <w:rFonts w:hint="eastAsia" w:ascii="仿宋" w:hAnsi="仿宋" w:eastAsia="仿宋"/>
          <w:sz w:val="28"/>
          <w:szCs w:val="28"/>
        </w:rPr>
      </w:pPr>
      <w:r>
        <w:rPr>
          <w:rFonts w:hint="eastAsia" w:ascii="仿宋" w:hAnsi="仿宋" w:eastAsia="仿宋"/>
          <w:sz w:val="28"/>
          <w:szCs w:val="28"/>
        </w:rPr>
        <w:t>名称：</w:t>
      </w:r>
      <w:r>
        <w:rPr>
          <w:rFonts w:hint="eastAsia" w:ascii="仿宋" w:hAnsi="仿宋" w:eastAsia="仿宋"/>
          <w:sz w:val="28"/>
          <w:szCs w:val="28"/>
          <w:u w:val="single"/>
        </w:rPr>
        <w:t>兰州用恒电子科技有限公司</w:t>
      </w:r>
    </w:p>
    <w:p>
      <w:pPr>
        <w:ind w:firstLine="560" w:firstLineChars="200"/>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rPr>
        <w:t>兰州市城关区临夏路街道绣河沿54号安泰大厦1204室</w:t>
      </w:r>
    </w:p>
    <w:p>
      <w:pPr>
        <w:rPr>
          <w:rFonts w:ascii="黑体" w:hAnsi="黑体" w:eastAsia="黑体"/>
          <w:sz w:val="28"/>
          <w:szCs w:val="28"/>
        </w:rPr>
      </w:pPr>
      <w:r>
        <w:rPr>
          <w:rFonts w:hint="eastAsia" w:ascii="黑体" w:hAnsi="黑体" w:eastAsia="黑体"/>
          <w:sz w:val="28"/>
          <w:szCs w:val="28"/>
        </w:rPr>
        <w:t>三、公示期限</w:t>
      </w:r>
    </w:p>
    <w:p>
      <w:pPr>
        <w:pStyle w:val="6"/>
        <w:ind w:left="-10" w:leftChars="-5" w:firstLine="560"/>
        <w:rPr>
          <w:rFonts w:ascii="仿宋" w:hAnsi="仿宋" w:eastAsia="仿宋"/>
          <w:sz w:val="28"/>
          <w:szCs w:val="28"/>
        </w:rPr>
      </w:pPr>
      <w:r>
        <w:rPr>
          <w:rFonts w:hint="eastAsia" w:ascii="仿宋" w:hAnsi="仿宋" w:eastAsia="仿宋" w:cs="Times New Roman"/>
          <w:kern w:val="2"/>
          <w:sz w:val="28"/>
          <w:szCs w:val="28"/>
          <w:u w:val="single"/>
          <w:lang w:val="en-US" w:eastAsia="zh-CN" w:bidi="ar-SA"/>
        </w:rPr>
        <w:t>2020-09-18至2020-09-24（</w:t>
      </w:r>
      <w:r>
        <w:rPr>
          <w:rFonts w:hint="eastAsia" w:ascii="仿宋" w:hAnsi="仿宋" w:eastAsia="仿宋"/>
          <w:i/>
          <w:sz w:val="28"/>
          <w:szCs w:val="28"/>
          <w:u w:val="single"/>
        </w:rPr>
        <w:t>公示期限不得少于5个工作日</w:t>
      </w:r>
      <w:r>
        <w:rPr>
          <w:rFonts w:hint="eastAsia" w:ascii="仿宋" w:hAnsi="仿宋" w:eastAsia="仿宋"/>
          <w:iCs/>
          <w:sz w:val="28"/>
          <w:szCs w:val="28"/>
          <w:u w:val="single"/>
        </w:rPr>
        <w:t>）</w:t>
      </w:r>
    </w:p>
    <w:p>
      <w:pPr>
        <w:numPr>
          <w:ilvl w:val="0"/>
          <w:numId w:val="1"/>
        </w:numPr>
        <w:rPr>
          <w:rFonts w:hint="eastAsia" w:ascii="黑体" w:hAnsi="黑体" w:eastAsia="黑体"/>
          <w:sz w:val="28"/>
          <w:szCs w:val="28"/>
        </w:rPr>
      </w:pPr>
      <w:r>
        <w:rPr>
          <w:rFonts w:ascii="黑体" w:hAnsi="黑体" w:eastAsia="黑体"/>
          <w:sz w:val="28"/>
          <w:szCs w:val="28"/>
        </w:rPr>
        <w:t>其他</w:t>
      </w:r>
      <w:r>
        <w:rPr>
          <w:rFonts w:hint="eastAsia" w:ascii="黑体" w:hAnsi="黑体" w:eastAsia="黑体"/>
          <w:sz w:val="28"/>
          <w:szCs w:val="28"/>
        </w:rPr>
        <w:t>补充事宜</w:t>
      </w:r>
    </w:p>
    <w:p>
      <w:pPr>
        <w:ind w:firstLine="560" w:firstLineChars="200"/>
        <w:rPr>
          <w:rFonts w:hint="eastAsia" w:ascii="仿宋" w:hAnsi="仿宋" w:eastAsia="仿宋"/>
          <w:sz w:val="28"/>
          <w:szCs w:val="28"/>
          <w:u w:val="single"/>
          <w:lang w:val="en-US" w:eastAsia="zh-CN"/>
        </w:rPr>
      </w:pPr>
      <w:r>
        <w:rPr>
          <w:rFonts w:hint="eastAsia" w:ascii="仿宋" w:hAnsi="仿宋" w:eastAsia="仿宋"/>
          <w:sz w:val="28"/>
          <w:szCs w:val="28"/>
          <w:u w:val="single"/>
          <w:lang w:val="en-US" w:eastAsia="zh-CN"/>
        </w:rPr>
        <w:t>无</w:t>
      </w:r>
    </w:p>
    <w:p>
      <w:pPr>
        <w:rPr>
          <w:rFonts w:ascii="黑体" w:hAnsi="黑体" w:eastAsia="黑体"/>
          <w:sz w:val="28"/>
          <w:szCs w:val="28"/>
        </w:rPr>
      </w:pPr>
      <w:r>
        <w:rPr>
          <w:rFonts w:hint="eastAsia" w:ascii="黑体" w:hAnsi="黑体" w:eastAsia="黑体"/>
          <w:sz w:val="28"/>
          <w:szCs w:val="28"/>
        </w:rPr>
        <w:t>五、联系方式</w:t>
      </w:r>
    </w:p>
    <w:p>
      <w:pPr>
        <w:ind w:firstLine="565" w:firstLineChars="202"/>
        <w:rPr>
          <w:rFonts w:ascii="仿宋" w:hAnsi="仿宋" w:eastAsia="仿宋"/>
          <w:sz w:val="28"/>
          <w:szCs w:val="28"/>
        </w:rPr>
      </w:pPr>
      <w:r>
        <w:rPr>
          <w:rFonts w:hint="eastAsia" w:ascii="仿宋" w:hAnsi="仿宋" w:eastAsia="仿宋"/>
          <w:sz w:val="28"/>
          <w:szCs w:val="28"/>
        </w:rPr>
        <w:t>1.采购人</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甘肃交通职业技术学院</w:t>
      </w:r>
    </w:p>
    <w:p>
      <w:pPr>
        <w:ind w:firstLine="565" w:firstLineChars="202"/>
        <w:rPr>
          <w:rFonts w:hint="eastAsia"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兰州市安宁区邱家湾128号</w:t>
      </w:r>
    </w:p>
    <w:p>
      <w:pPr>
        <w:ind w:firstLine="565" w:firstLineChars="202"/>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rPr>
        <w:t>0931-7676502</w:t>
      </w:r>
    </w:p>
    <w:p>
      <w:pPr>
        <w:ind w:firstLine="565" w:firstLineChars="202"/>
        <w:rPr>
          <w:rFonts w:ascii="仿宋" w:hAnsi="仿宋" w:eastAsia="仿宋"/>
          <w:sz w:val="28"/>
          <w:szCs w:val="28"/>
        </w:rPr>
      </w:pPr>
      <w:r>
        <w:rPr>
          <w:rFonts w:hint="eastAsia" w:ascii="仿宋" w:hAnsi="仿宋" w:eastAsia="仿宋"/>
          <w:sz w:val="28"/>
          <w:szCs w:val="28"/>
        </w:rPr>
        <w:t>2.财政部门</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甘肃省财政厅政府采购监督处</w:t>
      </w:r>
    </w:p>
    <w:p>
      <w:pPr>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兰州市城关区东岗西路696号</w:t>
      </w:r>
    </w:p>
    <w:p>
      <w:pPr>
        <w:ind w:firstLine="565" w:firstLineChars="202"/>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rPr>
        <w:t>0931-8899962</w:t>
      </w:r>
    </w:p>
    <w:p>
      <w:pPr>
        <w:ind w:firstLine="565" w:firstLineChars="202"/>
        <w:rPr>
          <w:rFonts w:ascii="仿宋" w:hAnsi="仿宋" w:eastAsia="仿宋"/>
          <w:sz w:val="28"/>
          <w:szCs w:val="28"/>
        </w:rPr>
      </w:pPr>
      <w:r>
        <w:rPr>
          <w:rFonts w:hint="eastAsia" w:ascii="仿宋" w:hAnsi="仿宋" w:eastAsia="仿宋"/>
          <w:sz w:val="28"/>
          <w:szCs w:val="28"/>
        </w:rPr>
        <w:t>3.采购代理机构</w:t>
      </w:r>
    </w:p>
    <w:p>
      <w:pPr>
        <w:ind w:firstLine="565" w:firstLineChars="202"/>
        <w:rPr>
          <w:rFonts w:hint="eastAsia" w:ascii="仿宋" w:hAnsi="仿宋" w:eastAsia="仿宋"/>
          <w:sz w:val="28"/>
          <w:szCs w:val="28"/>
          <w:lang w:eastAsia="zh-CN"/>
        </w:rPr>
      </w:pPr>
      <w:r>
        <w:rPr>
          <w:rFonts w:hint="eastAsia" w:ascii="仿宋" w:hAnsi="仿宋" w:eastAsia="仿宋"/>
          <w:sz w:val="28"/>
          <w:szCs w:val="28"/>
        </w:rPr>
        <w:t>联 系 人：</w:t>
      </w:r>
      <w:r>
        <w:rPr>
          <w:rFonts w:hint="eastAsia" w:ascii="仿宋" w:hAnsi="仿宋" w:eastAsia="仿宋"/>
          <w:sz w:val="28"/>
          <w:szCs w:val="28"/>
          <w:u w:val="single"/>
        </w:rPr>
        <w:t>张世琼</w:t>
      </w:r>
    </w:p>
    <w:p>
      <w:pPr>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兰州市城关区名城广场3号楼1032室</w:t>
      </w:r>
    </w:p>
    <w:p>
      <w:pPr>
        <w:ind w:firstLine="565" w:firstLineChars="202"/>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rPr>
        <w:t>18009403719</w:t>
      </w:r>
    </w:p>
    <w:p>
      <w:pPr>
        <w:rPr>
          <w:rFonts w:hint="eastAsia" w:ascii="黑体" w:hAnsi="黑体" w:eastAsia="黑体"/>
          <w:sz w:val="28"/>
          <w:szCs w:val="28"/>
        </w:rPr>
      </w:pPr>
      <w:r>
        <w:rPr>
          <w:rFonts w:hint="eastAsia" w:ascii="黑体" w:hAnsi="黑体" w:eastAsia="黑体"/>
          <w:sz w:val="28"/>
          <w:szCs w:val="28"/>
        </w:rPr>
        <w:t>六</w:t>
      </w:r>
      <w:r>
        <w:rPr>
          <w:rFonts w:ascii="黑体" w:hAnsi="黑体" w:eastAsia="黑体"/>
          <w:sz w:val="28"/>
          <w:szCs w:val="28"/>
        </w:rPr>
        <w:t>、</w:t>
      </w:r>
      <w:r>
        <w:rPr>
          <w:rFonts w:hint="eastAsia" w:ascii="黑体" w:hAnsi="黑体" w:eastAsia="黑体"/>
          <w:sz w:val="28"/>
          <w:szCs w:val="28"/>
        </w:rPr>
        <w:t>附件</w:t>
      </w:r>
    </w:p>
    <w:p>
      <w:pPr>
        <w:rPr>
          <w:rFonts w:hint="eastAsia" w:ascii="仿宋" w:hAnsi="仿宋" w:eastAsia="仿宋"/>
          <w:sz w:val="28"/>
          <w:szCs w:val="28"/>
        </w:rPr>
      </w:pPr>
      <w:r>
        <w:rPr>
          <w:rFonts w:hint="eastAsia" w:ascii="仿宋" w:hAnsi="仿宋" w:eastAsia="仿宋"/>
          <w:sz w:val="28"/>
          <w:szCs w:val="28"/>
        </w:rPr>
        <w:t>专业人员论证意见（格式见附件）</w:t>
      </w:r>
    </w:p>
    <w:p>
      <w:pPr>
        <w:rPr>
          <w:rFonts w:hint="eastAsia" w:ascii="仿宋" w:hAnsi="仿宋" w:eastAsia="仿宋"/>
          <w:sz w:val="28"/>
          <w:szCs w:val="28"/>
        </w:rPr>
      </w:pPr>
      <w:r>
        <w:rPr>
          <w:rFonts w:hint="eastAsia" w:ascii="仿宋" w:hAnsi="仿宋" w:eastAsia="仿宋"/>
          <w:sz w:val="28"/>
          <w:szCs w:val="28"/>
        </w:rPr>
        <w:br w:type="page"/>
      </w:r>
    </w:p>
    <w:p>
      <w:pPr>
        <w:rPr>
          <w:rFonts w:hint="eastAsia" w:ascii="仿宋" w:hAnsi="仿宋" w:eastAsia="仿宋"/>
          <w:sz w:val="28"/>
          <w:szCs w:val="28"/>
          <w:lang w:eastAsia="zh-CN"/>
        </w:rPr>
      </w:pPr>
      <w:r>
        <w:rPr>
          <w:rFonts w:hint="eastAsia" w:ascii="仿宋" w:hAnsi="仿宋" w:eastAsia="仿宋"/>
          <w:sz w:val="28"/>
          <w:szCs w:val="28"/>
          <w:lang w:eastAsia="zh-CN"/>
        </w:rPr>
        <w:drawing>
          <wp:inline distT="0" distB="0" distL="114300" distR="114300">
            <wp:extent cx="5281295" cy="7042150"/>
            <wp:effectExtent l="0" t="0" r="1905" b="6350"/>
            <wp:docPr id="4" name="图片 4" descr="0dabbfbcf1a717fd5de711f530fe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dabbfbcf1a717fd5de711f530fe121"/>
                    <pic:cNvPicPr>
                      <a:picLocks noChangeAspect="1"/>
                    </pic:cNvPicPr>
                  </pic:nvPicPr>
                  <pic:blipFill>
                    <a:blip r:embed="rId4"/>
                    <a:stretch>
                      <a:fillRect/>
                    </a:stretch>
                  </pic:blipFill>
                  <pic:spPr>
                    <a:xfrm>
                      <a:off x="0" y="0"/>
                      <a:ext cx="5281295" cy="7042150"/>
                    </a:xfrm>
                    <a:prstGeom prst="rect">
                      <a:avLst/>
                    </a:prstGeom>
                  </pic:spPr>
                </pic:pic>
              </a:graphicData>
            </a:graphic>
          </wp:inline>
        </w:drawing>
      </w:r>
    </w:p>
    <w:p>
      <w:pPr>
        <w:rPr>
          <w:rFonts w:hint="eastAsia" w:ascii="仿宋" w:hAnsi="仿宋" w:eastAsia="仿宋"/>
          <w:sz w:val="28"/>
          <w:szCs w:val="28"/>
        </w:rPr>
      </w:pPr>
      <w:r>
        <w:rPr>
          <w:rFonts w:hint="eastAsia" w:ascii="仿宋" w:hAnsi="仿宋" w:eastAsia="仿宋"/>
          <w:sz w:val="28"/>
          <w:szCs w:val="28"/>
        </w:rPr>
        <w:br w:type="page"/>
      </w:r>
    </w:p>
    <w:p>
      <w:pPr>
        <w:rPr>
          <w:rFonts w:hint="eastAsia" w:ascii="仿宋" w:hAnsi="仿宋" w:eastAsia="仿宋"/>
          <w:sz w:val="28"/>
          <w:szCs w:val="28"/>
          <w:lang w:eastAsia="zh-CN"/>
        </w:rPr>
      </w:pPr>
      <w:r>
        <w:rPr>
          <w:rFonts w:hint="eastAsia" w:ascii="仿宋" w:hAnsi="仿宋" w:eastAsia="仿宋"/>
          <w:sz w:val="28"/>
          <w:szCs w:val="28"/>
          <w:lang w:eastAsia="zh-CN"/>
        </w:rPr>
        <w:drawing>
          <wp:inline distT="0" distB="0" distL="114300" distR="114300">
            <wp:extent cx="5281295" cy="7042150"/>
            <wp:effectExtent l="0" t="0" r="1905" b="6350"/>
            <wp:docPr id="3" name="图片 3" descr="83f6e166fad74af8cddba6b500082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3f6e166fad74af8cddba6b5000826c"/>
                    <pic:cNvPicPr>
                      <a:picLocks noChangeAspect="1"/>
                    </pic:cNvPicPr>
                  </pic:nvPicPr>
                  <pic:blipFill>
                    <a:blip r:embed="rId5"/>
                    <a:stretch>
                      <a:fillRect/>
                    </a:stretch>
                  </pic:blipFill>
                  <pic:spPr>
                    <a:xfrm>
                      <a:off x="0" y="0"/>
                      <a:ext cx="5281295" cy="7042150"/>
                    </a:xfrm>
                    <a:prstGeom prst="rect">
                      <a:avLst/>
                    </a:prstGeom>
                  </pic:spPr>
                </pic:pic>
              </a:graphicData>
            </a:graphic>
          </wp:inline>
        </w:drawing>
      </w:r>
    </w:p>
    <w:p>
      <w:pPr>
        <w:rPr>
          <w:rFonts w:hint="eastAsia" w:ascii="仿宋" w:hAnsi="仿宋" w:eastAsia="仿宋"/>
          <w:sz w:val="28"/>
          <w:szCs w:val="28"/>
        </w:rPr>
      </w:pPr>
      <w:r>
        <w:rPr>
          <w:rFonts w:hint="eastAsia" w:ascii="仿宋" w:hAnsi="仿宋" w:eastAsia="仿宋"/>
          <w:sz w:val="28"/>
          <w:szCs w:val="28"/>
        </w:rPr>
        <w:br w:type="page"/>
      </w:r>
    </w:p>
    <w:p>
      <w:pPr>
        <w:rPr>
          <w:rFonts w:hint="eastAsia" w:ascii="仿宋" w:hAnsi="仿宋" w:eastAsia="仿宋"/>
          <w:sz w:val="28"/>
          <w:szCs w:val="28"/>
          <w:lang w:eastAsia="zh-CN"/>
        </w:rPr>
      </w:pPr>
      <w:r>
        <w:rPr>
          <w:rFonts w:hint="eastAsia" w:ascii="仿宋" w:hAnsi="仿宋" w:eastAsia="仿宋"/>
          <w:sz w:val="28"/>
          <w:szCs w:val="28"/>
          <w:lang w:eastAsia="zh-CN"/>
        </w:rPr>
        <w:drawing>
          <wp:inline distT="0" distB="0" distL="114300" distR="114300">
            <wp:extent cx="5247005" cy="6995795"/>
            <wp:effectExtent l="0" t="0" r="10795" b="1905"/>
            <wp:docPr id="1" name="图片 1" descr="fee89521eb94bc630060973b558b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ee89521eb94bc630060973b558b259"/>
                    <pic:cNvPicPr>
                      <a:picLocks noChangeAspect="1"/>
                    </pic:cNvPicPr>
                  </pic:nvPicPr>
                  <pic:blipFill>
                    <a:blip r:embed="rId6"/>
                    <a:stretch>
                      <a:fillRect/>
                    </a:stretch>
                  </pic:blipFill>
                  <pic:spPr>
                    <a:xfrm>
                      <a:off x="0" y="0"/>
                      <a:ext cx="5247005" cy="6995795"/>
                    </a:xfrm>
                    <a:prstGeom prst="rect">
                      <a:avLst/>
                    </a:prstGeom>
                  </pic:spPr>
                </pic:pic>
              </a:graphicData>
            </a:graphic>
          </wp:inline>
        </w:drawing>
      </w:r>
    </w:p>
    <w:p>
      <w:bookmarkStart w:id="2" w:name="_GoBack"/>
      <w:bookmarkEnd w:id="2"/>
    </w:p>
    <w:sectPr>
      <w:pgSz w:w="11906" w:h="16838"/>
      <w:pgMar w:top="1440" w:right="1800"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53BFB"/>
    <w:multiLevelType w:val="singleLevel"/>
    <w:tmpl w:val="34B53BF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45560"/>
    <w:rsid w:val="2750676F"/>
    <w:rsid w:val="4A245E0C"/>
    <w:rsid w:val="77345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2020-09-16T09:03:00Z</dcterms:created>
  <dc:creator>DELL</dc:creator>
  <cp:lastModifiedBy>DELL</cp:lastModifiedBy>
  <dcterms:modified xsi:type="dcterms:W3CDTF">2020-09-17T12:34:15Z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