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r>
        <w:rPr>
          <w:rFonts w:hint="eastAsia" w:ascii="黑体" w:hAnsi="黑体" w:eastAsia="黑体" w:cs="Times New Roman"/>
          <w:sz w:val="44"/>
          <w:szCs w:val="44"/>
        </w:rPr>
        <w:t>白银市中心医院负压型救护车紧急采购项目谈判议价公告</w:t>
      </w:r>
    </w:p>
    <w:p>
      <w:pPr>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为抗击新型冠状病毒感染的肺炎疫情，全面做好医疗救治保障及患者的安全转运，防止随车医务人员感染，我院拟紧急采购负压型救护车1台，根据</w:t>
      </w:r>
      <w:r>
        <w:rPr>
          <w:rFonts w:hint="eastAsia" w:ascii="仿宋_GB2312" w:hAnsi="Times New Roman" w:eastAsia="仿宋_GB2312" w:cs="Times New Roman"/>
          <w:sz w:val="32"/>
          <w:szCs w:val="32"/>
          <w:lang w:eastAsia="zh-CN"/>
        </w:rPr>
        <w:t>《财政部办公厅关于疫情防控采购便利化的通知》（财办库</w:t>
      </w:r>
      <w:r>
        <w:rPr>
          <w:rFonts w:hint="eastAsia" w:ascii="仿宋_GB2312" w:hAnsi="Times New Roman" w:eastAsia="仿宋_GB2312" w:cs="Times New Roman"/>
          <w:sz w:val="32"/>
          <w:szCs w:val="32"/>
        </w:rPr>
        <w:t>〔2020〕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号</w:t>
      </w:r>
      <w:r>
        <w:rPr>
          <w:rFonts w:hint="eastAsia" w:ascii="仿宋_GB2312" w:hAnsi="Times New Roman" w:eastAsia="仿宋_GB2312" w:cs="Times New Roman"/>
          <w:sz w:val="32"/>
          <w:szCs w:val="32"/>
          <w:lang w:eastAsia="zh-CN"/>
        </w:rPr>
        <w:t>）及</w:t>
      </w:r>
      <w:r>
        <w:rPr>
          <w:rFonts w:hint="eastAsia" w:ascii="仿宋_GB2312" w:hAnsi="Times New Roman" w:eastAsia="仿宋_GB2312" w:cs="Times New Roman"/>
          <w:sz w:val="32"/>
          <w:szCs w:val="32"/>
        </w:rPr>
        <w:t>《白银市平川区财政局关于疫情防控期间政府采购有关事宜的通知》（平财发〔2020〕8号）的</w:t>
      </w:r>
      <w:r>
        <w:rPr>
          <w:rFonts w:hint="eastAsia" w:ascii="仿宋_GB2312" w:hAnsi="Times New Roman" w:eastAsia="仿宋_GB2312" w:cs="Times New Roman"/>
          <w:sz w:val="32"/>
          <w:szCs w:val="32"/>
          <w:lang w:eastAsia="zh-CN"/>
        </w:rPr>
        <w:t>规定</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现邀请符合资格条件、能在规定时间内提供产品的供应商参与谈判议价。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一、项目名称：</w:t>
      </w:r>
      <w:r>
        <w:rPr>
          <w:rFonts w:hint="eastAsia" w:ascii="仿宋_GB2312" w:hAnsi="Times New Roman" w:eastAsia="仿宋_GB2312" w:cs="Times New Roman"/>
          <w:sz w:val="32"/>
          <w:szCs w:val="32"/>
        </w:rPr>
        <w:t>白银市中心医院负压型救护车紧急采购项目。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二、项目概况：</w:t>
      </w:r>
      <w:r>
        <w:rPr>
          <w:rFonts w:hint="eastAsia" w:ascii="仿宋_GB2312" w:hAnsi="Times New Roman" w:eastAsia="仿宋_GB2312" w:cs="Times New Roman"/>
          <w:sz w:val="32"/>
          <w:szCs w:val="32"/>
        </w:rPr>
        <w:t>为应对新型冠状病毒感染的肺炎疫情，应急采购负压型救护车。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三、采购需求：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（一）资金来源：</w:t>
      </w:r>
      <w:r>
        <w:rPr>
          <w:rFonts w:hint="eastAsia" w:ascii="仿宋_GB2312" w:hAnsi="Times New Roman" w:eastAsia="仿宋_GB2312" w:cs="Times New Roman"/>
          <w:sz w:val="32"/>
          <w:szCs w:val="32"/>
        </w:rPr>
        <w:t>自筹或申请疫情防控专项资金。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（二）采购明细：</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134"/>
        <w:gridCol w:w="992"/>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采购内容</w:t>
            </w:r>
          </w:p>
        </w:tc>
        <w:tc>
          <w:tcPr>
            <w:tcW w:w="11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单位</w:t>
            </w:r>
          </w:p>
        </w:tc>
        <w:tc>
          <w:tcPr>
            <w:tcW w:w="99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数量</w:t>
            </w:r>
          </w:p>
        </w:tc>
        <w:tc>
          <w:tcPr>
            <w:tcW w:w="368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负压型救护车</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辆</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p>
        </w:tc>
        <w:tc>
          <w:tcPr>
            <w:tcW w:w="368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人民币陆拾万元整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（￥600000.00）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（三）主要技术参数及要求：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1、供应商须知：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1.1供应商必须是在中华人民共和国注册的具有独立承担民事责任能力的法人，并取得合法企业工商营业执照且具有相关经营范围，具有汽车销售经营权。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2所供</w:t>
      </w:r>
      <w:r>
        <w:rPr>
          <w:rFonts w:hint="eastAsia" w:ascii="仿宋_GB2312" w:hAnsi="Times New Roman" w:eastAsia="仿宋_GB2312" w:cs="Times New Roman"/>
          <w:sz w:val="32"/>
          <w:szCs w:val="32"/>
        </w:rPr>
        <w:t>产品必须为工业和信息化部（原国家发改委）《车辆生产企业及产品公告目录》内的救护车产品，提供网址截图或查询电话等证明。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供应商需提供救护车制造商出具的针对本项目的授权书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制造商</w:t>
      </w:r>
      <w:r>
        <w:rPr>
          <w:rFonts w:hint="eastAsia" w:ascii="仿宋_GB2312" w:hAnsi="Times New Roman" w:eastAsia="仿宋_GB2312" w:cs="Times New Roman"/>
          <w:sz w:val="32"/>
          <w:szCs w:val="32"/>
          <w:lang w:eastAsia="zh-CN"/>
        </w:rPr>
        <w:t>直接参与的可不提供）</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供应商必须保证提供的产品及车内部件等不会侵犯任何第三方的专利知识产权，如果任何第三方提出侵权指控，</w:t>
      </w:r>
      <w:r>
        <w:rPr>
          <w:rFonts w:hint="eastAsia" w:ascii="仿宋_GB2312" w:hAnsi="Times New Roman" w:eastAsia="仿宋_GB2312" w:cs="Times New Roman"/>
          <w:sz w:val="32"/>
          <w:szCs w:val="32"/>
          <w:lang w:eastAsia="zh-CN"/>
        </w:rPr>
        <w:t>由</w:t>
      </w:r>
      <w:r>
        <w:rPr>
          <w:rFonts w:hint="eastAsia" w:ascii="仿宋_GB2312" w:hAnsi="Times New Roman" w:eastAsia="仿宋_GB2312" w:cs="Times New Roman"/>
          <w:sz w:val="32"/>
          <w:szCs w:val="32"/>
        </w:rPr>
        <w:t>供应商承担一切的法律责任。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供应商应符合《中华人民共和国政府采购法》第二十二条规定的条件；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本项目不接受联合体投标。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2、商务条款要求：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2.1 交货期：签定合同后40天。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2.2交货方式：采购方指定地点。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2.3付款方式：签定合同后采购方支付合同总额的30%做为定金，车辆经采购方现场验收合格后，由采购方支付70%合同款项给供方。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2.4质保期及售后服务承诺要求：保证产品属于生产厂家原装正品产品，是通过合法渠道进货或生产的、全新的、未曾使用过的产品。汽车是符合国家质量检测标准的可以在全国范围内办理救护车入户手续的商品。所投货物由底盘厂提供2年/5万公里的质保期；如有变动，按照底盘厂售后服务规定执行（具体条款以该公司公布为准，敬请仔细阅读保修手册），在当地所有授权维修站负责维修保修；投标方对销售车辆的改装部分（警灯警报外观图标及医疗舱部分）提供1年保修（免费上门服务）。提供24小时电话应急服务，接用户单位维修通知（含电话）后24小时内解决故障。免费提供维修和更换零部件等服务，质保期内同一设备连续两次出现问题更换同品牌同型号的新设备，并对产品实行三包服务，质保期外，维修只收取材料费，不收取工时费。</w:t>
      </w:r>
    </w:p>
    <w:tbl>
      <w:tblPr>
        <w:tblStyle w:val="4"/>
        <w:tblW w:w="8706" w:type="dxa"/>
        <w:jc w:val="center"/>
        <w:tblLayout w:type="fixed"/>
        <w:tblCellMar>
          <w:top w:w="0" w:type="dxa"/>
          <w:left w:w="108" w:type="dxa"/>
          <w:bottom w:w="0" w:type="dxa"/>
          <w:right w:w="108" w:type="dxa"/>
        </w:tblCellMar>
      </w:tblPr>
      <w:tblGrid>
        <w:gridCol w:w="1093"/>
        <w:gridCol w:w="2835"/>
        <w:gridCol w:w="3695"/>
        <w:gridCol w:w="1083"/>
      </w:tblGrid>
      <w:tr>
        <w:tblPrEx>
          <w:tblCellMar>
            <w:top w:w="0" w:type="dxa"/>
            <w:left w:w="108" w:type="dxa"/>
            <w:bottom w:w="0" w:type="dxa"/>
            <w:right w:w="108" w:type="dxa"/>
          </w:tblCellMar>
        </w:tblPrEx>
        <w:trPr>
          <w:trHeight w:val="360" w:hRule="atLeast"/>
          <w:jc w:val="center"/>
        </w:trPr>
        <w:tc>
          <w:tcPr>
            <w:tcW w:w="8706" w:type="dxa"/>
            <w:gridSpan w:val="4"/>
            <w:tcBorders>
              <w:top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3、招标货物参数：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注：救护车技术参数中标“▲”参数，需提供实物照片、设计原理、第三方机构（如环保局、质量监督局、工信部、国家知识产权局等）出具的证明文件，不提供的视为不满足。</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ascii="宋体" w:hAnsi="宋体" w:eastAsia="宋体" w:cs="宋体"/>
                <w:kern w:val="0"/>
                <w:sz w:val="28"/>
                <w:szCs w:val="28"/>
              </w:rPr>
            </w:pPr>
            <w:r>
              <w:rPr>
                <w:rFonts w:hint="eastAsia" w:ascii="宋体" w:hAnsi="宋体" w:eastAsia="宋体" w:cs="宋体"/>
                <w:b/>
                <w:bCs/>
                <w:kern w:val="0"/>
                <w:sz w:val="28"/>
                <w:szCs w:val="28"/>
              </w:rPr>
              <w:t>3.1 车型参数及配置</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产品型号名称</w:t>
            </w:r>
          </w:p>
        </w:tc>
        <w:tc>
          <w:tcPr>
            <w:tcW w:w="4778"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jc w:val="center"/>
        </w:trPr>
        <w:tc>
          <w:tcPr>
            <w:tcW w:w="870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车辆技术参数</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车体尺寸 mm: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5370×1928×2310 (长×宽×高)</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医疗舱内尺寸 mm: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2700×1760×1690(长×宽×高)</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轴距 mm：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3430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车辆满载总质量 kg:</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3100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车辆整备质量 kg:</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2410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悬挂系统</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前：麦佛逊独立悬挂；后半拖曳式独立悬挂</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最小离地间隙mm: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125</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最小转弯半径m：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6.3</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燃油种类:</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汽油</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油箱容积（L）：</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75</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发动机型号</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274920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工作方式:</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汽油发动机涡轮增压缸内直喷</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排气量 ml:</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1991</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额定功率 kw(hp)/rpm: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155/5500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最大扭矩 Nm/rpm:</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4"/>
              </w:rPr>
              <w:t>≥</w:t>
            </w:r>
            <w:r>
              <w:rPr>
                <w:rFonts w:hint="eastAsia" w:ascii="宋体" w:hAnsi="宋体" w:eastAsia="宋体" w:cs="宋体"/>
                <w:kern w:val="0"/>
                <w:sz w:val="24"/>
                <w:szCs w:val="24"/>
              </w:rPr>
              <w:t>350/1250-4000</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排放标准:</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国六</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驱动方式</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后轮驱动</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变速器:</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7速自动变速箱</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最高时速 km/h:</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185</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轮胎规格型号</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235/55R17 铝合金轮毂</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制动系统</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4 轮盘式制动</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83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额定载客（含驾驶员）</w:t>
            </w:r>
          </w:p>
        </w:tc>
        <w:tc>
          <w:tcPr>
            <w:tcW w:w="477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3-6人</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single" w:color="auto" w:sz="4" w:space="0"/>
              <w:bottom w:val="single" w:color="auto" w:sz="4" w:space="0"/>
              <w:right w:val="single" w:color="000000" w:sz="4"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车辆主要配置</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ECO发动机启动/停止功能</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电动机械式动力转向</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电控车辆稳定行驶系统（ESP）</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防抱死制动系统 (ABS)</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加速防滑控制系统（ASR）</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电子制动力分配系统（EBD）</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制动辅助系统(BAS)</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制动盘擦拭（BDW）</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电子预制动（EBP）</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高速转向制动控制系统（CBC）</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载荷自适应控制系统（LAC）</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定速巡航控制</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驾驶室两座椅</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驾驶员、副驾驶员安全气囊</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电动窗/中控门锁带遥控功能/电动窗边后视镜 </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761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导航系统/倒车影像/DVD/蓝牙</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7613"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驾驶室原厂冷暖气系统</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nil"/>
              <w:bottom w:val="nil"/>
              <w:right w:val="nil"/>
            </w:tcBorders>
            <w:vAlign w:val="center"/>
          </w:tcPr>
          <w:p>
            <w:pPr>
              <w:widowControl/>
              <w:jc w:val="center"/>
              <w:rPr>
                <w:rFonts w:ascii="宋体" w:hAnsi="宋体" w:eastAsia="宋体" w:cs="宋体"/>
                <w:kern w:val="0"/>
                <w:sz w:val="28"/>
                <w:szCs w:val="28"/>
              </w:rPr>
            </w:pPr>
          </w:p>
          <w:p>
            <w:pPr>
              <w:widowControl/>
              <w:jc w:val="center"/>
              <w:rPr>
                <w:rFonts w:ascii="宋体" w:hAnsi="宋体" w:eastAsia="宋体" w:cs="宋体"/>
                <w:kern w:val="0"/>
                <w:sz w:val="28"/>
                <w:szCs w:val="28"/>
              </w:rPr>
            </w:pPr>
            <w:r>
              <w:rPr>
                <w:rFonts w:hint="eastAsia" w:ascii="宋体" w:hAnsi="宋体" w:eastAsia="宋体" w:cs="宋体"/>
                <w:b/>
                <w:bCs/>
                <w:kern w:val="0"/>
                <w:sz w:val="28"/>
                <w:szCs w:val="28"/>
              </w:rPr>
              <w:t>3.2 医疗舱内外配置</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描  述</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r>
      <w:tr>
        <w:tblPrEx>
          <w:tblCellMar>
            <w:top w:w="0" w:type="dxa"/>
            <w:left w:w="108" w:type="dxa"/>
            <w:bottom w:w="0" w:type="dxa"/>
            <w:right w:w="108" w:type="dxa"/>
          </w:tblCellMar>
        </w:tblPrEx>
        <w:trPr>
          <w:trHeight w:val="360" w:hRule="atLeast"/>
          <w:jc w:val="center"/>
        </w:trPr>
        <w:tc>
          <w:tcPr>
            <w:tcW w:w="870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
                <w:kern w:val="0"/>
                <w:sz w:val="24"/>
                <w:szCs w:val="24"/>
              </w:rPr>
              <w:t>车身涂装</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白色车身+红色强效反光带及急救图徽</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医疗舱窗户上贴玻璃膜2/3</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
                <w:kern w:val="0"/>
                <w:sz w:val="24"/>
                <w:szCs w:val="24"/>
              </w:rPr>
              <w:t>警报、照明系统</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6530" w:type="dxa"/>
            <w:gridSpan w:val="2"/>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100W警报器</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车顶前部嵌入式LED蓝色警灯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车顶尾部镶嵌式蓝色警灯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6530" w:type="dxa"/>
            <w:gridSpan w:val="2"/>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车顶外场照明灯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医疗舱射灯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6530" w:type="dxa"/>
            <w:gridSpan w:val="2"/>
            <w:tcBorders>
              <w:top w:val="single" w:color="auto" w:sz="4" w:space="0"/>
              <w:left w:val="nil"/>
              <w:bottom w:val="single" w:color="auto" w:sz="4" w:space="0"/>
              <w:right w:val="single" w:color="000000"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医疗舱手术检查灯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医疗舱LED方形照明灯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盏</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中央电源分配系统</w:t>
            </w:r>
          </w:p>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（由主电瓶、辅助电瓶、智能充电控制装置、带充电功能正弦波逆变器、电控箱、线束、控制面板构成。）</w:t>
            </w:r>
          </w:p>
        </w:tc>
      </w:tr>
      <w:tr>
        <w:tblPrEx>
          <w:tblCellMar>
            <w:top w:w="0" w:type="dxa"/>
            <w:left w:w="108" w:type="dxa"/>
            <w:bottom w:w="0" w:type="dxa"/>
            <w:right w:w="108" w:type="dxa"/>
          </w:tblCellMar>
        </w:tblPrEx>
        <w:trPr>
          <w:trHeight w:val="499"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10 </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auto" w:sz="4" w:space="0"/>
            </w:tcBorders>
            <w:vAlign w:val="center"/>
          </w:tcPr>
          <w:p>
            <w:pPr>
              <w:jc w:val="left"/>
              <w:rPr>
                <w:rFonts w:ascii="宋体" w:hAnsi="宋体" w:eastAsia="宋体" w:cs="宋体"/>
                <w:sz w:val="24"/>
                <w:szCs w:val="24"/>
              </w:rPr>
            </w:pPr>
            <w:r>
              <w:rPr>
                <w:rFonts w:hint="eastAsia" w:ascii="宋体" w:hAnsi="宋体" w:eastAsia="宋体" w:cs="宋体"/>
                <w:color w:val="000000"/>
                <w:kern w:val="0"/>
                <w:sz w:val="24"/>
                <w:szCs w:val="24"/>
              </w:rPr>
              <w:t>车用紧急启动控制装置：</w:t>
            </w:r>
            <w:r>
              <w:rPr>
                <w:rFonts w:hint="eastAsia" w:ascii="宋体" w:hAnsi="宋体" w:eastAsia="宋体" w:cs="宋体"/>
                <w:sz w:val="24"/>
                <w:szCs w:val="24"/>
              </w:rPr>
              <w:t>当主电瓶在低于12V无法正常启动时，按住紧急启动开关可以借助辅助电瓶令汽车迅速启动。</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72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智能充电控制装置：1确保主电瓶的正常充电；2自动断开避免发电机过载，延长发电机寿命；3辅助电瓶独立工作，避免偷耗主电瓶电能。</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免维护蓄电池（12V/70A）</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1个</w:t>
            </w:r>
          </w:p>
        </w:tc>
      </w:tr>
      <w:tr>
        <w:tblPrEx>
          <w:tblCellMar>
            <w:top w:w="0" w:type="dxa"/>
            <w:left w:w="108" w:type="dxa"/>
            <w:bottom w:w="0" w:type="dxa"/>
            <w:right w:w="108" w:type="dxa"/>
          </w:tblCellMar>
        </w:tblPrEx>
        <w:trPr>
          <w:trHeight w:val="499"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安装实用新型的一种救护车车载电源装置</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正弦波逆变器逆变功能：</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容量：1kva</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输入电压：140v—280v</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输入频率：40-70hz</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逆变输出电压：220VAC±3%</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逆变输出频率：50HZ±2%</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直流电压：12V</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输出波形：纯正弦波</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失真度：≤3%</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转换时间：≤4ms自动转换</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充电电流：充电电流10amp</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CPU控制充电，智能充电</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过载保护：超载100—120%，25秒后自动锁机；超载120—200%，1秒后自动锁机；超过＞200%，4ms后自动锁机。</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浪涌功率：2kva</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符合标准：欧盟电磁兼容标准 IEEE929/EN61000</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国家标准GB 2099.1-1996  AC220V接头</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德国标准DIN 40 050-9汽车电器装置保护</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交直流（220V、12V）电源插座组</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2组</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外接电源（220V/16A防水、带防护盖)，配15米移动电缆</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驾驶室和医疗舱各装一组控制面板，面板采用双回路电路触摸式按钮设计。</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医疗舱控制面板带液晶显示，面板可操作并显示：</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照明灯、220V交流电、换气系统、前后对讲系统、灭菌灯、手术灯、内射灯、空调、暖气。</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液晶屏能显示：时间、室内温度、室内湿度、主辅电瓶12V电压、交流220V电压等。</w:t>
            </w:r>
          </w:p>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驾驶室控制面板可操作对讲机、内射灯、照明灯。</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汽车低压电线束：符合国家汽车行业标准QC/T 29106-2004</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电控箱：利于维护保养的模块集成设计，且</w:t>
            </w:r>
            <w:r>
              <w:rPr>
                <w:rFonts w:hint="eastAsia" w:ascii="宋体" w:hAnsi="宋体" w:eastAsia="宋体" w:cs="宋体"/>
                <w:color w:val="000000"/>
                <w:kern w:val="0"/>
                <w:sz w:val="24"/>
                <w:szCs w:val="24"/>
                <w:lang w:val="zh-CN"/>
              </w:rPr>
              <w:t>在220V电源输出端装有漏电及短路保护器</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
                <w:kern w:val="0"/>
                <w:sz w:val="24"/>
                <w:szCs w:val="24"/>
              </w:rPr>
              <w:t>医疗舱配置</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紫外光灭菌灯（灭菌灯电源启动后，灭菌灯将在延时1分钟后工作，30分钟后自动关闭。）</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1盏</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医疗舱独立冷暖气系统</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6530"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医疗舱双向换气系统（进出风）</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医疗舱内壁加固防撞处理</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侧门、后门上车头部防撞保护</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医疗舱顶部安装黄色尼龙抗菌扶手</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条</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医疗舱顶部输液挂架</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个</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医疗舱保温隔热层</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653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驾驶室与医疗舱安装分隔墙：带可推拉窗户</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65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医疗舱内饰采用ABS、PVC环保材料,表面具有硬度高、光洁、抗菌、易清洗、可消毒、抗老化等特点。</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65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医疗舱前部安装折叠椅</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医疗舱左侧安装长条组合柜，组合柜由1个带卷帘门的储物格，1个密封（门板可拆）的储物格组成。组合柜集中安放医疗舱电路总成及相关配件，便于维修。</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医疗舱左侧上方安装吊柜，吊柜分4格，每格装有带自锁门板。</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医疗舱左后侧安装带卷帘门的氧气柜</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3</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医疗舱右侧旋转座椅</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4</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医疗舱右侧</w:t>
            </w:r>
            <w:r>
              <w:rPr>
                <w:rFonts w:ascii="宋体" w:hAnsi="宋体" w:eastAsia="宋体" w:cs="宋体"/>
                <w:kern w:val="0"/>
                <w:sz w:val="24"/>
                <w:szCs w:val="24"/>
              </w:rPr>
              <w:t>2</w:t>
            </w:r>
            <w:r>
              <w:rPr>
                <w:rFonts w:hint="eastAsia" w:ascii="宋体" w:hAnsi="宋体" w:eastAsia="宋体" w:cs="宋体"/>
                <w:kern w:val="0"/>
                <w:sz w:val="24"/>
                <w:szCs w:val="24"/>
              </w:rPr>
              <w:t>人长排座椅：带舒适背、软座垫及配3套安全带</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5</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医疗舱所有柜门安装抽屉锁：带自锁功能</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6</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医疗舱所有柜板采用厚度为15mm的轻质板材</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7</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10升氧气瓶</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2个</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8</w:t>
            </w:r>
            <w:r>
              <w:rPr>
                <w:rFonts w:hint="eastAsia" w:ascii="宋体" w:hAnsi="宋体" w:eastAsia="宋体" w:cs="宋体"/>
                <w:color w:val="000000"/>
                <w:kern w:val="0"/>
                <w:sz w:val="24"/>
                <w:szCs w:val="24"/>
              </w:rPr>
              <w:t>▲</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全自动气体切换车载系统：</w:t>
            </w:r>
          </w:p>
          <w:p>
            <w:pPr>
              <w:rPr>
                <w:rFonts w:ascii="宋体" w:hAnsi="宋体" w:eastAsia="宋体" w:cs="宋体"/>
                <w:sz w:val="24"/>
                <w:szCs w:val="24"/>
              </w:rPr>
            </w:pPr>
            <w:r>
              <w:rPr>
                <w:rFonts w:hint="eastAsia" w:ascii="宋体" w:hAnsi="宋体" w:eastAsia="宋体" w:cs="宋体"/>
                <w:sz w:val="24"/>
                <w:szCs w:val="24"/>
              </w:rPr>
              <w:t>本系统由减压阀，安全阀，高压压力传感器，电磁阀，可编程控制器PLC及人机界面HMI（触摸屏）一体机、低压压力传感器，管路及使用气体终端等组成。</w:t>
            </w:r>
          </w:p>
          <w:p>
            <w:pPr>
              <w:rPr>
                <w:rFonts w:ascii="宋体" w:hAnsi="宋体" w:eastAsia="宋体" w:cs="宋体"/>
                <w:sz w:val="24"/>
                <w:szCs w:val="24"/>
              </w:rPr>
            </w:pPr>
            <w:r>
              <w:rPr>
                <w:rFonts w:hint="eastAsia" w:ascii="宋体" w:hAnsi="宋体" w:eastAsia="宋体" w:cs="宋体"/>
                <w:sz w:val="24"/>
                <w:szCs w:val="24"/>
              </w:rPr>
              <w:t>气体终端由吸氧用终端（1个）连接湿化器（1个），呼吸机用的终端（1个）连接呼吸机专用接头（1个）组成。</w:t>
            </w:r>
          </w:p>
          <w:p>
            <w:pPr>
              <w:rPr>
                <w:rFonts w:ascii="宋体" w:hAnsi="宋体" w:eastAsia="宋体" w:cs="宋体"/>
                <w:kern w:val="0"/>
                <w:sz w:val="24"/>
                <w:szCs w:val="24"/>
              </w:rPr>
            </w:pPr>
            <w:r>
              <w:rPr>
                <w:rFonts w:hint="eastAsia" w:ascii="宋体" w:hAnsi="宋体" w:eastAsia="宋体" w:cs="宋体"/>
                <w:sz w:val="24"/>
                <w:szCs w:val="24"/>
              </w:rPr>
              <w:t>通过触摸屏一体机程序编写实现左右侧气瓶自动切换、气源欠压报警功能，并通过触摸屏画面的编辑，可实时显示左右侧钢瓶压力，输出使用压力，动态工作流程图，并有报警历史记录，上下限参数设置，传感器量程选择，单位显示选择功能。</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9</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医疗舱地板：耐酸、碱、防火、防滑、防静电</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40</w:t>
            </w:r>
          </w:p>
        </w:tc>
        <w:tc>
          <w:tcPr>
            <w:tcW w:w="653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2KG灭火器</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1个</w:t>
            </w:r>
          </w:p>
        </w:tc>
      </w:tr>
      <w:tr>
        <w:tblPrEx>
          <w:tblCellMar>
            <w:top w:w="0" w:type="dxa"/>
            <w:left w:w="108" w:type="dxa"/>
            <w:bottom w:w="0" w:type="dxa"/>
            <w:right w:w="108" w:type="dxa"/>
          </w:tblCellMar>
        </w:tblPrEx>
        <w:trPr>
          <w:trHeight w:val="360" w:hRule="atLeast"/>
          <w:jc w:val="center"/>
        </w:trPr>
        <w:tc>
          <w:tcPr>
            <w:tcW w:w="8706"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
                <w:kern w:val="0"/>
                <w:sz w:val="24"/>
                <w:szCs w:val="24"/>
              </w:rPr>
              <w:t>专用器械设备</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自动上车担架</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担架平台</w:t>
            </w:r>
          </w:p>
        </w:tc>
        <w:tc>
          <w:tcPr>
            <w:tcW w:w="10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3</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铲式担架</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4</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楼梯专用椅</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1张</w:t>
            </w:r>
          </w:p>
        </w:tc>
      </w:tr>
      <w:tr>
        <w:tblPrEx>
          <w:tblCellMar>
            <w:top w:w="0" w:type="dxa"/>
            <w:left w:w="108" w:type="dxa"/>
            <w:bottom w:w="0" w:type="dxa"/>
            <w:right w:w="108" w:type="dxa"/>
          </w:tblCellMar>
        </w:tblPrEx>
        <w:trPr>
          <w:trHeight w:val="36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6530" w:type="dxa"/>
            <w:gridSpan w:val="2"/>
            <w:tcBorders>
              <w:top w:val="single" w:color="auto" w:sz="4" w:space="0"/>
              <w:left w:val="nil"/>
              <w:bottom w:val="single" w:color="auto" w:sz="4" w:space="0"/>
              <w:right w:val="single" w:color="000000" w:sz="4" w:space="0"/>
            </w:tcBorders>
            <w:vAlign w:val="center"/>
          </w:tcPr>
          <w:p>
            <w:pPr>
              <w:rPr>
                <w:rFonts w:ascii="宋体" w:hAnsi="宋体" w:eastAsia="宋体" w:cs="宋体"/>
                <w:sz w:val="24"/>
                <w:szCs w:val="24"/>
              </w:rPr>
            </w:pPr>
            <w:r>
              <w:rPr>
                <w:rFonts w:hint="eastAsia" w:ascii="宋体" w:hAnsi="宋体" w:eastAsia="宋体" w:cs="宋体"/>
                <w:sz w:val="24"/>
                <w:szCs w:val="24"/>
              </w:rPr>
              <w:t>救护车负压装置</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1套</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备注：医疗舱内所有内饰板必须是无异味，可再生的环保材料，不得使用玻璃钢材料。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w:t>
      </w:r>
      <w:r>
        <w:rPr>
          <w:rFonts w:hint="eastAsia" w:ascii="仿宋_GB2312" w:hAnsi="Times New Roman" w:eastAsia="仿宋_GB2312" w:cs="Times New Roman"/>
          <w:b/>
          <w:sz w:val="32"/>
          <w:szCs w:val="32"/>
          <w:lang w:eastAsia="zh-CN"/>
        </w:rPr>
        <w:t>文件递交</w:t>
      </w:r>
      <w:bookmarkStart w:id="0" w:name="_GoBack"/>
      <w:bookmarkEnd w:id="0"/>
      <w:r>
        <w:rPr>
          <w:rFonts w:hint="eastAsia" w:ascii="仿宋_GB2312" w:hAnsi="Times New Roman" w:eastAsia="仿宋_GB2312" w:cs="Times New Roman"/>
          <w:b/>
          <w:sz w:val="32"/>
          <w:szCs w:val="32"/>
        </w:rPr>
        <w:t>方式及截止时间：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介于目前新型冠状病毒感染的肺炎防控特殊时期，采用网络评审的方式，请供应商于2020年2月</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日18:00前</w:t>
      </w:r>
      <w:r>
        <w:rPr>
          <w:rFonts w:hint="eastAsia" w:ascii="仿宋_GB2312" w:hAnsi="Times New Roman" w:eastAsia="仿宋_GB2312" w:cs="Times New Roman"/>
          <w:sz w:val="32"/>
          <w:szCs w:val="32"/>
          <w:lang w:eastAsia="zh-CN"/>
        </w:rPr>
        <w:t>（过期不候，以收到邮件的时间为准）</w:t>
      </w:r>
      <w:r>
        <w:rPr>
          <w:rFonts w:hint="eastAsia" w:ascii="仿宋_GB2312" w:hAnsi="Times New Roman" w:eastAsia="仿宋_GB2312" w:cs="Times New Roman"/>
          <w:sz w:val="32"/>
          <w:szCs w:val="32"/>
        </w:rPr>
        <w:t>将加盖电子公章</w:t>
      </w:r>
      <w:r>
        <w:rPr>
          <w:rFonts w:hint="eastAsia" w:ascii="仿宋_GB2312" w:hAnsi="Times New Roman" w:eastAsia="仿宋_GB2312" w:cs="Times New Roman"/>
          <w:sz w:val="32"/>
          <w:szCs w:val="32"/>
          <w:lang w:eastAsia="zh-CN"/>
        </w:rPr>
        <w:t>（签章）的</w:t>
      </w:r>
      <w:r>
        <w:rPr>
          <w:rFonts w:hint="eastAsia" w:ascii="仿宋_GB2312" w:hAnsi="Times New Roman" w:eastAsia="仿宋_GB2312" w:cs="Times New Roman"/>
          <w:sz w:val="32"/>
          <w:szCs w:val="32"/>
          <w:lang w:val="en-US" w:eastAsia="zh-CN"/>
        </w:rPr>
        <w:t>PDF格式的响应文件</w:t>
      </w:r>
      <w:r>
        <w:rPr>
          <w:rFonts w:hint="eastAsia" w:ascii="仿宋_GB2312" w:hAnsi="Times New Roman" w:eastAsia="仿宋_GB2312" w:cs="Times New Roman"/>
          <w:sz w:val="32"/>
          <w:szCs w:val="32"/>
          <w:lang w:eastAsia="zh-CN"/>
        </w:rPr>
        <w:t>或扫描（加盖供应商鲜章）的</w:t>
      </w:r>
      <w:r>
        <w:rPr>
          <w:rFonts w:hint="eastAsia" w:ascii="仿宋_GB2312" w:hAnsi="Times New Roman" w:eastAsia="仿宋_GB2312" w:cs="Times New Roman"/>
          <w:sz w:val="32"/>
          <w:szCs w:val="32"/>
          <w:lang w:val="en-US" w:eastAsia="zh-CN"/>
        </w:rPr>
        <w:t>PDF格式</w:t>
      </w:r>
      <w:r>
        <w:rPr>
          <w:rFonts w:hint="eastAsia" w:ascii="仿宋_GB2312" w:hAnsi="Times New Roman" w:eastAsia="仿宋_GB2312" w:cs="Times New Roman"/>
          <w:sz w:val="32"/>
          <w:szCs w:val="32"/>
        </w:rPr>
        <w:t>的</w:t>
      </w:r>
      <w:r>
        <w:rPr>
          <w:rFonts w:hint="eastAsia" w:ascii="仿宋_GB2312" w:hAnsi="Times New Roman" w:eastAsia="仿宋_GB2312" w:cs="Times New Roman"/>
          <w:sz w:val="32"/>
          <w:szCs w:val="32"/>
          <w:lang w:eastAsia="zh-CN"/>
        </w:rPr>
        <w:t>响应</w:t>
      </w:r>
      <w:r>
        <w:rPr>
          <w:rFonts w:hint="eastAsia" w:ascii="仿宋_GB2312" w:hAnsi="Times New Roman" w:eastAsia="仿宋_GB2312" w:cs="Times New Roman"/>
          <w:sz w:val="32"/>
          <w:szCs w:val="32"/>
        </w:rPr>
        <w:t>文件发送至1974140532@qq.com邮箱，并致电（0943-5993087，王先生）确认。请各</w:t>
      </w:r>
      <w:r>
        <w:rPr>
          <w:rFonts w:hint="eastAsia" w:ascii="仿宋_GB2312" w:hAnsi="Times New Roman" w:eastAsia="仿宋_GB2312" w:cs="Times New Roman"/>
          <w:sz w:val="32"/>
          <w:szCs w:val="32"/>
          <w:lang w:eastAsia="zh-CN"/>
        </w:rPr>
        <w:t>供应商</w:t>
      </w:r>
      <w:r>
        <w:rPr>
          <w:rFonts w:hint="eastAsia" w:ascii="仿宋_GB2312" w:hAnsi="Times New Roman" w:eastAsia="仿宋_GB2312" w:cs="Times New Roman"/>
          <w:sz w:val="32"/>
          <w:szCs w:val="32"/>
        </w:rPr>
        <w:t>保证通讯工具的畅通，评审期间如需</w:t>
      </w:r>
      <w:r>
        <w:rPr>
          <w:rFonts w:hint="eastAsia" w:ascii="仿宋_GB2312" w:hAnsi="Times New Roman" w:eastAsia="仿宋_GB2312" w:cs="Times New Roman"/>
          <w:sz w:val="32"/>
          <w:szCs w:val="32"/>
          <w:lang w:eastAsia="zh-CN"/>
        </w:rPr>
        <w:t>澄清或答疑</w:t>
      </w:r>
      <w:r>
        <w:rPr>
          <w:rFonts w:hint="eastAsia" w:ascii="仿宋_GB2312" w:hAnsi="Times New Roman" w:eastAsia="仿宋_GB2312" w:cs="Times New Roman"/>
          <w:sz w:val="32"/>
          <w:szCs w:val="32"/>
        </w:rPr>
        <w:t>，采取电话或视频的方式</w:t>
      </w:r>
      <w:r>
        <w:rPr>
          <w:rFonts w:hint="eastAsia" w:ascii="仿宋_GB2312" w:hAnsi="Times New Roman" w:eastAsia="仿宋_GB2312" w:cs="Times New Roman"/>
          <w:sz w:val="32"/>
          <w:szCs w:val="32"/>
          <w:lang w:eastAsia="zh-CN"/>
        </w:rPr>
        <w:t>进行</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注：为减少各供应商的工作量，响应文件在签字时只需在封面由法定代表人签字或其授权代表签字即可。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五、</w:t>
      </w:r>
      <w:r>
        <w:rPr>
          <w:rFonts w:hint="eastAsia" w:ascii="仿宋_GB2312" w:hAnsi="Times New Roman" w:eastAsia="仿宋_GB2312" w:cs="Times New Roman"/>
          <w:b/>
          <w:sz w:val="32"/>
          <w:szCs w:val="32"/>
          <w:lang w:eastAsia="zh-CN"/>
        </w:rPr>
        <w:t>谈判开始</w:t>
      </w:r>
      <w:r>
        <w:rPr>
          <w:rFonts w:hint="eastAsia" w:ascii="仿宋_GB2312" w:hAnsi="Times New Roman" w:eastAsia="仿宋_GB2312" w:cs="Times New Roman"/>
          <w:b/>
          <w:sz w:val="32"/>
          <w:szCs w:val="32"/>
        </w:rPr>
        <w:t>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2020年2月</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lang w:eastAsia="zh-CN"/>
        </w:rPr>
        <w:t>日8点00分开始，预计在</w:t>
      </w:r>
      <w:r>
        <w:rPr>
          <w:rFonts w:hint="eastAsia" w:ascii="仿宋_GB2312" w:hAnsi="Times New Roman" w:eastAsia="仿宋_GB2312" w:cs="Times New Roman"/>
          <w:sz w:val="32"/>
          <w:szCs w:val="32"/>
          <w:lang w:val="en-US" w:eastAsia="zh-CN"/>
        </w:rPr>
        <w:t>5小时内结束，在此期间，请递交了响应文件的供应商务必保证电话畅通，否则由此造成的不利因素由供应商自行承担。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联系人：王先生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联系电话：</w:t>
      </w:r>
      <w:r>
        <w:rPr>
          <w:rFonts w:ascii="仿宋_GB2312" w:hAnsi="Times New Roman" w:eastAsia="仿宋_GB2312" w:cs="Times New Roman"/>
          <w:sz w:val="32"/>
          <w:szCs w:val="32"/>
        </w:rPr>
        <w:t>0943-5993087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白银市中心医院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2020年2月</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1"/>
    <w:rsid w:val="00075EF8"/>
    <w:rsid w:val="00077531"/>
    <w:rsid w:val="000D6E98"/>
    <w:rsid w:val="001021C1"/>
    <w:rsid w:val="001D19C1"/>
    <w:rsid w:val="001F3091"/>
    <w:rsid w:val="00347B29"/>
    <w:rsid w:val="003801E9"/>
    <w:rsid w:val="00583F4A"/>
    <w:rsid w:val="005929F3"/>
    <w:rsid w:val="005933D7"/>
    <w:rsid w:val="006932CA"/>
    <w:rsid w:val="00927AAD"/>
    <w:rsid w:val="00976068"/>
    <w:rsid w:val="009B7945"/>
    <w:rsid w:val="00AB06A0"/>
    <w:rsid w:val="00C74EB1"/>
    <w:rsid w:val="00C9115F"/>
    <w:rsid w:val="00E319F4"/>
    <w:rsid w:val="00EC2EB4"/>
    <w:rsid w:val="126421E9"/>
    <w:rsid w:val="2E0830ED"/>
    <w:rsid w:val="33CE42E3"/>
    <w:rsid w:val="52271DC9"/>
    <w:rsid w:val="6AA6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648</Words>
  <Characters>3696</Characters>
  <Lines>30</Lines>
  <Paragraphs>8</Paragraphs>
  <TotalTime>71</TotalTime>
  <ScaleCrop>false</ScaleCrop>
  <LinksUpToDate>false</LinksUpToDate>
  <CharactersWithSpaces>4336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2020-02-06T07:44:00Z</dcterms:created>
  <dc:creator>Windows 用户</dc:creator>
  <cp:lastModifiedBy>lxq9870</cp:lastModifiedBy>
  <dcterms:modified xsi:type="dcterms:W3CDTF">2020-02-07T02:33:42Z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