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宋体" w:hAnsi="宋体" w:eastAsia="宋体" w:cs="宋体"/>
          <w:lang w:eastAsia="zh-CN"/>
        </w:rPr>
      </w:pPr>
    </w:p>
    <w:p>
      <w:pPr>
        <w:pStyle w:val="7"/>
        <w:rPr>
          <w:rFonts w:hint="eastAsia" w:ascii="宋体" w:hAnsi="宋体" w:eastAsia="宋体" w:cs="宋体"/>
          <w:lang w:eastAsia="zh-CN"/>
        </w:rPr>
        <w:sectPr>
          <w:pgSz w:w="11906" w:h="16838"/>
          <w:pgMar w:top="1440" w:right="1526" w:bottom="1440" w:left="1800" w:header="851" w:footer="992" w:gutter="0"/>
          <w:pgNumType w:fmt="decimal" w:start="1"/>
          <w:cols w:space="425" w:num="1"/>
          <w:docGrid w:type="lines" w:linePitch="312" w:charSpace="0"/>
        </w:sectPr>
      </w:pPr>
      <w:r>
        <w:rPr>
          <w:rFonts w:hint="eastAsia" w:ascii="宋体" w:hAnsi="宋体" w:eastAsia="宋体" w:cs="宋体"/>
          <w:lang w:eastAsia="zh-CN"/>
        </w:rPr>
        <w:drawing>
          <wp:inline distT="0" distB="0" distL="114300" distR="114300">
            <wp:extent cx="5416550" cy="7762240"/>
            <wp:effectExtent l="0" t="0" r="12700" b="10160"/>
            <wp:docPr id="4" name="图片 4" descr="IMG_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1623"/>
                    <pic:cNvPicPr>
                      <a:picLocks noChangeAspect="1"/>
                    </pic:cNvPicPr>
                  </pic:nvPicPr>
                  <pic:blipFill>
                    <a:blip r:embed="rId6"/>
                    <a:srcRect l="4433" t="2302" r="4668"/>
                    <a:stretch>
                      <a:fillRect/>
                    </a:stretch>
                  </pic:blipFill>
                  <pic:spPr>
                    <a:xfrm>
                      <a:off x="0" y="0"/>
                      <a:ext cx="5416550" cy="7762240"/>
                    </a:xfrm>
                    <a:prstGeom prst="rect">
                      <a:avLst/>
                    </a:prstGeom>
                  </pic:spPr>
                </pic:pic>
              </a:graphicData>
            </a:graphic>
          </wp:inline>
        </w:drawing>
      </w:r>
    </w:p>
    <w:p>
      <w:pPr>
        <w:pStyle w:val="7"/>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目  录</w:t>
      </w:r>
    </w:p>
    <w:sdt>
      <w:sdtPr>
        <w:rPr>
          <w:rFonts w:ascii="宋体" w:hAnsi="宋体" w:eastAsia="宋体" w:cs="Times New Roman"/>
          <w:sz w:val="21"/>
          <w:szCs w:val="22"/>
          <w:lang w:val="en-US" w:eastAsia="en-US" w:bidi="ar-SA"/>
        </w:rPr>
        <w:id w:val="147482517"/>
        <w15:color w:val="DBDBDB"/>
        <w:docPartObj>
          <w:docPartGallery w:val="Table of Contents"/>
          <w:docPartUnique/>
        </w:docPartObj>
      </w:sdtPr>
      <w:sdtEndPr>
        <w:rPr>
          <w:rFonts w:hint="eastAsia" w:asciiTheme="minorEastAsia" w:hAnsiTheme="minorEastAsia" w:eastAsiaTheme="minorEastAsia" w:cstheme="minorEastAsia"/>
          <w:b/>
          <w:bCs/>
          <w:sz w:val="24"/>
          <w:szCs w:val="24"/>
          <w:lang w:val="zh-CN" w:eastAsia="zh-CN" w:bidi="zh-CN"/>
        </w:rPr>
      </w:sdtEndPr>
      <w:sdtContent>
        <w:p>
          <w:pPr>
            <w:spacing w:before="0" w:beforeLines="0" w:after="0" w:afterLines="0" w:line="240" w:lineRule="auto"/>
            <w:ind w:left="0" w:leftChars="0" w:right="0" w:rightChars="0" w:firstLine="0" w:firstLineChars="0"/>
            <w:jc w:val="center"/>
          </w:pPr>
        </w:p>
        <w:p>
          <w:pPr>
            <w:pStyle w:val="31"/>
            <w:tabs>
              <w:tab w:val="right" w:pos="3200"/>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TOC \o "1-2" \h \u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_Toc16500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第一部分</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t>公开招标公告</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_Toc16500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1"/>
            <w:tabs>
              <w:tab w:val="right" w:pos="3200"/>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_Toc9390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第二部分</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t>供应商须知</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_Toc9390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6</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2"/>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_Toc4498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一、投标人须知前附表</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_Toc4498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7</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2"/>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_Toc23970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kern w:val="0"/>
              <w:sz w:val="24"/>
              <w:szCs w:val="24"/>
              <w:lang w:val="en-US" w:eastAsia="zh-CN" w:bidi="ar"/>
            </w:rPr>
            <w:t>二、供应商须知</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_Toc23970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13</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2"/>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_Toc25324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kern w:val="0"/>
              <w:sz w:val="24"/>
              <w:szCs w:val="24"/>
              <w:lang w:val="en-US" w:eastAsia="zh-CN" w:bidi="ar"/>
            </w:rPr>
            <w:t>三、投标保证金递交说明</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_Toc25324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24</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2"/>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_Toc29070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kern w:val="0"/>
              <w:sz w:val="24"/>
              <w:szCs w:val="24"/>
              <w:lang w:val="en-US" w:eastAsia="zh-CN" w:bidi="ar"/>
            </w:rPr>
            <w:t>四、</w:t>
          </w:r>
          <w:r>
            <w:rPr>
              <w:rFonts w:hint="eastAsia" w:asciiTheme="minorEastAsia" w:hAnsiTheme="minorEastAsia" w:eastAsiaTheme="minorEastAsia" w:cstheme="minorEastAsia"/>
              <w:b w:val="0"/>
              <w:bCs w:val="0"/>
              <w:sz w:val="24"/>
              <w:szCs w:val="24"/>
            </w:rPr>
            <w:t>关于印发中小企业划型标准规定的通知</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_Toc29070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25</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2"/>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_Toc6483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kern w:val="0"/>
              <w:sz w:val="24"/>
              <w:szCs w:val="24"/>
              <w:lang w:val="en-US" w:eastAsia="zh-CN" w:bidi="ar-SA"/>
            </w:rPr>
            <w:t>五、</w:t>
          </w:r>
          <w:r>
            <w:rPr>
              <w:rFonts w:hint="eastAsia" w:asciiTheme="minorEastAsia" w:hAnsiTheme="minorEastAsia" w:eastAsiaTheme="minorEastAsia" w:cstheme="minorEastAsia"/>
              <w:b w:val="0"/>
              <w:bCs w:val="0"/>
              <w:kern w:val="0"/>
              <w:sz w:val="24"/>
              <w:szCs w:val="24"/>
              <w:lang w:val="en-US" w:eastAsia="en-US" w:bidi="ar-SA"/>
            </w:rPr>
            <w:t>关于印发《政府采购促进中小企业发展暂行办法》的通知</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_Toc6483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29</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1"/>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_Toc22904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kern w:val="0"/>
              <w:sz w:val="24"/>
              <w:szCs w:val="24"/>
              <w:lang w:val="en-US" w:eastAsia="zh-CN" w:bidi="ar"/>
            </w:rPr>
            <w:t>第三部分 合同文件</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_Toc22904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32</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1"/>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_Toc7010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lang w:val="en-US" w:eastAsia="zh-CN"/>
            </w:rPr>
            <w:t>第四部分 技术参数要求</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_Toc7010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37</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2"/>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_Toc5257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综合布线系统</w:t>
          </w:r>
          <w:r>
            <w:rPr>
              <w:rFonts w:hint="eastAsia" w:asciiTheme="minorEastAsia" w:hAnsiTheme="minorEastAsia" w:eastAsiaTheme="minorEastAsia" w:cstheme="minorEastAsia"/>
              <w:b w:val="0"/>
              <w:bCs w:val="0"/>
              <w:sz w:val="24"/>
              <w:szCs w:val="24"/>
              <w:lang w:val="en-US" w:eastAsia="zh-CN"/>
            </w:rPr>
            <w:t>设备</w:t>
          </w:r>
          <w:r>
            <w:rPr>
              <w:rFonts w:hint="eastAsia" w:asciiTheme="minorEastAsia" w:hAnsiTheme="minorEastAsia" w:eastAsiaTheme="minorEastAsia" w:cstheme="minorEastAsia"/>
              <w:b w:val="0"/>
              <w:bCs w:val="0"/>
              <w:sz w:val="24"/>
              <w:szCs w:val="24"/>
            </w:rPr>
            <w:t>清单及</w:t>
          </w:r>
          <w:r>
            <w:rPr>
              <w:rFonts w:hint="eastAsia" w:asciiTheme="minorEastAsia" w:hAnsiTheme="minorEastAsia" w:eastAsiaTheme="minorEastAsia" w:cstheme="minorEastAsia"/>
              <w:b w:val="0"/>
              <w:bCs w:val="0"/>
              <w:sz w:val="24"/>
              <w:szCs w:val="24"/>
              <w:lang w:val="en-US" w:eastAsia="zh-CN"/>
            </w:rPr>
            <w:t>参数</w:t>
          </w:r>
          <w:r>
            <w:rPr>
              <w:rFonts w:hint="eastAsia" w:asciiTheme="minorEastAsia" w:hAnsiTheme="minorEastAsia" w:eastAsiaTheme="minorEastAsia" w:cstheme="minorEastAsia"/>
              <w:b w:val="0"/>
              <w:bCs w:val="0"/>
              <w:sz w:val="24"/>
              <w:szCs w:val="24"/>
            </w:rPr>
            <w:t>要求</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_Toc5257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40</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2"/>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_Toc23185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公共管路系统</w:t>
          </w:r>
          <w:r>
            <w:rPr>
              <w:rFonts w:hint="eastAsia" w:asciiTheme="minorEastAsia" w:hAnsiTheme="minorEastAsia" w:eastAsiaTheme="minorEastAsia" w:cstheme="minorEastAsia"/>
              <w:b w:val="0"/>
              <w:bCs w:val="0"/>
              <w:sz w:val="24"/>
              <w:szCs w:val="24"/>
              <w:lang w:val="en-US" w:eastAsia="zh-CN"/>
            </w:rPr>
            <w:t>设备</w:t>
          </w:r>
          <w:r>
            <w:rPr>
              <w:rFonts w:hint="eastAsia" w:asciiTheme="minorEastAsia" w:hAnsiTheme="minorEastAsia" w:eastAsiaTheme="minorEastAsia" w:cstheme="minorEastAsia"/>
              <w:b w:val="0"/>
              <w:bCs w:val="0"/>
              <w:sz w:val="24"/>
              <w:szCs w:val="24"/>
            </w:rPr>
            <w:t>清单及</w:t>
          </w:r>
          <w:r>
            <w:rPr>
              <w:rFonts w:hint="eastAsia" w:asciiTheme="minorEastAsia" w:hAnsiTheme="minorEastAsia" w:eastAsiaTheme="minorEastAsia" w:cstheme="minorEastAsia"/>
              <w:b w:val="0"/>
              <w:bCs w:val="0"/>
              <w:sz w:val="24"/>
              <w:szCs w:val="24"/>
              <w:lang w:val="en-US" w:eastAsia="zh-CN"/>
            </w:rPr>
            <w:t>参数</w:t>
          </w:r>
          <w:r>
            <w:rPr>
              <w:rFonts w:hint="eastAsia" w:asciiTheme="minorEastAsia" w:hAnsiTheme="minorEastAsia" w:eastAsiaTheme="minorEastAsia" w:cstheme="minorEastAsia"/>
              <w:b w:val="0"/>
              <w:bCs w:val="0"/>
              <w:sz w:val="24"/>
              <w:szCs w:val="24"/>
            </w:rPr>
            <w:t>要求</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_Toc23185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48</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1"/>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_Toc26991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lang w:val="en-US" w:eastAsia="zh-CN"/>
            </w:rPr>
            <w:t>第五部分 招标原则及办法</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_Toc26991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58</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2"/>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_Toc31145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lang w:val="en-US" w:eastAsia="zh-CN"/>
            </w:rPr>
            <w:t>一、评标组织机构及职责</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_Toc31145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59</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2"/>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_Toc13168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lang w:val="en-US" w:eastAsia="zh-CN"/>
            </w:rPr>
            <w:t>二、评标原则、方法和程序</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_Toc13168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59</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2"/>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_Toc9194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lang w:val="en-US" w:eastAsia="zh-CN"/>
            </w:rPr>
            <w:t>三、评分办法和评分标准</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_Toc9194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63</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31"/>
            <w:tabs>
              <w:tab w:val="right" w:leader="dot" w:pos="8580"/>
            </w:tabs>
            <w:spacing w:line="48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_Toc8573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lang w:val="en-US" w:eastAsia="zh-CN"/>
            </w:rPr>
            <w:t>第六部分 投标文件格式</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PAGEREF _Toc8573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65</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fldChar w:fldCharType="end"/>
          </w:r>
        </w:p>
        <w:p>
          <w:pPr>
            <w:pStyle w:val="7"/>
            <w:spacing w:line="48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val="0"/>
              <w:bCs w:val="0"/>
              <w:sz w:val="24"/>
              <w:szCs w:val="24"/>
            </w:rPr>
            <w:fldChar w:fldCharType="end"/>
          </w:r>
        </w:p>
      </w:sdtContent>
    </w:sdt>
    <w:p>
      <w:pPr>
        <w:pStyle w:val="7"/>
        <w:spacing w:line="480" w:lineRule="auto"/>
        <w:jc w:val="center"/>
        <w:rPr>
          <w:rFonts w:hint="eastAsia" w:ascii="宋体" w:hAnsi="宋体" w:eastAsia="宋体" w:cs="宋体"/>
          <w:b/>
          <w:bCs/>
          <w:sz w:val="52"/>
          <w:szCs w:val="52"/>
        </w:rPr>
      </w:pPr>
    </w:p>
    <w:p>
      <w:pPr>
        <w:pStyle w:val="7"/>
        <w:jc w:val="both"/>
        <w:rPr>
          <w:rFonts w:hint="eastAsia" w:ascii="宋体" w:hAnsi="宋体" w:eastAsia="宋体" w:cs="宋体"/>
          <w:b/>
          <w:bCs/>
          <w:sz w:val="52"/>
          <w:szCs w:val="52"/>
        </w:rPr>
      </w:pPr>
    </w:p>
    <w:p>
      <w:pPr>
        <w:pStyle w:val="7"/>
        <w:jc w:val="center"/>
        <w:rPr>
          <w:rFonts w:hint="eastAsia" w:ascii="宋体" w:hAnsi="宋体" w:eastAsia="宋体" w:cs="宋体"/>
          <w:b/>
          <w:bCs/>
          <w:sz w:val="52"/>
          <w:szCs w:val="52"/>
        </w:rPr>
      </w:pPr>
    </w:p>
    <w:p>
      <w:pPr>
        <w:pStyle w:val="7"/>
        <w:jc w:val="both"/>
        <w:rPr>
          <w:rFonts w:hint="eastAsia" w:ascii="宋体" w:hAnsi="宋体" w:eastAsia="宋体" w:cs="宋体"/>
          <w:b/>
          <w:bCs/>
          <w:sz w:val="52"/>
          <w:szCs w:val="52"/>
        </w:rPr>
      </w:pPr>
    </w:p>
    <w:p>
      <w:pPr>
        <w:pStyle w:val="7"/>
        <w:jc w:val="both"/>
        <w:rPr>
          <w:rFonts w:hint="eastAsia" w:ascii="宋体" w:hAnsi="宋体" w:eastAsia="宋体" w:cs="宋体"/>
          <w:b/>
          <w:bCs/>
          <w:sz w:val="52"/>
          <w:szCs w:val="52"/>
        </w:rPr>
      </w:pPr>
    </w:p>
    <w:p>
      <w:pPr>
        <w:pStyle w:val="7"/>
        <w:jc w:val="both"/>
        <w:rPr>
          <w:rFonts w:hint="eastAsia" w:ascii="宋体" w:hAnsi="宋体" w:eastAsia="宋体" w:cs="宋体"/>
          <w:b/>
          <w:bCs/>
          <w:sz w:val="52"/>
          <w:szCs w:val="52"/>
        </w:rPr>
      </w:pPr>
    </w:p>
    <w:p>
      <w:pPr>
        <w:pStyle w:val="7"/>
        <w:jc w:val="both"/>
        <w:rPr>
          <w:rFonts w:hint="eastAsia" w:ascii="宋体" w:hAnsi="宋体" w:eastAsia="宋体" w:cs="宋体"/>
          <w:b/>
          <w:bCs/>
          <w:sz w:val="52"/>
          <w:szCs w:val="52"/>
        </w:rPr>
      </w:pPr>
    </w:p>
    <w:p>
      <w:pPr>
        <w:pStyle w:val="7"/>
        <w:jc w:val="center"/>
        <w:outlineLvl w:val="0"/>
        <w:rPr>
          <w:rFonts w:hint="eastAsia" w:ascii="宋体" w:hAnsi="宋体" w:eastAsia="宋体" w:cs="宋体"/>
          <w:b/>
          <w:bCs/>
          <w:sz w:val="52"/>
          <w:szCs w:val="52"/>
        </w:rPr>
      </w:pPr>
      <w:bookmarkStart w:id="0" w:name="_Toc16500"/>
      <w:r>
        <w:rPr>
          <w:rFonts w:hint="eastAsia" w:ascii="宋体" w:hAnsi="宋体" w:eastAsia="宋体" w:cs="宋体"/>
          <w:b/>
          <w:bCs/>
          <w:sz w:val="52"/>
          <w:szCs w:val="52"/>
        </w:rPr>
        <w:t>第一部分</w:t>
      </w:r>
      <w:r>
        <w:rPr>
          <w:rFonts w:hint="eastAsia" w:ascii="宋体" w:hAnsi="宋体" w:eastAsia="宋体" w:cs="宋体"/>
          <w:b/>
          <w:bCs/>
          <w:sz w:val="52"/>
          <w:szCs w:val="52"/>
          <w:lang w:val="en-US" w:eastAsia="zh-CN"/>
        </w:rPr>
        <w:t xml:space="preserve"> </w:t>
      </w:r>
      <w:r>
        <w:rPr>
          <w:rFonts w:hint="eastAsia" w:ascii="宋体" w:hAnsi="宋体" w:eastAsia="宋体" w:cs="宋体"/>
          <w:b/>
          <w:bCs/>
          <w:sz w:val="52"/>
          <w:szCs w:val="52"/>
        </w:rPr>
        <w:tab/>
      </w:r>
      <w:r>
        <w:rPr>
          <w:rFonts w:hint="eastAsia" w:ascii="宋体" w:hAnsi="宋体" w:eastAsia="宋体" w:cs="宋体"/>
          <w:b/>
          <w:bCs/>
          <w:sz w:val="52"/>
          <w:szCs w:val="52"/>
        </w:rPr>
        <w:t>公开招标公告</w:t>
      </w:r>
      <w:bookmarkEnd w:id="0"/>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4"/>
        <w:ind w:left="540"/>
      </w:pPr>
      <w:r>
        <w:t>投标邀请函</w:t>
      </w:r>
    </w:p>
    <w:p>
      <w:pPr>
        <w:pStyle w:val="7"/>
        <w:spacing w:line="360" w:lineRule="auto"/>
        <w:ind w:firstLine="480" w:firstLineChars="200"/>
        <w:rPr>
          <w:rFonts w:hint="eastAsia" w:ascii="宋体" w:hAnsi="宋体" w:eastAsia="宋体" w:cs="宋体"/>
        </w:rPr>
      </w:pPr>
      <w:r>
        <w:rPr>
          <w:rFonts w:hint="eastAsia" w:ascii="宋体" w:hAnsi="宋体" w:eastAsia="宋体" w:cs="宋体"/>
          <w:lang w:eastAsia="zh-CN"/>
        </w:rPr>
        <w:t>甘肃国泰国际招标有限公司</w:t>
      </w:r>
      <w:r>
        <w:rPr>
          <w:rFonts w:hint="eastAsia" w:ascii="宋体" w:hAnsi="宋体" w:eastAsia="宋体" w:cs="宋体"/>
        </w:rPr>
        <w:t>受</w:t>
      </w:r>
      <w:r>
        <w:rPr>
          <w:rFonts w:hint="eastAsia" w:ascii="宋体" w:hAnsi="宋体" w:eastAsia="宋体" w:cs="宋体"/>
          <w:spacing w:val="2"/>
          <w:sz w:val="24"/>
          <w:szCs w:val="24"/>
          <w:lang w:eastAsia="zh-CN"/>
        </w:rPr>
        <w:t>甘肃省张掖市中级人民法院的</w:t>
      </w:r>
      <w:r>
        <w:rPr>
          <w:rFonts w:hint="eastAsia" w:ascii="宋体" w:hAnsi="宋体" w:eastAsia="宋体" w:cs="宋体"/>
        </w:rPr>
        <w:t>委托,对张掖市中级人民法院综合审判大楼弱电改造项目以公开招标形式进行采购，欢迎符合资格条件的供应商前来参加投标。</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3" w:after="0" w:line="360" w:lineRule="auto"/>
        <w:ind w:left="106" w:leftChars="0" w:right="4404" w:hanging="106" w:hangingChars="44"/>
        <w:textAlignment w:val="auto"/>
        <w:rPr>
          <w:rFonts w:ascii="宋体" w:hAnsi="宋体" w:eastAsia="宋体" w:cs="宋体"/>
          <w:b/>
          <w:bCs/>
          <w:sz w:val="24"/>
          <w:szCs w:val="24"/>
          <w:lang w:eastAsia="zh-CN"/>
        </w:rPr>
      </w:pPr>
      <w:r>
        <w:rPr>
          <w:rFonts w:ascii="宋体" w:hAnsi="宋体" w:eastAsia="宋体" w:cs="宋体"/>
          <w:b/>
          <w:bCs/>
          <w:sz w:val="24"/>
          <w:szCs w:val="24"/>
        </w:rPr>
        <w:t>招标文件编号：</w:t>
      </w:r>
      <w:r>
        <w:rPr>
          <w:rFonts w:hint="eastAsia" w:ascii="宋体" w:hAnsi="宋体" w:eastAsia="宋体" w:cs="宋体"/>
          <w:b/>
          <w:bCs/>
          <w:sz w:val="24"/>
          <w:szCs w:val="24"/>
        </w:rPr>
        <w:t>ZJYZC2019GK-157</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3" w:after="0" w:line="360" w:lineRule="auto"/>
        <w:ind w:left="106" w:leftChars="0" w:right="0" w:rightChars="0" w:hanging="106" w:hangingChars="44"/>
        <w:textAlignment w:val="auto"/>
        <w:rPr>
          <w:rFonts w:hint="eastAsia" w:ascii="宋体" w:hAnsi="宋体" w:eastAsia="宋体" w:cs="宋体"/>
          <w:b w:val="0"/>
          <w:bCs w:val="0"/>
          <w:sz w:val="24"/>
          <w:szCs w:val="24"/>
          <w:lang w:val="en-US" w:eastAsia="zh-CN"/>
        </w:rPr>
      </w:pPr>
      <w:r>
        <w:rPr>
          <w:rFonts w:ascii="宋体" w:hAnsi="宋体" w:eastAsia="宋体" w:cs="宋体"/>
          <w:b/>
          <w:bCs/>
          <w:sz w:val="24"/>
          <w:szCs w:val="24"/>
          <w:lang w:eastAsia="zh-CN"/>
        </w:rPr>
        <w:t>项目</w:t>
      </w:r>
      <w:r>
        <w:rPr>
          <w:rFonts w:hint="eastAsia" w:ascii="宋体" w:hAnsi="宋体" w:eastAsia="宋体" w:cs="宋体"/>
          <w:b/>
          <w:bCs/>
          <w:sz w:val="24"/>
          <w:szCs w:val="24"/>
          <w:lang w:eastAsia="zh-CN"/>
        </w:rPr>
        <w:t>总</w:t>
      </w:r>
      <w:r>
        <w:rPr>
          <w:rFonts w:ascii="宋体" w:hAnsi="宋体" w:eastAsia="宋体" w:cs="宋体"/>
          <w:b/>
          <w:bCs/>
          <w:sz w:val="24"/>
          <w:szCs w:val="24"/>
          <w:lang w:eastAsia="zh-CN"/>
        </w:rPr>
        <w:t>预算:</w:t>
      </w:r>
      <w:r>
        <w:rPr>
          <w:rFonts w:hint="eastAsia" w:ascii="宋体" w:hAnsi="宋体" w:eastAsia="宋体" w:cs="宋体"/>
          <w:b/>
          <w:bCs/>
          <w:sz w:val="24"/>
          <w:szCs w:val="24"/>
          <w:lang w:val="en-US" w:eastAsia="zh-CN"/>
        </w:rPr>
        <w:t>壹佰肆拾伍万元整（￥：145.00</w:t>
      </w:r>
      <w:r>
        <w:rPr>
          <w:rFonts w:ascii="宋体" w:hAnsi="宋体" w:eastAsia="宋体" w:cs="宋体"/>
          <w:b/>
          <w:bCs/>
          <w:sz w:val="24"/>
          <w:szCs w:val="24"/>
          <w:lang w:eastAsia="zh-CN"/>
        </w:rPr>
        <w:t>万元</w:t>
      </w:r>
      <w:r>
        <w:rPr>
          <w:rFonts w:hint="eastAsia" w:ascii="宋体" w:hAnsi="宋体" w:eastAsia="宋体" w:cs="宋体"/>
          <w:b/>
          <w:bCs/>
          <w:sz w:val="24"/>
          <w:szCs w:val="24"/>
          <w:lang w:eastAsia="zh-CN"/>
        </w:rPr>
        <w:t>）</w:t>
      </w:r>
      <w:r>
        <w:rPr>
          <w:rFonts w:hint="eastAsia" w:ascii="宋体" w:hAnsi="宋体" w:eastAsia="宋体" w:cs="宋体"/>
          <w:b w:val="0"/>
          <w:bCs w:val="0"/>
          <w:sz w:val="24"/>
          <w:szCs w:val="24"/>
          <w:lang w:eastAsia="zh-CN"/>
        </w:rPr>
        <w:t>（供应商的投标超出采购预算的，按投标文件无效处理）。</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3" w:after="0" w:line="360" w:lineRule="auto"/>
        <w:ind w:left="106" w:leftChars="0" w:right="0" w:rightChars="0" w:hanging="106" w:hangingChars="44"/>
        <w:textAlignment w:val="auto"/>
        <w:rPr>
          <w:rFonts w:ascii="宋体" w:hAnsi="宋体" w:eastAsia="宋体" w:cs="宋体"/>
          <w:b/>
          <w:bCs/>
          <w:sz w:val="24"/>
          <w:szCs w:val="24"/>
          <w:lang w:eastAsia="zh-CN"/>
        </w:rPr>
      </w:pPr>
      <w:r>
        <w:rPr>
          <w:rFonts w:ascii="宋体" w:hAnsi="宋体" w:eastAsia="宋体" w:cs="宋体"/>
          <w:b/>
          <w:bCs/>
          <w:sz w:val="24"/>
          <w:szCs w:val="24"/>
          <w:lang w:eastAsia="zh-CN"/>
        </w:rPr>
        <w:t>招标项目主要内容</w:t>
      </w:r>
      <w:r>
        <w:rPr>
          <w:rFonts w:ascii="宋体" w:hAnsi="宋体" w:eastAsia="宋体" w:cs="宋体"/>
          <w:sz w:val="24"/>
          <w:szCs w:val="24"/>
          <w:lang w:eastAsia="zh-CN"/>
        </w:rPr>
        <w:t>:</w:t>
      </w:r>
      <w:r>
        <w:rPr>
          <w:rFonts w:hint="eastAsia" w:ascii="宋体" w:hAnsi="宋体" w:eastAsia="宋体" w:cs="宋体"/>
          <w:sz w:val="24"/>
          <w:szCs w:val="24"/>
          <w:lang w:val="en-US" w:eastAsia="zh-CN"/>
        </w:rPr>
        <w:t>本项目为张掖市中级人民法院综合审判大楼弱电改造项目，主楼建筑层数为地上五层及地下一层，建筑高度为18.6米。本次项目建设范围如下：</w:t>
      </w:r>
      <w:r>
        <w:rPr>
          <w:rFonts w:hint="eastAsia" w:hAnsi="宋体" w:cs="宋体"/>
          <w:sz w:val="24"/>
          <w:szCs w:val="24"/>
          <w:lang w:val="en-US" w:eastAsia="zh-CN"/>
        </w:rPr>
        <w:t>1、</w:t>
      </w:r>
      <w:r>
        <w:rPr>
          <w:rFonts w:hint="eastAsia" w:ascii="宋体" w:hAnsi="宋体" w:eastAsia="宋体" w:cs="宋体"/>
          <w:sz w:val="24"/>
          <w:szCs w:val="24"/>
          <w:lang w:val="en-US" w:eastAsia="zh-CN"/>
        </w:rPr>
        <w:t>基础信息设施系统</w:t>
      </w:r>
      <w:r>
        <w:rPr>
          <w:rFonts w:hint="eastAsia" w:hAnsi="宋体" w:cs="宋体"/>
          <w:sz w:val="24"/>
          <w:szCs w:val="24"/>
          <w:lang w:val="en-US" w:eastAsia="zh-CN"/>
        </w:rPr>
        <w:t>：</w:t>
      </w:r>
      <w:r>
        <w:rPr>
          <w:rFonts w:hint="eastAsia" w:ascii="宋体" w:hAnsi="宋体" w:eastAsia="宋体" w:cs="宋体"/>
          <w:sz w:val="24"/>
          <w:szCs w:val="24"/>
          <w:lang w:val="en-US" w:eastAsia="zh-CN"/>
        </w:rPr>
        <w:t>综合布线系统</w:t>
      </w:r>
      <w:r>
        <w:rPr>
          <w:rFonts w:hint="eastAsia" w:hAnsi="宋体" w:cs="宋体"/>
          <w:sz w:val="24"/>
          <w:szCs w:val="24"/>
          <w:lang w:val="en-US" w:eastAsia="zh-CN"/>
        </w:rPr>
        <w:t>、</w:t>
      </w:r>
      <w:r>
        <w:rPr>
          <w:rFonts w:hint="eastAsia" w:ascii="宋体" w:hAnsi="宋体" w:eastAsia="宋体" w:cs="宋体"/>
          <w:sz w:val="24"/>
          <w:szCs w:val="24"/>
          <w:lang w:val="en-US" w:eastAsia="zh-CN"/>
        </w:rPr>
        <w:t>公共管路系统</w:t>
      </w:r>
      <w:r>
        <w:rPr>
          <w:rFonts w:hint="eastAsia" w:hAnsi="宋体" w:cs="宋体"/>
          <w:sz w:val="24"/>
          <w:szCs w:val="24"/>
          <w:lang w:val="en-US" w:eastAsia="zh-CN"/>
        </w:rPr>
        <w:t>、</w:t>
      </w:r>
      <w:r>
        <w:rPr>
          <w:rFonts w:hint="eastAsia" w:ascii="宋体" w:hAnsi="宋体" w:eastAsia="宋体" w:cs="宋体"/>
          <w:sz w:val="24"/>
          <w:szCs w:val="24"/>
          <w:lang w:val="en-US" w:eastAsia="zh-CN"/>
        </w:rPr>
        <w:t>计算机网络系统；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3" w:after="0" w:line="360" w:lineRule="auto"/>
        <w:ind w:leftChars="-44" w:right="-220" w:rightChars="-100" w:firstLine="240" w:firstLineChars="100"/>
        <w:textAlignment w:val="auto"/>
        <w:rPr>
          <w:rFonts w:ascii="宋体" w:hAnsi="宋体" w:eastAsia="宋体" w:cs="宋体"/>
          <w:b/>
          <w:bCs/>
          <w:sz w:val="24"/>
          <w:szCs w:val="24"/>
          <w:lang w:eastAsia="zh-CN"/>
        </w:rPr>
      </w:pPr>
      <w:r>
        <w:rPr>
          <w:rFonts w:hint="eastAsia" w:ascii="宋体" w:hAnsi="宋体" w:eastAsia="宋体" w:cs="宋体"/>
          <w:sz w:val="24"/>
          <w:szCs w:val="24"/>
          <w:lang w:val="en-US" w:eastAsia="zh-CN"/>
        </w:rPr>
        <w:t>2、安全防范系统</w:t>
      </w:r>
      <w:r>
        <w:rPr>
          <w:rFonts w:hint="eastAsia" w:hAnsi="宋体" w:cs="宋体"/>
          <w:sz w:val="24"/>
          <w:szCs w:val="24"/>
          <w:lang w:val="en-US" w:eastAsia="zh-CN"/>
        </w:rPr>
        <w:t>：</w:t>
      </w:r>
      <w:r>
        <w:rPr>
          <w:rFonts w:hint="eastAsia" w:ascii="宋体" w:hAnsi="宋体" w:eastAsia="宋体" w:cs="宋体"/>
          <w:sz w:val="24"/>
          <w:szCs w:val="24"/>
          <w:lang w:val="en-US" w:eastAsia="zh-CN"/>
        </w:rPr>
        <w:t>视频监控系统（前端摄像头）</w:t>
      </w:r>
      <w:r>
        <w:rPr>
          <w:rFonts w:hint="eastAsia" w:ascii="宋体" w:hAnsi="宋体" w:eastAsia="宋体" w:cs="宋体"/>
          <w:b/>
          <w:bCs/>
          <w:color w:val="000000" w:themeColor="text1"/>
          <w:sz w:val="24"/>
          <w:szCs w:val="24"/>
          <w:lang w:val="en-US" w:eastAsia="zh-CN"/>
          <w14:textFill>
            <w14:solidFill>
              <w14:schemeClr w14:val="tx1"/>
            </w14:solidFill>
          </w14:textFill>
        </w:rPr>
        <w:t>（</w:t>
      </w:r>
      <w:r>
        <w:rPr>
          <w:rFonts w:hint="eastAsia"/>
          <w:b/>
          <w:bCs/>
          <w:color w:val="000000" w:themeColor="text1"/>
          <w:sz w:val="24"/>
          <w:szCs w:val="24"/>
          <w:lang w:val="en-US" w:eastAsia="zh-CN"/>
          <w14:textFill>
            <w14:solidFill>
              <w14:schemeClr w14:val="tx1"/>
            </w14:solidFill>
          </w14:textFill>
        </w:rPr>
        <w:t>具体内容，详见招标文件）。</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3" w:after="0" w:line="360" w:lineRule="auto"/>
        <w:ind w:left="106" w:leftChars="0" w:right="618" w:rightChars="0" w:hanging="106" w:hangingChars="44"/>
        <w:textAlignment w:val="auto"/>
        <w:rPr>
          <w:rFonts w:ascii="宋体" w:hAnsi="宋体" w:eastAsia="宋体" w:cs="宋体"/>
          <w:b/>
          <w:bCs/>
          <w:sz w:val="24"/>
          <w:szCs w:val="24"/>
          <w:lang w:eastAsia="zh-CN"/>
        </w:rPr>
      </w:pPr>
      <w:r>
        <w:rPr>
          <w:rFonts w:ascii="宋体" w:hAnsi="宋体" w:eastAsia="宋体" w:cs="宋体"/>
          <w:b/>
          <w:bCs/>
          <w:sz w:val="24"/>
          <w:szCs w:val="24"/>
          <w:lang w:val="en-US" w:eastAsia="zh-CN"/>
        </w:rPr>
        <w:t>供应商资格要求：</w:t>
      </w:r>
    </w:p>
    <w:p>
      <w:pPr>
        <w:keepNext w:val="0"/>
        <w:keepLines w:val="0"/>
        <w:widowControl/>
        <w:suppressLineNumbers w:val="0"/>
        <w:spacing w:line="36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1.供应商必须符合《中华人民共和国政府采购法》第二十二条规定,并提供《中华人民共和国政</w:t>
      </w:r>
      <w:r>
        <w:rPr>
          <w:rFonts w:hint="eastAsia" w:ascii="宋体" w:hAnsi="宋体" w:eastAsia="宋体" w:cs="宋体"/>
          <w:sz w:val="24"/>
          <w:szCs w:val="24"/>
          <w:lang w:val="en-US" w:eastAsia="zh-CN"/>
        </w:rPr>
        <w:t>府采购法实施条例》第十七条所要求的材料；</w:t>
      </w:r>
    </w:p>
    <w:p>
      <w:pPr>
        <w:keepNext w:val="0"/>
        <w:keepLines w:val="0"/>
        <w:widowControl/>
        <w:suppressLineNumbers w:val="0"/>
        <w:spacing w:line="24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（1）法人或者其他组织的营业执照等证明文件，自然人的身份证明；</w:t>
      </w:r>
    </w:p>
    <w:p>
      <w:pPr>
        <w:keepNext w:val="0"/>
        <w:keepLines w:val="0"/>
        <w:widowControl/>
        <w:suppressLineNumbers w:val="0"/>
        <w:spacing w:line="24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（2）财务状况报告，依法缴纳税收和社会保障资金的相关材料；</w:t>
      </w:r>
    </w:p>
    <w:p>
      <w:pPr>
        <w:keepNext w:val="0"/>
        <w:keepLines w:val="0"/>
        <w:widowControl/>
        <w:suppressLineNumbers w:val="0"/>
        <w:spacing w:line="24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（3）具备履行合同所必需的设备和专业技术能力的证明材料；</w:t>
      </w:r>
    </w:p>
    <w:p>
      <w:pPr>
        <w:keepNext w:val="0"/>
        <w:keepLines w:val="0"/>
        <w:widowControl/>
        <w:suppressLineNumbers w:val="0"/>
        <w:spacing w:line="24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（4）参加政府采购活动前 3 年内在经营活动中没有重大违法记录的书面声明；</w:t>
      </w:r>
    </w:p>
    <w:p>
      <w:pPr>
        <w:keepNext w:val="0"/>
        <w:keepLines w:val="0"/>
        <w:widowControl/>
        <w:suppressLineNumbers w:val="0"/>
        <w:spacing w:line="24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（5）具备法律、行政法规规定的其他条件的证明材料；</w:t>
      </w:r>
    </w:p>
    <w:p>
      <w:pPr>
        <w:keepNext w:val="0"/>
        <w:keepLines w:val="0"/>
        <w:widowControl/>
        <w:suppressLineNumbers w:val="0"/>
        <w:spacing w:line="36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（6）采购项目有特殊要求的，供应商还应当提供其符合特殊要求的证明材料或者情况说明。</w:t>
      </w:r>
    </w:p>
    <w:p>
      <w:pPr>
        <w:keepNext w:val="0"/>
        <w:keepLines w:val="0"/>
        <w:widowControl/>
        <w:suppressLineNumbers w:val="0"/>
        <w:spacing w:line="36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2.供应商须提供合法有效的含社会统一信用代码和二维码标识的法人营业执照副本复印件并加盖公章，复印件应原尺寸复印，确保二维码清晰可查；开户许可证。</w:t>
      </w:r>
    </w:p>
    <w:p>
      <w:pPr>
        <w:keepNext w:val="0"/>
        <w:keepLines w:val="0"/>
        <w:widowControl/>
        <w:suppressLineNumbers w:val="0"/>
        <w:spacing w:line="360" w:lineRule="auto"/>
        <w:ind w:left="0" w:leftChars="0" w:firstLine="439" w:firstLineChars="183"/>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供应商法定代表人参与投标时须提供资格证明（营业执照副本复印件并加盖公章）、法人身份证原件；非法定代表人参与投标时须提供附有法定代表人身份证复印件的法人授权函（原件），被授权人身份证原件；</w:t>
      </w:r>
    </w:p>
    <w:p>
      <w:pPr>
        <w:keepNext w:val="0"/>
        <w:keepLines w:val="0"/>
        <w:widowControl/>
        <w:suppressLineNumbers w:val="0"/>
        <w:spacing w:line="360" w:lineRule="auto"/>
        <w:ind w:left="0" w:leftChars="0" w:firstLine="402" w:firstLineChars="183"/>
        <w:jc w:val="left"/>
        <w:rPr>
          <w:rFonts w:hint="eastAsia" w:ascii="宋体" w:hAnsi="宋体" w:eastAsia="宋体" w:cs="宋体"/>
        </w:rPr>
      </w:pPr>
      <w:r>
        <w:rPr>
          <w:rFonts w:hint="eastAsia"/>
          <w:lang w:val="en-US" w:eastAsia="zh-CN"/>
        </w:rPr>
        <w:t>4.</w:t>
      </w:r>
      <w:r>
        <w:rPr>
          <w:rFonts w:hint="eastAsia" w:ascii="宋体" w:hAnsi="宋体" w:eastAsia="宋体" w:cs="宋体"/>
          <w:color w:val="000000"/>
          <w:kern w:val="0"/>
          <w:sz w:val="24"/>
          <w:szCs w:val="24"/>
          <w:lang w:val="en-US" w:eastAsia="zh-CN" w:bidi="ar"/>
        </w:rPr>
        <w:t xml:space="preserve">供应商须为未被列入“信用中国”网站(www.creditchina.gov.cn)记录失信被执 行人或重大税收违法案件当事人名单或政府采购严重违法失信行为”记录名单；不 处于中国政府采购网(www.ccgp.gov.cn)政府采购严重违法失信行为信息记录”中 的禁止参加政府采购活动期间;未被列入“信用甘肃”网站（www.gscredit.gov.cn） 记录失信被执行人或财政性资金管理使用领域相关失信责任主体、统计领域严重 失信企业及其有关人员等的方可参加本项目的投标。（自竞争性磋商文件发布之 日起至递交投标文件截止时间前在“信用中国”网站（www.creditchina.gov.cn）、 中国政府采购网(www.ccgp.gov.cn)及“信用甘肃”网站（www.gscredit.gov.cn）查 询结果为准，如相关失信记录已失效，供应商需提供相关证明资料）。 </w:t>
      </w:r>
    </w:p>
    <w:p>
      <w:pPr>
        <w:keepNext w:val="0"/>
        <w:keepLines w:val="0"/>
        <w:widowControl/>
        <w:suppressLineNumbers w:val="0"/>
        <w:spacing w:line="240" w:lineRule="auto"/>
        <w:ind w:left="0" w:leftChars="0" w:firstLine="439" w:firstLineChars="183"/>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5.本项目不接受联合体投标。 </w:t>
      </w:r>
    </w:p>
    <w:p>
      <w:pPr>
        <w:keepNext w:val="0"/>
        <w:keepLines w:val="0"/>
        <w:widowControl/>
        <w:suppressLineNumbers w:val="0"/>
        <w:spacing w:line="360" w:lineRule="auto"/>
        <w:ind w:left="0" w:leftChars="0" w:firstLine="441" w:firstLineChars="183"/>
        <w:jc w:val="left"/>
      </w:pPr>
      <w:r>
        <w:rPr>
          <w:rFonts w:hint="eastAsia" w:ascii="宋体" w:hAnsi="宋体" w:eastAsia="宋体" w:cs="宋体"/>
          <w:b/>
          <w:color w:val="000000"/>
          <w:kern w:val="0"/>
          <w:sz w:val="24"/>
          <w:szCs w:val="24"/>
          <w:lang w:val="en-US" w:eastAsia="zh-CN" w:bidi="ar"/>
        </w:rPr>
        <w:t>注：各投标商在开标时，请携带招标文件中规定的资质证件的原件供评委会查验，不带原件导致废标的，后果由投标商自行承担。（法人营业执照副本只带复印件）。</w:t>
      </w:r>
    </w:p>
    <w:p>
      <w:pPr>
        <w:pStyle w:val="7"/>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五、项目需要落实的政府采购政策：</w:t>
      </w:r>
    </w:p>
    <w:p>
      <w:pPr>
        <w:pStyle w:val="7"/>
        <w:spacing w:line="360" w:lineRule="auto"/>
        <w:ind w:left="0" w:leftChars="0" w:firstLine="439" w:firstLineChars="183"/>
        <w:rPr>
          <w:rFonts w:hint="eastAsia" w:ascii="宋体" w:hAnsi="宋体" w:eastAsia="宋体" w:cs="宋体"/>
          <w:b w:val="0"/>
          <w:bCs w:val="0"/>
          <w:sz w:val="24"/>
          <w:szCs w:val="24"/>
          <w:lang w:val="en-US" w:eastAsia="zh-CN" w:bidi="ar-SA"/>
        </w:rPr>
      </w:pPr>
      <w:r>
        <w:rPr>
          <w:rFonts w:hint="eastAsia" w:ascii="宋体" w:hAnsi="宋体" w:eastAsia="宋体" w:cs="宋体"/>
        </w:rPr>
        <w:t>1.</w:t>
      </w:r>
      <w:r>
        <w:rPr>
          <w:rFonts w:hint="eastAsia" w:ascii="宋体" w:hAnsi="宋体" w:eastAsia="宋体" w:cs="宋体"/>
          <w:color w:val="000000"/>
          <w:kern w:val="0"/>
          <w:sz w:val="24"/>
          <w:szCs w:val="24"/>
          <w:lang w:val="en-US" w:eastAsia="zh-CN" w:bidi="ar"/>
        </w:rPr>
        <w:t>根据财政部发布的《政府采购促进中小企业发展暂行办法》规定，本项目对小</w:t>
      </w:r>
      <w:r>
        <w:rPr>
          <w:rFonts w:hint="eastAsia" w:ascii="宋体" w:hAnsi="宋体" w:eastAsia="宋体" w:cs="宋体"/>
          <w:b w:val="0"/>
          <w:bCs w:val="0"/>
          <w:color w:val="000000"/>
          <w:kern w:val="0"/>
          <w:sz w:val="24"/>
          <w:szCs w:val="24"/>
          <w:lang w:val="en-US" w:eastAsia="zh-CN" w:bidi="ar"/>
        </w:rPr>
        <w:t>型</w:t>
      </w:r>
      <w:r>
        <w:rPr>
          <w:rFonts w:hint="eastAsia" w:ascii="宋体" w:hAnsi="宋体" w:eastAsia="宋体" w:cs="宋体"/>
          <w:b w:val="0"/>
          <w:bCs w:val="0"/>
          <w:sz w:val="24"/>
          <w:szCs w:val="24"/>
          <w:lang w:val="en-US" w:eastAsia="zh-CN" w:bidi="ar-SA"/>
        </w:rPr>
        <w:t>和微型企业产品的价格给予 6%的扣除。</w:t>
      </w:r>
    </w:p>
    <w:p>
      <w:pPr>
        <w:pStyle w:val="7"/>
        <w:spacing w:line="360" w:lineRule="auto"/>
        <w:ind w:left="0" w:leftChars="0" w:firstLine="439" w:firstLineChars="183"/>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2.根据财政部发布的《关于政府采购支持监狱企业发展有关问题的通知》规定，本项目对监狱企业产品的价格给予 6%的扣除。</w:t>
      </w:r>
    </w:p>
    <w:p>
      <w:pPr>
        <w:pStyle w:val="7"/>
        <w:spacing w:line="360" w:lineRule="auto"/>
        <w:ind w:left="0" w:leftChars="0" w:firstLine="439" w:firstLineChars="183"/>
        <w:rPr>
          <w:rFonts w:hint="eastAsia" w:ascii="宋体" w:hAnsi="宋体" w:eastAsia="宋体" w:cs="宋体"/>
        </w:rPr>
      </w:pPr>
      <w:r>
        <w:rPr>
          <w:rFonts w:hint="eastAsia" w:ascii="宋体" w:hAnsi="宋体" w:eastAsia="宋体" w:cs="宋体"/>
          <w:b w:val="0"/>
          <w:bCs w:val="0"/>
          <w:sz w:val="24"/>
          <w:szCs w:val="24"/>
          <w:lang w:val="en-US" w:eastAsia="zh-CN" w:bidi="ar-SA"/>
        </w:rPr>
        <w:t>3.根据财政</w:t>
      </w:r>
      <w:r>
        <w:rPr>
          <w:rFonts w:hint="eastAsia" w:ascii="宋体" w:hAnsi="宋体" w:eastAsia="宋体" w:cs="宋体"/>
          <w:b w:val="0"/>
          <w:bCs w:val="0"/>
          <w:color w:val="000000"/>
          <w:kern w:val="0"/>
          <w:sz w:val="24"/>
          <w:szCs w:val="24"/>
          <w:lang w:val="en-US" w:eastAsia="zh-CN" w:bidi="ar"/>
        </w:rPr>
        <w:t>部、民政</w:t>
      </w:r>
      <w:r>
        <w:rPr>
          <w:rFonts w:hint="eastAsia" w:ascii="宋体" w:hAnsi="宋体" w:eastAsia="宋体" w:cs="宋体"/>
          <w:color w:val="000000"/>
          <w:kern w:val="0"/>
          <w:sz w:val="24"/>
          <w:szCs w:val="24"/>
          <w:lang w:val="en-US" w:eastAsia="zh-CN" w:bidi="ar"/>
        </w:rPr>
        <w:t>部、中国残疾人联合会发布的《关于促进残疾人就业政府采购政策的通知》规定，本项目对残疾人福利性单位产品</w:t>
      </w:r>
      <w:r>
        <w:rPr>
          <w:rFonts w:hint="eastAsia" w:ascii="宋体" w:hAnsi="宋体" w:eastAsia="宋体" w:cs="宋体"/>
        </w:rPr>
        <w:t>的价格给予 6%的扣除。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70" w:lineRule="exact"/>
        <w:ind w:right="0"/>
        <w:jc w:val="left"/>
      </w:pPr>
      <w:r>
        <w:rPr>
          <w:rFonts w:hint="eastAsia" w:ascii="宋体" w:hAnsi="宋体" w:eastAsia="宋体" w:cs="宋体"/>
          <w:b/>
          <w:color w:val="333333"/>
          <w:kern w:val="0"/>
          <w:sz w:val="24"/>
          <w:szCs w:val="24"/>
          <w:lang w:val="en-US" w:eastAsia="zh-CN" w:bidi="ar"/>
        </w:rPr>
        <w:t>六、供应商注意事项：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1、获取招标文件的时间、地点、方式：</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2020年</w:t>
      </w:r>
      <w:r>
        <w:rPr>
          <w:rFonts w:hint="eastAsia" w:ascii="宋体" w:hAnsi="宋体" w:eastAsia="宋体" w:cs="宋体"/>
          <w:color w:val="000000"/>
          <w:kern w:val="0"/>
          <w:sz w:val="24"/>
          <w:szCs w:val="24"/>
          <w:u w:val="single"/>
          <w:lang w:val="en-US" w:eastAsia="zh-CN" w:bidi="ar"/>
        </w:rPr>
        <w:t xml:space="preserve"> 1 </w:t>
      </w:r>
      <w:r>
        <w:rPr>
          <w:rFonts w:hint="eastAsia"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u w:val="single"/>
          <w:lang w:val="en-US" w:eastAsia="zh-CN" w:bidi="ar"/>
        </w:rPr>
        <w:t xml:space="preserve"> 8 </w:t>
      </w:r>
      <w:r>
        <w:rPr>
          <w:rFonts w:hint="eastAsia" w:ascii="宋体" w:hAnsi="宋体" w:eastAsia="宋体" w:cs="宋体"/>
          <w:color w:val="000000"/>
          <w:kern w:val="0"/>
          <w:sz w:val="24"/>
          <w:szCs w:val="24"/>
          <w:lang w:val="en-US" w:eastAsia="zh-CN" w:bidi="ar"/>
        </w:rPr>
        <w:t>日至2020年</w:t>
      </w:r>
      <w:r>
        <w:rPr>
          <w:rFonts w:hint="eastAsia" w:ascii="宋体" w:hAnsi="宋体" w:eastAsia="宋体" w:cs="宋体"/>
          <w:color w:val="000000"/>
          <w:kern w:val="0"/>
          <w:sz w:val="24"/>
          <w:szCs w:val="24"/>
          <w:u w:val="single"/>
          <w:lang w:val="en-US" w:eastAsia="zh-CN" w:bidi="ar"/>
        </w:rPr>
        <w:t xml:space="preserve"> 1 </w:t>
      </w:r>
      <w:r>
        <w:rPr>
          <w:rFonts w:hint="eastAsia"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u w:val="single"/>
          <w:lang w:val="en-US" w:eastAsia="zh-CN" w:bidi="ar"/>
        </w:rPr>
        <w:t xml:space="preserve"> 12 </w:t>
      </w:r>
      <w:r>
        <w:rPr>
          <w:rFonts w:hint="eastAsia"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lang w:val="en-US" w:eastAsia="zh-CN" w:bidi="ar"/>
        </w:rPr>
        <w:t>,每日00:00-23:59，在张掖市公共资源交易网（http://www.zhangye.gov.cn/ggzy/）在线下载获得。投标人必须在张掖市公共资源交易网准确登记投标人名称、地址、联系人、联系电话及相关资质等信息，以免影响正常交易活动，如登记错误，对产生的不利因素由投标人自行承担。投标人注册成功后，登录系统在线下载电子版招标文件。 请各招标代理机构、投标人及时登录中心网站办理“用户注册”相关事宜，根据系统提示完成企业信息录入及附件资料上传。具体办理指南请参看中心网站“下载专区”主体库申报操作手册。（如有疑问可与新点公司工作人员联系，联系人：梁坤，联系电话：173936326302、投标文件递交起止时间、开标时间及地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40" w:leftChars="109" w:right="0" w:firstLine="240" w:firstLine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（1）投标文件递交起止时间及地点：</w:t>
      </w:r>
      <w:r>
        <w:rPr>
          <w:rFonts w:hint="eastAsia" w:ascii="宋体" w:hAnsi="宋体" w:eastAsia="宋体" w:cs="宋体"/>
          <w:color w:val="000000"/>
          <w:kern w:val="0"/>
          <w:sz w:val="24"/>
          <w:szCs w:val="24"/>
          <w:u w:val="single"/>
          <w:lang w:val="en-US" w:eastAsia="zh-CN" w:bidi="ar"/>
        </w:rPr>
        <w:t>2020</w:t>
      </w:r>
      <w:r>
        <w:rPr>
          <w:rFonts w:hint="eastAsia"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u w:val="single"/>
          <w:lang w:val="en-US" w:eastAsia="zh-CN" w:bidi="ar"/>
        </w:rPr>
        <w:t xml:space="preserve"> 2 </w:t>
      </w:r>
      <w:r>
        <w:rPr>
          <w:rFonts w:hint="eastAsia"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u w:val="single"/>
          <w:lang w:val="en-US" w:eastAsia="zh-CN" w:bidi="ar"/>
        </w:rPr>
        <w:t xml:space="preserve"> 4 </w:t>
      </w:r>
      <w:r>
        <w:rPr>
          <w:rFonts w:hint="eastAsia"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u w:val="single"/>
          <w:lang w:val="en-US" w:eastAsia="zh-CN" w:bidi="ar"/>
        </w:rPr>
        <w:t xml:space="preserve"> 14 </w:t>
      </w:r>
      <w:r>
        <w:rPr>
          <w:rFonts w:hint="eastAsia" w:ascii="宋体" w:hAnsi="宋体" w:eastAsia="宋体" w:cs="宋体"/>
          <w:color w:val="000000"/>
          <w:kern w:val="0"/>
          <w:sz w:val="24"/>
          <w:szCs w:val="24"/>
          <w:lang w:val="en-US" w:eastAsia="zh-CN" w:bidi="ar"/>
        </w:rPr>
        <w:t>时</w:t>
      </w:r>
      <w:r>
        <w:rPr>
          <w:rFonts w:hint="eastAsia" w:ascii="宋体" w:hAnsi="宋体" w:eastAsia="宋体" w:cs="宋体"/>
          <w:color w:val="000000"/>
          <w:kern w:val="0"/>
          <w:sz w:val="24"/>
          <w:szCs w:val="24"/>
          <w:u w:val="single"/>
          <w:lang w:val="en-US" w:eastAsia="zh-CN" w:bidi="ar"/>
        </w:rPr>
        <w:t xml:space="preserve"> 30 </w:t>
      </w:r>
      <w:r>
        <w:rPr>
          <w:rFonts w:hint="eastAsia" w:ascii="宋体" w:hAnsi="宋体" w:eastAsia="宋体" w:cs="宋体"/>
          <w:color w:val="000000"/>
          <w:kern w:val="0"/>
          <w:sz w:val="24"/>
          <w:szCs w:val="24"/>
          <w:u w:val="none"/>
          <w:lang w:val="en-US" w:eastAsia="zh-CN" w:bidi="ar"/>
        </w:rPr>
        <w:t>分</w:t>
      </w:r>
      <w:r>
        <w:rPr>
          <w:rFonts w:hint="eastAsia" w:ascii="宋体" w:hAnsi="宋体" w:eastAsia="宋体" w:cs="宋体"/>
          <w:color w:val="000000"/>
          <w:kern w:val="0"/>
          <w:sz w:val="24"/>
          <w:szCs w:val="24"/>
          <w:lang w:val="en-US" w:eastAsia="zh-CN" w:bidi="ar"/>
        </w:rPr>
        <w:t>至15时 00 分（北京时间）。地点为：张掖市公共资源交易中心二楼</w:t>
      </w:r>
      <w:r>
        <w:rPr>
          <w:rFonts w:hint="eastAsia" w:ascii="宋体" w:hAnsi="宋体" w:eastAsia="宋体" w:cs="宋体"/>
          <w:color w:val="000000"/>
          <w:kern w:val="0"/>
          <w:sz w:val="24"/>
          <w:szCs w:val="24"/>
          <w:u w:val="single"/>
          <w:lang w:val="en-US" w:eastAsia="zh-CN" w:bidi="ar"/>
        </w:rPr>
        <w:t xml:space="preserve"> 二 </w:t>
      </w:r>
      <w:r>
        <w:rPr>
          <w:rFonts w:hint="eastAsia" w:ascii="宋体" w:hAnsi="宋体" w:eastAsia="宋体" w:cs="宋体"/>
          <w:color w:val="000000"/>
          <w:kern w:val="0"/>
          <w:sz w:val="24"/>
          <w:szCs w:val="24"/>
          <w:lang w:val="en-US" w:eastAsia="zh-CN" w:bidi="ar"/>
        </w:rPr>
        <w:t>号开标大厅（张掖市丹霞东路18号建设系统综合办公楼）。逾期未送达或未送达指定地点的投标文件，招标代理机构不予受理。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（2）开标时间：</w:t>
      </w:r>
      <w:r>
        <w:rPr>
          <w:rFonts w:hint="eastAsia" w:ascii="宋体" w:hAnsi="宋体" w:eastAsia="宋体" w:cs="宋体"/>
          <w:color w:val="000000"/>
          <w:kern w:val="0"/>
          <w:sz w:val="24"/>
          <w:szCs w:val="24"/>
          <w:u w:val="single"/>
          <w:lang w:val="en-US" w:eastAsia="zh-CN" w:bidi="ar"/>
        </w:rPr>
        <w:t>2020</w:t>
      </w:r>
      <w:r>
        <w:rPr>
          <w:rFonts w:hint="eastAsia"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u w:val="single"/>
          <w:lang w:val="en-US" w:eastAsia="zh-CN" w:bidi="ar"/>
        </w:rPr>
        <w:t xml:space="preserve"> 2 </w:t>
      </w:r>
      <w:r>
        <w:rPr>
          <w:rFonts w:hint="eastAsia"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u w:val="single"/>
          <w:lang w:val="en-US" w:eastAsia="zh-CN" w:bidi="ar"/>
        </w:rPr>
        <w:t xml:space="preserve"> 4 </w:t>
      </w:r>
      <w:r>
        <w:rPr>
          <w:rFonts w:hint="eastAsia"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u w:val="single"/>
          <w:lang w:val="en-US" w:eastAsia="zh-CN" w:bidi="ar"/>
        </w:rPr>
        <w:t xml:space="preserve"> 15 </w:t>
      </w:r>
      <w:r>
        <w:rPr>
          <w:rFonts w:hint="eastAsia" w:ascii="宋体" w:hAnsi="宋体" w:eastAsia="宋体" w:cs="宋体"/>
          <w:color w:val="000000"/>
          <w:kern w:val="0"/>
          <w:sz w:val="24"/>
          <w:szCs w:val="24"/>
          <w:lang w:val="en-US" w:eastAsia="zh-CN" w:bidi="ar"/>
        </w:rPr>
        <w:t>时</w:t>
      </w:r>
      <w:r>
        <w:rPr>
          <w:rFonts w:hint="eastAsia" w:ascii="宋体" w:hAnsi="宋体" w:eastAsia="宋体" w:cs="宋体"/>
          <w:color w:val="000000"/>
          <w:kern w:val="0"/>
          <w:sz w:val="24"/>
          <w:szCs w:val="24"/>
          <w:u w:val="single"/>
          <w:lang w:val="en-US" w:eastAsia="zh-CN" w:bidi="ar"/>
        </w:rPr>
        <w:t xml:space="preserve"> 00 </w:t>
      </w:r>
      <w:r>
        <w:rPr>
          <w:rFonts w:hint="eastAsia" w:ascii="宋体" w:hAnsi="宋体" w:eastAsia="宋体" w:cs="宋体"/>
          <w:color w:val="000000"/>
          <w:kern w:val="0"/>
          <w:sz w:val="24"/>
          <w:szCs w:val="24"/>
          <w:u w:val="none"/>
          <w:lang w:val="en-US" w:eastAsia="zh-CN" w:bidi="ar"/>
        </w:rPr>
        <w:t>分</w:t>
      </w:r>
      <w:r>
        <w:rPr>
          <w:rFonts w:hint="eastAsia" w:ascii="宋体" w:hAnsi="宋体" w:eastAsia="宋体" w:cs="宋体"/>
          <w:color w:val="000000"/>
          <w:kern w:val="0"/>
          <w:sz w:val="24"/>
          <w:szCs w:val="24"/>
          <w:lang w:val="en-US" w:eastAsia="zh-CN" w:bidi="ar"/>
        </w:rPr>
        <w:t>（北京时间）。</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rPr>
      </w:pPr>
      <w:r>
        <w:rPr>
          <w:rFonts w:hint="eastAsia" w:ascii="宋体" w:hAnsi="宋体" w:eastAsia="宋体" w:cs="宋体"/>
          <w:color w:val="000000"/>
          <w:kern w:val="0"/>
          <w:sz w:val="24"/>
          <w:szCs w:val="24"/>
          <w:lang w:val="en-US" w:eastAsia="zh-CN" w:bidi="ar"/>
        </w:rPr>
        <w:t>（3）开标地点：张掖市公共资源交易中心二楼</w:t>
      </w:r>
      <w:r>
        <w:rPr>
          <w:rFonts w:hint="eastAsia" w:ascii="宋体" w:hAnsi="宋体" w:eastAsia="宋体" w:cs="宋体"/>
          <w:color w:val="000000"/>
          <w:kern w:val="0"/>
          <w:sz w:val="24"/>
          <w:szCs w:val="24"/>
          <w:u w:val="single"/>
          <w:lang w:val="en-US" w:eastAsia="zh-CN" w:bidi="ar"/>
        </w:rPr>
        <w:t xml:space="preserve"> 二 </w:t>
      </w:r>
      <w:r>
        <w:rPr>
          <w:rFonts w:hint="eastAsia" w:ascii="宋体" w:hAnsi="宋体" w:eastAsia="宋体" w:cs="宋体"/>
          <w:color w:val="000000"/>
          <w:kern w:val="0"/>
          <w:sz w:val="24"/>
          <w:szCs w:val="24"/>
          <w:lang w:val="en-US" w:eastAsia="zh-CN" w:bidi="ar"/>
        </w:rPr>
        <w:t>号开标厅进行开标。届时请投标的单位代表出席开标会议。如有变动，另</w:t>
      </w:r>
      <w:r>
        <w:rPr>
          <w:rFonts w:hint="eastAsia" w:asciiTheme="minorEastAsia" w:hAnsiTheme="minorEastAsia" w:eastAsiaTheme="minorEastAsia" w:cstheme="minorEastAsia"/>
          <w:color w:val="333333"/>
          <w:kern w:val="0"/>
          <w:sz w:val="24"/>
          <w:szCs w:val="24"/>
          <w:lang w:val="en-US" w:eastAsia="zh-CN" w:bidi="ar"/>
        </w:rPr>
        <w:t>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333333"/>
          <w:kern w:val="0"/>
          <w:sz w:val="24"/>
          <w:szCs w:val="24"/>
          <w:lang w:val="en-US" w:eastAsia="zh-CN" w:bidi="ar"/>
        </w:rPr>
        <w:t>注：投标人在投标文件递交截止时间前应主动登录甘肃政府采购网或张掖市公共资源交易中心网站，以便及时了解相关招标信息和补充信息。如因未主动登录网站或关注信息公布栏而未获取相关信息，对其产生的不利因素由投标人自行承担。</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333333"/>
          <w:kern w:val="0"/>
          <w:sz w:val="24"/>
          <w:szCs w:val="24"/>
          <w:lang w:val="en-US" w:eastAsia="zh-CN" w:bidi="ar"/>
        </w:rPr>
        <w:t>七、公告期限：</w:t>
      </w:r>
      <w:r>
        <w:rPr>
          <w:rFonts w:hint="eastAsia" w:asciiTheme="minorEastAsia" w:hAnsiTheme="minorEastAsia" w:eastAsiaTheme="minorEastAsia" w:cstheme="minorEastAsia"/>
          <w:b/>
          <w:i w:val="0"/>
          <w:color w:val="333333"/>
          <w:kern w:val="0"/>
          <w:sz w:val="24"/>
          <w:szCs w:val="24"/>
          <w:lang w:val="en-US" w:eastAsia="zh-CN" w:bidi="ar"/>
        </w:rPr>
        <w:t>5个工作日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color w:val="333333"/>
          <w:kern w:val="0"/>
          <w:sz w:val="24"/>
          <w:szCs w:val="24"/>
          <w:lang w:val="en-US" w:eastAsia="zh-CN" w:bidi="ar"/>
        </w:rPr>
        <w:t>公告发布媒体：甘肃省政府采购网、张掖市公共资源交易中心网。</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八、采购项目联系人姓名及电话</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ind w:left="0" w:leftChars="0" w:firstLine="218" w:firstLineChars="91"/>
        <w:jc w:val="left"/>
      </w:pPr>
      <w:r>
        <w:rPr>
          <w:rFonts w:hint="eastAsia" w:ascii="宋体" w:hAnsi="宋体" w:eastAsia="宋体" w:cs="宋体"/>
          <w:color w:val="000000"/>
          <w:kern w:val="0"/>
          <w:sz w:val="24"/>
          <w:szCs w:val="24"/>
          <w:lang w:val="en-US" w:eastAsia="zh-CN" w:bidi="ar"/>
        </w:rPr>
        <w:t xml:space="preserve">采购方：甘肃省张掖市中级人民法院 </w:t>
      </w:r>
    </w:p>
    <w:p>
      <w:pPr>
        <w:keepNext w:val="0"/>
        <w:keepLines w:val="0"/>
        <w:widowControl/>
        <w:suppressLineNumbers w:val="0"/>
        <w:ind w:left="0" w:leftChars="0" w:firstLine="218" w:firstLineChars="91"/>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联系人：高军晖</w:t>
      </w:r>
    </w:p>
    <w:p>
      <w:pPr>
        <w:keepNext w:val="0"/>
        <w:keepLines w:val="0"/>
        <w:widowControl/>
        <w:suppressLineNumbers w:val="0"/>
        <w:ind w:left="0" w:leftChars="0" w:firstLine="218" w:firstLineChars="91"/>
        <w:jc w:val="left"/>
        <w:rPr>
          <w:rFonts w:hint="default"/>
          <w:lang w:val="en-US"/>
        </w:rPr>
      </w:pPr>
      <w:r>
        <w:rPr>
          <w:rFonts w:hint="eastAsia" w:ascii="宋体" w:hAnsi="宋体" w:eastAsia="宋体" w:cs="宋体"/>
          <w:color w:val="000000"/>
          <w:kern w:val="0"/>
          <w:sz w:val="24"/>
          <w:szCs w:val="24"/>
          <w:lang w:val="en-US" w:eastAsia="zh-CN" w:bidi="ar"/>
        </w:rPr>
        <w:t>联系电话：15693666300</w:t>
      </w:r>
    </w:p>
    <w:p>
      <w:pPr>
        <w:keepNext w:val="0"/>
        <w:keepLines w:val="0"/>
        <w:widowControl/>
        <w:suppressLineNumbers w:val="0"/>
        <w:ind w:left="0" w:leftChars="0" w:firstLine="218" w:firstLineChars="91"/>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地  址：张掖市甘州区东门牌坊楼以西100米</w:t>
      </w:r>
    </w:p>
    <w:p>
      <w:pPr>
        <w:pStyle w:val="2"/>
      </w:pPr>
    </w:p>
    <w:p>
      <w:pPr>
        <w:keepNext w:val="0"/>
        <w:keepLines w:val="0"/>
        <w:widowControl/>
        <w:suppressLineNumbers w:val="0"/>
        <w:ind w:left="0" w:leftChars="0" w:firstLine="218" w:firstLineChars="91"/>
        <w:jc w:val="left"/>
      </w:pPr>
      <w:r>
        <w:rPr>
          <w:rFonts w:hint="eastAsia" w:ascii="宋体" w:hAnsi="宋体" w:eastAsia="宋体" w:cs="宋体"/>
          <w:color w:val="000000"/>
          <w:kern w:val="0"/>
          <w:sz w:val="24"/>
          <w:szCs w:val="24"/>
          <w:lang w:val="en-US" w:eastAsia="zh-CN" w:bidi="ar"/>
        </w:rPr>
        <w:t>招标代理机构：甘肃国泰国际招标有限公司</w:t>
      </w:r>
    </w:p>
    <w:p>
      <w:pPr>
        <w:keepNext w:val="0"/>
        <w:keepLines w:val="0"/>
        <w:widowControl/>
        <w:suppressLineNumbers w:val="0"/>
        <w:ind w:left="0" w:leftChars="0" w:firstLine="218" w:firstLineChars="91"/>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联系人：赵慧敏</w:t>
      </w:r>
    </w:p>
    <w:p>
      <w:pPr>
        <w:keepNext w:val="0"/>
        <w:keepLines w:val="0"/>
        <w:widowControl/>
        <w:suppressLineNumbers w:val="0"/>
        <w:ind w:left="0" w:leftChars="0" w:firstLine="218" w:firstLineChars="91"/>
        <w:jc w:val="left"/>
        <w:rPr>
          <w:rFonts w:hint="default"/>
          <w:lang w:val="en-US"/>
        </w:rPr>
      </w:pPr>
      <w:r>
        <w:rPr>
          <w:rFonts w:hint="eastAsia" w:ascii="宋体" w:hAnsi="宋体" w:eastAsia="宋体" w:cs="宋体"/>
          <w:color w:val="000000"/>
          <w:kern w:val="0"/>
          <w:sz w:val="24"/>
          <w:szCs w:val="24"/>
          <w:lang w:val="en-US" w:eastAsia="zh-CN" w:bidi="ar"/>
        </w:rPr>
        <w:t>联系电话：13150000066</w:t>
      </w:r>
    </w:p>
    <w:p>
      <w:pPr>
        <w:keepNext w:val="0"/>
        <w:keepLines w:val="0"/>
        <w:widowControl/>
        <w:suppressLineNumbers w:val="0"/>
        <w:ind w:left="0" w:leftChars="0" w:firstLine="218" w:firstLineChars="91"/>
        <w:jc w:val="left"/>
      </w:pPr>
      <w:r>
        <w:rPr>
          <w:rFonts w:hint="eastAsia" w:ascii="宋体" w:hAnsi="宋体" w:eastAsia="宋体" w:cs="宋体"/>
          <w:color w:val="000000"/>
          <w:kern w:val="0"/>
          <w:sz w:val="24"/>
          <w:szCs w:val="24"/>
          <w:lang w:val="en-US" w:eastAsia="zh-CN" w:bidi="ar"/>
        </w:rPr>
        <w:t>地 址：张掖市甘州区县府街延伸段市委党校对面溢洋大厦四楼</w:t>
      </w:r>
    </w:p>
    <w:p>
      <w:pPr>
        <w:keepNext w:val="0"/>
        <w:keepLines w:val="0"/>
        <w:widowControl/>
        <w:suppressLineNumbers w:val="0"/>
        <w:jc w:val="right"/>
        <w:rPr>
          <w:rFonts w:hint="eastAsia" w:ascii="宋体" w:hAnsi="宋体" w:eastAsia="宋体" w:cs="宋体"/>
          <w:color w:val="000000"/>
          <w:kern w:val="0"/>
          <w:sz w:val="24"/>
          <w:szCs w:val="24"/>
          <w:lang w:val="en-US" w:eastAsia="zh-CN" w:bidi="ar"/>
        </w:rPr>
      </w:pPr>
    </w:p>
    <w:p>
      <w:pPr>
        <w:keepNext w:val="0"/>
        <w:keepLines w:val="0"/>
        <w:widowControl/>
        <w:suppressLineNumbers w:val="0"/>
        <w:jc w:val="right"/>
        <w:rPr>
          <w:rFonts w:hint="eastAsia" w:ascii="宋体" w:hAnsi="宋体" w:eastAsia="宋体" w:cs="宋体"/>
          <w:color w:val="000000"/>
          <w:kern w:val="0"/>
          <w:sz w:val="24"/>
          <w:szCs w:val="24"/>
          <w:lang w:val="en-US" w:eastAsia="zh-CN" w:bidi="ar"/>
        </w:rPr>
      </w:pPr>
    </w:p>
    <w:p>
      <w:pPr>
        <w:keepNext w:val="0"/>
        <w:keepLines w:val="0"/>
        <w:widowControl/>
        <w:suppressLineNumbers w:val="0"/>
        <w:jc w:val="right"/>
        <w:rPr>
          <w:rFonts w:hint="eastAsia" w:ascii="宋体" w:hAnsi="宋体" w:eastAsia="宋体" w:cs="宋体"/>
          <w:color w:val="000000"/>
          <w:kern w:val="0"/>
          <w:sz w:val="24"/>
          <w:szCs w:val="24"/>
          <w:lang w:val="en-US" w:eastAsia="zh-CN" w:bidi="ar"/>
        </w:rPr>
      </w:pPr>
    </w:p>
    <w:p>
      <w:pPr>
        <w:keepNext w:val="0"/>
        <w:keepLines w:val="0"/>
        <w:widowControl/>
        <w:suppressLineNumbers w:val="0"/>
        <w:jc w:val="right"/>
      </w:pPr>
      <w:r>
        <w:rPr>
          <w:rFonts w:hint="eastAsia" w:ascii="宋体" w:hAnsi="宋体" w:eastAsia="宋体" w:cs="宋体"/>
          <w:color w:val="000000"/>
          <w:kern w:val="0"/>
          <w:sz w:val="24"/>
          <w:szCs w:val="24"/>
          <w:lang w:val="en-US" w:eastAsia="zh-CN" w:bidi="ar"/>
        </w:rPr>
        <w:t xml:space="preserve">甘肃国泰国际招标有限公司 </w:t>
      </w:r>
    </w:p>
    <w:p>
      <w:pPr>
        <w:pStyle w:val="6"/>
        <w:jc w:val="right"/>
        <w:rPr>
          <w:rFonts w:hint="eastAsia"/>
        </w:rPr>
      </w:pPr>
      <w:r>
        <w:rPr>
          <w:rFonts w:hint="eastAsia" w:ascii="宋体" w:hAnsi="宋体" w:cs="宋体"/>
          <w:color w:val="000000"/>
          <w:kern w:val="0"/>
          <w:sz w:val="24"/>
          <w:szCs w:val="24"/>
          <w:lang w:val="en-US" w:eastAsia="zh-CN" w:bidi="ar"/>
        </w:rPr>
        <w:t>2020</w:t>
      </w:r>
      <w:r>
        <w:rPr>
          <w:rFonts w:hint="eastAsia" w:ascii="宋体" w:hAnsi="宋体" w:eastAsia="宋体" w:cs="宋体"/>
          <w:color w:val="000000"/>
          <w:kern w:val="0"/>
          <w:sz w:val="24"/>
          <w:szCs w:val="24"/>
          <w:lang w:val="en-US" w:eastAsia="zh-CN" w:bidi="ar"/>
        </w:rPr>
        <w:t>年</w:t>
      </w:r>
      <w:r>
        <w:rPr>
          <w:rFonts w:hint="eastAsia" w:ascii="宋体" w:hAnsi="宋体" w:cs="宋体"/>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月</w:t>
      </w:r>
      <w:r>
        <w:rPr>
          <w:rFonts w:hint="eastAsia" w:ascii="宋体" w:hAnsi="宋体" w:cs="宋体"/>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日</w:t>
      </w:r>
    </w:p>
    <w:p>
      <w:pPr>
        <w:pStyle w:val="7"/>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jc w:val="center"/>
        <w:outlineLvl w:val="0"/>
        <w:rPr>
          <w:rFonts w:hint="eastAsia" w:ascii="宋体" w:hAnsi="宋体" w:eastAsia="宋体" w:cs="宋体"/>
          <w:b/>
          <w:bCs/>
          <w:sz w:val="44"/>
          <w:szCs w:val="44"/>
        </w:rPr>
      </w:pPr>
      <w:bookmarkStart w:id="1" w:name="_Toc9390"/>
      <w:r>
        <w:rPr>
          <w:rFonts w:hint="eastAsia" w:ascii="宋体" w:hAnsi="宋体" w:eastAsia="宋体" w:cs="宋体"/>
          <w:b/>
          <w:bCs/>
          <w:sz w:val="44"/>
          <w:szCs w:val="44"/>
        </w:rPr>
        <w:t>第二部分</w:t>
      </w:r>
      <w:r>
        <w:rPr>
          <w:rFonts w:hint="eastAsia" w:ascii="宋体" w:hAnsi="宋体" w:eastAsia="宋体" w:cs="宋体"/>
          <w:b/>
          <w:bCs/>
          <w:sz w:val="44"/>
          <w:szCs w:val="44"/>
        </w:rPr>
        <w:tab/>
      </w:r>
      <w:r>
        <w:rPr>
          <w:rFonts w:hint="eastAsia" w:ascii="宋体" w:hAnsi="宋体" w:eastAsia="宋体" w:cs="宋体"/>
          <w:b/>
          <w:bCs/>
          <w:sz w:val="44"/>
          <w:szCs w:val="44"/>
        </w:rPr>
        <w:t>供应商须知</w:t>
      </w:r>
      <w:bookmarkEnd w:id="1"/>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sectPr>
          <w:footerReference r:id="rId3" w:type="default"/>
          <w:pgSz w:w="11906" w:h="16838"/>
          <w:pgMar w:top="1440" w:right="1526" w:bottom="1440" w:left="1800" w:header="851" w:footer="992" w:gutter="0"/>
          <w:pgNumType w:fmt="decimal" w:start="1"/>
          <w:cols w:space="425" w:num="1"/>
          <w:docGrid w:type="lines" w:linePitch="312" w:charSpace="0"/>
        </w:sectPr>
      </w:pPr>
    </w:p>
    <w:p>
      <w:pPr>
        <w:spacing w:before="0" w:line="544" w:lineRule="exact"/>
        <w:ind w:left="300" w:right="0" w:firstLine="0"/>
        <w:jc w:val="center"/>
        <w:outlineLvl w:val="1"/>
        <w:rPr>
          <w:rFonts w:hint="eastAsia" w:ascii="宋体" w:hAnsi="宋体" w:eastAsia="宋体" w:cs="宋体"/>
          <w:b/>
          <w:sz w:val="30"/>
        </w:rPr>
      </w:pPr>
      <w:bookmarkStart w:id="2" w:name="_Toc14461"/>
      <w:bookmarkStart w:id="3" w:name="_Toc4498"/>
      <w:r>
        <w:rPr>
          <w:rFonts w:hint="eastAsia" w:ascii="宋体" w:hAnsi="宋体" w:eastAsia="宋体" w:cs="宋体"/>
          <w:b/>
          <w:sz w:val="30"/>
        </w:rPr>
        <w:t>一、投标人须知前附表</w:t>
      </w:r>
      <w:bookmarkEnd w:id="2"/>
      <w:bookmarkEnd w:id="3"/>
    </w:p>
    <w:p>
      <w:pPr>
        <w:rPr>
          <w:rFonts w:hint="eastAsia" w:ascii="宋体" w:hAnsi="宋体" w:eastAsia="宋体" w:cs="宋体"/>
          <w:b/>
          <w:sz w:val="24"/>
        </w:rPr>
      </w:pPr>
      <w:r>
        <w:rPr>
          <w:rFonts w:hint="eastAsia" w:ascii="宋体" w:hAnsi="宋体" w:eastAsia="宋体" w:cs="宋体"/>
          <w:b/>
          <w:spacing w:val="-10"/>
          <w:w w:val="90"/>
          <w:sz w:val="24"/>
        </w:rPr>
        <w:t>（本表关于投标所需的具体资料是对供应商须知的具体补充和修改，如有矛盾，以本附表</w:t>
      </w:r>
      <w:r>
        <w:rPr>
          <w:rFonts w:hint="eastAsia" w:ascii="宋体" w:hAnsi="宋体" w:eastAsia="宋体" w:cs="宋体"/>
          <w:b/>
          <w:spacing w:val="-10"/>
          <w:sz w:val="24"/>
        </w:rPr>
        <w:t>为准</w:t>
      </w:r>
      <w:r>
        <w:rPr>
          <w:rFonts w:hint="eastAsia" w:ascii="宋体" w:hAnsi="宋体" w:eastAsia="宋体" w:cs="宋体"/>
          <w:b/>
          <w:sz w:val="24"/>
        </w:rPr>
        <w:t>）</w:t>
      </w:r>
    </w:p>
    <w:tbl>
      <w:tblPr>
        <w:tblStyle w:val="15"/>
        <w:tblW w:w="9436" w:type="dxa"/>
        <w:tblInd w:w="-4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913"/>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50" w:type="dxa"/>
            <w:vAlign w:val="center"/>
          </w:tcPr>
          <w:p>
            <w:pPr>
              <w:pStyle w:val="6"/>
              <w:spacing w:line="360" w:lineRule="auto"/>
              <w:ind w:left="0" w:leftChars="0" w:firstLine="0" w:firstLineChars="0"/>
              <w:jc w:val="center"/>
              <w:rPr>
                <w:b/>
                <w:bCs/>
                <w:sz w:val="24"/>
                <w:szCs w:val="24"/>
                <w:vertAlign w:val="baseline"/>
              </w:rPr>
            </w:pPr>
            <w:r>
              <w:rPr>
                <w:rFonts w:hint="eastAsia"/>
                <w:b/>
                <w:bCs/>
                <w:sz w:val="24"/>
                <w:szCs w:val="24"/>
                <w:vertAlign w:val="baseline"/>
              </w:rPr>
              <w:t>序号</w:t>
            </w:r>
          </w:p>
        </w:tc>
        <w:tc>
          <w:tcPr>
            <w:tcW w:w="1913" w:type="dxa"/>
            <w:vAlign w:val="center"/>
          </w:tcPr>
          <w:p>
            <w:pPr>
              <w:pStyle w:val="6"/>
              <w:spacing w:line="360" w:lineRule="auto"/>
              <w:ind w:left="0" w:leftChars="0" w:firstLine="482" w:firstLineChars="200"/>
              <w:jc w:val="both"/>
              <w:rPr>
                <w:b/>
                <w:bCs/>
                <w:sz w:val="24"/>
                <w:szCs w:val="24"/>
                <w:vertAlign w:val="baseline"/>
              </w:rPr>
            </w:pPr>
            <w:r>
              <w:rPr>
                <w:rFonts w:hint="eastAsia"/>
                <w:b/>
                <w:bCs/>
                <w:sz w:val="24"/>
                <w:szCs w:val="24"/>
                <w:vertAlign w:val="baseline"/>
              </w:rPr>
              <w:t>名称</w:t>
            </w:r>
          </w:p>
        </w:tc>
        <w:tc>
          <w:tcPr>
            <w:tcW w:w="6873" w:type="dxa"/>
            <w:vAlign w:val="center"/>
          </w:tcPr>
          <w:p>
            <w:pPr>
              <w:pStyle w:val="6"/>
              <w:spacing w:line="360" w:lineRule="auto"/>
              <w:ind w:firstLine="2891" w:firstLineChars="1200"/>
              <w:jc w:val="both"/>
              <w:rPr>
                <w:b/>
                <w:bCs/>
                <w:sz w:val="24"/>
                <w:szCs w:val="24"/>
                <w:vertAlign w:val="baseline"/>
              </w:rPr>
            </w:pPr>
            <w:r>
              <w:rPr>
                <w:rFonts w:hint="eastAsia"/>
                <w:b/>
                <w:bCs/>
                <w:sz w:val="24"/>
                <w:szCs w:val="24"/>
                <w:vertAlign w:val="baseli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913" w:type="dxa"/>
            <w:vAlign w:val="center"/>
          </w:tcPr>
          <w:p>
            <w:pPr>
              <w:pStyle w:val="6"/>
              <w:spacing w:line="360" w:lineRule="auto"/>
              <w:jc w:val="center"/>
              <w:rPr>
                <w:vertAlign w:val="baseline"/>
              </w:rPr>
            </w:pPr>
            <w:r>
              <w:rPr>
                <w:sz w:val="24"/>
              </w:rPr>
              <w:t>采购人</w:t>
            </w:r>
          </w:p>
        </w:tc>
        <w:tc>
          <w:tcPr>
            <w:tcW w:w="6873" w:type="dxa"/>
          </w:tcPr>
          <w:p>
            <w:pPr>
              <w:pStyle w:val="6"/>
              <w:spacing w:line="360" w:lineRule="auto"/>
              <w:ind w:left="0" w:leftChars="0" w:firstLine="0" w:firstLineChars="0"/>
              <w:jc w:val="both"/>
              <w:rPr>
                <w:rFonts w:hint="eastAsia" w:ascii="Calibri" w:hAnsi="Calibri" w:eastAsia="宋体"/>
                <w:sz w:val="24"/>
                <w:szCs w:val="24"/>
                <w:vertAlign w:val="baseline"/>
                <w:lang w:eastAsia="zh-CN"/>
              </w:rPr>
            </w:pPr>
            <w:r>
              <w:rPr>
                <w:rFonts w:hint="eastAsia" w:ascii="Calibri" w:hAnsi="Calibri"/>
                <w:sz w:val="24"/>
                <w:szCs w:val="24"/>
                <w:vertAlign w:val="baseline"/>
              </w:rPr>
              <w:t>招标人：</w:t>
            </w:r>
            <w:r>
              <w:rPr>
                <w:rFonts w:hint="eastAsia"/>
                <w:sz w:val="24"/>
                <w:szCs w:val="24"/>
                <w:vertAlign w:val="baseline"/>
                <w:lang w:eastAsia="zh-CN"/>
              </w:rPr>
              <w:t>甘肃省张掖市中级人民法院</w:t>
            </w:r>
          </w:p>
          <w:p>
            <w:pPr>
              <w:pStyle w:val="6"/>
              <w:spacing w:line="360" w:lineRule="auto"/>
              <w:ind w:left="0" w:leftChars="0" w:firstLine="0" w:firstLineChars="0"/>
              <w:jc w:val="both"/>
              <w:rPr>
                <w:rFonts w:hint="eastAsia" w:ascii="Calibri" w:hAnsi="Calibri" w:eastAsia="宋体"/>
                <w:sz w:val="24"/>
                <w:szCs w:val="24"/>
                <w:vertAlign w:val="baseline"/>
                <w:lang w:eastAsia="zh-CN"/>
              </w:rPr>
            </w:pPr>
            <w:r>
              <w:rPr>
                <w:rFonts w:hint="eastAsia" w:ascii="Calibri" w:hAnsi="Calibri"/>
                <w:sz w:val="24"/>
                <w:szCs w:val="24"/>
                <w:vertAlign w:val="baseline"/>
              </w:rPr>
              <w:t>联系人：</w:t>
            </w:r>
            <w:r>
              <w:rPr>
                <w:rFonts w:hint="eastAsia"/>
                <w:sz w:val="24"/>
                <w:szCs w:val="24"/>
                <w:vertAlign w:val="baseline"/>
                <w:lang w:eastAsia="zh-CN"/>
              </w:rPr>
              <w:t>李凤兰</w:t>
            </w:r>
          </w:p>
          <w:p>
            <w:pPr>
              <w:pStyle w:val="6"/>
              <w:spacing w:line="360" w:lineRule="auto"/>
              <w:ind w:left="0" w:leftChars="0" w:firstLine="0" w:firstLineChars="0"/>
              <w:rPr>
                <w:vertAlign w:val="baseline"/>
              </w:rPr>
            </w:pPr>
            <w:r>
              <w:rPr>
                <w:rFonts w:hint="eastAsia" w:ascii="Calibri" w:hAnsi="Calibri"/>
                <w:sz w:val="24"/>
                <w:szCs w:val="24"/>
                <w:vertAlign w:val="baseline"/>
              </w:rPr>
              <w:t>电话：</w:t>
            </w:r>
            <w:r>
              <w:rPr>
                <w:rFonts w:hint="eastAsia"/>
                <w:sz w:val="24"/>
                <w:szCs w:val="24"/>
                <w:vertAlign w:val="baseline"/>
                <w:lang w:val="en-US" w:eastAsia="zh-CN"/>
              </w:rPr>
              <w:t>0936-8266855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50" w:type="dxa"/>
            <w:vAlign w:val="center"/>
          </w:tcPr>
          <w:p>
            <w:pPr>
              <w:pStyle w:val="6"/>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913" w:type="dxa"/>
            <w:vAlign w:val="center"/>
          </w:tcPr>
          <w:p>
            <w:pPr>
              <w:pStyle w:val="6"/>
              <w:spacing w:line="360" w:lineRule="auto"/>
              <w:ind w:left="0" w:leftChars="0" w:firstLine="0" w:firstLineChars="0"/>
              <w:jc w:val="center"/>
              <w:rPr>
                <w:vertAlign w:val="baseline"/>
              </w:rPr>
            </w:pPr>
            <w:r>
              <w:rPr>
                <w:sz w:val="24"/>
              </w:rPr>
              <w:t>招标代理机构</w:t>
            </w:r>
          </w:p>
        </w:tc>
        <w:tc>
          <w:tcPr>
            <w:tcW w:w="6873" w:type="dxa"/>
          </w:tcPr>
          <w:p>
            <w:pPr>
              <w:pStyle w:val="6"/>
              <w:ind w:left="0" w:leftChars="0" w:firstLine="0" w:firstLineChars="0"/>
              <w:jc w:val="both"/>
              <w:rPr>
                <w:rFonts w:hint="eastAsia"/>
                <w:sz w:val="24"/>
                <w:szCs w:val="24"/>
                <w:vertAlign w:val="baseline"/>
              </w:rPr>
            </w:pPr>
            <w:r>
              <w:rPr>
                <w:rFonts w:hint="eastAsia"/>
                <w:sz w:val="24"/>
                <w:szCs w:val="24"/>
                <w:vertAlign w:val="baseline"/>
              </w:rPr>
              <w:t>名称：甘肃国泰国际招标有限公司</w:t>
            </w:r>
          </w:p>
          <w:p>
            <w:pPr>
              <w:pStyle w:val="6"/>
              <w:ind w:left="0" w:leftChars="0" w:firstLine="0" w:firstLineChars="0"/>
              <w:jc w:val="both"/>
              <w:rPr>
                <w:rFonts w:hint="eastAsia"/>
                <w:sz w:val="24"/>
                <w:szCs w:val="24"/>
                <w:vertAlign w:val="baseline"/>
              </w:rPr>
            </w:pPr>
            <w:r>
              <w:rPr>
                <w:rFonts w:hint="eastAsia"/>
                <w:sz w:val="24"/>
                <w:szCs w:val="24"/>
                <w:vertAlign w:val="baseline"/>
              </w:rPr>
              <w:t>地址：张掖市甘州区县府街延伸段市委党校对面溢洋大厦四楼</w:t>
            </w:r>
          </w:p>
          <w:p>
            <w:pPr>
              <w:pStyle w:val="6"/>
              <w:ind w:left="0" w:leftChars="0" w:firstLine="0" w:firstLineChars="0"/>
              <w:jc w:val="both"/>
              <w:rPr>
                <w:rFonts w:hint="eastAsia"/>
                <w:sz w:val="24"/>
                <w:szCs w:val="24"/>
                <w:vertAlign w:val="baseline"/>
              </w:rPr>
            </w:pPr>
            <w:r>
              <w:rPr>
                <w:rFonts w:hint="eastAsia"/>
                <w:sz w:val="24"/>
                <w:szCs w:val="24"/>
                <w:vertAlign w:val="baseline"/>
              </w:rPr>
              <w:t>联系人：赵慧敏</w:t>
            </w:r>
          </w:p>
          <w:p>
            <w:pPr>
              <w:pStyle w:val="6"/>
              <w:spacing w:line="360" w:lineRule="auto"/>
              <w:ind w:left="0" w:leftChars="0" w:firstLine="0" w:firstLineChars="0"/>
              <w:rPr>
                <w:vertAlign w:val="baseline"/>
              </w:rPr>
            </w:pPr>
            <w:r>
              <w:rPr>
                <w:rFonts w:hint="eastAsia"/>
                <w:sz w:val="24"/>
                <w:szCs w:val="24"/>
                <w:vertAlign w:val="baseline"/>
              </w:rPr>
              <w:t>电话</w:t>
            </w:r>
            <w:r>
              <w:rPr>
                <w:rFonts w:hint="eastAsia" w:ascii="宋体" w:hAnsi="宋体" w:eastAsia="宋体" w:cs="宋体"/>
                <w:sz w:val="24"/>
                <w:szCs w:val="24"/>
                <w:vertAlign w:val="baseline"/>
              </w:rPr>
              <w:t>：13150000066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913" w:type="dxa"/>
            <w:vAlign w:val="center"/>
          </w:tcPr>
          <w:p>
            <w:pPr>
              <w:pStyle w:val="6"/>
              <w:spacing w:line="360" w:lineRule="auto"/>
              <w:ind w:left="0" w:leftChars="0" w:firstLine="240" w:firstLineChars="100"/>
              <w:jc w:val="center"/>
              <w:rPr>
                <w:vertAlign w:val="baseline"/>
              </w:rPr>
            </w:pPr>
            <w:r>
              <w:rPr>
                <w:rFonts w:hint="eastAsia"/>
                <w:sz w:val="24"/>
                <w:szCs w:val="24"/>
                <w:vertAlign w:val="baseline"/>
              </w:rPr>
              <w:t>项目名称</w:t>
            </w:r>
          </w:p>
        </w:tc>
        <w:tc>
          <w:tcPr>
            <w:tcW w:w="6873" w:type="dxa"/>
            <w:vAlign w:val="center"/>
          </w:tcPr>
          <w:p>
            <w:pPr>
              <w:pStyle w:val="6"/>
              <w:spacing w:line="240" w:lineRule="auto"/>
              <w:ind w:left="0" w:leftChars="0" w:right="0" w:rightChars="0" w:firstLine="0" w:firstLineChars="0"/>
              <w:jc w:val="both"/>
              <w:rPr>
                <w:vertAlign w:val="baseline"/>
              </w:rPr>
            </w:pPr>
            <w:r>
              <w:rPr>
                <w:rFonts w:hint="eastAsia"/>
                <w:sz w:val="24"/>
                <w:szCs w:val="24"/>
                <w:vertAlign w:val="baseline"/>
              </w:rPr>
              <w:t>张掖市中级人民法院综合审判大楼弱电改造项目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1913" w:type="dxa"/>
            <w:vAlign w:val="center"/>
          </w:tcPr>
          <w:p>
            <w:pPr>
              <w:pStyle w:val="6"/>
              <w:spacing w:line="360" w:lineRule="auto"/>
              <w:ind w:left="0" w:leftChars="0" w:firstLine="240" w:firstLineChars="100"/>
              <w:jc w:val="center"/>
              <w:rPr>
                <w:vertAlign w:val="baseline"/>
              </w:rPr>
            </w:pPr>
            <w:r>
              <w:rPr>
                <w:rFonts w:hint="eastAsia"/>
                <w:sz w:val="24"/>
                <w:lang w:eastAsia="zh-CN"/>
              </w:rPr>
              <w:t>招标内容</w:t>
            </w:r>
          </w:p>
        </w:tc>
        <w:tc>
          <w:tcPr>
            <w:tcW w:w="6873" w:type="dxa"/>
          </w:tcPr>
          <w:p>
            <w:pPr>
              <w:pStyle w:val="6"/>
              <w:spacing w:line="240" w:lineRule="auto"/>
              <w:ind w:left="0" w:leftChars="0" w:firstLine="0" w:firstLineChars="0"/>
              <w:jc w:val="left"/>
              <w:rPr>
                <w:vertAlign w:val="baseline"/>
              </w:rPr>
            </w:pPr>
            <w:r>
              <w:rPr>
                <w:rFonts w:hint="eastAsia" w:eastAsia="宋体"/>
                <w:b/>
                <w:bCs/>
                <w:sz w:val="24"/>
                <w:szCs w:val="24"/>
                <w:vertAlign w:val="baseline"/>
                <w:lang w:eastAsia="zh-CN"/>
              </w:rPr>
              <w:t>张掖市中级人民法院综合审判大楼弱电改造项目（具体内容，详见</w:t>
            </w:r>
            <w:r>
              <w:rPr>
                <w:rFonts w:hint="eastAsia" w:eastAsia="宋体"/>
                <w:b/>
                <w:bCs/>
                <w:color w:val="000000" w:themeColor="text1"/>
                <w:sz w:val="24"/>
                <w:szCs w:val="24"/>
                <w:vertAlign w:val="baseline"/>
                <w:lang w:eastAsia="zh-CN"/>
                <w14:textFill>
                  <w14:solidFill>
                    <w14:schemeClr w14:val="tx1"/>
                  </w14:solidFill>
                </w14:textFill>
              </w:rPr>
              <w:t>招标文件）</w:t>
            </w:r>
            <w:r>
              <w:rPr>
                <w:rFonts w:hint="eastAsia" w:eastAsia="宋体"/>
                <w:color w:val="000000" w:themeColor="text1"/>
                <w:sz w:val="24"/>
                <w:szCs w:val="24"/>
                <w:vertAlign w:val="baseli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1913" w:type="dxa"/>
            <w:vAlign w:val="center"/>
          </w:tcPr>
          <w:p>
            <w:pPr>
              <w:pStyle w:val="6"/>
              <w:spacing w:line="360" w:lineRule="auto"/>
              <w:ind w:left="0" w:leftChars="0" w:firstLine="240" w:firstLineChars="100"/>
              <w:jc w:val="center"/>
              <w:rPr>
                <w:rFonts w:hint="eastAsia" w:eastAsia="宋体"/>
                <w:b w:val="0"/>
                <w:bCs w:val="0"/>
                <w:sz w:val="24"/>
                <w:lang w:val="en-US" w:eastAsia="zh-CN"/>
              </w:rPr>
            </w:pPr>
            <w:r>
              <w:rPr>
                <w:rFonts w:hint="eastAsia"/>
                <w:b w:val="0"/>
                <w:bCs w:val="0"/>
                <w:sz w:val="24"/>
                <w:lang w:val="en-US" w:eastAsia="zh-CN"/>
              </w:rPr>
              <w:t>资金来源</w:t>
            </w:r>
          </w:p>
        </w:tc>
        <w:tc>
          <w:tcPr>
            <w:tcW w:w="6873" w:type="dxa"/>
          </w:tcPr>
          <w:p>
            <w:pPr>
              <w:pStyle w:val="6"/>
              <w:spacing w:line="360" w:lineRule="auto"/>
              <w:ind w:left="0" w:leftChars="0" w:firstLine="0" w:firstLineChars="0"/>
              <w:rPr>
                <w:rFonts w:hint="eastAsia" w:eastAsia="宋体"/>
                <w:b w:val="0"/>
                <w:bCs w:val="0"/>
                <w:sz w:val="24"/>
                <w:szCs w:val="24"/>
                <w:vertAlign w:val="baseline"/>
                <w:lang w:eastAsia="zh-CN"/>
              </w:rPr>
            </w:pPr>
            <w:r>
              <w:rPr>
                <w:rFonts w:hint="eastAsia"/>
                <w:b w:val="0"/>
                <w:bCs w:val="0"/>
                <w:sz w:val="24"/>
                <w:szCs w:val="24"/>
                <w:vertAlign w:val="baseline"/>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1913" w:type="dxa"/>
            <w:vAlign w:val="center"/>
          </w:tcPr>
          <w:p>
            <w:pPr>
              <w:pStyle w:val="6"/>
              <w:spacing w:line="360" w:lineRule="auto"/>
              <w:ind w:left="0" w:leftChars="0" w:firstLine="240" w:firstLineChars="100"/>
              <w:jc w:val="center"/>
              <w:rPr>
                <w:rFonts w:hint="eastAsia"/>
                <w:b w:val="0"/>
                <w:bCs w:val="0"/>
                <w:sz w:val="24"/>
                <w:lang w:val="en-US" w:eastAsia="zh-CN"/>
              </w:rPr>
            </w:pPr>
            <w:r>
              <w:rPr>
                <w:rFonts w:hint="eastAsia"/>
                <w:b w:val="0"/>
                <w:bCs w:val="0"/>
                <w:sz w:val="24"/>
                <w:lang w:val="en-US" w:eastAsia="zh-CN"/>
              </w:rPr>
              <w:t>项目预算</w:t>
            </w:r>
          </w:p>
        </w:tc>
        <w:tc>
          <w:tcPr>
            <w:tcW w:w="6873" w:type="dxa"/>
          </w:tcPr>
          <w:p>
            <w:pPr>
              <w:pStyle w:val="6"/>
              <w:spacing w:line="360" w:lineRule="auto"/>
              <w:ind w:left="0" w:leftChars="0" w:firstLine="0" w:firstLineChars="0"/>
              <w:rPr>
                <w:rFonts w:hint="eastAsia"/>
                <w:b w:val="0"/>
                <w:bCs w:val="0"/>
                <w:sz w:val="24"/>
                <w:szCs w:val="24"/>
                <w:vertAlign w:val="baseline"/>
                <w:lang w:eastAsia="zh-CN"/>
              </w:rPr>
            </w:pPr>
            <w:r>
              <w:rPr>
                <w:rFonts w:hint="eastAsia"/>
                <w:b w:val="0"/>
                <w:bCs w:val="0"/>
                <w:sz w:val="24"/>
                <w:szCs w:val="24"/>
                <w:vertAlign w:val="baseline"/>
                <w:lang w:eastAsia="zh-CN"/>
              </w:rPr>
              <w:t>壹佰肆拾伍万元整（￥：</w:t>
            </w:r>
            <w:r>
              <w:rPr>
                <w:rFonts w:hint="eastAsia"/>
                <w:b w:val="0"/>
                <w:bCs w:val="0"/>
                <w:sz w:val="24"/>
                <w:szCs w:val="24"/>
                <w:vertAlign w:val="baseline"/>
                <w:lang w:val="en-US" w:eastAsia="zh-CN"/>
              </w:rPr>
              <w:t>145.00万元</w:t>
            </w:r>
            <w:r>
              <w:rPr>
                <w:rFonts w:hint="eastAsia"/>
                <w:b w:val="0"/>
                <w:bCs w:val="0"/>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913" w:type="dxa"/>
            <w:vAlign w:val="center"/>
          </w:tcPr>
          <w:p>
            <w:pPr>
              <w:pStyle w:val="6"/>
              <w:spacing w:line="360" w:lineRule="auto"/>
              <w:ind w:left="0" w:leftChars="0" w:firstLine="240" w:firstLineChars="100"/>
              <w:jc w:val="center"/>
              <w:rPr>
                <w:rFonts w:hint="eastAsia"/>
                <w:b w:val="0"/>
                <w:bCs w:val="0"/>
                <w:sz w:val="24"/>
                <w:lang w:val="en-US" w:eastAsia="zh-CN"/>
              </w:rPr>
            </w:pPr>
            <w:r>
              <w:rPr>
                <w:rFonts w:hint="eastAsia"/>
                <w:b w:val="0"/>
                <w:bCs w:val="0"/>
                <w:sz w:val="24"/>
                <w:lang w:val="en-US" w:eastAsia="zh-CN"/>
              </w:rPr>
              <w:t>投标有效期</w:t>
            </w:r>
          </w:p>
        </w:tc>
        <w:tc>
          <w:tcPr>
            <w:tcW w:w="6873" w:type="dxa"/>
          </w:tcPr>
          <w:p>
            <w:pPr>
              <w:pStyle w:val="6"/>
              <w:spacing w:line="360" w:lineRule="auto"/>
              <w:ind w:left="0" w:leftChars="0" w:firstLine="0" w:firstLineChars="0"/>
              <w:rPr>
                <w:rFonts w:hint="default"/>
                <w:b w:val="0"/>
                <w:bCs w:val="0"/>
                <w:sz w:val="24"/>
                <w:szCs w:val="24"/>
                <w:vertAlign w:val="baseline"/>
                <w:lang w:val="en-US" w:eastAsia="zh-CN"/>
              </w:rPr>
            </w:pPr>
            <w:r>
              <w:rPr>
                <w:rFonts w:hint="eastAsia"/>
                <w:b w:val="0"/>
                <w:bCs w:val="0"/>
                <w:sz w:val="24"/>
                <w:szCs w:val="24"/>
                <w:vertAlign w:val="baseline"/>
                <w:lang w:val="en-US" w:eastAsia="zh-CN"/>
              </w:rPr>
              <w:t>60日历天（从投标截止之日起）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913" w:type="dxa"/>
            <w:vAlign w:val="center"/>
          </w:tcPr>
          <w:p>
            <w:pPr>
              <w:pStyle w:val="6"/>
              <w:spacing w:line="360" w:lineRule="auto"/>
              <w:ind w:left="0" w:leftChars="0" w:firstLine="0" w:firstLineChars="0"/>
              <w:jc w:val="center"/>
              <w:rPr>
                <w:rFonts w:hint="eastAsia"/>
                <w:b w:val="0"/>
                <w:bCs w:val="0"/>
                <w:sz w:val="24"/>
                <w:lang w:val="en-US" w:eastAsia="zh-CN"/>
              </w:rPr>
            </w:pPr>
            <w:r>
              <w:rPr>
                <w:rFonts w:hint="eastAsia"/>
                <w:b w:val="0"/>
                <w:bCs w:val="0"/>
                <w:sz w:val="24"/>
                <w:lang w:val="en-US" w:eastAsia="zh-CN"/>
              </w:rPr>
              <w:t>资格审查方式</w:t>
            </w:r>
          </w:p>
        </w:tc>
        <w:tc>
          <w:tcPr>
            <w:tcW w:w="6873" w:type="dxa"/>
          </w:tcPr>
          <w:p>
            <w:pPr>
              <w:pStyle w:val="6"/>
              <w:spacing w:line="360" w:lineRule="auto"/>
              <w:ind w:left="0" w:leftChars="0" w:firstLine="0" w:firstLineChars="0"/>
              <w:rPr>
                <w:rFonts w:hint="eastAsia"/>
                <w:b w:val="0"/>
                <w:bCs w:val="0"/>
                <w:sz w:val="24"/>
                <w:szCs w:val="24"/>
                <w:vertAlign w:val="baseline"/>
                <w:lang w:val="en-US" w:eastAsia="zh-CN"/>
              </w:rPr>
            </w:pPr>
            <w:r>
              <w:rPr>
                <w:rFonts w:hint="eastAsia"/>
                <w:b w:val="0"/>
                <w:bCs w:val="0"/>
                <w:sz w:val="24"/>
                <w:szCs w:val="24"/>
                <w:vertAlign w:val="baseline"/>
                <w:lang w:val="en-US" w:eastAsia="zh-CN"/>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9</w:t>
            </w:r>
          </w:p>
        </w:tc>
        <w:tc>
          <w:tcPr>
            <w:tcW w:w="1913" w:type="dxa"/>
            <w:vAlign w:val="center"/>
          </w:tcPr>
          <w:p>
            <w:pPr>
              <w:pStyle w:val="6"/>
              <w:spacing w:line="360" w:lineRule="auto"/>
              <w:ind w:left="0" w:leftChars="0" w:firstLine="0" w:firstLineChars="0"/>
              <w:jc w:val="center"/>
              <w:rPr>
                <w:rFonts w:hint="eastAsia"/>
                <w:b w:val="0"/>
                <w:bCs w:val="0"/>
                <w:sz w:val="24"/>
                <w:lang w:val="en-US" w:eastAsia="zh-CN"/>
              </w:rPr>
            </w:pPr>
            <w:r>
              <w:rPr>
                <w:rFonts w:hint="eastAsia"/>
                <w:b w:val="0"/>
                <w:bCs w:val="0"/>
                <w:sz w:val="24"/>
                <w:lang w:val="en-US" w:eastAsia="zh-CN"/>
              </w:rPr>
              <w:t>工期</w:t>
            </w:r>
          </w:p>
        </w:tc>
        <w:tc>
          <w:tcPr>
            <w:tcW w:w="6873" w:type="dxa"/>
          </w:tcPr>
          <w:p>
            <w:pPr>
              <w:pStyle w:val="6"/>
              <w:spacing w:line="360" w:lineRule="auto"/>
              <w:ind w:left="0" w:leftChars="0" w:firstLine="0" w:firstLineChars="0"/>
              <w:rPr>
                <w:rFonts w:hint="eastAsia"/>
                <w:b w:val="0"/>
                <w:bCs w:val="0"/>
                <w:sz w:val="24"/>
                <w:szCs w:val="24"/>
                <w:vertAlign w:val="baseline"/>
                <w:lang w:val="en-US" w:eastAsia="zh-CN"/>
              </w:rPr>
            </w:pPr>
            <w:r>
              <w:rPr>
                <w:rFonts w:hint="eastAsia"/>
                <w:b w:val="0"/>
                <w:bCs w:val="0"/>
                <w:sz w:val="24"/>
                <w:szCs w:val="24"/>
                <w:vertAlign w:val="baseline"/>
                <w:lang w:val="en-US" w:eastAsia="zh-CN"/>
              </w:rPr>
              <w:t>采购人要求工期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10</w:t>
            </w:r>
          </w:p>
        </w:tc>
        <w:tc>
          <w:tcPr>
            <w:tcW w:w="1913" w:type="dxa"/>
            <w:vAlign w:val="center"/>
          </w:tcPr>
          <w:p>
            <w:pPr>
              <w:pStyle w:val="6"/>
              <w:spacing w:line="360" w:lineRule="auto"/>
              <w:ind w:left="0" w:leftChars="0" w:firstLine="0" w:firstLineChars="0"/>
              <w:jc w:val="center"/>
              <w:rPr>
                <w:rFonts w:hint="eastAsia"/>
                <w:b w:val="0"/>
                <w:bCs w:val="0"/>
                <w:sz w:val="24"/>
                <w:lang w:val="en-US" w:eastAsia="zh-CN"/>
              </w:rPr>
            </w:pPr>
            <w:r>
              <w:rPr>
                <w:rFonts w:hint="eastAsia"/>
                <w:b w:val="0"/>
                <w:bCs w:val="0"/>
                <w:sz w:val="24"/>
                <w:lang w:val="en-US" w:eastAsia="zh-CN"/>
              </w:rPr>
              <w:t>质量标准</w:t>
            </w:r>
          </w:p>
        </w:tc>
        <w:tc>
          <w:tcPr>
            <w:tcW w:w="6873" w:type="dxa"/>
          </w:tcPr>
          <w:p>
            <w:pPr>
              <w:pStyle w:val="6"/>
              <w:spacing w:line="360" w:lineRule="auto"/>
              <w:ind w:left="0" w:leftChars="0" w:firstLine="0" w:firstLineChars="0"/>
              <w:rPr>
                <w:rFonts w:hint="eastAsia"/>
                <w:b w:val="0"/>
                <w:bCs w:val="0"/>
                <w:sz w:val="24"/>
                <w:szCs w:val="24"/>
                <w:vertAlign w:val="baseline"/>
                <w:lang w:val="en-US" w:eastAsia="zh-CN"/>
              </w:rPr>
            </w:pPr>
            <w:r>
              <w:rPr>
                <w:rFonts w:hint="eastAsia"/>
                <w:b w:val="0"/>
                <w:bCs w:val="0"/>
                <w:sz w:val="24"/>
                <w:szCs w:val="24"/>
                <w:vertAlign w:val="baseline"/>
                <w:lang w:val="en-US" w:eastAsia="zh-CN"/>
              </w:rPr>
              <w:t>满足《招标文件》第四部分：技术参数要求）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11</w:t>
            </w:r>
          </w:p>
        </w:tc>
        <w:tc>
          <w:tcPr>
            <w:tcW w:w="1913" w:type="dxa"/>
            <w:vAlign w:val="center"/>
          </w:tcPr>
          <w:p>
            <w:pPr>
              <w:pStyle w:val="6"/>
              <w:spacing w:line="360" w:lineRule="auto"/>
              <w:ind w:left="0" w:leftChars="0" w:firstLine="0" w:firstLineChars="0"/>
              <w:jc w:val="center"/>
              <w:rPr>
                <w:rFonts w:hint="eastAsia"/>
                <w:b w:val="0"/>
                <w:bCs w:val="0"/>
                <w:sz w:val="24"/>
                <w:lang w:val="en-US" w:eastAsia="zh-CN"/>
              </w:rPr>
            </w:pPr>
            <w:r>
              <w:rPr>
                <w:rFonts w:hint="eastAsia"/>
                <w:b w:val="0"/>
                <w:bCs w:val="0"/>
                <w:sz w:val="24"/>
                <w:lang w:val="en-US" w:eastAsia="zh-CN"/>
              </w:rPr>
              <w:t>踏勘现场</w:t>
            </w:r>
          </w:p>
        </w:tc>
        <w:tc>
          <w:tcPr>
            <w:tcW w:w="6873" w:type="dxa"/>
          </w:tcPr>
          <w:p>
            <w:pPr>
              <w:pStyle w:val="6"/>
              <w:spacing w:line="360" w:lineRule="auto"/>
              <w:ind w:left="0" w:leftChars="0" w:firstLine="0" w:firstLineChars="0"/>
              <w:rPr>
                <w:rFonts w:hint="eastAsia"/>
                <w:b w:val="0"/>
                <w:bCs w:val="0"/>
                <w:sz w:val="24"/>
                <w:szCs w:val="24"/>
                <w:vertAlign w:val="baseline"/>
                <w:lang w:val="en-US" w:eastAsia="zh-CN"/>
              </w:rPr>
            </w:pPr>
            <w:r>
              <w:rPr>
                <w:rFonts w:hint="eastAsia"/>
                <w:b w:val="0"/>
                <w:bCs w:val="0"/>
                <w:sz w:val="24"/>
                <w:szCs w:val="24"/>
                <w:vertAlign w:val="baseline"/>
                <w:lang w:val="en-US" w:eastAsia="zh-CN"/>
              </w:rPr>
              <w:t>本项目不组织现场踏勘，供应商如需踏勘，费用自理。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12</w:t>
            </w:r>
          </w:p>
        </w:tc>
        <w:tc>
          <w:tcPr>
            <w:tcW w:w="1913" w:type="dxa"/>
            <w:vAlign w:val="center"/>
          </w:tcPr>
          <w:p>
            <w:pPr>
              <w:pStyle w:val="6"/>
              <w:spacing w:line="360" w:lineRule="auto"/>
              <w:ind w:left="0" w:leftChars="0" w:firstLine="0" w:firstLineChars="0"/>
              <w:jc w:val="center"/>
              <w:rPr>
                <w:rFonts w:hint="eastAsia"/>
                <w:b w:val="0"/>
                <w:bCs w:val="0"/>
                <w:sz w:val="24"/>
                <w:lang w:val="en-US" w:eastAsia="zh-CN"/>
              </w:rPr>
            </w:pPr>
            <w:r>
              <w:rPr>
                <w:rFonts w:hint="eastAsia"/>
                <w:b w:val="0"/>
                <w:bCs w:val="0"/>
                <w:sz w:val="24"/>
                <w:lang w:val="en-US" w:eastAsia="zh-CN"/>
              </w:rPr>
              <w:t>付款方式</w:t>
            </w:r>
          </w:p>
        </w:tc>
        <w:tc>
          <w:tcPr>
            <w:tcW w:w="6873" w:type="dxa"/>
          </w:tcPr>
          <w:p>
            <w:pPr>
              <w:pStyle w:val="6"/>
              <w:spacing w:line="360" w:lineRule="auto"/>
              <w:ind w:left="0" w:leftChars="0" w:firstLine="0" w:firstLineChars="0"/>
              <w:rPr>
                <w:rFonts w:hint="eastAsia"/>
                <w:b w:val="0"/>
                <w:bCs w:val="0"/>
                <w:sz w:val="24"/>
                <w:szCs w:val="24"/>
                <w:vertAlign w:val="baseline"/>
                <w:lang w:val="en-US" w:eastAsia="zh-CN"/>
              </w:rPr>
            </w:pPr>
            <w:r>
              <w:rPr>
                <w:rFonts w:hint="eastAsia"/>
                <w:b w:val="0"/>
                <w:bCs w:val="0"/>
                <w:sz w:val="24"/>
                <w:szCs w:val="24"/>
                <w:vertAlign w:val="baseline"/>
                <w:lang w:val="en-US" w:eastAsia="zh-CN"/>
              </w:rPr>
              <w:t>签订合同时协商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13</w:t>
            </w:r>
          </w:p>
        </w:tc>
        <w:tc>
          <w:tcPr>
            <w:tcW w:w="1913" w:type="dxa"/>
            <w:vAlign w:val="center"/>
          </w:tcPr>
          <w:p>
            <w:pPr>
              <w:pStyle w:val="6"/>
              <w:spacing w:line="360" w:lineRule="auto"/>
              <w:ind w:left="0" w:leftChars="0" w:firstLine="0" w:firstLineChars="0"/>
              <w:jc w:val="center"/>
              <w:rPr>
                <w:rFonts w:hint="eastAsia"/>
                <w:b w:val="0"/>
                <w:bCs w:val="0"/>
                <w:sz w:val="24"/>
                <w:lang w:val="en-US" w:eastAsia="zh-CN"/>
              </w:rPr>
            </w:pPr>
            <w:r>
              <w:rPr>
                <w:rFonts w:hint="eastAsia"/>
                <w:b w:val="0"/>
                <w:bCs w:val="0"/>
                <w:sz w:val="24"/>
                <w:lang w:val="en-US" w:eastAsia="zh-CN"/>
              </w:rPr>
              <w:t>投标文件份数</w:t>
            </w:r>
          </w:p>
        </w:tc>
        <w:tc>
          <w:tcPr>
            <w:tcW w:w="6873" w:type="dxa"/>
          </w:tcPr>
          <w:p>
            <w:pPr>
              <w:pStyle w:val="6"/>
              <w:spacing w:line="360" w:lineRule="auto"/>
              <w:ind w:left="0" w:leftChars="0" w:firstLine="0" w:firstLineChars="0"/>
              <w:jc w:val="left"/>
              <w:rPr>
                <w:rFonts w:hint="eastAsia"/>
                <w:b w:val="0"/>
                <w:bCs w:val="0"/>
                <w:sz w:val="24"/>
                <w:szCs w:val="24"/>
                <w:vertAlign w:val="baseline"/>
                <w:lang w:val="en-US" w:eastAsia="zh-CN"/>
              </w:rPr>
            </w:pPr>
            <w:r>
              <w:rPr>
                <w:rFonts w:hint="eastAsia"/>
                <w:b w:val="0"/>
                <w:bCs w:val="0"/>
                <w:sz w:val="24"/>
                <w:szCs w:val="24"/>
                <w:vertAlign w:val="baseline"/>
                <w:lang w:val="en-US" w:eastAsia="zh-CN"/>
              </w:rPr>
              <w:t>正本一套、副本三套、电子版 U 盘文档一份(U盘内拷贝PDF格式文件一份，Word格式一份，必须与《投标文件》正本一致）提交不退。开标时将核验电子投标文件是否能 正常打开，评标时由评标专家核对电子投标文件与纸质投标文件内容是否一致。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14</w:t>
            </w:r>
          </w:p>
        </w:tc>
        <w:tc>
          <w:tcPr>
            <w:tcW w:w="1913" w:type="dxa"/>
            <w:vAlign w:val="center"/>
          </w:tcPr>
          <w:p>
            <w:pPr>
              <w:pStyle w:val="6"/>
              <w:spacing w:line="360" w:lineRule="auto"/>
              <w:ind w:left="0" w:leftChars="0" w:firstLine="0" w:firstLineChars="0"/>
              <w:jc w:val="center"/>
              <w:rPr>
                <w:rFonts w:hint="eastAsia"/>
                <w:b w:val="0"/>
                <w:bCs w:val="0"/>
                <w:sz w:val="24"/>
                <w:lang w:val="en-US" w:eastAsia="zh-CN"/>
              </w:rPr>
            </w:pPr>
            <w:r>
              <w:rPr>
                <w:rFonts w:hint="eastAsia"/>
                <w:b w:val="0"/>
                <w:bCs w:val="0"/>
                <w:sz w:val="24"/>
                <w:lang w:val="en-US" w:eastAsia="zh-CN"/>
              </w:rPr>
              <w:t>评标委员会</w:t>
            </w:r>
          </w:p>
        </w:tc>
        <w:tc>
          <w:tcPr>
            <w:tcW w:w="6873" w:type="dxa"/>
          </w:tcPr>
          <w:p>
            <w:pPr>
              <w:pStyle w:val="6"/>
              <w:spacing w:line="360" w:lineRule="auto"/>
              <w:ind w:left="0" w:leftChars="0" w:firstLine="0" w:firstLineChars="0"/>
              <w:rPr>
                <w:rFonts w:hint="eastAsia"/>
                <w:b w:val="0"/>
                <w:bCs w:val="0"/>
                <w:sz w:val="24"/>
                <w:szCs w:val="24"/>
                <w:vertAlign w:val="baseline"/>
                <w:lang w:val="en-US" w:eastAsia="zh-CN"/>
              </w:rPr>
            </w:pPr>
            <w:r>
              <w:rPr>
                <w:rFonts w:hint="eastAsia"/>
                <w:b w:val="0"/>
                <w:bCs w:val="0"/>
                <w:sz w:val="24"/>
                <w:szCs w:val="24"/>
                <w:vertAlign w:val="baseline"/>
                <w:lang w:val="en-US" w:eastAsia="zh-CN"/>
              </w:rPr>
              <w:t>评标委员会构成：评审专家5人及5人以上单数。其中评标专家不少于成员总数的三分之二，招标人代表1人，评标专家4人，评标专家在交易中心专家库中随机抽取。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15</w:t>
            </w:r>
          </w:p>
        </w:tc>
        <w:tc>
          <w:tcPr>
            <w:tcW w:w="1913" w:type="dxa"/>
            <w:vAlign w:val="center"/>
          </w:tcPr>
          <w:p>
            <w:pPr>
              <w:pStyle w:val="6"/>
              <w:spacing w:line="360" w:lineRule="auto"/>
              <w:ind w:left="0" w:leftChars="0" w:firstLine="0" w:firstLineChars="0"/>
              <w:jc w:val="center"/>
              <w:rPr>
                <w:rFonts w:hint="eastAsia"/>
                <w:b w:val="0"/>
                <w:bCs w:val="0"/>
                <w:sz w:val="24"/>
                <w:lang w:val="en-US" w:eastAsia="zh-CN"/>
              </w:rPr>
            </w:pPr>
            <w:r>
              <w:rPr>
                <w:rFonts w:hint="eastAsia" w:ascii="宋体" w:hAnsi="宋体" w:eastAsia="宋体" w:cs="宋体"/>
                <w:sz w:val="24"/>
              </w:rPr>
              <w:t>投标截</w:t>
            </w:r>
            <w:r>
              <w:rPr>
                <w:rFonts w:hint="eastAsia" w:ascii="宋体" w:hAnsi="宋体" w:eastAsia="宋体" w:cs="宋体"/>
                <w:sz w:val="24"/>
                <w:lang w:eastAsia="zh-CN"/>
              </w:rPr>
              <w:t>止时间</w:t>
            </w:r>
          </w:p>
        </w:tc>
        <w:tc>
          <w:tcPr>
            <w:tcW w:w="6873" w:type="dxa"/>
          </w:tcPr>
          <w:p>
            <w:pPr>
              <w:pStyle w:val="6"/>
              <w:spacing w:line="360" w:lineRule="auto"/>
              <w:ind w:left="0" w:leftChars="0" w:firstLine="0" w:firstLineChars="0"/>
              <w:jc w:val="left"/>
              <w:rPr>
                <w:rFonts w:hint="default"/>
                <w:b w:val="0"/>
                <w:bCs w:val="0"/>
                <w:sz w:val="24"/>
                <w:szCs w:val="24"/>
                <w:vertAlign w:val="baseline"/>
                <w:lang w:val="en-US" w:eastAsia="zh-CN"/>
              </w:rPr>
            </w:pPr>
            <w:r>
              <w:rPr>
                <w:rFonts w:hint="eastAsia" w:ascii="宋体" w:hAnsi="宋体" w:eastAsia="宋体" w:cs="宋体"/>
                <w:color w:val="000000"/>
                <w:kern w:val="0"/>
                <w:sz w:val="24"/>
                <w:szCs w:val="24"/>
                <w:u w:val="single"/>
                <w:lang w:val="en-US" w:eastAsia="zh-CN" w:bidi="ar"/>
              </w:rPr>
              <w:t>2020</w:t>
            </w:r>
            <w:r>
              <w:rPr>
                <w:rFonts w:hint="eastAsia"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u w:val="single"/>
                <w:lang w:val="en-US" w:eastAsia="zh-CN" w:bidi="ar"/>
              </w:rPr>
              <w:t xml:space="preserve"> 2 </w:t>
            </w:r>
            <w:r>
              <w:rPr>
                <w:rFonts w:hint="eastAsia"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u w:val="single"/>
                <w:lang w:val="en-US" w:eastAsia="zh-CN" w:bidi="ar"/>
              </w:rPr>
              <w:t xml:space="preserve"> 4 </w:t>
            </w:r>
            <w:r>
              <w:rPr>
                <w:rFonts w:hint="eastAsia"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u w:val="single"/>
                <w:lang w:val="en-US" w:eastAsia="zh-CN" w:bidi="ar"/>
              </w:rPr>
              <w:t xml:space="preserve"> 1</w:t>
            </w:r>
            <w:r>
              <w:rPr>
                <w:rFonts w:hint="eastAsia" w:ascii="宋体" w:hAnsi="宋体" w:cs="宋体"/>
                <w:color w:val="000000"/>
                <w:kern w:val="0"/>
                <w:sz w:val="24"/>
                <w:szCs w:val="24"/>
                <w:u w:val="single"/>
                <w:lang w:val="en-US" w:eastAsia="zh-CN" w:bidi="ar"/>
              </w:rPr>
              <w:t>4</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时</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cs="宋体"/>
                <w:color w:val="000000"/>
                <w:kern w:val="0"/>
                <w:sz w:val="24"/>
                <w:szCs w:val="24"/>
                <w:u w:val="single"/>
                <w:lang w:val="en-US" w:eastAsia="zh-CN" w:bidi="ar"/>
              </w:rPr>
              <w:t>3</w:t>
            </w:r>
            <w:r>
              <w:rPr>
                <w:rFonts w:hint="eastAsia" w:ascii="宋体" w:hAnsi="宋体" w:eastAsia="宋体" w:cs="宋体"/>
                <w:color w:val="000000"/>
                <w:kern w:val="0"/>
                <w:sz w:val="24"/>
                <w:szCs w:val="24"/>
                <w:u w:val="single"/>
                <w:lang w:val="en-US" w:eastAsia="zh-CN" w:bidi="ar"/>
              </w:rPr>
              <w:t xml:space="preserve">0 </w:t>
            </w:r>
            <w:r>
              <w:rPr>
                <w:rFonts w:hint="eastAsia" w:ascii="宋体" w:hAnsi="宋体" w:eastAsia="宋体" w:cs="宋体"/>
                <w:color w:val="000000"/>
                <w:kern w:val="0"/>
                <w:sz w:val="24"/>
                <w:szCs w:val="24"/>
                <w:u w:val="none"/>
                <w:lang w:val="en-US" w:eastAsia="zh-CN" w:bidi="ar"/>
              </w:rPr>
              <w:t>分</w:t>
            </w:r>
            <w:r>
              <w:rPr>
                <w:rFonts w:hint="eastAsia" w:ascii="宋体" w:hAnsi="宋体" w:cs="宋体"/>
                <w:color w:val="auto"/>
                <w:w w:val="105"/>
                <w:kern w:val="0"/>
                <w:sz w:val="24"/>
                <w:szCs w:val="22"/>
                <w:u w:val="none"/>
                <w:lang w:val="en-US" w:eastAsia="zh-CN" w:bidi="zh-CN"/>
              </w:rPr>
              <w:t>至</w:t>
            </w:r>
            <w:r>
              <w:rPr>
                <w:rFonts w:hint="eastAsia" w:ascii="宋体" w:hAnsi="宋体" w:cs="宋体"/>
                <w:color w:val="auto"/>
                <w:w w:val="105"/>
                <w:kern w:val="0"/>
                <w:sz w:val="24"/>
                <w:szCs w:val="22"/>
                <w:u w:val="single"/>
                <w:lang w:val="en-US" w:eastAsia="zh-CN" w:bidi="zh-CN"/>
              </w:rPr>
              <w:t xml:space="preserve"> 15 </w:t>
            </w:r>
            <w:r>
              <w:rPr>
                <w:rFonts w:hint="eastAsia" w:ascii="宋体" w:hAnsi="宋体" w:cs="宋体"/>
                <w:color w:val="auto"/>
                <w:w w:val="105"/>
                <w:kern w:val="0"/>
                <w:sz w:val="24"/>
                <w:szCs w:val="22"/>
                <w:u w:val="none"/>
                <w:lang w:val="en-US" w:eastAsia="zh-CN" w:bidi="zh-CN"/>
              </w:rPr>
              <w:t>时</w:t>
            </w:r>
            <w:r>
              <w:rPr>
                <w:rFonts w:hint="eastAsia" w:ascii="宋体" w:hAnsi="宋体" w:cs="宋体"/>
                <w:color w:val="auto"/>
                <w:w w:val="105"/>
                <w:kern w:val="0"/>
                <w:sz w:val="24"/>
                <w:szCs w:val="22"/>
                <w:u w:val="single"/>
                <w:lang w:val="en-US" w:eastAsia="zh-CN" w:bidi="zh-CN"/>
              </w:rPr>
              <w:t xml:space="preserve"> 00 </w:t>
            </w:r>
            <w:r>
              <w:rPr>
                <w:rFonts w:hint="eastAsia" w:ascii="宋体" w:hAnsi="宋体" w:cs="宋体"/>
                <w:color w:val="auto"/>
                <w:w w:val="105"/>
                <w:kern w:val="0"/>
                <w:sz w:val="24"/>
                <w:szCs w:val="22"/>
                <w:u w:val="none"/>
                <w:lang w:val="en-US" w:eastAsia="zh-CN" w:bidi="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16</w:t>
            </w:r>
          </w:p>
        </w:tc>
        <w:tc>
          <w:tcPr>
            <w:tcW w:w="1913" w:type="dxa"/>
          </w:tcPr>
          <w:p>
            <w:pPr>
              <w:pStyle w:val="6"/>
              <w:spacing w:line="360" w:lineRule="auto"/>
              <w:ind w:left="0" w:leftChars="0" w:firstLine="0" w:firstLineChars="0"/>
              <w:jc w:val="left"/>
              <w:rPr>
                <w:rFonts w:hint="eastAsia"/>
                <w:b w:val="0"/>
                <w:bCs w:val="0"/>
                <w:sz w:val="24"/>
                <w:lang w:val="en-US" w:eastAsia="zh-CN"/>
              </w:rPr>
            </w:pPr>
            <w:r>
              <w:rPr>
                <w:rFonts w:hint="eastAsia" w:ascii="宋体" w:hAnsi="宋体" w:eastAsia="宋体" w:cs="宋体"/>
                <w:sz w:val="24"/>
              </w:rPr>
              <w:t>开标时间及地点</w:t>
            </w:r>
          </w:p>
        </w:tc>
        <w:tc>
          <w:tcPr>
            <w:tcW w:w="6873" w:type="dxa"/>
          </w:tcPr>
          <w:p>
            <w:pPr>
              <w:pStyle w:val="29"/>
              <w:spacing w:before="113" w:line="240" w:lineRule="auto"/>
              <w:jc w:val="both"/>
              <w:rPr>
                <w:rFonts w:hint="eastAsia" w:ascii="宋体" w:hAnsi="宋体" w:eastAsia="宋体" w:cs="宋体"/>
                <w:w w:val="105"/>
                <w:sz w:val="24"/>
              </w:rPr>
            </w:pPr>
            <w:r>
              <w:rPr>
                <w:rFonts w:hint="eastAsia" w:ascii="宋体" w:hAnsi="宋体" w:eastAsia="宋体" w:cs="宋体"/>
                <w:w w:val="105"/>
                <w:sz w:val="24"/>
              </w:rPr>
              <w:t>时间：</w:t>
            </w:r>
            <w:r>
              <w:rPr>
                <w:rFonts w:hint="eastAsia" w:ascii="宋体" w:hAnsi="宋体" w:eastAsia="宋体" w:cs="宋体"/>
                <w:color w:val="000000"/>
                <w:kern w:val="0"/>
                <w:sz w:val="24"/>
                <w:szCs w:val="24"/>
                <w:u w:val="single"/>
                <w:lang w:val="en-US" w:eastAsia="zh-CN" w:bidi="ar"/>
              </w:rPr>
              <w:t>2020</w:t>
            </w:r>
            <w:r>
              <w:rPr>
                <w:rFonts w:hint="eastAsia"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u w:val="single"/>
                <w:lang w:val="en-US" w:eastAsia="zh-CN" w:bidi="ar"/>
              </w:rPr>
              <w:t xml:space="preserve"> 2 </w:t>
            </w:r>
            <w:r>
              <w:rPr>
                <w:rFonts w:hint="eastAsia"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u w:val="single"/>
                <w:lang w:val="en-US" w:eastAsia="zh-CN" w:bidi="ar"/>
              </w:rPr>
              <w:t xml:space="preserve"> 4 </w:t>
            </w:r>
            <w:r>
              <w:rPr>
                <w:rFonts w:hint="eastAsia"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u w:val="single"/>
                <w:lang w:val="en-US" w:eastAsia="zh-CN" w:bidi="ar"/>
              </w:rPr>
              <w:t xml:space="preserve"> 15 </w:t>
            </w:r>
            <w:r>
              <w:rPr>
                <w:rFonts w:hint="eastAsia" w:ascii="宋体" w:hAnsi="宋体" w:eastAsia="宋体" w:cs="宋体"/>
                <w:color w:val="000000"/>
                <w:kern w:val="0"/>
                <w:sz w:val="24"/>
                <w:szCs w:val="24"/>
                <w:lang w:val="en-US" w:eastAsia="zh-CN" w:bidi="ar"/>
              </w:rPr>
              <w:t>时</w:t>
            </w:r>
            <w:r>
              <w:rPr>
                <w:rFonts w:hint="eastAsia" w:ascii="宋体" w:hAnsi="宋体" w:eastAsia="宋体" w:cs="宋体"/>
                <w:color w:val="000000"/>
                <w:kern w:val="0"/>
                <w:sz w:val="24"/>
                <w:szCs w:val="24"/>
                <w:u w:val="single"/>
                <w:lang w:val="en-US" w:eastAsia="zh-CN" w:bidi="ar"/>
              </w:rPr>
              <w:t xml:space="preserve"> 00 </w:t>
            </w:r>
            <w:r>
              <w:rPr>
                <w:rFonts w:hint="eastAsia" w:ascii="宋体" w:hAnsi="宋体" w:eastAsia="宋体" w:cs="宋体"/>
                <w:color w:val="000000"/>
                <w:kern w:val="0"/>
                <w:sz w:val="24"/>
                <w:szCs w:val="24"/>
                <w:u w:val="none"/>
                <w:lang w:val="en-US" w:eastAsia="zh-CN" w:bidi="ar"/>
              </w:rPr>
              <w:t>分</w:t>
            </w:r>
          </w:p>
          <w:p>
            <w:pPr>
              <w:pStyle w:val="6"/>
              <w:spacing w:line="240" w:lineRule="auto"/>
              <w:ind w:left="0" w:leftChars="0" w:firstLine="0" w:firstLineChars="0"/>
              <w:rPr>
                <w:rFonts w:hint="eastAsia"/>
                <w:b w:val="0"/>
                <w:bCs w:val="0"/>
                <w:sz w:val="24"/>
                <w:szCs w:val="24"/>
                <w:vertAlign w:val="baseline"/>
                <w:lang w:val="en-US" w:eastAsia="zh-CN"/>
              </w:rPr>
            </w:pPr>
            <w:r>
              <w:rPr>
                <w:rFonts w:hint="eastAsia" w:ascii="宋体" w:hAnsi="宋体" w:eastAsia="宋体" w:cs="宋体"/>
                <w:sz w:val="24"/>
              </w:rPr>
              <w:t>地点：张掖市公共资源交易中心</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二</w:t>
            </w:r>
            <w:r>
              <w:rPr>
                <w:rFonts w:hint="eastAsia" w:ascii="宋体" w:hAnsi="宋体" w:eastAsia="宋体" w:cs="宋体"/>
                <w:sz w:val="24"/>
                <w:u w:val="single"/>
                <w:lang w:val="en-US" w:eastAsia="zh-CN"/>
              </w:rPr>
              <w:t xml:space="preserve">  </w:t>
            </w:r>
            <w:r>
              <w:rPr>
                <w:rFonts w:hint="eastAsia" w:ascii="宋体" w:hAnsi="宋体" w:eastAsia="宋体" w:cs="宋体"/>
                <w:sz w:val="24"/>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17</w:t>
            </w:r>
          </w:p>
        </w:tc>
        <w:tc>
          <w:tcPr>
            <w:tcW w:w="1913" w:type="dxa"/>
            <w:vAlign w:val="center"/>
          </w:tcPr>
          <w:p>
            <w:pPr>
              <w:pStyle w:val="6"/>
              <w:spacing w:line="360" w:lineRule="auto"/>
              <w:ind w:left="0" w:leftChars="0" w:firstLine="0" w:firstLineChars="0"/>
              <w:jc w:val="center"/>
              <w:rPr>
                <w:rFonts w:hint="eastAsia"/>
                <w:b w:val="0"/>
                <w:bCs w:val="0"/>
                <w:sz w:val="24"/>
                <w:lang w:val="en-US" w:eastAsia="zh-CN"/>
              </w:rPr>
            </w:pPr>
            <w:r>
              <w:rPr>
                <w:rFonts w:hint="eastAsia"/>
                <w:b w:val="0"/>
                <w:bCs w:val="0"/>
                <w:sz w:val="24"/>
                <w:lang w:val="en-US" w:eastAsia="zh-CN"/>
              </w:rPr>
              <w:t>供应商资格要求</w:t>
            </w:r>
          </w:p>
        </w:tc>
        <w:tc>
          <w:tcPr>
            <w:tcW w:w="6873" w:type="dxa"/>
          </w:tcPr>
          <w:p>
            <w:pPr>
              <w:keepNext w:val="0"/>
              <w:keepLines w:val="0"/>
              <w:widowControl/>
              <w:suppressLineNumbers w:val="0"/>
              <w:spacing w:line="36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1.供应商必须符合《中华人民共和国政府采购法》第二十二条规定,并提供《中华人民共和国政</w:t>
            </w:r>
            <w:r>
              <w:rPr>
                <w:rFonts w:hint="eastAsia" w:ascii="宋体" w:hAnsi="宋体" w:eastAsia="宋体" w:cs="宋体"/>
                <w:sz w:val="24"/>
                <w:szCs w:val="24"/>
                <w:lang w:val="en-US" w:eastAsia="zh-CN"/>
              </w:rPr>
              <w:t>府采购法实施条例》第十七条所要求的材料；</w:t>
            </w:r>
          </w:p>
          <w:p>
            <w:pPr>
              <w:keepNext w:val="0"/>
              <w:keepLines w:val="0"/>
              <w:widowControl/>
              <w:suppressLineNumbers w:val="0"/>
              <w:spacing w:line="24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（1）法人或者其他组织的营业执照等证明文件，自然人的身份证明；</w:t>
            </w:r>
          </w:p>
          <w:p>
            <w:pPr>
              <w:keepNext w:val="0"/>
              <w:keepLines w:val="0"/>
              <w:widowControl/>
              <w:suppressLineNumbers w:val="0"/>
              <w:spacing w:line="24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（2）财务状况报告，依法缴纳税收和社会保障资金的相关材料；</w:t>
            </w:r>
          </w:p>
          <w:p>
            <w:pPr>
              <w:keepNext w:val="0"/>
              <w:keepLines w:val="0"/>
              <w:widowControl/>
              <w:suppressLineNumbers w:val="0"/>
              <w:spacing w:line="24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（3）具备履行合同所必需的设备和专业技术能力的证明材料；</w:t>
            </w:r>
          </w:p>
          <w:p>
            <w:pPr>
              <w:keepNext w:val="0"/>
              <w:keepLines w:val="0"/>
              <w:widowControl/>
              <w:suppressLineNumbers w:val="0"/>
              <w:spacing w:line="24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（4）参加政府采购活动前 3 年内在经营活动中没有重大违法记录的书面声明；</w:t>
            </w:r>
          </w:p>
          <w:p>
            <w:pPr>
              <w:keepNext w:val="0"/>
              <w:keepLines w:val="0"/>
              <w:widowControl/>
              <w:suppressLineNumbers w:val="0"/>
              <w:spacing w:line="24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（5）具备法律、行政法规规定的其他条件的证明材料；</w:t>
            </w:r>
          </w:p>
          <w:p>
            <w:pPr>
              <w:keepNext w:val="0"/>
              <w:keepLines w:val="0"/>
              <w:widowControl/>
              <w:suppressLineNumbers w:val="0"/>
              <w:spacing w:line="36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（6）采购项目有特殊要求的，供应商还应当提供其符合特殊要求的证明材料或者情况说明。</w:t>
            </w:r>
          </w:p>
          <w:p>
            <w:pPr>
              <w:keepNext w:val="0"/>
              <w:keepLines w:val="0"/>
              <w:widowControl/>
              <w:suppressLineNumbers w:val="0"/>
              <w:spacing w:line="36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2.供应商须提供合法有效的含社会统一信用代码和二维码标识的法人营业执照副本复印件并加盖公章，复印件应原尺寸复印，确保二维码清晰可查；开户许可证。</w:t>
            </w:r>
          </w:p>
          <w:p>
            <w:pPr>
              <w:keepNext w:val="0"/>
              <w:keepLines w:val="0"/>
              <w:widowControl/>
              <w:suppressLineNumbers w:val="0"/>
              <w:spacing w:line="360" w:lineRule="auto"/>
              <w:ind w:left="0" w:leftChars="0" w:firstLine="439" w:firstLineChars="183"/>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应商法定代表人参与投标时须提供资格证明（营业执照副本复印件并加盖公章）、法人身份证原件；非法定代表人参与投标时须提供附有法定代表人身份证复印件的法人授权函（原件），被授权人身份证原件；</w:t>
            </w:r>
          </w:p>
          <w:p>
            <w:pPr>
              <w:keepNext w:val="0"/>
              <w:keepLines w:val="0"/>
              <w:widowControl/>
              <w:suppressLineNumbers w:val="0"/>
              <w:spacing w:line="360" w:lineRule="auto"/>
              <w:ind w:left="0" w:leftChars="0" w:firstLine="402" w:firstLineChars="183"/>
              <w:jc w:val="left"/>
              <w:rPr>
                <w:rFonts w:hint="eastAsia" w:ascii="宋体" w:hAnsi="宋体" w:eastAsia="宋体" w:cs="宋体"/>
              </w:rPr>
            </w:pPr>
            <w:r>
              <w:rPr>
                <w:rFonts w:hint="eastAsia"/>
                <w:lang w:val="en-US" w:eastAsia="zh-CN"/>
              </w:rPr>
              <w:t>4.</w:t>
            </w:r>
            <w:r>
              <w:rPr>
                <w:rFonts w:hint="eastAsia" w:ascii="宋体" w:hAnsi="宋体" w:eastAsia="宋体" w:cs="宋体"/>
                <w:color w:val="000000"/>
                <w:kern w:val="0"/>
                <w:sz w:val="24"/>
                <w:szCs w:val="24"/>
                <w:lang w:val="en-US" w:eastAsia="zh-CN" w:bidi="ar"/>
              </w:rPr>
              <w:t xml:space="preserve">供应商须为未被列入“信用中国”网站(www.creditchina.gov.cn)记录失信被执 行人或重大税收违法案件当事人名单或政府采购严重违法失信行为”记录名单；不 处于中国政府采购网(www.ccgp.gov.cn)政府采购严重违法失信行为信息记录”中 的禁止参加政府采购活动期间;未被列入“信用甘肃”网站（www.gscredit.gov.cn） 记录失信被执行人或财政性资金管理使用领域相关失信责任主体、统计领域严重 失信企业及其有关人员等的方可参加本项目的投标。（自竞争性磋商文件发布之 日起至递交投标文件截止时间前在“信用中国”网站（www.creditchina.gov.cn）、 中国政府采购网(www.ccgp.gov.cn)及“信用甘肃”网站（www.gscredit.gov.cn）查 询结果为准，如相关失信记录已失效，供应商需提供相关证明资料）。 </w:t>
            </w:r>
          </w:p>
          <w:p>
            <w:pPr>
              <w:keepNext w:val="0"/>
              <w:keepLines w:val="0"/>
              <w:widowControl/>
              <w:suppressLineNumbers w:val="0"/>
              <w:spacing w:line="240" w:lineRule="auto"/>
              <w:ind w:left="0" w:leftChars="0" w:firstLine="439" w:firstLineChars="183"/>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5.本项目不接受联合体投标。 </w:t>
            </w:r>
          </w:p>
          <w:p>
            <w:pPr>
              <w:keepNext w:val="0"/>
              <w:keepLines w:val="0"/>
              <w:widowControl/>
              <w:suppressLineNumbers w:val="0"/>
              <w:spacing w:line="360" w:lineRule="auto"/>
              <w:ind w:left="0" w:leftChars="0" w:firstLine="441" w:firstLineChars="183"/>
              <w:jc w:val="left"/>
              <w:rPr>
                <w:rFonts w:hint="eastAsia"/>
                <w:b w:val="0"/>
                <w:bCs w:val="0"/>
                <w:sz w:val="24"/>
                <w:szCs w:val="24"/>
                <w:vertAlign w:val="baseline"/>
                <w:lang w:val="en-US" w:eastAsia="zh-CN"/>
              </w:rPr>
            </w:pPr>
            <w:r>
              <w:rPr>
                <w:rFonts w:hint="eastAsia" w:ascii="宋体" w:hAnsi="宋体" w:eastAsia="宋体" w:cs="宋体"/>
                <w:b/>
                <w:color w:val="000000"/>
                <w:kern w:val="0"/>
                <w:sz w:val="24"/>
                <w:szCs w:val="24"/>
                <w:lang w:val="en-US" w:eastAsia="zh-CN" w:bidi="ar"/>
              </w:rPr>
              <w:t>注：各投标商在开标时，请携带招标文件中规定的资质证件的原件供评委会查验，不带原件导致废标的，后果由投标商自行承担。（法人营业执照副本只带复印件）。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18</w:t>
            </w:r>
          </w:p>
        </w:tc>
        <w:tc>
          <w:tcPr>
            <w:tcW w:w="1913" w:type="dxa"/>
            <w:vAlign w:val="center"/>
          </w:tcPr>
          <w:p>
            <w:pPr>
              <w:pStyle w:val="6"/>
              <w:spacing w:line="360" w:lineRule="auto"/>
              <w:ind w:left="0" w:leftChars="0" w:firstLine="0" w:firstLineChars="0"/>
              <w:jc w:val="center"/>
              <w:rPr>
                <w:rFonts w:hint="eastAsia"/>
                <w:b w:val="0"/>
                <w:bCs w:val="0"/>
                <w:sz w:val="24"/>
                <w:lang w:val="en-US" w:eastAsia="zh-CN"/>
              </w:rPr>
            </w:pPr>
            <w:r>
              <w:rPr>
                <w:rFonts w:hint="eastAsia"/>
                <w:b w:val="0"/>
                <w:bCs w:val="0"/>
                <w:sz w:val="24"/>
                <w:lang w:val="en-US" w:eastAsia="zh-CN"/>
              </w:rPr>
              <w:t>评分办法</w:t>
            </w:r>
          </w:p>
        </w:tc>
        <w:tc>
          <w:tcPr>
            <w:tcW w:w="6873" w:type="dxa"/>
          </w:tcPr>
          <w:p>
            <w:pPr>
              <w:pStyle w:val="6"/>
              <w:spacing w:line="360" w:lineRule="auto"/>
              <w:ind w:left="0" w:leftChars="0" w:firstLine="0" w:firstLineChars="0"/>
              <w:rPr>
                <w:rFonts w:hint="eastAsia"/>
                <w:b w:val="0"/>
                <w:bCs w:val="0"/>
                <w:sz w:val="24"/>
                <w:szCs w:val="24"/>
                <w:vertAlign w:val="baseline"/>
                <w:lang w:val="en-US" w:eastAsia="zh-CN"/>
              </w:rPr>
            </w:pPr>
            <w:r>
              <w:rPr>
                <w:rFonts w:hint="eastAsia"/>
                <w:b w:val="0"/>
                <w:bCs w:val="0"/>
                <w:sz w:val="24"/>
                <w:szCs w:val="24"/>
                <w:vertAlign w:val="baseline"/>
                <w:lang w:val="en-US" w:eastAsia="zh-CN"/>
              </w:rPr>
              <w:t>综合评分法（详见第五部分：评标原则及办法）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19</w:t>
            </w:r>
          </w:p>
        </w:tc>
        <w:tc>
          <w:tcPr>
            <w:tcW w:w="1913" w:type="dxa"/>
            <w:vAlign w:val="center"/>
          </w:tcPr>
          <w:p>
            <w:pPr>
              <w:pStyle w:val="6"/>
              <w:spacing w:line="240" w:lineRule="auto"/>
              <w:ind w:left="0" w:leftChars="0" w:firstLine="0" w:firstLineChars="0"/>
              <w:jc w:val="center"/>
              <w:rPr>
                <w:rFonts w:hint="eastAsia"/>
                <w:b w:val="0"/>
                <w:bCs w:val="0"/>
                <w:sz w:val="24"/>
                <w:lang w:val="en-US" w:eastAsia="zh-CN"/>
              </w:rPr>
            </w:pPr>
            <w:r>
              <w:rPr>
                <w:rFonts w:hint="eastAsia"/>
                <w:b w:val="0"/>
                <w:bCs w:val="0"/>
                <w:sz w:val="24"/>
                <w:szCs w:val="24"/>
                <w:vertAlign w:val="baseline"/>
                <w:lang w:val="en-US" w:eastAsia="zh-CN"/>
              </w:rPr>
              <w:t>投标文件制作、份数、签署和盖章要求</w:t>
            </w:r>
          </w:p>
        </w:tc>
        <w:tc>
          <w:tcPr>
            <w:tcW w:w="6873" w:type="dxa"/>
          </w:tcPr>
          <w:p>
            <w:pPr>
              <w:pStyle w:val="6"/>
              <w:spacing w:line="360" w:lineRule="auto"/>
              <w:ind w:left="0" w:leftChars="0" w:firstLine="0" w:firstLineChars="0"/>
              <w:rPr>
                <w:rFonts w:hint="eastAsia"/>
                <w:b w:val="0"/>
                <w:bCs w:val="0"/>
                <w:sz w:val="24"/>
                <w:szCs w:val="24"/>
                <w:vertAlign w:val="baseline"/>
                <w:lang w:val="en-US" w:eastAsia="zh-CN"/>
              </w:rPr>
            </w:pPr>
            <w:r>
              <w:rPr>
                <w:rFonts w:hint="eastAsia"/>
                <w:b w:val="0"/>
                <w:bCs w:val="0"/>
                <w:sz w:val="24"/>
                <w:szCs w:val="24"/>
                <w:vertAlign w:val="baseline"/>
                <w:lang w:val="en-US" w:eastAsia="zh-CN"/>
              </w:rPr>
              <w:t>正本1份、副本4份、电子版U盘文档1份(U盘内拷贝PDF</w:t>
            </w:r>
          </w:p>
          <w:p>
            <w:pPr>
              <w:pStyle w:val="6"/>
              <w:spacing w:line="360" w:lineRule="auto"/>
              <w:ind w:left="0" w:leftChars="0" w:firstLine="0" w:firstLineChars="0"/>
              <w:rPr>
                <w:rFonts w:hint="eastAsia"/>
                <w:b w:val="0"/>
                <w:bCs w:val="0"/>
                <w:sz w:val="24"/>
                <w:szCs w:val="24"/>
                <w:vertAlign w:val="baseline"/>
                <w:lang w:val="en-US" w:eastAsia="zh-CN"/>
              </w:rPr>
            </w:pPr>
            <w:r>
              <w:rPr>
                <w:rFonts w:hint="eastAsia"/>
                <w:b w:val="0"/>
                <w:bCs w:val="0"/>
                <w:sz w:val="24"/>
                <w:szCs w:val="24"/>
                <w:vertAlign w:val="baseline"/>
                <w:lang w:val="en-US" w:eastAsia="zh-CN"/>
              </w:rPr>
              <w:t>格式文件，Word 格式一份）提交不退。</w:t>
            </w:r>
          </w:p>
          <w:p>
            <w:pPr>
              <w:pStyle w:val="6"/>
              <w:spacing w:line="360" w:lineRule="auto"/>
              <w:ind w:left="0" w:leftChars="0" w:firstLine="0" w:firstLineChars="0"/>
              <w:rPr>
                <w:rFonts w:hint="eastAsia"/>
                <w:b w:val="0"/>
                <w:bCs w:val="0"/>
                <w:sz w:val="24"/>
                <w:szCs w:val="24"/>
                <w:vertAlign w:val="baseline"/>
                <w:lang w:val="en-US" w:eastAsia="zh-CN"/>
              </w:rPr>
            </w:pPr>
            <w:r>
              <w:rPr>
                <w:rFonts w:hint="eastAsia"/>
                <w:b w:val="0"/>
                <w:bCs w:val="0"/>
                <w:sz w:val="24"/>
                <w:szCs w:val="24"/>
                <w:vertAlign w:val="baseline"/>
                <w:lang w:val="en-US" w:eastAsia="zh-CN"/>
              </w:rPr>
              <w:t xml:space="preserve">提别提示：1、电子版《投标文件》必须与纸质版《投标文件》 </w:t>
            </w:r>
          </w:p>
          <w:p>
            <w:pPr>
              <w:pStyle w:val="6"/>
              <w:spacing w:line="360" w:lineRule="auto"/>
              <w:ind w:left="0" w:leftChars="0" w:firstLine="0" w:firstLineChars="0"/>
              <w:rPr>
                <w:rFonts w:hint="eastAsia"/>
                <w:b w:val="0"/>
                <w:bCs w:val="0"/>
                <w:sz w:val="24"/>
                <w:szCs w:val="24"/>
                <w:vertAlign w:val="baseline"/>
                <w:lang w:val="en-US" w:eastAsia="zh-CN"/>
              </w:rPr>
            </w:pPr>
            <w:r>
              <w:rPr>
                <w:rFonts w:hint="eastAsia"/>
                <w:b w:val="0"/>
                <w:bCs w:val="0"/>
                <w:sz w:val="24"/>
                <w:szCs w:val="24"/>
                <w:vertAlign w:val="baseline"/>
                <w:lang w:val="en-US" w:eastAsia="zh-CN"/>
              </w:rPr>
              <w:t xml:space="preserve">完全一致，否则按无效投标处理。 </w:t>
            </w:r>
          </w:p>
          <w:p>
            <w:pPr>
              <w:pStyle w:val="6"/>
              <w:spacing w:line="360" w:lineRule="auto"/>
              <w:ind w:left="0" w:leftChars="0" w:firstLine="0" w:firstLineChars="0"/>
              <w:rPr>
                <w:rFonts w:hint="eastAsia"/>
                <w:b w:val="0"/>
                <w:bCs w:val="0"/>
                <w:sz w:val="24"/>
                <w:szCs w:val="24"/>
                <w:vertAlign w:val="baseline"/>
                <w:lang w:val="en-US" w:eastAsia="zh-CN"/>
              </w:rPr>
            </w:pPr>
            <w:r>
              <w:rPr>
                <w:rFonts w:hint="eastAsia"/>
                <w:b/>
                <w:bCs/>
                <w:sz w:val="24"/>
                <w:szCs w:val="24"/>
                <w:vertAlign w:val="baseline"/>
                <w:lang w:val="en-US" w:eastAsia="zh-CN"/>
              </w:rPr>
              <w:t>2、签署和盖章具体要求详见投标人须知。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20</w:t>
            </w:r>
          </w:p>
        </w:tc>
        <w:tc>
          <w:tcPr>
            <w:tcW w:w="1913" w:type="dxa"/>
            <w:vAlign w:val="center"/>
          </w:tcPr>
          <w:p>
            <w:pPr>
              <w:pStyle w:val="6"/>
              <w:spacing w:line="240" w:lineRule="auto"/>
              <w:ind w:left="0" w:leftChars="0" w:firstLine="0" w:firstLineChars="0"/>
              <w:jc w:val="center"/>
              <w:rPr>
                <w:rFonts w:hint="eastAsia"/>
                <w:b w:val="0"/>
                <w:bCs w:val="0"/>
                <w:sz w:val="24"/>
                <w:lang w:val="en-US" w:eastAsia="zh-CN"/>
              </w:rPr>
            </w:pPr>
            <w:r>
              <w:rPr>
                <w:rFonts w:hint="eastAsia"/>
                <w:b w:val="0"/>
                <w:bCs w:val="0"/>
                <w:sz w:val="24"/>
                <w:lang w:val="en-US" w:eastAsia="zh-CN"/>
              </w:rPr>
              <w:t>投标文件密封 和标注</w:t>
            </w:r>
          </w:p>
        </w:tc>
        <w:tc>
          <w:tcPr>
            <w:tcW w:w="6873" w:type="dxa"/>
            <w:vAlign w:val="center"/>
          </w:tcPr>
          <w:p>
            <w:pPr>
              <w:pStyle w:val="6"/>
              <w:spacing w:line="360" w:lineRule="auto"/>
              <w:ind w:left="0" w:leftChars="0" w:firstLine="0" w:firstLineChars="0"/>
              <w:jc w:val="both"/>
              <w:rPr>
                <w:rFonts w:hint="eastAsia"/>
                <w:b w:val="0"/>
                <w:bCs w:val="0"/>
                <w:sz w:val="24"/>
                <w:szCs w:val="24"/>
                <w:vertAlign w:val="baseline"/>
                <w:lang w:val="en-US" w:eastAsia="zh-CN"/>
              </w:rPr>
            </w:pPr>
            <w:r>
              <w:rPr>
                <w:rFonts w:hint="eastAsia"/>
                <w:b/>
                <w:bCs/>
                <w:sz w:val="24"/>
                <w:szCs w:val="24"/>
                <w:vertAlign w:val="baseline"/>
                <w:lang w:val="en-US" w:eastAsia="zh-CN"/>
              </w:rPr>
              <w:t>投标文件密封和标注具体要求详见投标人须知。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21</w:t>
            </w:r>
          </w:p>
        </w:tc>
        <w:tc>
          <w:tcPr>
            <w:tcW w:w="1913" w:type="dxa"/>
            <w:vAlign w:val="center"/>
          </w:tcPr>
          <w:p>
            <w:pPr>
              <w:pStyle w:val="6"/>
              <w:spacing w:line="240" w:lineRule="auto"/>
              <w:ind w:left="0" w:leftChars="0" w:firstLine="0" w:firstLineChars="0"/>
              <w:jc w:val="center"/>
              <w:rPr>
                <w:rFonts w:hint="eastAsia"/>
                <w:b w:val="0"/>
                <w:bCs w:val="0"/>
                <w:sz w:val="24"/>
                <w:lang w:val="en-US" w:eastAsia="zh-CN"/>
              </w:rPr>
            </w:pPr>
            <w:r>
              <w:rPr>
                <w:rFonts w:hint="eastAsia"/>
                <w:b w:val="0"/>
                <w:bCs w:val="0"/>
                <w:sz w:val="24"/>
                <w:lang w:val="en-US" w:eastAsia="zh-CN"/>
              </w:rPr>
              <w:t>构成招标文件的其他材料</w:t>
            </w:r>
          </w:p>
        </w:tc>
        <w:tc>
          <w:tcPr>
            <w:tcW w:w="6873" w:type="dxa"/>
            <w:vAlign w:val="center"/>
          </w:tcPr>
          <w:p>
            <w:pPr>
              <w:keepNext w:val="0"/>
              <w:keepLines w:val="0"/>
              <w:widowControl/>
              <w:suppressLineNumbers w:val="0"/>
              <w:jc w:val="both"/>
              <w:rPr>
                <w:rFonts w:hint="eastAsia"/>
                <w:b w:val="0"/>
                <w:bCs w:val="0"/>
                <w:sz w:val="24"/>
                <w:szCs w:val="24"/>
                <w:vertAlign w:val="baseline"/>
                <w:lang w:val="en-US" w:eastAsia="zh-CN"/>
              </w:rPr>
            </w:pPr>
            <w:r>
              <w:rPr>
                <w:rFonts w:hint="eastAsia" w:ascii="Calibri" w:hAnsi="Calibri" w:eastAsia="宋体" w:cs="Times New Roman"/>
                <w:b/>
                <w:bCs/>
                <w:color w:val="000000"/>
                <w:kern w:val="0"/>
                <w:sz w:val="24"/>
                <w:szCs w:val="24"/>
                <w:vertAlign w:val="baseline"/>
                <w:lang w:val="en-US" w:eastAsia="zh-CN" w:bidi="ar"/>
              </w:rPr>
              <w:t>采购人以书面形式发出的答疑书、补遗书或通知等。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both"/>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 xml:space="preserve"> 22</w:t>
            </w:r>
          </w:p>
        </w:tc>
        <w:tc>
          <w:tcPr>
            <w:tcW w:w="1913" w:type="dxa"/>
            <w:vAlign w:val="center"/>
          </w:tcPr>
          <w:p>
            <w:pPr>
              <w:pStyle w:val="6"/>
              <w:spacing w:line="240" w:lineRule="auto"/>
              <w:ind w:left="0" w:leftChars="0" w:firstLine="0" w:firstLineChars="0"/>
              <w:jc w:val="center"/>
              <w:rPr>
                <w:rFonts w:hint="eastAsia"/>
                <w:b w:val="0"/>
                <w:bCs w:val="0"/>
                <w:sz w:val="24"/>
                <w:lang w:val="en-US" w:eastAsia="zh-CN"/>
              </w:rPr>
            </w:pPr>
            <w:r>
              <w:rPr>
                <w:rFonts w:hint="eastAsia"/>
                <w:b w:val="0"/>
                <w:bCs w:val="0"/>
                <w:sz w:val="24"/>
                <w:lang w:val="en-US" w:eastAsia="zh-CN"/>
              </w:rPr>
              <w:t>供应商要求澄清招标文件的截止时间</w:t>
            </w:r>
          </w:p>
        </w:tc>
        <w:tc>
          <w:tcPr>
            <w:tcW w:w="6873" w:type="dxa"/>
            <w:vAlign w:val="center"/>
          </w:tcPr>
          <w:p>
            <w:pPr>
              <w:keepNext w:val="0"/>
              <w:keepLines w:val="0"/>
              <w:widowControl/>
              <w:suppressLineNumbers w:val="0"/>
              <w:jc w:val="both"/>
              <w:rPr>
                <w:rFonts w:hint="eastAsia"/>
                <w:b w:val="0"/>
                <w:bCs w:val="0"/>
                <w:sz w:val="24"/>
                <w:szCs w:val="24"/>
                <w:vertAlign w:val="baseline"/>
                <w:lang w:val="en-US" w:eastAsia="zh-CN"/>
              </w:rPr>
            </w:pPr>
            <w:r>
              <w:rPr>
                <w:rFonts w:hint="eastAsia" w:ascii="Calibri" w:hAnsi="Calibri" w:eastAsia="宋体" w:cs="Times New Roman"/>
                <w:b/>
                <w:bCs/>
                <w:color w:val="000000"/>
                <w:kern w:val="0"/>
                <w:sz w:val="24"/>
                <w:szCs w:val="24"/>
                <w:vertAlign w:val="baseline"/>
                <w:lang w:val="en-US" w:eastAsia="zh-CN" w:bidi="ar"/>
              </w:rPr>
              <w:t>递交投标文件截止时间15日以前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23</w:t>
            </w:r>
          </w:p>
        </w:tc>
        <w:tc>
          <w:tcPr>
            <w:tcW w:w="1913" w:type="dxa"/>
            <w:vAlign w:val="center"/>
          </w:tcPr>
          <w:p>
            <w:pPr>
              <w:pStyle w:val="6"/>
              <w:spacing w:line="240" w:lineRule="auto"/>
              <w:ind w:left="0" w:leftChars="0" w:firstLine="0" w:firstLineChars="0"/>
              <w:jc w:val="center"/>
              <w:rPr>
                <w:rFonts w:hint="eastAsia"/>
                <w:b w:val="0"/>
                <w:bCs w:val="0"/>
                <w:sz w:val="24"/>
                <w:lang w:val="en-US" w:eastAsia="zh-CN"/>
              </w:rPr>
            </w:pPr>
            <w:r>
              <w:rPr>
                <w:rFonts w:hint="eastAsia"/>
                <w:b w:val="0"/>
                <w:bCs w:val="0"/>
                <w:sz w:val="24"/>
                <w:lang w:val="en-US" w:eastAsia="zh-CN"/>
              </w:rPr>
              <w:t>招标人书面澄清的时间</w:t>
            </w:r>
          </w:p>
        </w:tc>
        <w:tc>
          <w:tcPr>
            <w:tcW w:w="6873" w:type="dxa"/>
          </w:tcPr>
          <w:p>
            <w:pPr>
              <w:pStyle w:val="6"/>
              <w:spacing w:line="360" w:lineRule="auto"/>
              <w:ind w:left="0" w:leftChars="0" w:firstLine="0" w:firstLineChars="0"/>
              <w:rPr>
                <w:rFonts w:hint="eastAsia"/>
                <w:b w:val="0"/>
                <w:bCs w:val="0"/>
                <w:sz w:val="24"/>
                <w:szCs w:val="24"/>
                <w:vertAlign w:val="baseline"/>
                <w:lang w:val="en-US" w:eastAsia="zh-CN"/>
              </w:rPr>
            </w:pPr>
            <w:r>
              <w:rPr>
                <w:rFonts w:hint="eastAsia"/>
                <w:b/>
                <w:bCs/>
                <w:sz w:val="24"/>
                <w:szCs w:val="24"/>
                <w:vertAlign w:val="baseline"/>
                <w:lang w:val="en-US" w:eastAsia="zh-CN"/>
              </w:rPr>
              <w:t>递交投标文件截止时间15日以前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24</w:t>
            </w:r>
          </w:p>
        </w:tc>
        <w:tc>
          <w:tcPr>
            <w:tcW w:w="1913" w:type="dxa"/>
            <w:vAlign w:val="center"/>
          </w:tcPr>
          <w:p>
            <w:pPr>
              <w:pStyle w:val="6"/>
              <w:spacing w:line="240" w:lineRule="auto"/>
              <w:ind w:left="0" w:leftChars="0" w:firstLine="0" w:firstLineChars="0"/>
              <w:jc w:val="center"/>
              <w:rPr>
                <w:rFonts w:hint="eastAsia"/>
                <w:b w:val="0"/>
                <w:bCs w:val="0"/>
                <w:sz w:val="24"/>
                <w:lang w:val="en-US" w:eastAsia="zh-CN"/>
              </w:rPr>
            </w:pPr>
            <w:r>
              <w:rPr>
                <w:rFonts w:hint="eastAsia"/>
                <w:b w:val="0"/>
                <w:bCs w:val="0"/>
                <w:sz w:val="24"/>
                <w:lang w:val="en-US" w:eastAsia="zh-CN"/>
              </w:rPr>
              <w:t>供应商确认收到招 标文件澄清的时间</w:t>
            </w:r>
          </w:p>
        </w:tc>
        <w:tc>
          <w:tcPr>
            <w:tcW w:w="6873" w:type="dxa"/>
            <w:vAlign w:val="center"/>
          </w:tcPr>
          <w:p>
            <w:pPr>
              <w:keepNext w:val="0"/>
              <w:keepLines w:val="0"/>
              <w:widowControl/>
              <w:suppressLineNumbers w:val="0"/>
              <w:jc w:val="both"/>
              <w:rPr>
                <w:rFonts w:hint="eastAsia"/>
                <w:b w:val="0"/>
                <w:bCs w:val="0"/>
                <w:sz w:val="24"/>
                <w:szCs w:val="24"/>
                <w:vertAlign w:val="baseline"/>
                <w:lang w:val="en-US" w:eastAsia="zh-CN"/>
              </w:rPr>
            </w:pPr>
            <w:r>
              <w:rPr>
                <w:rFonts w:hint="eastAsia" w:ascii="宋体" w:hAnsi="宋体" w:eastAsia="宋体" w:cs="宋体"/>
                <w:b/>
                <w:color w:val="000000"/>
                <w:kern w:val="0"/>
                <w:sz w:val="24"/>
                <w:szCs w:val="24"/>
                <w:lang w:val="en-US" w:eastAsia="zh-CN" w:bidi="ar"/>
              </w:rPr>
              <w:t>收到澄清后 24 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25</w:t>
            </w:r>
          </w:p>
        </w:tc>
        <w:tc>
          <w:tcPr>
            <w:tcW w:w="1913" w:type="dxa"/>
            <w:vAlign w:val="center"/>
          </w:tcPr>
          <w:p>
            <w:pPr>
              <w:pStyle w:val="6"/>
              <w:spacing w:line="240" w:lineRule="auto"/>
              <w:ind w:left="0" w:leftChars="0" w:firstLine="0" w:firstLineChars="0"/>
              <w:jc w:val="center"/>
              <w:rPr>
                <w:rFonts w:hint="eastAsia"/>
                <w:b w:val="0"/>
                <w:bCs w:val="0"/>
                <w:sz w:val="24"/>
                <w:lang w:val="en-US" w:eastAsia="zh-CN"/>
              </w:rPr>
            </w:pPr>
            <w:r>
              <w:rPr>
                <w:rFonts w:hint="eastAsia" w:ascii="宋体" w:hAnsi="宋体" w:eastAsia="宋体" w:cs="宋体"/>
                <w:sz w:val="24"/>
              </w:rPr>
              <w:t>中标公告</w:t>
            </w:r>
          </w:p>
        </w:tc>
        <w:tc>
          <w:tcPr>
            <w:tcW w:w="6873" w:type="dxa"/>
            <w:vAlign w:val="center"/>
          </w:tcPr>
          <w:p>
            <w:pPr>
              <w:keepNext w:val="0"/>
              <w:keepLines w:val="0"/>
              <w:widowControl/>
              <w:suppressLineNumbers w:val="0"/>
              <w:spacing w:line="240" w:lineRule="auto"/>
              <w:jc w:val="center"/>
              <w:rPr>
                <w:rFonts w:hint="eastAsia" w:ascii="宋体" w:hAnsi="宋体" w:eastAsia="宋体" w:cs="宋体"/>
                <w:b/>
                <w:color w:val="000000"/>
                <w:kern w:val="0"/>
                <w:sz w:val="24"/>
                <w:szCs w:val="24"/>
                <w:lang w:val="en-US" w:eastAsia="zh-CN" w:bidi="ar"/>
              </w:rPr>
            </w:pPr>
            <w:r>
              <w:rPr>
                <w:rFonts w:hint="eastAsia" w:ascii="宋体" w:hAnsi="宋体" w:eastAsia="宋体" w:cs="宋体"/>
                <w:b w:val="0"/>
                <w:bCs/>
                <w:color w:val="000000"/>
                <w:kern w:val="0"/>
                <w:sz w:val="24"/>
                <w:szCs w:val="24"/>
                <w:lang w:val="en-US" w:eastAsia="zh-CN" w:bidi="ar"/>
              </w:rPr>
              <w:t>将在甘肃政府采购网、张掖市公共资源交易中心网上予以公告。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26</w:t>
            </w:r>
          </w:p>
        </w:tc>
        <w:tc>
          <w:tcPr>
            <w:tcW w:w="1913" w:type="dxa"/>
            <w:vAlign w:val="center"/>
          </w:tcPr>
          <w:p>
            <w:pPr>
              <w:pStyle w:val="6"/>
              <w:spacing w:line="360" w:lineRule="auto"/>
              <w:ind w:left="0" w:leftChars="0" w:firstLine="0" w:firstLineChars="0"/>
              <w:jc w:val="center"/>
              <w:rPr>
                <w:rFonts w:hint="eastAsia" w:ascii="宋体" w:hAnsi="宋体" w:eastAsia="宋体" w:cs="宋体"/>
                <w:sz w:val="24"/>
                <w:lang w:eastAsia="zh-CN"/>
              </w:rPr>
            </w:pPr>
            <w:r>
              <w:rPr>
                <w:rFonts w:hint="eastAsia" w:ascii="宋体" w:hAnsi="宋体" w:cs="宋体"/>
                <w:sz w:val="24"/>
                <w:lang w:eastAsia="zh-CN"/>
              </w:rPr>
              <w:t>中标通知书领取</w:t>
            </w:r>
          </w:p>
        </w:tc>
        <w:tc>
          <w:tcPr>
            <w:tcW w:w="6873" w:type="dxa"/>
            <w:vAlign w:val="center"/>
          </w:tcPr>
          <w:p>
            <w:pPr>
              <w:pStyle w:val="12"/>
              <w:spacing w:line="360" w:lineRule="auto"/>
              <w:ind w:right="-42" w:rightChars="0"/>
              <w:jc w:val="both"/>
              <w:rPr>
                <w:rFonts w:hint="default"/>
                <w:lang w:val="en-US" w:eastAsia="zh-CN"/>
              </w:rPr>
            </w:pPr>
            <w:r>
              <w:rPr>
                <w:rFonts w:hint="eastAsia" w:cs="宋体"/>
                <w:b w:val="0"/>
                <w:bCs/>
                <w:i w:val="0"/>
                <w:iCs/>
                <w:color w:val="000000"/>
                <w:kern w:val="0"/>
                <w:sz w:val="24"/>
                <w:szCs w:val="24"/>
                <w:lang w:val="en-US" w:eastAsia="zh-CN" w:bidi="ar"/>
              </w:rPr>
              <w:t>请中标供应商凭有效身份证件及公章，在公示期后2日内到甘肃国泰国际招标有限公司，缴纳代理服务费并领取中标通知书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27</w:t>
            </w:r>
          </w:p>
        </w:tc>
        <w:tc>
          <w:tcPr>
            <w:tcW w:w="1913" w:type="dxa"/>
            <w:vAlign w:val="center"/>
          </w:tcPr>
          <w:p>
            <w:pPr>
              <w:pStyle w:val="29"/>
              <w:spacing w:after="0" w:line="240" w:lineRule="auto"/>
              <w:ind w:left="0" w:leftChars="0" w:right="0" w:rightChars="0"/>
              <w:jc w:val="center"/>
              <w:rPr>
                <w:rFonts w:hint="eastAsia" w:ascii="宋体" w:hAnsi="宋体" w:eastAsia="宋体" w:cs="宋体"/>
                <w:sz w:val="24"/>
              </w:rPr>
            </w:pPr>
            <w:r>
              <w:rPr>
                <w:rFonts w:hint="eastAsia" w:ascii="宋体" w:hAnsi="宋体" w:eastAsia="宋体" w:cs="宋体"/>
                <w:sz w:val="24"/>
              </w:rPr>
              <w:t>政府采购合同</w:t>
            </w:r>
          </w:p>
          <w:p>
            <w:pPr>
              <w:pStyle w:val="6"/>
              <w:spacing w:line="240" w:lineRule="auto"/>
              <w:ind w:left="0" w:leftChars="0" w:firstLine="0" w:firstLineChars="0"/>
              <w:jc w:val="center"/>
              <w:rPr>
                <w:rFonts w:hint="eastAsia" w:ascii="宋体" w:hAnsi="宋体" w:eastAsia="宋体" w:cs="宋体"/>
                <w:sz w:val="24"/>
              </w:rPr>
            </w:pPr>
            <w:r>
              <w:rPr>
                <w:rFonts w:hint="eastAsia" w:ascii="宋体" w:hAnsi="宋体" w:eastAsia="宋体" w:cs="宋体"/>
                <w:sz w:val="24"/>
              </w:rPr>
              <w:t>公告备案</w:t>
            </w:r>
          </w:p>
        </w:tc>
        <w:tc>
          <w:tcPr>
            <w:tcW w:w="6873" w:type="dxa"/>
            <w:vAlign w:val="center"/>
          </w:tcPr>
          <w:p>
            <w:pPr>
              <w:keepNext w:val="0"/>
              <w:keepLines w:val="0"/>
              <w:widowControl/>
              <w:suppressLineNumbers w:val="0"/>
              <w:spacing w:line="360" w:lineRule="auto"/>
              <w:jc w:val="left"/>
              <w:rPr>
                <w:rFonts w:hint="eastAsia" w:ascii="宋体" w:hAnsi="宋体" w:eastAsia="宋体" w:cs="宋体"/>
                <w:b w:val="0"/>
                <w:bCs/>
                <w:color w:val="000000"/>
                <w:kern w:val="0"/>
                <w:sz w:val="24"/>
                <w:szCs w:val="24"/>
                <w:lang w:val="en-US" w:eastAsia="zh-CN" w:bidi="ar"/>
              </w:rPr>
            </w:pPr>
            <w:r>
              <w:rPr>
                <w:rFonts w:hint="eastAsia" w:ascii="宋体" w:hAnsi="宋体" w:eastAsia="宋体" w:cs="宋体"/>
                <w:sz w:val="24"/>
              </w:rPr>
              <w:t>政府采购合同应在领取中标通知书后 30 日内签订，并送至招标代</w:t>
            </w:r>
            <w:r>
              <w:rPr>
                <w:rFonts w:hint="eastAsia" w:ascii="宋体" w:hAnsi="宋体" w:eastAsia="宋体" w:cs="宋体"/>
                <w:spacing w:val="-7"/>
                <w:sz w:val="24"/>
              </w:rPr>
              <w:t xml:space="preserve">理公司盖章备案，且政府采购合同将在 </w:t>
            </w:r>
            <w:r>
              <w:rPr>
                <w:rFonts w:hint="eastAsia" w:ascii="宋体" w:hAnsi="宋体" w:eastAsia="宋体" w:cs="宋体"/>
                <w:sz w:val="24"/>
              </w:rPr>
              <w:t>2</w:t>
            </w:r>
            <w:r>
              <w:rPr>
                <w:rFonts w:hint="eastAsia" w:ascii="宋体" w:hAnsi="宋体" w:eastAsia="宋体" w:cs="宋体"/>
                <w:spacing w:val="-8"/>
                <w:sz w:val="24"/>
              </w:rPr>
              <w:t xml:space="preserve"> 个工作日内，在甘肃政府</w:t>
            </w:r>
            <w:r>
              <w:rPr>
                <w:rFonts w:hint="eastAsia" w:ascii="宋体" w:hAnsi="宋体" w:eastAsia="宋体" w:cs="宋体"/>
                <w:sz w:val="24"/>
              </w:rPr>
              <w:t>采购网上公告。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5" w:hRule="atLeast"/>
        </w:trPr>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28</w:t>
            </w:r>
          </w:p>
        </w:tc>
        <w:tc>
          <w:tcPr>
            <w:tcW w:w="1913" w:type="dxa"/>
            <w:vAlign w:val="center"/>
          </w:tcPr>
          <w:p>
            <w:pPr>
              <w:pStyle w:val="6"/>
              <w:spacing w:line="360" w:lineRule="auto"/>
              <w:ind w:left="0" w:leftChars="0" w:firstLine="0" w:firstLineChars="0"/>
              <w:jc w:val="center"/>
              <w:rPr>
                <w:rFonts w:hint="eastAsia"/>
                <w:b w:val="0"/>
                <w:bCs w:val="0"/>
                <w:sz w:val="24"/>
                <w:lang w:val="en-US" w:eastAsia="zh-CN"/>
              </w:rPr>
            </w:pPr>
            <w:r>
              <w:rPr>
                <w:rFonts w:hint="eastAsia"/>
                <w:b w:val="0"/>
                <w:bCs w:val="0"/>
                <w:sz w:val="24"/>
                <w:lang w:val="en-US" w:eastAsia="zh-CN"/>
              </w:rPr>
              <w:t>投标保证金</w:t>
            </w:r>
          </w:p>
        </w:tc>
        <w:tc>
          <w:tcPr>
            <w:tcW w:w="6873" w:type="dxa"/>
          </w:tcPr>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投标保证金金额:贰万玖仟贰佰元整（￥29000.00元）</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 xml:space="preserve">递交形式：转账支票、银行电汇、网银转账等方式缴纳保证金，不 接受其他方式的投标保证金。投标保证金交纳： </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1、供应商应按磋商文件要求和有关规定，通过基本账户转入交易中心账户；自然人提交的保证金应从其个人结算账户转出；供应商为联合体的，应当以联合体中牵头单位名义提交保证金，并对联合体各成员均具有约束力。投标保证金单位名称必须与供应商登记单位 名称一致，不得以分公司、办事处或其他机构名义递交。</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2、供应商在缴纳投标保证金时，收款名称为：张掖市公共资源交易中心，收款账号及开户银行在供应商报名成功后，通过供应商系统查询，具体查询方式请参照中心网站“下载专区”栏目下《供应商 保证金操作手册》。</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3、投标保证金账户信息根据不同标段包随机生成，每一标段包一次性生成三家银行保证金子账号，投标人投标登记成功后缴纳投标保证金页面显示的子账户从三家银行保证金子账号随机显示一家进行投标保证金入账，投标人缴纳投标保证金须仔细核对，如交易系统无法识别或未按项目递交保证金的，将导致投标无效。</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4、投标保证金以开标前到账时间为准，供应商应充分考虑投标保证 金转汇手续办理时间、资金在途时间等情况，确保投标保证金按招 标文件规定时间到达指定账户。</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 xml:space="preserve">5、中心对交入的保证金不开具收款收据，请供应商务必保存好 缴纳投标保证金银行回单，并将回单复印件按照磋商文件要求编入其磋商文件中。 投标人有下列情况，投标保证金不予退还： </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 xml:space="preserve">（1）在投标文件递交截止时间后撤回其投标文件的； </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 xml:space="preserve">（2）中标后无正当理由或未能在规定期限内与招标人签订合同 的，拒绝或不完全履行合同义务的； </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（3）将中标项目转让给他人，或者在投标文件中未说明，且未经招标人和招标人同意，将中标项目分包给他人的；</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（4）中标后自愿放弃中标资格的；</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（5）提供虚假材料谋取中标的。</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（6）交纳了投标保证金的投标人无正当理由不参加投标，且在开标前未书面通知招标机构的；</w:t>
            </w:r>
          </w:p>
          <w:p>
            <w:pPr>
              <w:pStyle w:val="6"/>
              <w:spacing w:line="360" w:lineRule="auto"/>
              <w:ind w:left="0" w:leftChars="0" w:firstLine="0" w:firstLineChars="0"/>
              <w:rPr>
                <w:rFonts w:hint="eastAsia"/>
                <w:b/>
                <w:bCs/>
                <w:sz w:val="24"/>
                <w:szCs w:val="24"/>
                <w:vertAlign w:val="baseline"/>
                <w:lang w:val="en-US" w:eastAsia="zh-CN"/>
              </w:rPr>
            </w:pPr>
            <w:r>
              <w:rPr>
                <w:rFonts w:hint="eastAsia"/>
                <w:b/>
                <w:bCs/>
                <w:sz w:val="24"/>
                <w:szCs w:val="24"/>
                <w:vertAlign w:val="baseline"/>
                <w:lang w:val="en-US" w:eastAsia="zh-CN"/>
              </w:rPr>
              <w:t>（7）法律法规及招标文件规定的其他情形。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29</w:t>
            </w:r>
          </w:p>
        </w:tc>
        <w:tc>
          <w:tcPr>
            <w:tcW w:w="1913" w:type="dxa"/>
            <w:vAlign w:val="center"/>
          </w:tcPr>
          <w:p>
            <w:pPr>
              <w:pStyle w:val="6"/>
              <w:spacing w:line="240" w:lineRule="auto"/>
              <w:ind w:left="0" w:leftChars="0" w:firstLine="0" w:firstLineChars="0"/>
              <w:jc w:val="center"/>
              <w:rPr>
                <w:rFonts w:hint="eastAsia"/>
                <w:b w:val="0"/>
                <w:bCs w:val="0"/>
                <w:sz w:val="24"/>
                <w:lang w:val="en-US" w:eastAsia="zh-CN"/>
              </w:rPr>
            </w:pPr>
            <w:r>
              <w:rPr>
                <w:rFonts w:hint="eastAsia"/>
                <w:b w:val="0"/>
                <w:bCs w:val="0"/>
                <w:sz w:val="24"/>
                <w:lang w:val="en-US" w:eastAsia="zh-CN"/>
              </w:rPr>
              <w:t>代理服务费</w:t>
            </w:r>
          </w:p>
        </w:tc>
        <w:tc>
          <w:tcPr>
            <w:tcW w:w="6873" w:type="dxa"/>
          </w:tcPr>
          <w:p>
            <w:pPr>
              <w:pStyle w:val="29"/>
              <w:spacing w:after="0" w:line="360" w:lineRule="auto"/>
              <w:jc w:val="both"/>
              <w:rPr>
                <w:rFonts w:hint="eastAsia" w:ascii="宋体" w:hAnsi="宋体" w:eastAsia="宋体" w:cs="宋体"/>
                <w:b/>
                <w:bCs/>
                <w:sz w:val="24"/>
              </w:rPr>
            </w:pPr>
            <w:r>
              <w:rPr>
                <w:rFonts w:hint="eastAsia" w:ascii="宋体" w:hAnsi="宋体" w:eastAsia="宋体" w:cs="宋体"/>
                <w:b w:val="0"/>
                <w:bCs w:val="0"/>
                <w:sz w:val="24"/>
              </w:rPr>
              <w:t>1、招标代理服务收费办法依据国家计委计价格【2002】1980号文及发改价格发改［2011］534号文件规定，并经招标人与代理机构约定，招标代理服务费由中标人支付，</w:t>
            </w:r>
            <w:r>
              <w:rPr>
                <w:rFonts w:hint="eastAsia" w:ascii="宋体" w:hAnsi="宋体" w:eastAsia="宋体" w:cs="宋体"/>
                <w:b/>
                <w:bCs/>
                <w:sz w:val="24"/>
              </w:rPr>
              <w:t>代理服务费金额为：</w:t>
            </w:r>
            <w:r>
              <w:rPr>
                <w:rFonts w:hint="eastAsia" w:ascii="宋体" w:hAnsi="宋体" w:eastAsia="宋体" w:cs="宋体"/>
                <w:b/>
                <w:bCs/>
                <w:sz w:val="24"/>
                <w:szCs w:val="22"/>
                <w:lang w:val="zh-CN" w:eastAsia="zh-CN" w:bidi="zh-CN"/>
              </w:rPr>
              <w:t>代理服务费：</w:t>
            </w:r>
            <w:r>
              <w:rPr>
                <w:rFonts w:hint="eastAsia" w:ascii="宋体" w:hAnsi="宋体" w:eastAsia="宋体" w:cs="宋体"/>
                <w:b/>
                <w:bCs/>
                <w:sz w:val="24"/>
                <w:szCs w:val="22"/>
                <w:lang w:val="en-US" w:eastAsia="zh-CN" w:bidi="zh-CN"/>
              </w:rPr>
              <w:t xml:space="preserve">19900.00元 </w:t>
            </w:r>
            <w:r>
              <w:rPr>
                <w:rFonts w:hint="eastAsia" w:ascii="宋体" w:hAnsi="宋体" w:eastAsia="宋体" w:cs="宋体"/>
                <w:b w:val="0"/>
                <w:bCs w:val="0"/>
                <w:sz w:val="24"/>
              </w:rPr>
              <w:t>按照招标代理协议约定的金额分包收取。</w:t>
            </w:r>
            <w:r>
              <w:rPr>
                <w:rFonts w:hint="eastAsia" w:ascii="宋体" w:hAnsi="宋体" w:eastAsia="宋体" w:cs="宋体"/>
                <w:b/>
                <w:bCs/>
                <w:sz w:val="24"/>
              </w:rPr>
              <w:t xml:space="preserve">（代理服务费不包含：场地租赁费、评审专家劳务费） </w:t>
            </w:r>
          </w:p>
          <w:p>
            <w:pPr>
              <w:pStyle w:val="29"/>
              <w:spacing w:after="0" w:line="360" w:lineRule="auto"/>
              <w:jc w:val="both"/>
              <w:rPr>
                <w:rFonts w:hint="eastAsia" w:ascii="宋体" w:hAnsi="宋体" w:eastAsia="宋体" w:cs="宋体"/>
                <w:b/>
                <w:bCs/>
                <w:sz w:val="24"/>
              </w:rPr>
            </w:pPr>
            <w:r>
              <w:rPr>
                <w:rFonts w:hint="eastAsia" w:ascii="宋体" w:hAnsi="宋体" w:eastAsia="宋体" w:cs="宋体"/>
                <w:b/>
                <w:bCs/>
                <w:sz w:val="24"/>
              </w:rPr>
              <w:t>注：本项目所产生的招标代理费及场地租赁费、评审专家劳务费均有中标单位支付。</w:t>
            </w:r>
          </w:p>
          <w:p>
            <w:pPr>
              <w:pStyle w:val="29"/>
              <w:spacing w:after="0" w:line="360" w:lineRule="auto"/>
              <w:jc w:val="both"/>
              <w:rPr>
                <w:rFonts w:hint="eastAsia" w:ascii="宋体" w:hAnsi="宋体" w:eastAsia="宋体" w:cs="宋体"/>
                <w:b w:val="0"/>
                <w:bCs w:val="0"/>
                <w:sz w:val="24"/>
              </w:rPr>
            </w:pPr>
            <w:r>
              <w:rPr>
                <w:rFonts w:hint="eastAsia" w:ascii="宋体" w:hAnsi="宋体" w:eastAsia="宋体" w:cs="宋体"/>
                <w:b w:val="0"/>
                <w:bCs w:val="0"/>
                <w:sz w:val="24"/>
              </w:rPr>
              <w:t xml:space="preserve">   招标代理机构账户信息：（用于交纳招标代理服务费及相关费用）</w:t>
            </w:r>
          </w:p>
          <w:p>
            <w:pPr>
              <w:pStyle w:val="29"/>
              <w:spacing w:after="0" w:line="360" w:lineRule="auto"/>
              <w:jc w:val="both"/>
              <w:rPr>
                <w:rFonts w:hint="eastAsia" w:ascii="宋体" w:hAnsi="宋体" w:eastAsia="宋体" w:cs="宋体"/>
                <w:b w:val="0"/>
                <w:bCs w:val="0"/>
                <w:sz w:val="24"/>
              </w:rPr>
            </w:pPr>
            <w:r>
              <w:rPr>
                <w:rFonts w:hint="eastAsia" w:ascii="宋体" w:hAnsi="宋体" w:eastAsia="宋体" w:cs="宋体"/>
                <w:b w:val="0"/>
                <w:bCs w:val="0"/>
                <w:sz w:val="24"/>
              </w:rPr>
              <w:t xml:space="preserve">   账户名称：甘肃国泰国际招标有限公司  </w:t>
            </w:r>
          </w:p>
          <w:p>
            <w:pPr>
              <w:pStyle w:val="29"/>
              <w:spacing w:after="0" w:line="360" w:lineRule="auto"/>
              <w:jc w:val="both"/>
              <w:rPr>
                <w:rFonts w:hint="eastAsia" w:ascii="宋体" w:hAnsi="宋体" w:eastAsia="宋体" w:cs="宋体"/>
                <w:b w:val="0"/>
                <w:bCs w:val="0"/>
                <w:sz w:val="24"/>
              </w:rPr>
            </w:pPr>
            <w:r>
              <w:rPr>
                <w:rFonts w:hint="eastAsia" w:ascii="宋体" w:hAnsi="宋体" w:eastAsia="宋体" w:cs="宋体"/>
                <w:b w:val="0"/>
                <w:bCs w:val="0"/>
                <w:sz w:val="24"/>
              </w:rPr>
              <w:t xml:space="preserve">   开户行：甘肃银行股份有限公司张掖县府街支行</w:t>
            </w:r>
          </w:p>
          <w:p>
            <w:pPr>
              <w:pStyle w:val="29"/>
              <w:spacing w:after="0" w:line="360" w:lineRule="auto"/>
              <w:jc w:val="both"/>
              <w:rPr>
                <w:rFonts w:hint="default" w:ascii="宋体" w:hAnsi="宋体" w:eastAsia="宋体" w:cs="宋体"/>
                <w:b w:val="0"/>
                <w:bCs w:val="0"/>
                <w:sz w:val="24"/>
                <w:lang w:val="en-US" w:eastAsia="zh-CN"/>
              </w:rPr>
            </w:pPr>
            <w:r>
              <w:rPr>
                <w:rFonts w:hint="eastAsia" w:ascii="宋体" w:hAnsi="宋体" w:eastAsia="宋体" w:cs="宋体"/>
                <w:b w:val="0"/>
                <w:bCs w:val="0"/>
                <w:sz w:val="24"/>
              </w:rPr>
              <w:t xml:space="preserve">   账  号：</w:t>
            </w:r>
            <w:r>
              <w:rPr>
                <w:rFonts w:hint="eastAsia" w:ascii="宋体" w:hAnsi="宋体" w:eastAsia="宋体" w:cs="宋体"/>
                <w:b w:val="0"/>
                <w:bCs w:val="0"/>
                <w:sz w:val="24"/>
                <w:lang w:val="en-US" w:eastAsia="zh-CN"/>
              </w:rPr>
              <w:t>663307054372400010</w:t>
            </w:r>
          </w:p>
          <w:p>
            <w:pPr>
              <w:pStyle w:val="29"/>
              <w:spacing w:after="0" w:line="360" w:lineRule="auto"/>
              <w:jc w:val="both"/>
              <w:rPr>
                <w:rFonts w:hint="eastAsia" w:ascii="宋体" w:hAnsi="宋体" w:eastAsia="宋体" w:cs="宋体"/>
                <w:b w:val="0"/>
                <w:bCs w:val="0"/>
                <w:sz w:val="24"/>
              </w:rPr>
            </w:pPr>
            <w:r>
              <w:rPr>
                <w:rFonts w:hint="eastAsia" w:ascii="宋体" w:hAnsi="宋体" w:eastAsia="宋体" w:cs="宋体"/>
                <w:b w:val="0"/>
                <w:bCs w:val="0"/>
                <w:sz w:val="24"/>
              </w:rPr>
              <w:t xml:space="preserve">   财务联系人：高会计</w:t>
            </w:r>
          </w:p>
          <w:p>
            <w:pPr>
              <w:pStyle w:val="29"/>
              <w:spacing w:after="0" w:line="360" w:lineRule="auto"/>
              <w:jc w:val="both"/>
              <w:rPr>
                <w:rFonts w:hint="eastAsia" w:ascii="宋体" w:hAnsi="宋体" w:eastAsia="宋体" w:cs="宋体"/>
                <w:b w:val="0"/>
                <w:bCs w:val="0"/>
                <w:sz w:val="24"/>
              </w:rPr>
            </w:pPr>
            <w:r>
              <w:rPr>
                <w:rFonts w:hint="eastAsia" w:ascii="宋体" w:hAnsi="宋体" w:eastAsia="宋体" w:cs="宋体"/>
                <w:b w:val="0"/>
                <w:bCs w:val="0"/>
                <w:sz w:val="24"/>
              </w:rPr>
              <w:t xml:space="preserve">   联系电话：18093643179</w:t>
            </w:r>
          </w:p>
          <w:p>
            <w:pPr>
              <w:pStyle w:val="6"/>
              <w:spacing w:line="360" w:lineRule="auto"/>
              <w:ind w:left="0" w:leftChars="0" w:firstLine="0" w:firstLineChars="0"/>
              <w:rPr>
                <w:rFonts w:hint="eastAsia"/>
                <w:b w:val="0"/>
                <w:bCs w:val="0"/>
                <w:sz w:val="24"/>
                <w:szCs w:val="24"/>
                <w:vertAlign w:val="baseline"/>
                <w:lang w:val="en-US" w:eastAsia="zh-CN"/>
              </w:rPr>
            </w:pPr>
            <w:r>
              <w:rPr>
                <w:rFonts w:hint="eastAsia" w:ascii="宋体" w:hAnsi="宋体" w:eastAsia="宋体" w:cs="宋体"/>
                <w:b w:val="0"/>
                <w:bCs w:val="0"/>
                <w:sz w:val="24"/>
              </w:rPr>
              <w:t xml:space="preserve">  2、履约保证金：签订合同前，中标人向招标人缴纳中标金额10%的履约保证金，中标人未在规定的时间或相关要求缴纳履约保证金的，招标人将取消该中标决定，并没收其投标保证金。在此情况下，招标人可将标授予下一个中标候选人，或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30</w:t>
            </w:r>
          </w:p>
        </w:tc>
        <w:tc>
          <w:tcPr>
            <w:tcW w:w="1913" w:type="dxa"/>
            <w:vAlign w:val="center"/>
          </w:tcPr>
          <w:p>
            <w:pPr>
              <w:pStyle w:val="6"/>
              <w:spacing w:line="240" w:lineRule="auto"/>
              <w:ind w:left="0" w:leftChars="0" w:firstLine="0" w:firstLineChars="0"/>
              <w:jc w:val="both"/>
              <w:rPr>
                <w:rFonts w:hint="eastAsia"/>
                <w:b w:val="0"/>
                <w:bCs w:val="0"/>
                <w:sz w:val="24"/>
                <w:lang w:val="en-US" w:eastAsia="zh-CN"/>
              </w:rPr>
            </w:pPr>
            <w:r>
              <w:rPr>
                <w:rFonts w:hint="eastAsia"/>
                <w:b w:val="0"/>
                <w:bCs w:val="0"/>
                <w:sz w:val="24"/>
                <w:lang w:val="en-US" w:eastAsia="zh-CN"/>
              </w:rPr>
              <w:t>低于成本价不正 当竞争预防措施 （实质性要求）</w:t>
            </w:r>
          </w:p>
        </w:tc>
        <w:tc>
          <w:tcPr>
            <w:tcW w:w="6873" w:type="dxa"/>
          </w:tcPr>
          <w:p>
            <w:pPr>
              <w:pStyle w:val="6"/>
              <w:spacing w:line="360" w:lineRule="auto"/>
              <w:ind w:left="0" w:leftChars="0" w:firstLine="0" w:firstLineChars="0"/>
              <w:rPr>
                <w:rFonts w:hint="eastAsia" w:ascii="宋体" w:hAnsi="宋体" w:eastAsia="宋体" w:cs="宋体"/>
                <w:b/>
                <w:bCs/>
                <w:sz w:val="24"/>
                <w:lang w:eastAsia="zh-CN"/>
              </w:rPr>
            </w:pPr>
            <w:r>
              <w:rPr>
                <w:rFonts w:hint="eastAsia" w:ascii="宋体" w:hAnsi="宋体" w:eastAsia="宋体" w:cs="宋体"/>
                <w:b w:val="0"/>
                <w:bCs w:val="0"/>
                <w:sz w:val="24"/>
              </w:rPr>
              <w:t>评标委员会认为供应商的报价明显低于其他通过符合性 审查供应商的报价，有可能影响产品质量或者不能诚信履 约的，应当要求其在评标现场合理的时间内提供书面说明，必要时提交相关证明材料；供应 商不能证明其报价合理性的，评标委员会应当将其作为无效投标处理。 供应商书面说明应当签字确认或者加盖公章，否则无效。书面说明的签字确认，由其法定代表人或者代理人签字确认；供应商提供书面说明后，评标小组应当结合采购项目采购需求、专业实际情况、供应商财务状况报告、与其他 供应商比较情况等就供应商书面说明进行审查评价。供应 商拒绝或者变相拒绝提供有效书面说明或者书面说明不能证明其报价合理性的，评标小组应当将其《投标文件》作为无效处理。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31</w:t>
            </w:r>
          </w:p>
        </w:tc>
        <w:tc>
          <w:tcPr>
            <w:tcW w:w="1913" w:type="dxa"/>
            <w:vAlign w:val="center"/>
          </w:tcPr>
          <w:p>
            <w:pPr>
              <w:pStyle w:val="6"/>
              <w:spacing w:line="240" w:lineRule="auto"/>
              <w:ind w:left="0" w:leftChars="0" w:firstLine="0" w:firstLineChars="0"/>
              <w:jc w:val="center"/>
              <w:rPr>
                <w:rFonts w:hint="eastAsia"/>
                <w:b w:val="0"/>
                <w:bCs w:val="0"/>
                <w:sz w:val="24"/>
                <w:lang w:val="en-US" w:eastAsia="zh-CN"/>
              </w:rPr>
            </w:pPr>
            <w:r>
              <w:rPr>
                <w:rFonts w:hint="eastAsia"/>
                <w:b w:val="0"/>
                <w:bCs w:val="0"/>
                <w:sz w:val="24"/>
                <w:lang w:val="en-US" w:eastAsia="zh-CN"/>
              </w:rPr>
              <w:t>供应商质疑</w:t>
            </w:r>
          </w:p>
        </w:tc>
        <w:tc>
          <w:tcPr>
            <w:tcW w:w="6873" w:type="dxa"/>
          </w:tcPr>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对《招标文件》、开标过程、评标结果的质疑将由</w:t>
            </w:r>
            <w:r>
              <w:rPr>
                <w:rFonts w:hint="eastAsia" w:ascii="宋体" w:hAnsi="宋体" w:eastAsia="宋体" w:cs="宋体"/>
                <w:b w:val="0"/>
                <w:bCs w:val="0"/>
                <w:sz w:val="24"/>
                <w:lang w:eastAsia="zh-CN"/>
              </w:rPr>
              <w:t>甘肃国泰国际招标有限公司</w:t>
            </w:r>
            <w:r>
              <w:rPr>
                <w:rFonts w:hint="eastAsia" w:ascii="宋体" w:hAnsi="宋体" w:eastAsia="宋体" w:cs="宋体"/>
                <w:b w:val="0"/>
                <w:bCs w:val="0"/>
                <w:sz w:val="24"/>
              </w:rPr>
              <w:t>在收到质疑后</w:t>
            </w:r>
            <w:r>
              <w:rPr>
                <w:rFonts w:hint="eastAsia" w:ascii="宋体" w:hAnsi="宋体" w:eastAsia="宋体" w:cs="宋体"/>
                <w:b w:val="0"/>
                <w:bCs w:val="0"/>
                <w:sz w:val="24"/>
                <w:lang w:val="en-US" w:eastAsia="zh-CN"/>
              </w:rPr>
              <w:t>7</w:t>
            </w:r>
            <w:r>
              <w:rPr>
                <w:rFonts w:hint="eastAsia" w:ascii="宋体" w:hAnsi="宋体" w:eastAsia="宋体" w:cs="宋体"/>
                <w:b w:val="0"/>
                <w:bCs w:val="0"/>
                <w:sz w:val="24"/>
              </w:rPr>
              <w:t xml:space="preserve">日内负责答复。 </w:t>
            </w:r>
          </w:p>
          <w:p>
            <w:pPr>
              <w:pStyle w:val="6"/>
              <w:spacing w:line="360" w:lineRule="auto"/>
              <w:ind w:left="0" w:leftChars="0" w:firstLine="0" w:firstLineChars="0"/>
              <w:rPr>
                <w:rFonts w:hint="default" w:ascii="宋体" w:hAnsi="宋体" w:eastAsia="宋体" w:cs="宋体"/>
                <w:b w:val="0"/>
                <w:bCs w:val="0"/>
                <w:sz w:val="24"/>
                <w:lang w:val="en-US" w:eastAsia="zh-CN"/>
              </w:rPr>
            </w:pPr>
            <w:r>
              <w:rPr>
                <w:rFonts w:hint="eastAsia" w:ascii="宋体" w:hAnsi="宋体" w:eastAsia="宋体" w:cs="宋体"/>
                <w:b w:val="0"/>
                <w:bCs w:val="0"/>
                <w:sz w:val="24"/>
              </w:rPr>
              <w:t>联系电话：</w:t>
            </w:r>
            <w:r>
              <w:rPr>
                <w:rFonts w:hint="eastAsia" w:ascii="宋体" w:hAnsi="宋体" w:eastAsia="宋体" w:cs="宋体"/>
                <w:b w:val="0"/>
                <w:bCs w:val="0"/>
                <w:sz w:val="24"/>
                <w:lang w:val="en-US" w:eastAsia="zh-CN"/>
              </w:rPr>
              <w:t>13150000066</w:t>
            </w:r>
          </w:p>
          <w:p>
            <w:pPr>
              <w:pStyle w:val="6"/>
              <w:spacing w:line="360" w:lineRule="auto"/>
              <w:ind w:left="0" w:leftChars="0" w:firstLine="0" w:firstLineChars="0"/>
              <w:rPr>
                <w:rFonts w:hint="eastAsia" w:ascii="宋体" w:hAnsi="宋体" w:eastAsia="宋体" w:cs="宋体"/>
                <w:b w:val="0"/>
                <w:bCs w:val="0"/>
                <w:sz w:val="24"/>
                <w:lang w:eastAsia="zh-CN"/>
              </w:rPr>
            </w:pPr>
            <w:r>
              <w:rPr>
                <w:rFonts w:hint="eastAsia" w:ascii="宋体" w:hAnsi="宋体" w:eastAsia="宋体" w:cs="宋体"/>
                <w:b w:val="0"/>
                <w:bCs w:val="0"/>
                <w:sz w:val="24"/>
              </w:rPr>
              <w:t>地址：</w:t>
            </w:r>
            <w:r>
              <w:rPr>
                <w:rFonts w:hint="eastAsia" w:ascii="宋体" w:hAnsi="宋体" w:eastAsia="宋体" w:cs="宋体"/>
                <w:b w:val="0"/>
                <w:bCs w:val="0"/>
                <w:sz w:val="24"/>
                <w:lang w:eastAsia="zh-CN"/>
              </w:rPr>
              <w:t>张掖市甘州区市委党校对面溢洋大厦四楼</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邮编：734000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注：根据《中华人民共和国政府采购法》的规定，供应商 质疑不得超出采购文件、采购过程、采购结果的范围。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32</w:t>
            </w:r>
          </w:p>
        </w:tc>
        <w:tc>
          <w:tcPr>
            <w:tcW w:w="1913" w:type="dxa"/>
            <w:vAlign w:val="center"/>
          </w:tcPr>
          <w:p>
            <w:pPr>
              <w:pStyle w:val="6"/>
              <w:spacing w:line="240" w:lineRule="auto"/>
              <w:ind w:left="0" w:leftChars="0" w:firstLine="0" w:firstLineChars="0"/>
              <w:jc w:val="center"/>
              <w:rPr>
                <w:rFonts w:hint="eastAsia"/>
                <w:b w:val="0"/>
                <w:bCs w:val="0"/>
                <w:sz w:val="24"/>
                <w:lang w:val="en-US" w:eastAsia="zh-CN"/>
              </w:rPr>
            </w:pPr>
            <w:r>
              <w:rPr>
                <w:rFonts w:hint="eastAsia"/>
                <w:b w:val="0"/>
                <w:bCs w:val="0"/>
                <w:sz w:val="24"/>
                <w:lang w:val="en-US" w:eastAsia="zh-CN"/>
              </w:rPr>
              <w:t>供应商投诉</w:t>
            </w:r>
          </w:p>
        </w:tc>
        <w:tc>
          <w:tcPr>
            <w:tcW w:w="6873" w:type="dxa"/>
          </w:tcPr>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投诉受理单位：本采购项目同级财政部门，即财政局。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pStyle w:val="6"/>
              <w:spacing w:line="360" w:lineRule="auto"/>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33</w:t>
            </w:r>
          </w:p>
        </w:tc>
        <w:tc>
          <w:tcPr>
            <w:tcW w:w="1913" w:type="dxa"/>
            <w:vAlign w:val="center"/>
          </w:tcPr>
          <w:p>
            <w:pPr>
              <w:pStyle w:val="6"/>
              <w:spacing w:line="240" w:lineRule="auto"/>
              <w:ind w:left="0" w:leftChars="0" w:firstLine="0" w:firstLineChars="0"/>
              <w:jc w:val="center"/>
              <w:rPr>
                <w:rFonts w:hint="default"/>
                <w:b w:val="0"/>
                <w:bCs w:val="0"/>
                <w:sz w:val="24"/>
                <w:lang w:val="en-US" w:eastAsia="zh-CN"/>
              </w:rPr>
            </w:pPr>
            <w:r>
              <w:rPr>
                <w:rFonts w:hint="default"/>
                <w:b w:val="0"/>
                <w:bCs w:val="0"/>
                <w:sz w:val="24"/>
                <w:lang w:val="en-US" w:eastAsia="zh-CN"/>
              </w:rPr>
              <w:t>其他</w:t>
            </w:r>
          </w:p>
        </w:tc>
        <w:tc>
          <w:tcPr>
            <w:tcW w:w="6873" w:type="dxa"/>
          </w:tcPr>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供应商需在开标现场提供公司所有执照及资质原件备查， 未提供原件导致废标的由供应商自行承担</w:t>
            </w:r>
          </w:p>
        </w:tc>
      </w:tr>
    </w:tbl>
    <w:p>
      <w:r>
        <w:br w:type="page"/>
      </w:r>
    </w:p>
    <w:p>
      <w:pPr>
        <w:keepNext w:val="0"/>
        <w:keepLines w:val="0"/>
        <w:widowControl/>
        <w:suppressLineNumbers w:val="0"/>
        <w:jc w:val="center"/>
        <w:outlineLvl w:val="1"/>
      </w:pPr>
      <w:bookmarkStart w:id="4" w:name="_Toc23970"/>
      <w:r>
        <w:rPr>
          <w:rFonts w:hint="eastAsia" w:ascii="宋体" w:hAnsi="宋体" w:eastAsia="宋体" w:cs="宋体"/>
          <w:b/>
          <w:color w:val="000000"/>
          <w:kern w:val="0"/>
          <w:sz w:val="30"/>
          <w:szCs w:val="30"/>
          <w:lang w:val="en-US" w:eastAsia="zh-CN" w:bidi="ar"/>
        </w:rPr>
        <w:t>二、供应商须知</w:t>
      </w:r>
      <w:bookmarkEnd w:id="4"/>
    </w:p>
    <w:p>
      <w:pPr>
        <w:keepNext w:val="0"/>
        <w:keepLines w:val="0"/>
        <w:widowControl/>
        <w:suppressLineNumbers w:val="0"/>
        <w:ind w:firstLine="482" w:firstLineChars="200"/>
        <w:jc w:val="left"/>
        <w:outlineLvl w:val="2"/>
      </w:pPr>
      <w:r>
        <w:rPr>
          <w:rFonts w:hint="eastAsia" w:ascii="宋体" w:hAnsi="宋体" w:eastAsia="宋体" w:cs="宋体"/>
          <w:b/>
          <w:color w:val="000000"/>
          <w:kern w:val="0"/>
          <w:sz w:val="24"/>
          <w:szCs w:val="24"/>
          <w:lang w:val="en-US" w:eastAsia="zh-CN" w:bidi="ar"/>
        </w:rPr>
        <w:t xml:space="preserve">1.说明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本项目按照《中华人民共和国政府采购法》及相关法规，已办理招标申请，并得到招标管理机构批准，现通过招标来择优选定供应商。本招标文件包括本文所列内容及按本须知发出的全部和补充资料。供应商应认真阅读本招标文件中所有的事项、格式、条款、技术规范等实质性的条件和要求。供应商被视为充分熟悉本招标项目的全部内容及与履行合同有关的全部内容，熟悉招标文件的格式、条件和范围。供应商没有按照招标文件的要求提交相关资料，或者供应商没有对招标文件相关内容做出实质性响应，可能导致其投标无效。</w:t>
      </w:r>
    </w:p>
    <w:p>
      <w:pPr>
        <w:keepNext w:val="0"/>
        <w:keepLines w:val="0"/>
        <w:widowControl/>
        <w:suppressLineNumbers w:val="0"/>
        <w:ind w:firstLine="482" w:firstLineChars="200"/>
        <w:jc w:val="left"/>
      </w:pPr>
      <w:r>
        <w:rPr>
          <w:rFonts w:hint="eastAsia" w:ascii="宋体" w:hAnsi="宋体" w:eastAsia="宋体" w:cs="宋体"/>
          <w:b/>
          <w:color w:val="000000"/>
          <w:kern w:val="0"/>
          <w:sz w:val="24"/>
          <w:szCs w:val="24"/>
          <w:lang w:val="en-US" w:eastAsia="zh-CN" w:bidi="ar"/>
        </w:rPr>
        <w:t>1.1 适用范围</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本《招标文件》仅适用于本公开招标公告中所列的投标范围。 </w:t>
      </w:r>
    </w:p>
    <w:p>
      <w:pPr>
        <w:keepNext w:val="0"/>
        <w:keepLines w:val="0"/>
        <w:widowControl/>
        <w:suppressLineNumbers w:val="0"/>
        <w:ind w:firstLine="482" w:firstLineChars="200"/>
        <w:jc w:val="left"/>
      </w:pPr>
      <w:r>
        <w:rPr>
          <w:rFonts w:hint="eastAsia" w:ascii="宋体" w:hAnsi="宋体" w:eastAsia="宋体" w:cs="宋体"/>
          <w:b/>
          <w:color w:val="000000"/>
          <w:kern w:val="0"/>
          <w:sz w:val="24"/>
          <w:szCs w:val="24"/>
          <w:lang w:val="en-US" w:eastAsia="zh-CN" w:bidi="ar"/>
        </w:rPr>
        <w:t>1.2 合格的供应商的基本条件：</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详见“供应商须知前附表”。</w:t>
      </w:r>
    </w:p>
    <w:p>
      <w:pPr>
        <w:keepNext w:val="0"/>
        <w:keepLines w:val="0"/>
        <w:widowControl/>
        <w:suppressLineNumbers w:val="0"/>
        <w:ind w:firstLine="482" w:firstLineChars="200"/>
        <w:jc w:val="left"/>
      </w:pPr>
      <w:r>
        <w:rPr>
          <w:rFonts w:hint="eastAsia" w:ascii="宋体" w:hAnsi="宋体" w:eastAsia="宋体" w:cs="宋体"/>
          <w:b/>
          <w:color w:val="000000"/>
          <w:kern w:val="0"/>
          <w:sz w:val="24"/>
          <w:szCs w:val="24"/>
          <w:lang w:val="en-US" w:eastAsia="zh-CN" w:bidi="ar"/>
        </w:rPr>
        <w:t>1.3 踏勘现场和答疑：</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1）供应商承担踏勘现场所发生的自身费用。</w:t>
      </w:r>
    </w:p>
    <w:p>
      <w:pPr>
        <w:keepNext w:val="0"/>
        <w:keepLines w:val="0"/>
        <w:widowControl/>
        <w:suppressLineNumbers w:val="0"/>
        <w:spacing w:line="360" w:lineRule="auto"/>
        <w:ind w:left="0" w:leftChars="0" w:firstLine="439" w:firstLineChars="183"/>
        <w:jc w:val="left"/>
      </w:pPr>
      <w:r>
        <w:rPr>
          <w:rFonts w:hint="eastAsia" w:ascii="宋体" w:hAnsi="宋体" w:eastAsia="宋体" w:cs="宋体"/>
          <w:color w:val="000000"/>
          <w:kern w:val="0"/>
          <w:sz w:val="24"/>
          <w:szCs w:val="24"/>
          <w:lang w:val="en-US" w:eastAsia="zh-CN" w:bidi="ar"/>
        </w:rPr>
        <w:t xml:space="preserve">2）采购人向供应商提供的有关现场的数据和资料，是采购人现有的能被供应商利用的资料，采购人对供应商做出的任何推论、理解和结论均不负责任。 </w:t>
      </w:r>
    </w:p>
    <w:p>
      <w:pPr>
        <w:keepNext w:val="0"/>
        <w:keepLines w:val="0"/>
        <w:widowControl/>
        <w:suppressLineNumbers w:val="0"/>
        <w:spacing w:line="360" w:lineRule="auto"/>
        <w:ind w:left="0" w:leftChars="0" w:firstLine="439" w:firstLineChars="183"/>
        <w:jc w:val="left"/>
      </w:pPr>
      <w:r>
        <w:rPr>
          <w:rFonts w:hint="eastAsia" w:ascii="宋体" w:hAnsi="宋体" w:eastAsia="宋体" w:cs="宋体"/>
          <w:color w:val="000000"/>
          <w:kern w:val="0"/>
          <w:sz w:val="24"/>
          <w:szCs w:val="24"/>
          <w:lang w:val="en-US" w:eastAsia="zh-CN" w:bidi="ar"/>
        </w:rPr>
        <w:t xml:space="preserve">3）经采购人允许，供应商可为踏勘目的进入采购人的项目现场，但供应商不得因此使采购人承担有关的责任和蒙受损失。供应商应承担踏勘现场的责任和风险 </w:t>
      </w:r>
    </w:p>
    <w:p>
      <w:pPr>
        <w:keepNext w:val="0"/>
        <w:keepLines w:val="0"/>
        <w:widowControl/>
        <w:suppressLineNumbers w:val="0"/>
        <w:spacing w:line="360" w:lineRule="auto"/>
        <w:ind w:firstLine="482" w:firstLineChars="200"/>
        <w:jc w:val="left"/>
      </w:pPr>
      <w:r>
        <w:rPr>
          <w:rFonts w:hint="eastAsia" w:ascii="宋体" w:hAnsi="宋体" w:eastAsia="宋体" w:cs="宋体"/>
          <w:b/>
          <w:color w:val="000000"/>
          <w:kern w:val="0"/>
          <w:sz w:val="24"/>
          <w:szCs w:val="24"/>
          <w:lang w:val="en-US" w:eastAsia="zh-CN" w:bidi="ar"/>
        </w:rPr>
        <w:t>1.4 定义</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1）“委托单位”系指依法进行政府采购的国家机关、事业单位、团体组织，本项目的委托单位为甘肃省张掖市中级人民法院。</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2）“招标代理机构”系指根据采购人的委托依法办理招标事宜的采购机构，本项目的招标代理机构为甘肃国泰国际招标有限公司。</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3）“供应商”系指向采购人提供货物、工程或者服务的法人、其他组织或者自然人。</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4）“招标文件”是指由采购人发出的文本、文件，包括全部章节和附件。</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5）“投标文件”是指供应商根据本招标文件向采购人提交的全部文件。</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6）“货物”是指供应商中标后根据招标文件和合同的规定须向采购人提供的各种形态和种类的物品，包括原材料、燃料、设备、产品等。</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7）“工程”是指供应商中标后根据招标文件和合同的规定建设工程，包括建筑物和构筑物的新建、改建、扩建、装修、拆除、修缮等。</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8）“服务”是指供应商中标后根据招标文件和合同的规定承担除货物和工程以外的其他政府采购对象。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9）“书面形式”是指任何手写、打印或印刷的各种函件，不包括电传、电报、传真、电子邮件。</w:t>
      </w:r>
    </w:p>
    <w:p>
      <w:pPr>
        <w:keepNext w:val="0"/>
        <w:keepLines w:val="0"/>
        <w:widowControl/>
        <w:suppressLineNumbers w:val="0"/>
        <w:ind w:firstLine="482" w:firstLineChars="200"/>
        <w:jc w:val="left"/>
      </w:pPr>
      <w:r>
        <w:rPr>
          <w:rFonts w:hint="eastAsia" w:ascii="宋体" w:hAnsi="宋体" w:eastAsia="宋体" w:cs="宋体"/>
          <w:b/>
          <w:color w:val="000000"/>
          <w:kern w:val="0"/>
          <w:sz w:val="24"/>
          <w:szCs w:val="24"/>
          <w:lang w:val="en-US" w:eastAsia="zh-CN" w:bidi="ar"/>
        </w:rPr>
        <w:t xml:space="preserve">1.5 招标的费用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无论本项目的结果如何，供应商应承担其本身参加项目投标和招标的所有费用。 </w:t>
      </w:r>
    </w:p>
    <w:p>
      <w:pPr>
        <w:keepNext w:val="0"/>
        <w:keepLines w:val="0"/>
        <w:widowControl/>
        <w:suppressLineNumbers w:val="0"/>
        <w:ind w:firstLine="482" w:firstLineChars="200"/>
        <w:jc w:val="left"/>
      </w:pPr>
      <w:r>
        <w:rPr>
          <w:rFonts w:hint="eastAsia" w:ascii="宋体" w:hAnsi="宋体" w:eastAsia="宋体" w:cs="宋体"/>
          <w:b/>
          <w:color w:val="000000"/>
          <w:kern w:val="0"/>
          <w:sz w:val="24"/>
          <w:szCs w:val="24"/>
          <w:lang w:val="en-US" w:eastAsia="zh-CN" w:bidi="ar"/>
        </w:rPr>
        <w:t xml:space="preserve">1.6 签约及代理服务费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1）最终中标供应商须尽快向招标代理机构领取中标通知书。</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2）中标供应商接到中标通知书后应在 30 日内与委托单位签订合同。</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3）代理服务费币种与中标通知书中标价的币种相同；</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4）代理服务费不列在《投标文件》中；</w:t>
      </w:r>
    </w:p>
    <w:p>
      <w:pPr>
        <w:keepNext w:val="0"/>
        <w:keepLines w:val="0"/>
        <w:widowControl/>
        <w:suppressLineNumbers w:val="0"/>
        <w:spacing w:line="360" w:lineRule="auto"/>
        <w:ind w:left="0" w:leftChars="0" w:firstLine="439" w:firstLineChars="183"/>
        <w:jc w:val="left"/>
      </w:pPr>
      <w:r>
        <w:rPr>
          <w:rFonts w:hint="eastAsia" w:ascii="宋体" w:hAnsi="宋体" w:eastAsia="宋体" w:cs="宋体"/>
          <w:color w:val="000000"/>
          <w:kern w:val="0"/>
          <w:sz w:val="24"/>
          <w:szCs w:val="24"/>
          <w:lang w:val="en-US" w:eastAsia="zh-CN" w:bidi="ar"/>
        </w:rPr>
        <w:t>5）本项目招标代理费根据财政部、国家计委、国家物价局（2002）1980号文件，国家发改委(2003)857号文件、（2015）299号文件规定收取。</w:t>
      </w:r>
    </w:p>
    <w:p>
      <w:pPr>
        <w:keepNext w:val="0"/>
        <w:keepLines w:val="0"/>
        <w:widowControl/>
        <w:suppressLineNumbers w:val="0"/>
        <w:spacing w:line="360" w:lineRule="auto"/>
        <w:ind w:left="0" w:leftChars="0" w:firstLine="439" w:firstLineChars="183"/>
        <w:jc w:val="left"/>
      </w:pPr>
      <w:r>
        <w:rPr>
          <w:rFonts w:hint="eastAsia" w:ascii="宋体" w:hAnsi="宋体" w:eastAsia="宋体" w:cs="宋体"/>
          <w:color w:val="000000"/>
          <w:kern w:val="0"/>
          <w:sz w:val="24"/>
          <w:szCs w:val="24"/>
          <w:lang w:val="en-US" w:eastAsia="zh-CN" w:bidi="ar"/>
        </w:rPr>
        <w:t>6）依据采购人与招标代理机构签署的委托招标代理合同相关条款本项目收取代理服务费。由最终中标供应商负责支付给招标代理机构；</w:t>
      </w:r>
    </w:p>
    <w:p>
      <w:pPr>
        <w:keepNext w:val="0"/>
        <w:keepLines w:val="0"/>
        <w:widowControl/>
        <w:suppressLineNumbers w:val="0"/>
        <w:ind w:firstLine="482" w:firstLineChars="200"/>
        <w:jc w:val="left"/>
        <w:rPr>
          <w:rFonts w:hint="eastAsia" w:ascii="宋体" w:hAnsi="宋体" w:eastAsia="宋体" w:cs="宋体"/>
          <w:b/>
          <w:color w:val="000000"/>
          <w:kern w:val="0"/>
          <w:sz w:val="24"/>
          <w:szCs w:val="24"/>
          <w:lang w:val="en-US" w:eastAsia="zh-CN" w:bidi="ar"/>
        </w:rPr>
      </w:pPr>
    </w:p>
    <w:p>
      <w:pPr>
        <w:keepNext w:val="0"/>
        <w:keepLines w:val="0"/>
        <w:widowControl/>
        <w:suppressLineNumbers w:val="0"/>
        <w:ind w:firstLine="482" w:firstLineChars="200"/>
        <w:jc w:val="left"/>
        <w:outlineLvl w:val="2"/>
      </w:pPr>
      <w:r>
        <w:rPr>
          <w:rFonts w:hint="eastAsia" w:ascii="宋体" w:hAnsi="宋体" w:eastAsia="宋体" w:cs="宋体"/>
          <w:b/>
          <w:color w:val="000000"/>
          <w:kern w:val="0"/>
          <w:sz w:val="24"/>
          <w:szCs w:val="24"/>
          <w:lang w:val="en-US" w:eastAsia="zh-CN" w:bidi="ar"/>
        </w:rPr>
        <w:t xml:space="preserve">2.招标文件 </w:t>
      </w:r>
    </w:p>
    <w:p>
      <w:pPr>
        <w:keepNext w:val="0"/>
        <w:keepLines w:val="0"/>
        <w:widowControl/>
        <w:suppressLineNumbers w:val="0"/>
        <w:ind w:left="0" w:leftChars="0" w:firstLine="441" w:firstLineChars="183"/>
        <w:jc w:val="left"/>
      </w:pPr>
      <w:r>
        <w:rPr>
          <w:rFonts w:hint="eastAsia" w:ascii="宋体" w:hAnsi="宋体" w:eastAsia="宋体" w:cs="宋体"/>
          <w:b/>
          <w:color w:val="000000"/>
          <w:kern w:val="0"/>
          <w:sz w:val="24"/>
          <w:szCs w:val="24"/>
          <w:lang w:val="en-US" w:eastAsia="zh-CN" w:bidi="ar"/>
        </w:rPr>
        <w:t xml:space="preserve">2.1《招标文件》的组成 </w:t>
      </w:r>
    </w:p>
    <w:p>
      <w:pPr>
        <w:keepNext w:val="0"/>
        <w:keepLines w:val="0"/>
        <w:widowControl/>
        <w:suppressLineNumbers w:val="0"/>
        <w:spacing w:line="360" w:lineRule="auto"/>
        <w:ind w:left="0" w:leftChars="0" w:firstLine="439" w:firstLineChars="183"/>
        <w:jc w:val="left"/>
      </w:pPr>
      <w:r>
        <w:rPr>
          <w:rFonts w:hint="eastAsia" w:ascii="宋体" w:hAnsi="宋体" w:eastAsia="宋体" w:cs="宋体"/>
          <w:color w:val="000000"/>
          <w:kern w:val="0"/>
          <w:sz w:val="24"/>
          <w:szCs w:val="24"/>
          <w:lang w:val="en-US" w:eastAsia="zh-CN" w:bidi="ar"/>
        </w:rPr>
        <w:t>招标文件是供应商准备投标文件和参加投标的依据，同时也是评标的重要依据，具有准法律文件性质。招标文件用以阐明招标项目所需的资质、技术、服务 及报价等要求、招标投标程序、有关规定和注意事项以及合同主要条款等。本招标文件包括以下内容：</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第一部分：公开招标公告</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第二部分：供应商须知</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第三部分：合同文件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第四部分：技术参数要求</w:t>
      </w:r>
    </w:p>
    <w:p>
      <w:pPr>
        <w:keepNext w:val="0"/>
        <w:keepLines w:val="0"/>
        <w:widowControl/>
        <w:suppressLineNumbers w:val="0"/>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第五部分：招标原则及办法</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第六部分：投标文件格式 </w:t>
      </w:r>
    </w:p>
    <w:p>
      <w:pPr>
        <w:keepNext w:val="0"/>
        <w:keepLines w:val="0"/>
        <w:widowControl/>
        <w:suppressLineNumbers w:val="0"/>
        <w:ind w:firstLine="482" w:firstLineChars="200"/>
        <w:jc w:val="left"/>
      </w:pPr>
      <w:r>
        <w:rPr>
          <w:rFonts w:hint="eastAsia" w:ascii="宋体" w:hAnsi="宋体" w:eastAsia="宋体" w:cs="宋体"/>
          <w:b/>
          <w:color w:val="000000"/>
          <w:kern w:val="0"/>
          <w:sz w:val="24"/>
          <w:szCs w:val="24"/>
          <w:lang w:val="en-US" w:eastAsia="zh-CN" w:bidi="ar"/>
        </w:rPr>
        <w:t xml:space="preserve">2.2《招标文件》的澄清和修改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1）除上述内容外，采购人可以对已发出的招标文件进行必要的澄清或者修改。澄清或者修改的内容可能影响投标文件编制的，应当在投标截止时间 5 日前以书面形式将澄清或者修改的内容通知所有获取了招标文件的供应商，并在甘肃政府采购网上发布更正公告，对其具有约束力；供应商应在收到采购人发出的通知后 1 日内以电子邮件、传真形式确认已收到澄清或修改文件，该澄清或者修改的内容作为招标文件的组成部分。不足 5 日的，采购人或者采购代理机构应当顺延提交投标文件的截止时间。</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2）供应商获取招标文件后，应仔细检查招标文件的所有内容，如有残缺等问题应在获得招标文件 1 日内向采购人提出，否则，由此引起的损失由供应商自己承担。供应商同时应认真审阅投标文件中所有事项、格式、条款和规范要求等，若供应商的投标文件没有按招标文件要求提交全部资料或投标文件没有对招标文件做出实质性响应，其风险由供应商自行承担，并根据有关条款规定，该投标有可能被拒绝。</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3）供应商若对招标文件有疑问，应将要求澄清的问题在投标截止日前 5 日内以文字形式提交招标代理机构。无论是采购人根据需要主动对招标文件进行必要的澄清，或是根据供应商的要求对招标文件做出澄清，采购人都将于 1 日内以书面形式予以澄清，同时将书面澄清文件向供应商发送。供应商在收到该澄清文件后当日内以书面形式予以确认，该澄清作为招标文件的组成部分，具有约束作用。</w:t>
      </w:r>
    </w:p>
    <w:p>
      <w:pPr>
        <w:keepNext w:val="0"/>
        <w:keepLines w:val="0"/>
        <w:widowControl/>
        <w:suppressLineNumbers w:val="0"/>
        <w:ind w:firstLine="482" w:firstLineChars="200"/>
        <w:jc w:val="left"/>
        <w:outlineLvl w:val="2"/>
        <w:rPr>
          <w:rFonts w:hint="eastAsia" w:ascii="宋体" w:hAnsi="宋体" w:eastAsia="宋体" w:cs="宋体"/>
          <w:b/>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 xml:space="preserve">3.招标总则 </w:t>
      </w:r>
    </w:p>
    <w:p>
      <w:pPr>
        <w:keepNext w:val="0"/>
        <w:keepLines w:val="0"/>
        <w:widowControl/>
        <w:suppressLineNumbers w:val="0"/>
        <w:ind w:firstLine="482" w:firstLineChars="200"/>
        <w:jc w:val="left"/>
      </w:pPr>
      <w:r>
        <w:rPr>
          <w:rFonts w:hint="eastAsia" w:ascii="宋体" w:hAnsi="宋体" w:eastAsia="宋体" w:cs="宋体"/>
          <w:b/>
          <w:color w:val="000000"/>
          <w:kern w:val="0"/>
          <w:sz w:val="24"/>
          <w:szCs w:val="24"/>
          <w:lang w:val="en-US" w:eastAsia="zh-CN" w:bidi="ar"/>
        </w:rPr>
        <w:t xml:space="preserve">3.1《投标文件》编制要求 </w:t>
      </w:r>
    </w:p>
    <w:p>
      <w:pPr>
        <w:keepNext w:val="0"/>
        <w:keepLines w:val="0"/>
        <w:widowControl/>
        <w:suppressLineNumbers w:val="0"/>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1）内容和格式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供应商应仔细阅读《招标文件》的所有内容，并按照《招标文件》中规定及要求的内容和格式，提交完整的《投标文件》。</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2）招标语言和计量单位投标文件和来往函件用中文书写，计量单位应使用中华人民共和国法定计量单位（除非招标文件中另有规定）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3）供应商应按招标内容进行响应。</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4）供应商应以人民币作为货币种类报价。</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若由单价计算出的总价与公开招标总价不一致，以单价计算出的总价作为中标总价。若中文文字形式表示的数值与数字形式表示的数值不一致，以中文文字形式表示的数值为准。 </w:t>
      </w:r>
    </w:p>
    <w:p>
      <w:pPr>
        <w:keepNext w:val="0"/>
        <w:keepLines w:val="0"/>
        <w:widowControl/>
        <w:suppressLineNumbers w:val="0"/>
        <w:ind w:left="0" w:leftChars="0" w:firstLine="441" w:firstLineChars="183"/>
        <w:jc w:val="left"/>
      </w:pPr>
      <w:r>
        <w:rPr>
          <w:rFonts w:hint="eastAsia" w:ascii="宋体" w:hAnsi="宋体" w:eastAsia="宋体" w:cs="宋体"/>
          <w:b/>
          <w:color w:val="000000"/>
          <w:kern w:val="0"/>
          <w:sz w:val="24"/>
          <w:szCs w:val="24"/>
          <w:lang w:val="en-US" w:eastAsia="zh-CN" w:bidi="ar"/>
        </w:rPr>
        <w:t xml:space="preserve">3.2《投标文件》的组成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供应商提交的《投标文件》至少应包括以下部分且编制完整目录；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l）投标函；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2）法定代表人身份证明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3）法定代表人全权授权委托书；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4）保证金交纳证明；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5）报价一览表；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6）报价明细表（后附造价文件）；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7）商务、技术偏离表；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8）供应商一般情况表；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9）供应商类似项目业绩一览表；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10）供应商本项目管理、技术、服务人员情况表；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11）其他商务及技术证明材料；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12）无骗取入围和严重违约及重大质量问题声明；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13）质量保证承诺；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14）售后服务保证措施承诺；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15）虚假应标承担责任声明；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16）未被列入失信记录书面声明（后附查询结果）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17）中小企业声明函；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18）小微企业价格评审优惠申请及承诺函； </w:t>
      </w:r>
    </w:p>
    <w:p>
      <w:pPr>
        <w:keepNext w:val="0"/>
        <w:keepLines w:val="0"/>
        <w:widowControl/>
        <w:suppressLineNumbers w:val="0"/>
        <w:ind w:left="0" w:leftChars="0" w:firstLine="439" w:firstLineChars="183"/>
        <w:jc w:val="left"/>
      </w:pPr>
      <w:r>
        <w:rPr>
          <w:rFonts w:hint="eastAsia" w:ascii="宋体" w:hAnsi="宋体" w:eastAsia="宋体" w:cs="宋体"/>
          <w:color w:val="000000"/>
          <w:kern w:val="0"/>
          <w:sz w:val="24"/>
          <w:szCs w:val="24"/>
          <w:lang w:val="en-US" w:eastAsia="zh-CN" w:bidi="ar"/>
        </w:rPr>
        <w:t xml:space="preserve">19）附件； </w:t>
      </w:r>
    </w:p>
    <w:p>
      <w:pPr>
        <w:keepNext w:val="0"/>
        <w:keepLines w:val="0"/>
        <w:widowControl/>
        <w:suppressLineNumbers w:val="0"/>
        <w:ind w:left="0" w:leftChars="0" w:firstLine="441" w:firstLineChars="183"/>
        <w:jc w:val="left"/>
      </w:pPr>
      <w:r>
        <w:rPr>
          <w:rFonts w:hint="eastAsia" w:ascii="宋体" w:hAnsi="宋体" w:eastAsia="宋体" w:cs="宋体"/>
          <w:b/>
          <w:color w:val="000000"/>
          <w:kern w:val="0"/>
          <w:sz w:val="24"/>
          <w:szCs w:val="24"/>
          <w:lang w:val="en-US" w:eastAsia="zh-CN" w:bidi="ar"/>
        </w:rPr>
        <w:t xml:space="preserve">注：缺以上 1-16 项任意项的将被视为无效投标。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3.2.1 供应商可在满足“技术参数要求”中对项目的整体要求的前提下，对项目实施提出合理化建议。</w:t>
      </w:r>
    </w:p>
    <w:p>
      <w:pPr>
        <w:keepNext w:val="0"/>
        <w:keepLines w:val="0"/>
        <w:widowControl/>
        <w:suppressLineNumbers w:val="0"/>
        <w:ind w:firstLine="482" w:firstLineChars="200"/>
        <w:jc w:val="left"/>
      </w:pPr>
      <w:r>
        <w:rPr>
          <w:rFonts w:hint="eastAsia" w:ascii="宋体" w:hAnsi="宋体" w:eastAsia="宋体" w:cs="宋体"/>
          <w:b/>
          <w:color w:val="000000"/>
          <w:kern w:val="0"/>
          <w:sz w:val="24"/>
          <w:szCs w:val="24"/>
          <w:lang w:val="en-US" w:eastAsia="zh-CN" w:bidi="ar"/>
        </w:rPr>
        <w:t xml:space="preserve">3.3 投标 </w:t>
      </w:r>
    </w:p>
    <w:p>
      <w:pPr>
        <w:keepNext w:val="0"/>
        <w:keepLines w:val="0"/>
        <w:widowControl/>
        <w:suppressLineNumbers w:val="0"/>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3.3.1 投标报价</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投标价格应包括完成招标文件规定的招标范围全部内容所需的全部费用。除非招标文件另有规定，投标报价应包括系统所需勘察、保险、利润、税金、劳保统筹、政策性文件规定及合同包含的所有风险、优惠率、责任等各项应有费用。投标价格采用唯一价格，即不得为某一范围价格。投标货币为人民币。</w:t>
      </w:r>
    </w:p>
    <w:p>
      <w:pPr>
        <w:keepNext w:val="0"/>
        <w:keepLines w:val="0"/>
        <w:widowControl/>
        <w:suppressLineNumbers w:val="0"/>
        <w:spacing w:line="360" w:lineRule="auto"/>
        <w:ind w:firstLine="482" w:firstLineChars="200"/>
        <w:jc w:val="left"/>
        <w:rPr>
          <w:b/>
          <w:bCs/>
        </w:rPr>
      </w:pPr>
      <w:r>
        <w:rPr>
          <w:rFonts w:hint="eastAsia" w:ascii="宋体" w:hAnsi="宋体" w:eastAsia="宋体" w:cs="宋体"/>
          <w:b/>
          <w:bCs/>
          <w:color w:val="000000"/>
          <w:kern w:val="0"/>
          <w:sz w:val="24"/>
          <w:szCs w:val="24"/>
          <w:lang w:val="en-US" w:eastAsia="zh-CN" w:bidi="ar"/>
        </w:rPr>
        <w:t xml:space="preserve">3.3.2 投标有效期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投标有效期为 60 天。在特殊情况下，代理机构可于投标有效期满之前以书面形式要求供应商同意延长有效期，供应商应以书面形式答复。供应商可以拒绝上述要求而其投标保证金不被没收，同意延期的供应商在原投标有效期内应享有的权利及责任相应顺延。</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3.3.3 供应商投标时间提交的全部材料必须密封，具体包括: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1）投标文件一式 4 份（正本 1 份，副本 3 份）；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2）开标信封：电子 U 盘文档一份（U 盘内拷贝 PDF 格式文件，Word 格式一份）提交不退。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3）投标函信封（内放投标函、投标保证金缴纳凭证、法人身份证明、授权委托书、被授权人身份证明）；</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投标文件》正本、副本的内容应当一致，如果正本与副本不一致，以正本为准。《投标文件》应由供应商的法定代表人或经正式授权并对供应商有约束力的代表在《投标文件》上签字。被授权代表需将以书面形式出具的“法人全权委托授权书”附在《投标文件》中。任何行间插字、涂改和增删，必须由投标文件签字人在旁边签字证明方有效。</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3.3.4 每本投标文件的内容应采用胶装方式装订成册，无脱页，有连续页码且逐页盖章。</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3.3.5 供应商应对投标内容提供完整的详细的技术说明，如果供应商对指定的技术要求建议做任何改动，应在投标文件中清楚的说明。供应商投标的内容与招标文件的技术、商务要求有偏离时，无论这种偏离是否有利于委托单位，供应商都应该按照附件的格式如实填写技术偏离表和商务条款偏离表。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3.3.6 供应商应按照要求提交资格文件，并对这些资格文件的真实性负责。</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3.3.7 供应商应将《投标文件》的正、副本同时密封，一律使用牛皮纸包装，且开口以及拐角处用打印“封条”字样的密封纸进行密封，并加盖公章或写有“密封”字样的密封印章，并在封面上注明项目名称、项目编号及供应商名称以及“在 年 月 日 时 分之前不得启封”的字样。 （</w:t>
      </w:r>
      <w:r>
        <w:rPr>
          <w:rFonts w:hint="eastAsia" w:ascii="宋体" w:hAnsi="宋体" w:eastAsia="宋体" w:cs="宋体"/>
          <w:b/>
          <w:color w:val="000000"/>
          <w:kern w:val="0"/>
          <w:sz w:val="24"/>
          <w:szCs w:val="24"/>
          <w:lang w:val="en-US" w:eastAsia="zh-CN" w:bidi="ar"/>
        </w:rPr>
        <w:t xml:space="preserve">具体详见文件格式“十九、附件”）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3.3.8 供应商必须将“开标一览表”及“电子版 U 盘”单独密封，并在密封后标明“开标 一览表”及“在 年 月 日 时 分之前不得启封”字样。密封后粘贴密封条，加盖密封章。</w:t>
      </w:r>
      <w:r>
        <w:rPr>
          <w:rFonts w:hint="eastAsia" w:ascii="宋体" w:hAnsi="宋体" w:eastAsia="宋体" w:cs="宋体"/>
          <w:b/>
          <w:bCs/>
          <w:color w:val="000000"/>
          <w:kern w:val="0"/>
          <w:sz w:val="24"/>
          <w:szCs w:val="24"/>
          <w:lang w:val="en-US" w:eastAsia="zh-CN" w:bidi="ar"/>
        </w:rPr>
        <w:t>（具体详见文件格式“十九、附件”）</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3.3.9 供应商应将“投标函”、“法定代表人身份证明”及“法定代表人授权书”（若法定代表人参加投标则不提交此项）单独密封于投标函信封后提交，用于开标前检查。密封后粘贴密封条，加盖密封章。</w:t>
      </w:r>
      <w:r>
        <w:rPr>
          <w:rFonts w:hint="eastAsia" w:ascii="宋体" w:hAnsi="宋体" w:eastAsia="宋体" w:cs="宋体"/>
          <w:b/>
          <w:bCs/>
          <w:color w:val="000000"/>
          <w:kern w:val="0"/>
          <w:sz w:val="24"/>
          <w:szCs w:val="24"/>
          <w:lang w:val="en-US" w:eastAsia="zh-CN" w:bidi="ar"/>
        </w:rPr>
        <w:t xml:space="preserve">（具体详见文件格式“十九、附件”） </w:t>
      </w:r>
    </w:p>
    <w:p>
      <w:pPr>
        <w:keepNext w:val="0"/>
        <w:keepLines w:val="0"/>
        <w:widowControl/>
        <w:suppressLineNumbers w:val="0"/>
        <w:spacing w:line="360" w:lineRule="auto"/>
        <w:ind w:firstLine="482"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说明：3.3.8    3.3.9 项单独统一用普通信封密封。</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3.3.10 如果外层封口处未按要求密封和加盖标记，招标代理机构对误投或过早启封概不负责。</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3.3.11《投标文件》在每一文件的封面上写明：“正本”或“副本”、开标时间、项目编号、项目名称、供应商的名称并签字盖章。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3.3.12 招标代理机构对因投标文件未装订成册而造成的投标文件的损坏、丢失不承担任何责任。</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3.3.13 招标代理机构对不可抗力造成的投标文件的损坏、丢失不承担任何责任。</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3.4 投标文件的修改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在规定的时间内，供应商可以修改其投标文件的内容，但必须以书面形式通知招标代理机构。在招标规定的修改截止时间后，供应商不可以修改其投标文件的内容。 </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3.5 招标代理机构将在招标公告中规定的时间和地点接受投标。 </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3.6 投标的撤回</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在开标截止时间前供应商可以撤回其投标，撤消投标的应提交撤回说明，但在投标截止后不允许撤回投标。</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3.7 开标过程及评审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3.7.1 评标委员会只对确定为实质响应招标文件要求的投标文件进行评审。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3.7.2 实质上没有响应招标文件要求的投标文件将视为无效投标。出现但不限于下列情况之一的，其投标将视为无效投标。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1）供应商未按招标文件要求的金额交纳投标保证金的；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2）超出经营范围投标的；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3）投标文件不完整的；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4）投标文件无法人代表签字或签字人未被法人授权的；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5）投标文件附有采购人不能接受条件的；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6）投标总价超出项目预算且采购人无法支付的；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7）投标文件有不符合招标文件内容的；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8）其他不符合招标文件的重要参数。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3.7.3 评标委员会将按已定的原则及方法进行评审，详见评审办法。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3.7.4 评标委员会在确定中标候选人以前有权按照有关法规拒绝任何或全部投标，对此造成对供应商的影响不负任何责任，并不做任何解释。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3.7.5 确定中标人后，采购人根据评标委员会的评议结果，公布拟中标结果，在法定公示时间后且无质疑的情况下，该结果将做为是正式中标或签订供货合同的凭据。由招标代理机构将以书面形式通知中标的供应商其投标被接受。在该通知书中将给出中标人应按本合同实施、完成和维护项目的中标价（合同条件中称为“合同价格”）、交货日期、地点以及其他相关事项。</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中标通知书将成为合同的组成部分。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3.7.6 代理机构没有义务向未中标的供应商解释未中标的理由。</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3.8 评标过程的保密性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3.8.1 接受投标后，直至供应商与委托单位签订合同止，凡与招标、审查、澄清、评价、比较、授标意见有关的内容，任何人均不得向供应商及与评审无关的其他人透露。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3.8.2 从评标日起到确定最终中标人止，供应商不得与参加招标、评标的有关人员私下接触。在评标过程中，如果供应商试图在投标文件审查、澄清、比较及推荐中标人方面对参与评审的有关人员和委托单位施加任何影响，其评标被拒绝。 </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3.9 开标程序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3.9.1 开标会主持人按照招标文件规定的开标时间宣布开标，按照规定要求主持开标会。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开标将按以下程序进行：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（1）宣布开标会开始。当众宣布参加开标会主持人、唱标人、会议记录人以及根据情况邀请的现场监督人等工作人员，根据“供应商签到表”宣布参加投标的供应商名单。</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（2）根据监督人或者供应商推选的代表对投标文件密封的检查结果，并由监督人当众宣布投标文件的密封情况。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开标唱标。主持人宣布开标后，由现场工作人员按任意顺序对供应商的“开标一览表”当众进行拆封，由唱标人员宣读供应商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供应商代表现场进行澄清或确认。唱标完毕后供应商需现场对开标记录进行签字确认，对唱标内容有异议的，可以当场提出，并要求会议记录人在开标记录中予以记录，或者另行提供书面异议资料，不签字又不提出异议的，视同认可唱标内容和结果，且不得干扰、阻挠开（唱）标、评标工作。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宣布开标会结束。主持人宣布开标会结束，所有供应商代表应立即退场（招标文件要求有演示、介绍等的除外）。同时所有供应商应保持通讯设备的畅通，以方便在评标过程中评标委员会要求供应商对投标文件的必要澄清、说明和纠正。评标结果在甘肃政府采购网上查询。</w:t>
      </w:r>
    </w:p>
    <w:p>
      <w:pPr>
        <w:keepNext w:val="0"/>
        <w:keepLines w:val="0"/>
        <w:widowControl/>
        <w:suppressLineNumbers w:val="0"/>
        <w:spacing w:line="360" w:lineRule="auto"/>
        <w:ind w:firstLine="482" w:firstLineChars="200"/>
        <w:jc w:val="left"/>
        <w:outlineLvl w:val="2"/>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4.质疑和投诉 </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4.1 综合说明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质疑、投诉的接收和处理严格按照《中华人共和国政府采购法》、《中华人民共和国政府采购法实施条例》、《政府采购供应商投诉处理办法》、《财政部关于加强政府采购供应商投诉受理审查工作的通知》和《甘肃省政府采购供应商投诉处理工作规程》的规定办理（详细规定请在甘肃政府采购网政策法规模块查询）。</w:t>
      </w:r>
    </w:p>
    <w:p>
      <w:pPr>
        <w:keepNext w:val="0"/>
        <w:keepLines w:val="0"/>
        <w:widowControl/>
        <w:suppressLineNumbers w:val="0"/>
        <w:spacing w:line="360" w:lineRule="auto"/>
        <w:ind w:firstLine="482" w:firstLineChars="200"/>
        <w:jc w:val="left"/>
        <w:outlineLvl w:val="2"/>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5．签订及履行合同和验收 </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5.1 合同授予原则</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1）采购人将把合同授予经评标委员会评议推荐，在法定公示时间后，收到中标通知书供应商。若因中标人违约或因不可抗力等原因不能被授予合同，则合同将授予排序在该供应商之后的下一个供应商。</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2）采购人保留在签订合同时调整方案需求和变动所购设备或材料数量的权力。</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5.2 合同的签署</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中标人按中标通知书中，由法定代表人或被授权人与采购人签订合同。采购人与中标人是合同权利与义务的直接、全部责任承担人。招标代理机构所发出的中标通知书对采购人和中标供应商具有同等法律效力。</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2）中标通知书发出后，若中标人不能在规定时间内与采购人签订合同，或变相签订合同，采购人依监督职能可采取取消其中标资格并没收其投标保证金等措施，并可按照财政部令[2004]第 18 号第六十八条、第七十五条、第七十六条规定办理。此时可由采购人按照排名顺序与下一供应商签订合同。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3）《政府采购法实施条例》第四十九条：中标供应商拒绝与采购人签订合同的，采购人可以按照评审报告推荐的中标候选人名单排序，确定下一候选人为中标供应商，也可以重新开展政府采购活动。</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评标委员会和评标方法暂行规定》第四十八条：使用国有资金投资或者国家融资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 </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5.3 履行合同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1）中标人与采购人签订合同后，合同双方应严格执行合同条款，履行合同规定的义务，保证合同的顺利完成。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2）在合同履行过程中，如发生合同纠纷，合同双方应按照《合同法》的有关规定进行处理。</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5.4 验收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本项目采购人及其委托的采购代理机构将严格按照政府采购相关法律法规的要求进行验收。</w:t>
      </w:r>
    </w:p>
    <w:p>
      <w:pPr>
        <w:keepNext w:val="0"/>
        <w:keepLines w:val="0"/>
        <w:widowControl/>
        <w:suppressLineNumbers w:val="0"/>
        <w:spacing w:line="360" w:lineRule="auto"/>
        <w:ind w:firstLine="482" w:firstLineChars="200"/>
        <w:jc w:val="left"/>
        <w:outlineLvl w:val="2"/>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6.其他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中标后招标文件和投标文件未尽事宜另行商定。</w:t>
      </w:r>
    </w:p>
    <w:p>
      <w:pPr>
        <w:rPr>
          <w:rFonts w:hint="eastAsia"/>
          <w:lang w:val="en-US" w:eastAsia="zh-CN"/>
        </w:rPr>
      </w:pPr>
      <w:r>
        <w:rPr>
          <w:rFonts w:hint="eastAsia" w:ascii="宋体" w:hAnsi="宋体" w:eastAsia="宋体" w:cs="宋体"/>
          <w:color w:val="000000"/>
          <w:kern w:val="0"/>
          <w:sz w:val="24"/>
          <w:szCs w:val="24"/>
          <w:lang w:val="en-US" w:eastAsia="zh-CN" w:bidi="ar"/>
        </w:rPr>
        <w:br w:type="page"/>
      </w:r>
    </w:p>
    <w:p>
      <w:pPr>
        <w:keepNext w:val="0"/>
        <w:keepLines w:val="0"/>
        <w:widowControl/>
        <w:suppressLineNumbers w:val="0"/>
        <w:jc w:val="center"/>
        <w:outlineLvl w:val="1"/>
      </w:pPr>
      <w:bookmarkStart w:id="5" w:name="_Toc25324"/>
      <w:r>
        <w:rPr>
          <w:rFonts w:hint="eastAsia" w:ascii="宋体" w:hAnsi="宋体" w:eastAsia="宋体" w:cs="宋体"/>
          <w:b/>
          <w:color w:val="000000"/>
          <w:kern w:val="0"/>
          <w:sz w:val="30"/>
          <w:szCs w:val="30"/>
          <w:lang w:val="en-US" w:eastAsia="zh-CN" w:bidi="ar"/>
        </w:rPr>
        <w:t>三、</w:t>
      </w:r>
      <w:r>
        <w:rPr>
          <w:rFonts w:hint="eastAsia" w:ascii="宋体" w:hAnsi="宋体" w:eastAsia="宋体" w:cs="宋体"/>
          <w:b/>
          <w:color w:val="000000"/>
          <w:kern w:val="0"/>
          <w:sz w:val="31"/>
          <w:szCs w:val="31"/>
          <w:lang w:val="en-US" w:eastAsia="zh-CN" w:bidi="ar"/>
        </w:rPr>
        <w:t>投标保证金递交说明</w:t>
      </w:r>
      <w:bookmarkEnd w:id="5"/>
    </w:p>
    <w:p>
      <w:pPr>
        <w:keepNext w:val="0"/>
        <w:keepLines w:val="0"/>
        <w:widowControl/>
        <w:suppressLineNumbers w:val="0"/>
        <w:ind w:firstLine="241" w:firstLineChars="100"/>
        <w:jc w:val="left"/>
        <w:outlineLvl w:val="2"/>
      </w:pPr>
      <w:bookmarkStart w:id="6" w:name="_Toc16948"/>
      <w:r>
        <w:rPr>
          <w:rFonts w:hint="eastAsia" w:ascii="宋体" w:hAnsi="宋体" w:eastAsia="宋体" w:cs="宋体"/>
          <w:b/>
          <w:color w:val="000000"/>
          <w:kern w:val="0"/>
          <w:sz w:val="24"/>
          <w:szCs w:val="24"/>
          <w:lang w:val="en-US" w:eastAsia="zh-CN" w:bidi="ar"/>
        </w:rPr>
        <w:t>1、保证金的递交</w:t>
      </w:r>
      <w:bookmarkEnd w:id="6"/>
      <w:r>
        <w:rPr>
          <w:rFonts w:hint="eastAsia" w:ascii="宋体" w:hAnsi="宋体" w:eastAsia="宋体" w:cs="宋体"/>
          <w:b/>
          <w:color w:val="000000"/>
          <w:kern w:val="0"/>
          <w:sz w:val="24"/>
          <w:szCs w:val="24"/>
          <w:lang w:val="en-US" w:eastAsia="zh-CN" w:bidi="ar"/>
        </w:rPr>
        <w:t xml:space="preserve"> </w:t>
      </w:r>
    </w:p>
    <w:p>
      <w:pPr>
        <w:keepNext w:val="0"/>
        <w:keepLines w:val="0"/>
        <w:widowControl/>
        <w:suppressLineNumbers w:val="0"/>
        <w:ind w:firstLine="720" w:firstLineChars="300"/>
        <w:jc w:val="left"/>
      </w:pPr>
      <w:r>
        <w:rPr>
          <w:rFonts w:hint="eastAsia" w:ascii="宋体" w:hAnsi="宋体" w:eastAsia="宋体" w:cs="宋体"/>
          <w:color w:val="000000"/>
          <w:kern w:val="0"/>
          <w:sz w:val="24"/>
          <w:szCs w:val="24"/>
          <w:lang w:val="en-US" w:eastAsia="zh-CN" w:bidi="ar"/>
        </w:rPr>
        <w:t xml:space="preserve">详见“供应商须知前附表 </w:t>
      </w:r>
    </w:p>
    <w:p>
      <w:pPr>
        <w:keepNext w:val="0"/>
        <w:keepLines w:val="0"/>
        <w:widowControl/>
        <w:suppressLineNumbers w:val="0"/>
        <w:ind w:firstLine="241" w:firstLineChars="100"/>
        <w:jc w:val="left"/>
        <w:outlineLvl w:val="2"/>
      </w:pPr>
      <w:bookmarkStart w:id="7" w:name="_Toc11221"/>
      <w:r>
        <w:rPr>
          <w:rFonts w:hint="eastAsia" w:ascii="宋体" w:hAnsi="宋体" w:eastAsia="宋体" w:cs="宋体"/>
          <w:b/>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w:t>
      </w:r>
      <w:r>
        <w:rPr>
          <w:rFonts w:hint="eastAsia" w:ascii="宋体" w:hAnsi="宋体" w:eastAsia="宋体" w:cs="宋体"/>
          <w:b/>
          <w:color w:val="000000"/>
          <w:kern w:val="0"/>
          <w:sz w:val="24"/>
          <w:szCs w:val="24"/>
          <w:lang w:val="en-US" w:eastAsia="zh-CN" w:bidi="ar"/>
        </w:rPr>
        <w:t>投标保证金的退付</w:t>
      </w:r>
      <w:bookmarkEnd w:id="7"/>
      <w:r>
        <w:rPr>
          <w:rFonts w:hint="eastAsia" w:ascii="宋体" w:hAnsi="宋体" w:eastAsia="宋体" w:cs="宋体"/>
          <w:b/>
          <w:color w:val="000000"/>
          <w:kern w:val="0"/>
          <w:sz w:val="24"/>
          <w:szCs w:val="24"/>
          <w:lang w:val="en-US" w:eastAsia="zh-CN" w:bidi="ar"/>
        </w:rPr>
        <w:t xml:space="preserve"> </w:t>
      </w:r>
    </w:p>
    <w:p>
      <w:pPr>
        <w:keepNext w:val="0"/>
        <w:keepLines w:val="0"/>
        <w:widowControl/>
        <w:suppressLineNumbers w:val="0"/>
        <w:ind w:firstLine="720" w:firstLineChars="3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详见“供应商须知前附表”</w:t>
      </w:r>
    </w:p>
    <w:p>
      <w:p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br w:type="page"/>
      </w:r>
    </w:p>
    <w:p>
      <w:pPr>
        <w:spacing w:line="360" w:lineRule="auto"/>
        <w:jc w:val="center"/>
        <w:outlineLvl w:val="1"/>
        <w:rPr>
          <w:rFonts w:hint="eastAsia" w:ascii="宋体" w:hAnsi="宋体" w:eastAsia="宋体" w:cs="宋体"/>
          <w:sz w:val="24"/>
          <w:szCs w:val="24"/>
        </w:rPr>
      </w:pPr>
      <w:bookmarkStart w:id="8" w:name="_Toc29070"/>
      <w:r>
        <w:rPr>
          <w:rFonts w:hint="eastAsia" w:ascii="宋体" w:hAnsi="宋体" w:eastAsia="宋体" w:cs="宋体"/>
          <w:b/>
          <w:color w:val="000000"/>
          <w:kern w:val="0"/>
          <w:sz w:val="30"/>
          <w:szCs w:val="30"/>
          <w:lang w:val="en-US" w:eastAsia="zh-CN" w:bidi="ar"/>
        </w:rPr>
        <w:t>四、</w:t>
      </w:r>
      <w:r>
        <w:rPr>
          <w:rFonts w:hint="eastAsia" w:ascii="宋体" w:hAnsi="宋体" w:eastAsia="宋体" w:cs="宋体"/>
          <w:b/>
          <w:bCs/>
          <w:sz w:val="28"/>
          <w:szCs w:val="28"/>
        </w:rPr>
        <w:t>关于印发中小企业划型标准规定的通知</w:t>
      </w:r>
      <w:bookmarkEnd w:id="8"/>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工信部联企业[2011]300号</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各省、自治区、直辖市人民政府，国务院各部委、各直属机构及有关单位：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近日，工业和信息化部、统计局、发展改革委、财政部等四部门负责人就《中小企业划型标准规定》的意义和主要内容等问题，回答了记者的提问。</w:t>
      </w: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工业和信息化部国家统计局</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国家发展和改革委员会财政部</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二〇一一年六月十八日 [1]</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规定原文</w:t>
      </w:r>
    </w:p>
    <w:p>
      <w:pPr>
        <w:spacing w:line="360" w:lineRule="auto"/>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一、根据《中华人民共和国中小企业促进法》和《国务院关于进一步促进中小企业发展的若干意见》(国发〔2009〕36号)，制定本规定。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二、中小企业划分为中型、小型、微型三种类型，具体标准根据企业从业人员、营业收入、资产总额等指标，结合行业特点制定。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四、各行业划型标准为：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（十六）其他未列明行业。从业人员300人以下的为中小微型企业。其中，从业人员100人及以上的为中型企业；从业人员10人及以上的为小型企业；从业人员10人以下的为微型企业。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五、企业类型的划分以统计部门的统计数据为依据。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六、本规定适用于在中华人民共和国境内依法设立的各类所有制和各种组织形式的企业。个体工商户和本规定以外的行业，参照本规定进行划型。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八、本规定由工业和信息化部、国家统计局会同有关部门根据《国民经济行业分类》修订情况和企业发展变化情况适时修订。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九、本规定由工业和信息化部、国家统计局会同有关部门负责解释。</w:t>
      </w:r>
    </w:p>
    <w:p>
      <w:pPr>
        <w:spacing w:line="360" w:lineRule="auto"/>
        <w:ind w:firstLine="480" w:firstLineChars="200"/>
        <w:rPr>
          <w:rFonts w:hint="eastAsia" w:ascii="宋体" w:hAnsi="宋体" w:eastAsia="宋体" w:cs="宋体"/>
          <w:sz w:val="24"/>
          <w:szCs w:val="24"/>
        </w:rPr>
        <w:sectPr>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十、本规定自发布之日起执行，原国家经贸委、原国家计委、财政部和国家统计局2003年颁布的《中小企业标准暂行规定》同时废止。</w:t>
      </w:r>
    </w:p>
    <w:p>
      <w:pPr>
        <w:pStyle w:val="13"/>
        <w:spacing w:line="375" w:lineRule="atLeast"/>
        <w:jc w:val="center"/>
        <w:outlineLvl w:val="1"/>
        <w:rPr>
          <w:rFonts w:hint="eastAsia" w:ascii="宋体" w:hAnsi="宋体" w:eastAsia="宋体" w:cs="宋体"/>
          <w:b/>
          <w:bCs/>
          <w:kern w:val="0"/>
          <w:sz w:val="28"/>
          <w:szCs w:val="28"/>
          <w:lang w:val="en-US" w:eastAsia="en-US" w:bidi="ar-SA"/>
        </w:rPr>
      </w:pPr>
      <w:bookmarkStart w:id="9" w:name="_Toc6483"/>
      <w:r>
        <w:rPr>
          <w:rFonts w:hint="eastAsia" w:ascii="宋体" w:hAnsi="宋体" w:eastAsia="宋体" w:cs="宋体"/>
          <w:b/>
          <w:bCs/>
          <w:kern w:val="0"/>
          <w:sz w:val="28"/>
          <w:szCs w:val="28"/>
          <w:lang w:val="en-US" w:eastAsia="zh-CN" w:bidi="ar-SA"/>
        </w:rPr>
        <w:t>五、</w:t>
      </w:r>
      <w:r>
        <w:rPr>
          <w:rFonts w:hint="eastAsia" w:ascii="宋体" w:hAnsi="宋体" w:eastAsia="宋体" w:cs="宋体"/>
          <w:b/>
          <w:bCs/>
          <w:kern w:val="0"/>
          <w:sz w:val="28"/>
          <w:szCs w:val="28"/>
          <w:lang w:val="en-US" w:eastAsia="en-US" w:bidi="ar-SA"/>
        </w:rPr>
        <w:t>关于印发《政府采购促进中小企业发展暂行办法》的通知</w:t>
      </w:r>
      <w:bookmarkEnd w:id="9"/>
    </w:p>
    <w:p>
      <w:pPr>
        <w:pStyle w:val="13"/>
        <w:spacing w:line="375" w:lineRule="atLeast"/>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财库〔2011〕181号</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党中央有关部门，国务院各部委、各直属机构，全国人大常委会办公厅，全国政协办公厅，高法院，高检院，有关人民团体，各省、自治区、直辖市、计划单列市财政厅（局）、工业和信息化主管部门，新疆生产建设兵团财务局、工业和信息化主管部门：</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为贯彻落实《国务院关于进一步促进中小企业发展的若干意见》（国发[2009]36号），发挥政府采购的政策功能，促进中小企业发展，根据《中华人民共和国政府采购法》和《中华人民共和国中小企业促进法》，财政部、工业和信息化部制定了《政府采购促进中小企业发展暂行办法》。现印发给你们，请遵照执行。</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附件：政府采购促进中小企业发展暂行办法</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财政部 工业和信息化部</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二〇一一年十二月二十九日</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附件：</w:t>
      </w:r>
    </w:p>
    <w:p>
      <w:pPr>
        <w:pStyle w:val="13"/>
        <w:spacing w:line="375" w:lineRule="atLeast"/>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《政府采购促进中小企业发展暂行办法》</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第一条 为了发挥政府采购的政策功能，促进符合国家经济和社会发展政策目标，产品、服务、信誉较好的中小企业发展，根据《中华人民共和国政府采购法》、《中华人民共和国中小企业促进法》等有关法律法规，制定本办法。</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第二条 本办法所称中小企业（含中型、小型、微型企业，下同）应当同时符合以下条件：</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（一）符合中小企业划分标准；</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（二）提供本企业制造的货物、承担的工程或者服务，或者提供其他中小企业制造的货物。本项所称货物不包括使用大型企业注册商标的货物。</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本办法所称中小企业划分标准，是指国务院有关部门根据企业从业人员、营业收入、资产总额等指标制定的中小企业划型标准。</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小型、微型企业提供中型企业制造的货物的，视同为中型企业。</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第三条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第四条 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采购人或者采购代理机构在组织采购活动时，应当在招标文件或谈判文件、询价文件中注明该项目专门面向中小企业或小型、微型企业采购。</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第五条 对于非专门面向中小企业的项目，采购人或者采购代理机构应当在招标文件或者谈判文件、询价文件中作出规定，对小型和微型企业产品的价格给予6%-10%的扣除，用扣除后的价格参与评审，具体扣除比例由采购人或者采购代理机构确定。</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参加政府采购活动的中小企业应当提供本办法规定的《中小企业声明函》（见附件）。</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第六条 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联合体各方均为小型、微型企业的，联合体视同为小型、微型企业享受本办法第四条、第五条规定的扶持政策。</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xml:space="preserve">　　组成联合体的大中型企业和其他自然人、法人或者其他组织，与小型、微型企业之间不得存在投资关系。 </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第七条 中小企业依据本办法第四条、第五条、第六条规定的政策获取政府采购合同后，小型、微型企业不得分包或转包给大型、中型企业，中型企业不得分包或转包给大型企业。</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第八条 鼓励采购人允许获得政府采购合同的大型企业依法向中小企业分包。</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大型企业向中小企业分包的金额，计入面向中小企业采购的统计数额。</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第九条 鼓励采购人在与中小企业签订政府采购合同时，在履约保证金、付款期限、付款方式等方面给予中小企业适当支持。采购人应当按照合同约定按时足额支付采购资金。</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第十条 鼓励在政府采购活动中引入信用担保手段，为中小企业在融资、投标保证、履约保证等方面提供专业化的担保服务。</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第十一条 各级财政部门和有关部门应当加大对中小企业参与政府采购的培训指导及专业化咨询服务力度，提高中小企业参与政府采购活动的能力。</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xml:space="preserve">　　第十二条 各部门应当每年第一季度向同级财政部门报告本部门上一年度面向中小企业采购的具体情况，并在财政部指定的政府采购发布媒体公开预留项目执行情况以及本部门其他项目面向中小企业采购的情况。 </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第十三条 各级财政部门应当积极推进政府采购信息化建设，提高政府采购信息发布透明度，提供便于中小企业获取政府采购信息的稳定渠道。</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第十四条 各级财政部门会同中小企业主管部门建立健全政府采购促进中小企业发展的有关制度，加强有关政策执行情况的监督检查。</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各部门负责对本部门政府采购促进中小企业发展各项工作的执行和管理。</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第十五条 政府采购监督检查和投诉处理中对中小企业的认定，由企业所在地的县级以上中小企业主管部门负责。</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第十六条 采购人、采购代理机构或者中小企业在政府采购活动中有违法违规行为的，依照政府采购法及有关法律法规处理。</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第十七条 本办法由财政部、工业和信息化部负责解释。</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第十八条 本办法自2012年1月1日起施行。</w:t>
      </w:r>
    </w:p>
    <w:p>
      <w:pPr>
        <w:pStyle w:val="13"/>
        <w:spacing w:line="375" w:lineRule="atLeast"/>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附：中小企业声明函</w:t>
      </w:r>
    </w:p>
    <w:p>
      <w:pP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en-US" w:bidi="ar-SA"/>
        </w:rPr>
        <w:t xml:space="preserve"> </w:t>
      </w:r>
    </w:p>
    <w:p>
      <w:pPr>
        <w:pStyle w:val="2"/>
        <w:rPr>
          <w:rFonts w:hint="eastAsia" w:ascii="宋体" w:hAnsi="宋体" w:eastAsia="宋体" w:cs="宋体"/>
          <w:kern w:val="0"/>
          <w:sz w:val="24"/>
          <w:szCs w:val="24"/>
          <w:lang w:val="en-US" w:eastAsia="en-US" w:bidi="ar-SA"/>
        </w:rPr>
        <w:sectPr>
          <w:pgSz w:w="11906" w:h="16838"/>
          <w:pgMar w:top="1440" w:right="1800" w:bottom="1440" w:left="1800" w:header="851" w:footer="992" w:gutter="0"/>
          <w:pgNumType w:fmt="decimal"/>
          <w:cols w:space="425" w:num="1"/>
          <w:docGrid w:type="lines" w:linePitch="312" w:charSpace="0"/>
        </w:sectPr>
      </w:pPr>
    </w:p>
    <w:p>
      <w:pPr>
        <w:pStyle w:val="2"/>
        <w:rPr>
          <w:rFonts w:hint="eastAsia"/>
        </w:rPr>
      </w:pPr>
    </w:p>
    <w:p>
      <w:pP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b/>
          <w:color w:val="000000"/>
          <w:kern w:val="0"/>
          <w:sz w:val="43"/>
          <w:szCs w:val="43"/>
          <w:lang w:val="en-US" w:eastAsia="zh-CN" w:bidi="ar"/>
        </w:rPr>
      </w:pPr>
    </w:p>
    <w:p>
      <w:pPr>
        <w:keepNext w:val="0"/>
        <w:keepLines w:val="0"/>
        <w:widowControl/>
        <w:suppressLineNumbers w:val="0"/>
        <w:jc w:val="center"/>
        <w:rPr>
          <w:rFonts w:hint="eastAsia" w:ascii="宋体" w:hAnsi="宋体" w:eastAsia="宋体" w:cs="宋体"/>
          <w:b/>
          <w:color w:val="000000"/>
          <w:kern w:val="0"/>
          <w:sz w:val="43"/>
          <w:szCs w:val="43"/>
          <w:lang w:val="en-US" w:eastAsia="zh-CN" w:bidi="ar"/>
        </w:rPr>
      </w:pPr>
    </w:p>
    <w:p>
      <w:pPr>
        <w:keepNext w:val="0"/>
        <w:keepLines w:val="0"/>
        <w:widowControl/>
        <w:suppressLineNumbers w:val="0"/>
        <w:jc w:val="center"/>
        <w:rPr>
          <w:rFonts w:hint="eastAsia" w:ascii="宋体" w:hAnsi="宋体" w:eastAsia="宋体" w:cs="宋体"/>
          <w:b/>
          <w:color w:val="000000"/>
          <w:kern w:val="0"/>
          <w:sz w:val="43"/>
          <w:szCs w:val="43"/>
          <w:lang w:val="en-US" w:eastAsia="zh-CN" w:bidi="ar"/>
        </w:rPr>
      </w:pPr>
    </w:p>
    <w:p>
      <w:pPr>
        <w:keepNext w:val="0"/>
        <w:keepLines w:val="0"/>
        <w:widowControl/>
        <w:suppressLineNumbers w:val="0"/>
        <w:jc w:val="center"/>
        <w:rPr>
          <w:rFonts w:hint="eastAsia" w:ascii="宋体" w:hAnsi="宋体" w:eastAsia="宋体" w:cs="宋体"/>
          <w:b/>
          <w:color w:val="000000"/>
          <w:kern w:val="0"/>
          <w:sz w:val="43"/>
          <w:szCs w:val="43"/>
          <w:lang w:val="en-US" w:eastAsia="zh-CN" w:bidi="ar"/>
        </w:rPr>
      </w:pPr>
    </w:p>
    <w:p>
      <w:pPr>
        <w:keepNext w:val="0"/>
        <w:keepLines w:val="0"/>
        <w:widowControl/>
        <w:suppressLineNumbers w:val="0"/>
        <w:jc w:val="center"/>
        <w:rPr>
          <w:rFonts w:hint="eastAsia" w:ascii="宋体" w:hAnsi="宋体" w:eastAsia="宋体" w:cs="宋体"/>
          <w:b/>
          <w:color w:val="000000"/>
          <w:kern w:val="0"/>
          <w:sz w:val="43"/>
          <w:szCs w:val="43"/>
          <w:lang w:val="en-US" w:eastAsia="zh-CN" w:bidi="ar"/>
        </w:rPr>
      </w:pPr>
    </w:p>
    <w:p>
      <w:pPr>
        <w:keepNext w:val="0"/>
        <w:keepLines w:val="0"/>
        <w:widowControl/>
        <w:suppressLineNumbers w:val="0"/>
        <w:jc w:val="center"/>
        <w:rPr>
          <w:rFonts w:hint="eastAsia" w:ascii="宋体" w:hAnsi="宋体" w:eastAsia="宋体" w:cs="宋体"/>
          <w:b/>
          <w:color w:val="000000"/>
          <w:kern w:val="0"/>
          <w:sz w:val="43"/>
          <w:szCs w:val="43"/>
          <w:lang w:val="en-US" w:eastAsia="zh-CN" w:bidi="ar"/>
        </w:rPr>
      </w:pPr>
    </w:p>
    <w:p>
      <w:pPr>
        <w:keepNext w:val="0"/>
        <w:keepLines w:val="0"/>
        <w:widowControl/>
        <w:suppressLineNumbers w:val="0"/>
        <w:jc w:val="center"/>
        <w:rPr>
          <w:rFonts w:hint="eastAsia" w:ascii="宋体" w:hAnsi="宋体" w:eastAsia="宋体" w:cs="宋体"/>
          <w:b/>
          <w:color w:val="000000"/>
          <w:kern w:val="0"/>
          <w:sz w:val="43"/>
          <w:szCs w:val="43"/>
          <w:lang w:val="en-US" w:eastAsia="zh-CN" w:bidi="ar"/>
        </w:rPr>
      </w:pPr>
    </w:p>
    <w:p>
      <w:pPr>
        <w:keepNext w:val="0"/>
        <w:keepLines w:val="0"/>
        <w:widowControl/>
        <w:suppressLineNumbers w:val="0"/>
        <w:jc w:val="center"/>
        <w:outlineLvl w:val="0"/>
      </w:pPr>
      <w:bookmarkStart w:id="10" w:name="_Toc22904"/>
      <w:r>
        <w:rPr>
          <w:rFonts w:hint="eastAsia" w:ascii="宋体" w:hAnsi="宋体" w:eastAsia="宋体" w:cs="宋体"/>
          <w:b/>
          <w:color w:val="000000"/>
          <w:kern w:val="0"/>
          <w:sz w:val="43"/>
          <w:szCs w:val="43"/>
          <w:lang w:val="en-US" w:eastAsia="zh-CN" w:bidi="ar"/>
        </w:rPr>
        <w:t>第三部分 合同文件</w:t>
      </w:r>
      <w:bookmarkEnd w:id="10"/>
    </w:p>
    <w:p>
      <w:pPr>
        <w:keepNext w:val="0"/>
        <w:keepLines w:val="0"/>
        <w:widowControl/>
        <w:suppressLineNumbers w:val="0"/>
        <w:ind w:left="-220" w:leftChars="-100" w:right="-273" w:rightChars="-124" w:firstLine="562" w:firstLineChars="200"/>
        <w:jc w:val="left"/>
        <w:rPr>
          <w:sz w:val="28"/>
          <w:szCs w:val="28"/>
        </w:rPr>
      </w:pPr>
      <w:r>
        <w:rPr>
          <w:rFonts w:hint="eastAsia" w:ascii="宋体" w:hAnsi="宋体" w:eastAsia="宋体" w:cs="宋体"/>
          <w:b/>
          <w:color w:val="000000"/>
          <w:kern w:val="0"/>
          <w:sz w:val="28"/>
          <w:szCs w:val="28"/>
          <w:lang w:val="en-US" w:eastAsia="zh-CN" w:bidi="ar"/>
        </w:rPr>
        <w:t>（说明：本合同作为合同的基本格式，不作为最终合同，甲乙双方有权在签 订合同时对合同的相关条款及内容作进一步的细化和修改。）</w:t>
      </w:r>
    </w:p>
    <w:p>
      <w:pPr>
        <w:rPr>
          <w:rFonts w:hint="eastAsia" w:ascii="宋体" w:hAnsi="宋体" w:eastAsia="宋体" w:cs="宋体"/>
          <w:b/>
          <w:color w:val="000000"/>
          <w:kern w:val="0"/>
          <w:sz w:val="55"/>
          <w:szCs w:val="55"/>
          <w:lang w:val="en-US" w:eastAsia="zh-CN" w:bidi="ar"/>
        </w:rPr>
      </w:pPr>
      <w:r>
        <w:rPr>
          <w:rFonts w:hint="eastAsia"/>
          <w:lang w:val="en-US" w:eastAsia="zh-CN"/>
        </w:rPr>
        <w:br w:type="page"/>
      </w:r>
    </w:p>
    <w:p>
      <w:pPr>
        <w:keepNext w:val="0"/>
        <w:keepLines w:val="0"/>
        <w:widowControl/>
        <w:suppressLineNumbers w:val="0"/>
        <w:jc w:val="center"/>
        <w:rPr>
          <w:rFonts w:hint="eastAsia" w:ascii="宋体" w:hAnsi="宋体" w:eastAsia="宋体" w:cs="宋体"/>
          <w:b/>
          <w:color w:val="000000"/>
          <w:kern w:val="0"/>
          <w:sz w:val="55"/>
          <w:szCs w:val="55"/>
          <w:lang w:val="en-US" w:eastAsia="zh-CN" w:bidi="ar"/>
        </w:rPr>
      </w:pPr>
    </w:p>
    <w:p>
      <w:pPr>
        <w:keepNext w:val="0"/>
        <w:keepLines w:val="0"/>
        <w:widowControl/>
        <w:suppressLineNumbers w:val="0"/>
        <w:jc w:val="center"/>
        <w:rPr>
          <w:rFonts w:hint="eastAsia" w:ascii="宋体" w:hAnsi="宋体" w:eastAsia="宋体" w:cs="宋体"/>
          <w:b/>
          <w:color w:val="000000"/>
          <w:kern w:val="0"/>
          <w:sz w:val="55"/>
          <w:szCs w:val="55"/>
          <w:lang w:val="en-US" w:eastAsia="zh-CN" w:bidi="ar"/>
        </w:rPr>
      </w:pPr>
      <w:r>
        <w:rPr>
          <w:rFonts w:hint="eastAsia" w:ascii="宋体" w:hAnsi="宋体" w:eastAsia="宋体" w:cs="宋体"/>
          <w:b/>
          <w:color w:val="000000"/>
          <w:kern w:val="0"/>
          <w:sz w:val="55"/>
          <w:szCs w:val="55"/>
          <w:lang w:val="en-US" w:eastAsia="zh-CN" w:bidi="ar"/>
        </w:rPr>
        <w:t>张掖市中级人民法院综合审判大楼</w:t>
      </w:r>
    </w:p>
    <w:p>
      <w:pPr>
        <w:keepNext w:val="0"/>
        <w:keepLines w:val="0"/>
        <w:widowControl/>
        <w:suppressLineNumbers w:val="0"/>
        <w:jc w:val="center"/>
      </w:pPr>
      <w:r>
        <w:rPr>
          <w:rFonts w:hint="eastAsia" w:ascii="宋体" w:hAnsi="宋体" w:eastAsia="宋体" w:cs="宋体"/>
          <w:b/>
          <w:color w:val="000000"/>
          <w:kern w:val="0"/>
          <w:sz w:val="55"/>
          <w:szCs w:val="55"/>
          <w:lang w:val="en-US" w:eastAsia="zh-CN" w:bidi="ar"/>
        </w:rPr>
        <w:t>弱电改造项目</w:t>
      </w:r>
    </w:p>
    <w:p>
      <w:pPr>
        <w:keepNext w:val="0"/>
        <w:keepLines w:val="0"/>
        <w:widowControl/>
        <w:suppressLineNumbers w:val="0"/>
        <w:jc w:val="left"/>
        <w:rPr>
          <w:rFonts w:hint="eastAsia" w:ascii="宋体" w:hAnsi="宋体" w:eastAsia="宋体" w:cs="宋体"/>
          <w:b/>
          <w:color w:val="000000"/>
          <w:kern w:val="0"/>
          <w:sz w:val="52"/>
          <w:szCs w:val="52"/>
          <w:lang w:val="en-US" w:eastAsia="zh-CN" w:bidi="ar"/>
        </w:rPr>
      </w:pPr>
    </w:p>
    <w:p>
      <w:pPr>
        <w:pStyle w:val="2"/>
        <w:ind w:left="0" w:leftChars="0" w:firstLine="0" w:firstLineChars="0"/>
        <w:rPr>
          <w:rFonts w:hint="eastAsia" w:ascii="宋体" w:hAnsi="宋体" w:eastAsia="宋体" w:cs="宋体"/>
          <w:b/>
          <w:color w:val="000000"/>
          <w:kern w:val="0"/>
          <w:sz w:val="52"/>
          <w:szCs w:val="52"/>
          <w:lang w:val="en-US" w:eastAsia="zh-CN" w:bidi="ar"/>
        </w:rPr>
      </w:pPr>
    </w:p>
    <w:p>
      <w:pPr>
        <w:keepNext w:val="0"/>
        <w:keepLines w:val="0"/>
        <w:widowControl/>
        <w:suppressLineNumbers w:val="0"/>
        <w:jc w:val="center"/>
      </w:pPr>
      <w:r>
        <w:rPr>
          <w:rFonts w:hint="eastAsia" w:ascii="宋体" w:hAnsi="宋体" w:eastAsia="宋体" w:cs="宋体"/>
          <w:b/>
          <w:color w:val="000000"/>
          <w:kern w:val="0"/>
          <w:sz w:val="52"/>
          <w:szCs w:val="52"/>
          <w:lang w:val="en-US" w:eastAsia="zh-CN" w:bidi="ar"/>
        </w:rPr>
        <w:t>政府采购合同</w:t>
      </w:r>
    </w:p>
    <w:p>
      <w:pPr>
        <w:keepNext w:val="0"/>
        <w:keepLines w:val="0"/>
        <w:widowControl/>
        <w:suppressLineNumbers w:val="0"/>
        <w:jc w:val="left"/>
        <w:rPr>
          <w:rFonts w:hint="eastAsia" w:ascii="宋体" w:hAnsi="宋体" w:eastAsia="宋体" w:cs="宋体"/>
          <w:b/>
          <w:color w:val="000000"/>
          <w:kern w:val="0"/>
          <w:sz w:val="31"/>
          <w:szCs w:val="31"/>
          <w:lang w:val="en-US" w:eastAsia="zh-CN" w:bidi="ar"/>
        </w:rPr>
      </w:pPr>
    </w:p>
    <w:p>
      <w:pPr>
        <w:pStyle w:val="2"/>
        <w:rPr>
          <w:rFonts w:hint="eastAsia" w:ascii="宋体" w:hAnsi="宋体" w:eastAsia="宋体" w:cs="宋体"/>
          <w:b/>
          <w:color w:val="000000"/>
          <w:kern w:val="0"/>
          <w:sz w:val="31"/>
          <w:szCs w:val="31"/>
          <w:lang w:val="en-US" w:eastAsia="zh-CN" w:bidi="ar"/>
        </w:rPr>
      </w:pPr>
    </w:p>
    <w:p>
      <w:pPr>
        <w:pStyle w:val="2"/>
        <w:rPr>
          <w:rFonts w:hint="eastAsia" w:ascii="宋体" w:hAnsi="宋体" w:eastAsia="宋体" w:cs="宋体"/>
          <w:b/>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color w:val="000000"/>
          <w:kern w:val="0"/>
          <w:sz w:val="31"/>
          <w:szCs w:val="31"/>
          <w:lang w:val="en-US" w:eastAsia="zh-CN" w:bidi="ar"/>
        </w:rPr>
      </w:pPr>
    </w:p>
    <w:p>
      <w:pPr>
        <w:keepNext w:val="0"/>
        <w:keepLines w:val="0"/>
        <w:widowControl/>
        <w:suppressLineNumbers w:val="0"/>
        <w:ind w:firstLine="934" w:firstLineChars="300"/>
        <w:jc w:val="left"/>
        <w:rPr>
          <w:rFonts w:hint="eastAsia" w:eastAsia="宋体"/>
          <w:lang w:val="en-US" w:eastAsia="zh-CN"/>
        </w:rPr>
      </w:pPr>
      <w:r>
        <w:rPr>
          <w:rFonts w:hint="eastAsia" w:ascii="宋体" w:hAnsi="宋体" w:eastAsia="宋体" w:cs="宋体"/>
          <w:b/>
          <w:color w:val="000000"/>
          <w:kern w:val="0"/>
          <w:sz w:val="31"/>
          <w:szCs w:val="31"/>
          <w:lang w:val="en-US" w:eastAsia="zh-CN" w:bidi="ar"/>
        </w:rPr>
        <w:t>采购单位： 甘肃省张掖市中级人民法院</w:t>
      </w:r>
    </w:p>
    <w:p>
      <w:pPr>
        <w:keepNext w:val="0"/>
        <w:keepLines w:val="0"/>
        <w:widowControl/>
        <w:suppressLineNumbers w:val="0"/>
        <w:tabs>
          <w:tab w:val="left" w:pos="2719"/>
        </w:tabs>
        <w:ind w:firstLine="934" w:firstLineChars="300"/>
        <w:jc w:val="left"/>
        <w:rPr>
          <w:lang w:val="en-US"/>
        </w:rPr>
      </w:pPr>
      <w:r>
        <w:rPr>
          <w:rFonts w:hint="eastAsia" w:ascii="宋体" w:hAnsi="宋体" w:eastAsia="宋体" w:cs="宋体"/>
          <w:b/>
          <w:color w:val="000000"/>
          <w:kern w:val="0"/>
          <w:sz w:val="31"/>
          <w:szCs w:val="31"/>
          <w:lang w:val="en-US" w:eastAsia="zh-CN" w:bidi="ar"/>
        </w:rPr>
        <w:t>供应商： XXXXXXXXXXXXXXXXXXXXXXXXXX</w:t>
      </w:r>
    </w:p>
    <w:p>
      <w:pPr>
        <w:keepNext w:val="0"/>
        <w:keepLines w:val="0"/>
        <w:widowControl/>
        <w:suppressLineNumbers w:val="0"/>
        <w:ind w:firstLine="934" w:firstLineChars="300"/>
        <w:jc w:val="left"/>
        <w:rPr>
          <w:rFonts w:hint="eastAsia" w:eastAsia="宋体"/>
          <w:lang w:val="en-US" w:eastAsia="zh-CN"/>
        </w:rPr>
      </w:pPr>
      <w:r>
        <w:rPr>
          <w:rFonts w:hint="eastAsia" w:ascii="宋体" w:hAnsi="宋体" w:eastAsia="宋体" w:cs="宋体"/>
          <w:b/>
          <w:color w:val="000000"/>
          <w:kern w:val="0"/>
          <w:sz w:val="31"/>
          <w:szCs w:val="31"/>
          <w:lang w:val="en-US" w:eastAsia="zh-CN" w:bidi="ar"/>
        </w:rPr>
        <w:t>招标代理机构：甘肃国泰国际招标有限公司</w:t>
      </w:r>
    </w:p>
    <w:p>
      <w:pPr>
        <w:rPr>
          <w:rFonts w:hint="eastAsia"/>
          <w:lang w:val="en-US" w:eastAsia="zh-CN"/>
        </w:rPr>
      </w:pPr>
      <w:r>
        <w:rPr>
          <w:rFonts w:hint="eastAsia"/>
          <w:lang w:val="en-US" w:eastAsia="zh-CN"/>
        </w:rPr>
        <w:br w:type="page"/>
      </w:r>
    </w:p>
    <w:p>
      <w:pPr>
        <w:pStyle w:val="2"/>
        <w:numPr>
          <w:ilvl w:val="0"/>
          <w:numId w:val="2"/>
        </w:numPr>
        <w:ind w:left="0" w:leftChars="0" w:firstLine="0" w:firstLineChars="0"/>
        <w:jc w:val="center"/>
        <w:rPr>
          <w:rFonts w:hint="eastAsia" w:asciiTheme="minorEastAsia" w:hAnsiTheme="minorEastAsia" w:eastAsiaTheme="minorEastAsia" w:cstheme="minorEastAsia"/>
          <w:b/>
          <w:bCs/>
          <w:sz w:val="28"/>
          <w:szCs w:val="36"/>
          <w:lang w:val="en-US" w:eastAsia="zh-CN"/>
        </w:rPr>
      </w:pPr>
      <w:r>
        <w:rPr>
          <w:rFonts w:hint="eastAsia" w:asciiTheme="minorEastAsia" w:hAnsiTheme="minorEastAsia" w:eastAsiaTheme="minorEastAsia" w:cstheme="minorEastAsia"/>
          <w:b/>
          <w:bCs/>
          <w:sz w:val="28"/>
          <w:szCs w:val="36"/>
          <w:lang w:val="en-US" w:eastAsia="zh-CN"/>
        </w:rPr>
        <w:t>合同协议书</w:t>
      </w:r>
    </w:p>
    <w:p>
      <w:pPr>
        <w:pStyle w:val="2"/>
        <w:numPr>
          <w:ilvl w:val="0"/>
          <w:numId w:val="0"/>
        </w:numPr>
        <w:ind w:leftChars="0"/>
        <w:jc w:val="both"/>
        <w:rPr>
          <w:rFonts w:hint="eastAsia" w:asciiTheme="minorEastAsia" w:hAnsiTheme="minorEastAsia" w:eastAsiaTheme="minorEastAsia" w:cstheme="minorEastAsia"/>
          <w:b/>
          <w:bCs/>
          <w:sz w:val="24"/>
          <w:szCs w:val="32"/>
          <w:lang w:val="en-US" w:eastAsia="zh-CN"/>
        </w:rPr>
      </w:pP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签订时间：</w:t>
      </w: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签订地点：</w:t>
      </w: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合同内容：</w:t>
      </w: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甲方：</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（采购单位）</w:t>
      </w: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乙方：</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（供应商）</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根据《中华人民共和国合同法》及有关法律规定，结合本工程的具体情况,本着公平、公正的原则，经双方协商制定以下合同，望双方共同遵守。</w:t>
      </w: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一、工程名称_________________________________________：</w:t>
      </w: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二、工程地点_________________________________________：</w:t>
      </w: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三、工程内容</w:t>
      </w:r>
    </w:p>
    <w:p>
      <w:pPr>
        <w:pStyle w:val="2"/>
        <w:ind w:left="0" w:leftChars="0" w:firstLine="480" w:firstLineChars="200"/>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lang w:val="en-US" w:eastAsia="zh-CN"/>
        </w:rPr>
        <w:t>1.乙方在甲方提供的区域内实施</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w:t>
      </w:r>
    </w:p>
    <w:p>
      <w:pPr>
        <w:pStyle w:val="2"/>
        <w:ind w:left="0" w:leftChars="0" w:firstLine="0" w:firstLineChars="0"/>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 xml:space="preserve">乙方施工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w:t>
      </w:r>
    </w:p>
    <w:p>
      <w:pPr>
        <w:pStyle w:val="2"/>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2、乙方负责</w:t>
      </w:r>
    </w:p>
    <w:p>
      <w:pPr>
        <w:pStyle w:val="2"/>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3、乙方保证</w:t>
      </w: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四、工程造价和支付方式：</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经甲乙双方商定，本工程造价为_____元/米：不含税金，管理费等。乙方进场后甲方付乙方_______元作为进场费,施工中期购设备时付_______元。工程完成工后付清余款。</w:t>
      </w: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五、工程工期：</w:t>
      </w:r>
    </w:p>
    <w:p>
      <w:pPr>
        <w:pStyle w:val="2"/>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乙方至进场接通电源起 天内完工。如遇不可抗拒因素和其他工程事故工期顺延。</w:t>
      </w:r>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六、双方责任和义务：</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1、甲方负责施工现场的协调与第三方关系的处理并承担相关费用。提供三项电源与施工用水承担相关费用，保证乙方的施工不受干扰.</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2、在乙方施工过程如遇到变更或者甲方强行更改时,后果由甲方负责并且支付相应的工程款。乙方进场后由于甲方原因造成误工的甲方应承担误工费，甲方叫停的乙方撤场将不退还进场材料费。</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3、乙方负责工程管理并按照技术规范,规程以及甲方技术要求施工，按照合同规定的工期交工。</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4、乙方施工人员应学习并遵守安全等规章制度,乙方在施工过程中由于乙方责任造成人身伤害事件由乙方承担.。</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七、仲裁</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双方在执行合同中所发生的一切争议，应通过协商解决。如协商不成，可向合同签订所在地仲裁部门提交仲裁或法院起诉。</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八、合同生效及其他</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1、合同经双方法定代表人或委托代理人签字加盖单位公章，</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2、合同执行中，如需修改或补充合同内容，由双方协商并同意后，另签署书面修改或补充协议作为主合同不可分割部分。</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3、本合同具有法律效力，受国家法律保护。</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4、本合同一式陆份，具有同等法律效力。甲、乙双方各执贰份，代理机构壹份，行业监管部门壹份。合同附件作为《XXXXXXXXXXXXXXXXXXX 项目》政府采购合同的有效组成部分。</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合同附件一：政府采购项目中标通知书</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合同附件二：招标内容及参数：</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合同附件三：商务偏离表</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合同附件四：技术偏离表</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合同附件五：质量及售后服务承诺书</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br w:type="page"/>
      </w:r>
    </w:p>
    <w:tbl>
      <w:tblPr>
        <w:tblStyle w:val="15"/>
        <w:tblW w:w="8221"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1"/>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4081" w:type="dxa"/>
          </w:tcPr>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甲方：</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盖章：</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地址：</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电话：</w:t>
            </w:r>
          </w:p>
        </w:tc>
        <w:tc>
          <w:tcPr>
            <w:tcW w:w="4140" w:type="dxa"/>
          </w:tcPr>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乙方：</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盖章：</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地址：</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4081" w:type="dxa"/>
          </w:tcPr>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法人代表人：</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被授权人：</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日    期：</w:t>
            </w:r>
          </w:p>
        </w:tc>
        <w:tc>
          <w:tcPr>
            <w:tcW w:w="4140" w:type="dxa"/>
          </w:tcPr>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法人代表人：</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被授权人：</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4081" w:type="dxa"/>
          </w:tcPr>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账号：</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开户行：</w:t>
            </w:r>
          </w:p>
        </w:tc>
        <w:tc>
          <w:tcPr>
            <w:tcW w:w="4140" w:type="dxa"/>
          </w:tcPr>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账号：</w:t>
            </w:r>
          </w:p>
          <w:p>
            <w:pPr>
              <w:pStyle w:val="2"/>
              <w:spacing w:line="360" w:lineRule="auto"/>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开户行：</w:t>
            </w:r>
          </w:p>
        </w:tc>
      </w:tr>
    </w:tbl>
    <w:p>
      <w:pPr>
        <w:pStyle w:val="2"/>
        <w:spacing w:line="360" w:lineRule="auto"/>
        <w:ind w:left="0" w:leftChars="0" w:firstLine="0" w:firstLineChars="0"/>
        <w:rPr>
          <w:rFonts w:hint="eastAsia" w:asciiTheme="minorEastAsia" w:hAnsiTheme="minorEastAsia" w:eastAsiaTheme="minorEastAsia" w:cstheme="minorEastAsia"/>
          <w:b/>
          <w:bCs/>
          <w:sz w:val="24"/>
          <w:szCs w:val="24"/>
          <w:lang w:val="en-US" w:eastAsia="zh-CN"/>
        </w:rPr>
      </w:pPr>
    </w:p>
    <w:p>
      <w:pPr>
        <w:pStyle w:val="2"/>
        <w:spacing w:line="360" w:lineRule="auto"/>
        <w:ind w:left="0" w:leftChars="0" w:firstLine="0" w:firstLine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注：本合同的主要条款必须全部响应，但格式仅作为参考文本，合同签订双方可根据项目的具体要求进行修订。</w:t>
      </w:r>
    </w:p>
    <w:p>
      <w:pPr>
        <w:pStyle w:val="2"/>
        <w:spacing w:line="360" w:lineRule="auto"/>
        <w:ind w:left="0" w:leftChars="0" w:firstLine="0" w:firstLine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pStyle w:val="2"/>
        <w:spacing w:line="360" w:lineRule="auto"/>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2"/>
        <w:spacing w:line="360" w:lineRule="auto"/>
        <w:ind w:left="0" w:leftChars="0" w:firstLine="0" w:firstLineChars="0"/>
        <w:jc w:val="center"/>
        <w:outlineLvl w:val="0"/>
        <w:rPr>
          <w:rFonts w:hint="eastAsia" w:asciiTheme="minorEastAsia" w:hAnsiTheme="minorEastAsia" w:eastAsiaTheme="minorEastAsia" w:cstheme="minorEastAsia"/>
          <w:b/>
          <w:bCs/>
          <w:sz w:val="32"/>
          <w:szCs w:val="32"/>
          <w:lang w:val="en-US" w:eastAsia="zh-CN"/>
        </w:rPr>
      </w:pPr>
      <w:bookmarkStart w:id="11" w:name="_Toc7010"/>
      <w:r>
        <w:rPr>
          <w:rFonts w:hint="eastAsia" w:asciiTheme="minorEastAsia" w:hAnsiTheme="minorEastAsia" w:eastAsiaTheme="minorEastAsia" w:cstheme="minorEastAsia"/>
          <w:b/>
          <w:bCs/>
          <w:sz w:val="32"/>
          <w:szCs w:val="32"/>
          <w:lang w:val="en-US" w:eastAsia="zh-CN"/>
        </w:rPr>
        <w:t>第四部分 技术参数要求</w:t>
      </w:r>
      <w:bookmarkEnd w:id="11"/>
    </w:p>
    <w:p>
      <w:pPr>
        <w:pStyle w:val="2"/>
        <w:spacing w:line="360" w:lineRule="auto"/>
        <w:ind w:left="0" w:leftChars="0" w:firstLine="0" w:firstLineChars="0"/>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br w:type="page"/>
      </w:r>
    </w:p>
    <w:p>
      <w:pPr>
        <w:pStyle w:val="2"/>
        <w:numPr>
          <w:ilvl w:val="0"/>
          <w:numId w:val="3"/>
        </w:numPr>
        <w:spacing w:line="360" w:lineRule="auto"/>
        <w:ind w:left="0" w:leftChars="0" w:firstLine="0" w:firstLine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项目名称：张掖市中级人民法院综合审判大楼弱电改造项目</w:t>
      </w:r>
    </w:p>
    <w:p>
      <w:pPr>
        <w:pStyle w:val="2"/>
        <w:numPr>
          <w:ilvl w:val="0"/>
          <w:numId w:val="3"/>
        </w:numPr>
        <w:spacing w:line="360" w:lineRule="auto"/>
        <w:ind w:left="0" w:leftChars="0" w:firstLine="0" w:firstLine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项目编号：</w:t>
      </w:r>
      <w:r>
        <w:rPr>
          <w:rFonts w:hint="eastAsia" w:asciiTheme="minorEastAsia" w:hAnsiTheme="minorEastAsia" w:eastAsiaTheme="minorEastAsia" w:cstheme="minorEastAsia"/>
          <w:b w:val="0"/>
          <w:bCs w:val="0"/>
          <w:sz w:val="24"/>
          <w:szCs w:val="24"/>
          <w:lang w:val="en-US" w:eastAsia="zh-CN"/>
        </w:rPr>
        <w:t>ZJYZC2019GK-157</w:t>
      </w:r>
    </w:p>
    <w:p>
      <w:pPr>
        <w:pStyle w:val="2"/>
        <w:numPr>
          <w:ilvl w:val="0"/>
          <w:numId w:val="3"/>
        </w:numPr>
        <w:spacing w:line="360" w:lineRule="auto"/>
        <w:ind w:left="0" w:leftChars="0" w:firstLine="0" w:firstLineChars="0"/>
        <w:jc w:val="both"/>
        <w:rPr>
          <w:rFonts w:hint="eastAsia" w:ascii="宋体" w:hAnsi="宋体" w:eastAsia="宋体" w:cs="宋体"/>
          <w:sz w:val="24"/>
          <w:szCs w:val="24"/>
          <w:lang w:val="en-US" w:eastAsia="zh-CN"/>
        </w:rPr>
      </w:pPr>
      <w:r>
        <w:rPr>
          <w:rFonts w:hint="eastAsia" w:asciiTheme="minorEastAsia" w:hAnsiTheme="minorEastAsia" w:eastAsiaTheme="minorEastAsia" w:cstheme="minorEastAsia"/>
          <w:b/>
          <w:bCs/>
          <w:sz w:val="24"/>
          <w:szCs w:val="24"/>
          <w:lang w:val="en-US" w:eastAsia="zh-CN"/>
        </w:rPr>
        <w:t>招标内容及参数</w:t>
      </w:r>
      <w:bookmarkStart w:id="12" w:name="_Toc217446095"/>
      <w:r>
        <w:rPr>
          <w:rFonts w:hint="eastAsia" w:asciiTheme="minorEastAsia" w:hAnsiTheme="minorEastAsia" w:eastAsiaTheme="minorEastAsia" w:cstheme="minorEastAsia"/>
          <w:b/>
          <w:bCs/>
          <w:sz w:val="24"/>
          <w:szCs w:val="24"/>
          <w:lang w:val="en-US" w:eastAsia="zh-CN"/>
        </w:rPr>
        <w:t>：</w:t>
      </w:r>
    </w:p>
    <w:p>
      <w:pPr>
        <w:pStyle w:val="2"/>
        <w:numPr>
          <w:ilvl w:val="0"/>
          <w:numId w:val="0"/>
        </w:numPr>
        <w:spacing w:line="360" w:lineRule="auto"/>
        <w:ind w:leftChars="0" w:firstLine="482" w:firstLineChars="200"/>
        <w:jc w:val="both"/>
        <w:rPr>
          <w:rFonts w:hint="eastAsia" w:ascii="宋体" w:hAnsi="宋体" w:eastAsia="宋体" w:cs="宋体"/>
          <w:sz w:val="24"/>
          <w:szCs w:val="24"/>
          <w:lang w:val="en-US" w:eastAsia="zh-CN"/>
        </w:rPr>
      </w:pPr>
      <w:r>
        <w:rPr>
          <w:rFonts w:hint="eastAsia" w:asciiTheme="minorEastAsia" w:hAnsiTheme="minorEastAsia" w:eastAsiaTheme="minorEastAsia" w:cstheme="minorEastAsia"/>
          <w:b/>
          <w:bCs/>
          <w:sz w:val="24"/>
          <w:szCs w:val="24"/>
          <w:lang w:val="en-US" w:eastAsia="zh-CN"/>
        </w:rPr>
        <w:t>1.</w:t>
      </w:r>
      <w:r>
        <w:rPr>
          <w:rFonts w:hint="eastAsia" w:ascii="宋体" w:hAnsi="宋体" w:eastAsia="宋体" w:cs="宋体"/>
          <w:sz w:val="24"/>
          <w:szCs w:val="24"/>
          <w:lang w:val="en-US" w:eastAsia="zh-CN"/>
        </w:rPr>
        <w:t>本项目为张掖市中级人民法院综合审判大楼弱电改造项目，主楼建筑层数为地上五层及地下一层，建筑高度为18.6米。本次项目建设范围如下：</w:t>
      </w:r>
    </w:p>
    <w:p>
      <w:pPr>
        <w:pStyle w:val="2"/>
        <w:numPr>
          <w:ilvl w:val="0"/>
          <w:numId w:val="0"/>
        </w:num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基础信息设施系统：①综合布线系统、②公共管路系统、③计算机网络系统；</w:t>
      </w:r>
    </w:p>
    <w:p>
      <w:pPr>
        <w:pStyle w:val="30"/>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安全防范系统：视频监控系统（前端摄像头）</w:t>
      </w:r>
    </w:p>
    <w:p>
      <w:pPr>
        <w:pStyle w:val="30"/>
        <w:numPr>
          <w:ilvl w:val="0"/>
          <w:numId w:val="0"/>
        </w:num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设计依据</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《智能建筑设计标准》GB 50314-2015</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《智能建筑工程质量验收规范》GB 50339-2013</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《智能建筑工程施工规范》GB50606-2010</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《综合布线系统工程设计规范》GB 50311-2016</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《综合布线系统工程验收规范》GB 50312-2016</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《安全防范工程技术规范》GB 50348-2018</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《视频安防监控系统工程设计规范》GB 50395-2007</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《安全防范工程程序与要求》GA/T 75-1994</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《视频安防监控系统技术要求》GA/T 367-2001</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《建筑物防雷设计规范》GB 50057-2010</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《建筑物电子信息系统防雷技术规范》GB 50343-2012</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b/>
          <w:bCs/>
          <w:sz w:val="24"/>
          <w:szCs w:val="24"/>
          <w:lang w:val="en-US" w:eastAsia="zh-CN"/>
        </w:rPr>
        <w:t>建设内容及要求</w:t>
      </w:r>
    </w:p>
    <w:p>
      <w:pPr>
        <w:pStyle w:val="30"/>
        <w:spacing w:line="360" w:lineRule="auto"/>
        <w:ind w:firstLine="460"/>
        <w:rPr>
          <w:rFonts w:hint="eastAsia" w:ascii="宋体" w:hAnsi="宋体" w:eastAsia="宋体" w:cs="宋体"/>
          <w:b/>
          <w:sz w:val="24"/>
          <w:szCs w:val="24"/>
        </w:rPr>
      </w:pPr>
      <w:r>
        <w:rPr>
          <w:rFonts w:hint="eastAsia" w:ascii="宋体" w:hAnsi="宋体" w:eastAsia="宋体" w:cs="宋体"/>
          <w:b/>
          <w:sz w:val="24"/>
          <w:szCs w:val="24"/>
          <w:lang w:val="en-US" w:eastAsia="zh-CN"/>
        </w:rPr>
        <w:t xml:space="preserve">3.1综合布线系统  </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布线系统是张掖市中级人民法院智能化、信息化通信的基础传输平台，为审判大楼提供高性能的数据和语音通信，应兼容和支持数据、语音、图文图像、监控图像等多媒体系统等应用，既满足当前的业务处理需求，又应满足今后通讯及网络发展的需求。综合布线系统应当具备开放性、灵活性和可扩性，充分满足我院信息化以及内部与外界的信息交流需要。</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布线系统包含法院专网、互联网、语音网、光纤网、预留内网五套前端信息点网络布线。其中光纤网应用于法院信息严密性业务，为保证特殊网络数据传输的稳定性，光纤网采用纯光缆传输，直接从机房到桌面，杜绝了电磁干扰；法院专网和预留专网统称为法院专网，互联网和语音网统称为外网。专网和外网设计原则均为“万兆主干，千兆到桌面”。</w:t>
      </w:r>
    </w:p>
    <w:p>
      <w:pPr>
        <w:tabs>
          <w:tab w:val="left" w:pos="5320"/>
        </w:tabs>
        <w:spacing w:line="360" w:lineRule="auto"/>
        <w:ind w:firstLine="540" w:firstLineChars="225"/>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专网、外网主干数据传输均采用单模光纤，专网、外网的水平布线形式均采用6类非屏蔽双绞线。光纤网采用4芯单模光纤，从机房到桌面。</w:t>
      </w:r>
      <w:r>
        <w:rPr>
          <w:rFonts w:hint="eastAsia" w:ascii="宋体" w:hAnsi="宋体" w:eastAsia="宋体" w:cs="宋体"/>
          <w:b w:val="0"/>
          <w:kern w:val="2"/>
          <w:sz w:val="24"/>
          <w:szCs w:val="24"/>
          <w:lang w:val="en-US" w:eastAsia="zh-CN" w:bidi="ar-SA"/>
        </w:rPr>
        <w:t>综合布线区域为原有建筑改造，因大楼整体装修，</w:t>
      </w:r>
      <w:r>
        <w:rPr>
          <w:rFonts w:hint="eastAsia" w:ascii="宋体" w:hAnsi="宋体" w:eastAsia="宋体" w:cs="宋体"/>
          <w:b w:val="0"/>
          <w:bCs w:val="0"/>
          <w:sz w:val="24"/>
          <w:szCs w:val="24"/>
          <w:lang w:val="en-US" w:eastAsia="zh-CN"/>
        </w:rPr>
        <w:t>本次综合布线项目需配合大楼装修改造进度，</w:t>
      </w:r>
      <w:r>
        <w:rPr>
          <w:rFonts w:hint="eastAsia" w:ascii="宋体" w:hAnsi="宋体" w:eastAsia="宋体" w:cs="宋体"/>
          <w:b w:val="0"/>
          <w:kern w:val="2"/>
          <w:sz w:val="24"/>
          <w:szCs w:val="24"/>
          <w:lang w:val="en-US" w:eastAsia="zh-CN" w:bidi="ar-SA"/>
        </w:rPr>
        <w:t>房间内为暗管敷设方式，</w:t>
      </w:r>
      <w:r>
        <w:rPr>
          <w:rFonts w:hint="eastAsia" w:ascii="宋体" w:hAnsi="宋体" w:eastAsia="宋体" w:cs="宋体"/>
          <w:b w:val="0"/>
          <w:bCs w:val="0"/>
          <w:sz w:val="24"/>
          <w:szCs w:val="24"/>
          <w:lang w:val="en-US" w:eastAsia="zh-CN"/>
        </w:rPr>
        <w:t>包含开槽、布管、穿线，墙面恢复等。</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布点规则：信息点分为数据信息点和话音信息点，布放数量根据房间的功能、面积和装修平面确定。</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院领导办公室（单间）：4根网线（即法院专网、互联网、语音网、预留网线各1套），1根四芯光纤；</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档案室、接待室、阅卷室、证物室、文印中心、值班室：4根网线（即法院专网、互联网、语音网、预留网线各1套）；</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办公室、信访接待室：4根网线/工位（即法院专网、互联网、语音网、预留网线各1套），1根四芯光纤；</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合议室、会议室、贵宾室、党员活动室等：4根网线（即法院专网、互联网、语音网、预留网线各1套），1根四芯光纤；</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多功能会议中心、控制室：8根网线（即法院专网、互联网、语音网、预留网线各2套），2根四芯光纤；</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小法庭：4根网线（即法院专网、互联网、语音网、预留网线各1套），1根四芯光纤；</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大法庭：8根网线（即法院专网、互联网、语音网、预留网线2套），1根四芯光纤；</w:t>
      </w:r>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经过估算，预计信息点位610个，语音点位198个，光纤点位198个。布点规则可根据装修后房间实际情况灵活调整，其它未涉及区域，在施工中需根据我方要求布设点位。超出预估点位，还需增加的数量不再单独增加预算。</w:t>
      </w:r>
    </w:p>
    <w:p>
      <w:pPr>
        <w:pStyle w:val="30"/>
        <w:numPr>
          <w:ilvl w:val="0"/>
          <w:numId w:val="0"/>
        </w:numPr>
        <w:spacing w:line="360" w:lineRule="auto"/>
        <w:ind w:firstLine="482" w:firstLineChars="200"/>
        <w:rPr>
          <w:rFonts w:hint="eastAsia" w:ascii="宋体" w:hAnsi="宋体" w:eastAsia="宋体" w:cs="宋体"/>
          <w:b/>
          <w:bCs/>
          <w:sz w:val="24"/>
          <w:szCs w:val="24"/>
          <w:lang w:val="en-US" w:eastAsia="zh-CN"/>
        </w:rPr>
      </w:pPr>
      <w:bookmarkStart w:id="13" w:name="_Toc26260883"/>
      <w:r>
        <w:rPr>
          <w:rFonts w:hint="eastAsia" w:ascii="宋体" w:hAnsi="宋体" w:eastAsia="宋体" w:cs="宋体"/>
          <w:b/>
          <w:bCs/>
          <w:sz w:val="24"/>
          <w:szCs w:val="24"/>
          <w:lang w:val="en-US" w:eastAsia="zh-CN"/>
        </w:rPr>
        <w:t>3.2 视频监控系统</w:t>
      </w:r>
      <w:bookmarkEnd w:id="13"/>
    </w:p>
    <w:p>
      <w:pPr>
        <w:pStyle w:val="30"/>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方案采用数字化的监控系统，系统主要由前端摄像机、视频编解码器、视频管理服务器、数据管理服务器、网络存储设备、监视器及相关软件等组成。分为室内监控及室外监控。室内前端网络摄像机通过各个楼层桥架引至四层机房进行视频资源集中存储，再通过光缆引至监控室，通过视频矩阵及拼接屏进行监控管理。</w:t>
      </w:r>
      <w:bookmarkEnd w:id="12"/>
    </w:p>
    <w:p>
      <w:pPr>
        <w:outlineLvl w:val="9"/>
        <w:rPr>
          <w:rFonts w:hint="eastAsia" w:ascii="宋体" w:hAnsi="宋体" w:eastAsia="宋体" w:cs="宋体"/>
          <w:b/>
          <w:sz w:val="24"/>
          <w:szCs w:val="24"/>
        </w:rPr>
      </w:pPr>
    </w:p>
    <w:p>
      <w:pPr>
        <w:jc w:val="center"/>
        <w:outlineLvl w:val="1"/>
        <w:rPr>
          <w:rFonts w:hint="eastAsia" w:ascii="宋体" w:hAnsi="宋体" w:eastAsia="宋体" w:cs="宋体"/>
          <w:b/>
          <w:sz w:val="24"/>
          <w:szCs w:val="24"/>
        </w:rPr>
      </w:pPr>
      <w:bookmarkStart w:id="14" w:name="_Toc2173"/>
      <w:bookmarkStart w:id="15" w:name="_Toc5257"/>
      <w:r>
        <w:rPr>
          <w:rFonts w:hint="eastAsia" w:ascii="宋体" w:hAnsi="宋体" w:eastAsia="宋体" w:cs="宋体"/>
          <w:b/>
          <w:sz w:val="24"/>
          <w:szCs w:val="24"/>
        </w:rPr>
        <w:t>综合布线系统</w:t>
      </w:r>
      <w:r>
        <w:rPr>
          <w:rFonts w:hint="eastAsia" w:ascii="宋体" w:hAnsi="宋体" w:eastAsia="宋体" w:cs="宋体"/>
          <w:b/>
          <w:sz w:val="24"/>
          <w:szCs w:val="24"/>
          <w:lang w:val="en-US" w:eastAsia="zh-CN"/>
        </w:rPr>
        <w:t>设备</w:t>
      </w:r>
      <w:r>
        <w:rPr>
          <w:rFonts w:hint="eastAsia" w:ascii="宋体" w:hAnsi="宋体" w:eastAsia="宋体" w:cs="宋体"/>
          <w:b/>
          <w:sz w:val="24"/>
          <w:szCs w:val="24"/>
        </w:rPr>
        <w:t>清单及</w:t>
      </w:r>
      <w:r>
        <w:rPr>
          <w:rFonts w:hint="eastAsia" w:ascii="宋体" w:hAnsi="宋体" w:eastAsia="宋体" w:cs="宋体"/>
          <w:b/>
          <w:sz w:val="24"/>
          <w:szCs w:val="24"/>
          <w:lang w:val="en-US" w:eastAsia="zh-CN"/>
        </w:rPr>
        <w:t>参数</w:t>
      </w:r>
      <w:r>
        <w:rPr>
          <w:rFonts w:hint="eastAsia" w:ascii="宋体" w:hAnsi="宋体" w:eastAsia="宋体" w:cs="宋体"/>
          <w:b/>
          <w:sz w:val="24"/>
          <w:szCs w:val="24"/>
        </w:rPr>
        <w:t>要求</w:t>
      </w:r>
      <w:bookmarkEnd w:id="14"/>
      <w:bookmarkEnd w:id="15"/>
    </w:p>
    <w:tbl>
      <w:tblPr>
        <w:tblStyle w:val="14"/>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3"/>
        <w:gridCol w:w="5032"/>
        <w:gridCol w:w="817"/>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000000" w:fill="FFFFFF"/>
            <w:vAlign w:val="center"/>
          </w:tcPr>
          <w:p>
            <w:pPr>
              <w:widowControl/>
              <w:spacing w:line="240" w:lineRule="auto"/>
              <w:jc w:val="center"/>
              <w:rPr>
                <w:rFonts w:cs="宋体" w:asciiTheme="minorEastAsia" w:hAnsiTheme="minorEastAsia"/>
                <w:b/>
                <w:bCs/>
                <w:color w:val="000000"/>
                <w:kern w:val="0"/>
                <w:szCs w:val="24"/>
              </w:rPr>
            </w:pPr>
            <w:r>
              <w:rPr>
                <w:rFonts w:hint="eastAsia" w:cs="宋体" w:asciiTheme="minorEastAsia" w:hAnsiTheme="minorEastAsia"/>
                <w:b/>
                <w:bCs/>
                <w:color w:val="000000"/>
                <w:kern w:val="0"/>
                <w:szCs w:val="24"/>
              </w:rPr>
              <w:t>序号</w:t>
            </w:r>
          </w:p>
        </w:tc>
        <w:tc>
          <w:tcPr>
            <w:tcW w:w="1353" w:type="dxa"/>
            <w:shd w:val="clear" w:color="000000" w:fill="FFFFFF"/>
            <w:vAlign w:val="center"/>
          </w:tcPr>
          <w:p>
            <w:pPr>
              <w:widowControl/>
              <w:spacing w:line="240" w:lineRule="auto"/>
              <w:jc w:val="center"/>
              <w:rPr>
                <w:rFonts w:cs="宋体" w:asciiTheme="minorEastAsia" w:hAnsiTheme="minorEastAsia"/>
                <w:b/>
                <w:bCs/>
                <w:color w:val="000000"/>
                <w:kern w:val="0"/>
                <w:szCs w:val="24"/>
              </w:rPr>
            </w:pPr>
            <w:r>
              <w:rPr>
                <w:rFonts w:hint="eastAsia" w:cs="宋体" w:asciiTheme="minorEastAsia" w:hAnsiTheme="minorEastAsia"/>
                <w:b/>
                <w:bCs/>
                <w:color w:val="000000"/>
                <w:kern w:val="0"/>
                <w:szCs w:val="24"/>
              </w:rPr>
              <w:t>设备材料名称</w:t>
            </w:r>
          </w:p>
        </w:tc>
        <w:tc>
          <w:tcPr>
            <w:tcW w:w="5032" w:type="dxa"/>
            <w:shd w:val="clear" w:color="000000" w:fill="FFFFFF"/>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招标参数</w:t>
            </w:r>
          </w:p>
        </w:tc>
        <w:tc>
          <w:tcPr>
            <w:tcW w:w="817" w:type="dxa"/>
            <w:shd w:val="clear" w:color="000000" w:fill="FFFFFF"/>
            <w:vAlign w:val="center"/>
          </w:tcPr>
          <w:p>
            <w:pPr>
              <w:widowControl/>
              <w:spacing w:line="240" w:lineRule="auto"/>
              <w:jc w:val="center"/>
              <w:rPr>
                <w:rFonts w:cs="宋体" w:asciiTheme="minorEastAsia" w:hAnsiTheme="minorEastAsia"/>
                <w:b/>
                <w:bCs/>
                <w:color w:val="000000"/>
                <w:kern w:val="0"/>
                <w:szCs w:val="24"/>
              </w:rPr>
            </w:pPr>
            <w:r>
              <w:rPr>
                <w:rFonts w:hint="eastAsia" w:cs="宋体" w:asciiTheme="minorEastAsia" w:hAnsiTheme="minorEastAsia"/>
                <w:b/>
                <w:bCs/>
                <w:color w:val="000000"/>
                <w:kern w:val="0"/>
                <w:szCs w:val="24"/>
              </w:rPr>
              <w:t>单位</w:t>
            </w:r>
          </w:p>
        </w:tc>
        <w:tc>
          <w:tcPr>
            <w:tcW w:w="819" w:type="dxa"/>
            <w:shd w:val="clear" w:color="000000" w:fill="FFFFFF"/>
            <w:vAlign w:val="center"/>
          </w:tcPr>
          <w:p>
            <w:pPr>
              <w:widowControl/>
              <w:spacing w:line="240" w:lineRule="auto"/>
              <w:jc w:val="center"/>
              <w:rPr>
                <w:rFonts w:cs="宋体" w:asciiTheme="minorEastAsia" w:hAnsiTheme="minorEastAsia"/>
                <w:b/>
                <w:bCs/>
                <w:color w:val="000000"/>
                <w:kern w:val="0"/>
                <w:szCs w:val="24"/>
              </w:rPr>
            </w:pPr>
            <w:r>
              <w:rPr>
                <w:rFonts w:hint="eastAsia" w:cs="宋体" w:asciiTheme="minorEastAsia" w:hAnsiTheme="minorEastAsia"/>
                <w:b/>
                <w:bCs/>
                <w:color w:val="000000"/>
                <w:kern w:val="0"/>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一</w:t>
            </w:r>
          </w:p>
        </w:tc>
        <w:tc>
          <w:tcPr>
            <w:tcW w:w="1353"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工作区子系统</w:t>
            </w:r>
          </w:p>
        </w:tc>
        <w:tc>
          <w:tcPr>
            <w:tcW w:w="5032"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c>
          <w:tcPr>
            <w:tcW w:w="817"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c>
          <w:tcPr>
            <w:tcW w:w="819"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1</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墙上型室内</w:t>
            </w:r>
            <w:r>
              <w:rPr>
                <w:rFonts w:hint="eastAsia" w:cs="宋体" w:asciiTheme="minorEastAsia" w:hAnsiTheme="minorEastAsia"/>
                <w:kern w:val="0"/>
                <w:szCs w:val="24"/>
                <w:lang w:val="en-US" w:eastAsia="zh-CN"/>
              </w:rPr>
              <w:t>单口光纤信息面板</w:t>
            </w:r>
          </w:p>
        </w:tc>
        <w:tc>
          <w:tcPr>
            <w:tcW w:w="503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产品性能：采用阻燃及耐燃高品质PC材料制造，满足UL94V-0阻燃等级；具有标签框及语音数据表示符，可供用户识别语音、数据等不同用途；三层模块化结构设计，嵌入组合式，配合86底盒，安装方便，表面隐藏螺钉孔，美观大方,各孔均配有专门的防尘门。</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产品用途：用于工作区布线子系统端口。</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color w:val="000000"/>
                <w:kern w:val="0"/>
                <w:szCs w:val="24"/>
                <w:lang w:val="en-US" w:eastAsia="zh-CN"/>
              </w:rPr>
            </w:pPr>
            <w:r>
              <w:rPr>
                <w:rFonts w:hint="eastAsia" w:cs="宋体" w:asciiTheme="minorEastAsia" w:hAnsiTheme="minorEastAsia"/>
                <w:color w:val="000000"/>
                <w:kern w:val="0"/>
                <w:szCs w:val="24"/>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hint="eastAsia" w:cs="宋体" w:asciiTheme="minorEastAsia" w:hAnsiTheme="minorEastAsia" w:eastAsiaTheme="minorEastAsia"/>
                <w:color w:val="000000"/>
                <w:kern w:val="0"/>
                <w:szCs w:val="24"/>
                <w:lang w:val="en-US" w:eastAsia="zh-CN"/>
              </w:rPr>
            </w:pPr>
            <w:r>
              <w:rPr>
                <w:rFonts w:hint="eastAsia" w:cs="宋体" w:asciiTheme="minorEastAsia" w:hAnsiTheme="minorEastAsia"/>
                <w:color w:val="000000"/>
                <w:kern w:val="0"/>
                <w:szCs w:val="24"/>
                <w:lang w:val="en-US" w:eastAsia="zh-CN"/>
              </w:rPr>
              <w:t>2</w:t>
            </w:r>
          </w:p>
        </w:tc>
        <w:tc>
          <w:tcPr>
            <w:tcW w:w="1353"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lang w:val="en-US" w:eastAsia="zh-CN"/>
              </w:rPr>
              <w:t>双口网络信息面板</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lang w:val="en-US" w:eastAsia="zh-CN"/>
              </w:rPr>
            </w:pPr>
            <w:r>
              <w:rPr>
                <w:rFonts w:hint="eastAsia" w:cs="宋体" w:asciiTheme="minorEastAsia" w:hAnsiTheme="minorEastAsia"/>
                <w:kern w:val="0"/>
                <w:szCs w:val="24"/>
                <w:lang w:val="en-US" w:eastAsia="zh-CN"/>
              </w:rPr>
              <w:t>采用阻燃及耐燃高品质PC材料制造，满足UL94V-0阻燃等级；具有标签框及语音数据表示符，可供用户识别语音、数据等不同用途；三层模块化结构设计，嵌入组合式，配合86底盒，安装方便，表面隐藏螺钉孔，美观大方,各孔均配有专门的防尘门。</w:t>
            </w:r>
          </w:p>
        </w:tc>
        <w:tc>
          <w:tcPr>
            <w:tcW w:w="817" w:type="dxa"/>
            <w:shd w:val="clear" w:color="auto" w:fill="auto"/>
            <w:vAlign w:val="center"/>
          </w:tcPr>
          <w:p>
            <w:pPr>
              <w:widowControl/>
              <w:spacing w:line="240" w:lineRule="auto"/>
              <w:jc w:val="center"/>
              <w:rPr>
                <w:rFonts w:hint="eastAsia"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个</w:t>
            </w:r>
          </w:p>
        </w:tc>
        <w:tc>
          <w:tcPr>
            <w:tcW w:w="819" w:type="dxa"/>
            <w:shd w:val="clear" w:color="auto" w:fill="auto"/>
            <w:vAlign w:val="center"/>
          </w:tcPr>
          <w:p>
            <w:pPr>
              <w:widowControl/>
              <w:spacing w:line="240" w:lineRule="auto"/>
              <w:jc w:val="center"/>
              <w:rPr>
                <w:rFonts w:hint="default" w:cs="宋体" w:asciiTheme="minorEastAsia" w:hAnsiTheme="minorEastAsia"/>
                <w:color w:val="000000"/>
                <w:kern w:val="0"/>
                <w:szCs w:val="24"/>
                <w:lang w:val="en-US" w:eastAsia="zh-CN"/>
              </w:rPr>
            </w:pPr>
            <w:r>
              <w:rPr>
                <w:rFonts w:hint="eastAsia" w:cs="宋体" w:asciiTheme="minorEastAsia" w:hAnsiTheme="minorEastAsia"/>
                <w:color w:val="000000"/>
                <w:kern w:val="0"/>
                <w:szCs w:val="24"/>
                <w:lang w:val="en-US" w:eastAsia="zh-CN"/>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hint="eastAsia" w:cs="宋体" w:asciiTheme="minorEastAsia" w:hAnsiTheme="minorEastAsia" w:eastAsiaTheme="minorEastAsia"/>
                <w:color w:val="000000"/>
                <w:kern w:val="0"/>
                <w:szCs w:val="24"/>
                <w:lang w:eastAsia="zh-CN"/>
              </w:rPr>
            </w:pPr>
            <w:r>
              <w:rPr>
                <w:rFonts w:hint="eastAsia" w:cs="宋体" w:asciiTheme="minorEastAsia" w:hAnsiTheme="minorEastAsia"/>
                <w:color w:val="000000"/>
                <w:kern w:val="0"/>
                <w:szCs w:val="24"/>
                <w:lang w:val="en-US" w:eastAsia="zh-CN"/>
              </w:rPr>
              <w:t>3</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6类室内非屏蔽数据模块</w:t>
            </w:r>
          </w:p>
        </w:tc>
        <w:tc>
          <w:tcPr>
            <w:tcW w:w="503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匹配线规：22-24AWGCAT6模块式非屏蔽和屏蔽</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打线方式：T568A或B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标签要求：模块自带完整标签</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材料级别：采用抗冲击、耐腐蚀材料制作</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安装方式：安装时可任选90度和180度两种产品</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规格：六类，非屏蔽RJ45模块插座，提供多种颜色选择</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端接：配线架模块IDC4对端子按45度对斜角(X)形排列，能更好的和线缆配合，达到更高的传输性能</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结构：180度模块独特的前端RJ45口防尘盖设计，能防止灰尘，保证连接的可靠性</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8根接触插针：50μ(inch)整体镀金设计，有良好的弹性、耐磨损性和耐腐蚀性；提供≥1000次重复插拔。</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IDC端接界面：卡接簧片为磷青铜整体镀金，45度卡接方式，可重复卡接次数≥200次使模块与线缆的卡接更牢固，确保极佳的长期可靠性和稳定性的传输性能。</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插针接点：无焊锡卡针技术</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标准：ISO/IEC11801、TIA/EIA568B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拔插寿命：≥750次</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端接寿命：≥200次</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color w:val="000000"/>
                <w:kern w:val="0"/>
                <w:szCs w:val="24"/>
                <w:lang w:val="en-US" w:eastAsia="zh-CN"/>
              </w:rPr>
            </w:pPr>
            <w:r>
              <w:rPr>
                <w:rFonts w:hint="eastAsia" w:cs="宋体" w:asciiTheme="minorEastAsia" w:hAnsiTheme="minorEastAsia"/>
                <w:color w:val="000000"/>
                <w:kern w:val="0"/>
                <w:szCs w:val="24"/>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hint="eastAsia" w:cs="宋体" w:asciiTheme="minorEastAsia" w:hAnsiTheme="minorEastAsia" w:eastAsiaTheme="minorEastAsia"/>
                <w:color w:val="000000"/>
                <w:kern w:val="0"/>
                <w:szCs w:val="24"/>
                <w:lang w:eastAsia="zh-CN"/>
              </w:rPr>
            </w:pPr>
            <w:r>
              <w:rPr>
                <w:rFonts w:hint="eastAsia" w:cs="宋体" w:asciiTheme="minorEastAsia" w:hAnsiTheme="minorEastAsia"/>
                <w:color w:val="000000"/>
                <w:kern w:val="0"/>
                <w:szCs w:val="24"/>
                <w:lang w:val="en-US" w:eastAsia="zh-CN"/>
              </w:rPr>
              <w:t>4</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6类室内非屏蔽数据跳线</w:t>
            </w:r>
          </w:p>
        </w:tc>
        <w:tc>
          <w:tcPr>
            <w:tcW w:w="5032" w:type="dxa"/>
            <w:shd w:val="clear" w:color="000000" w:fill="FFFFFF"/>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规格：六类非屏蔽RJ45低烟无卤跳线(3米）。</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所有的配线及跳线都予以标识，并单独编号。</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所有跳线的两端须具有接头护套。为多股软跳线。</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触点材料：磷青铜，有50μm镀金层和100μm镀镍层</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线缆管理系统应完备详细，以确保跳线能够快速容易地进行。</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外皮材质：LSZH低烟无卤</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根</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hint="eastAsia" w:cs="宋体" w:asciiTheme="minorEastAsia" w:hAnsiTheme="minorEastAsia" w:eastAsiaTheme="minorEastAsia"/>
                <w:color w:val="000000"/>
                <w:kern w:val="0"/>
                <w:szCs w:val="24"/>
                <w:lang w:eastAsia="zh-CN"/>
              </w:rPr>
            </w:pPr>
            <w:r>
              <w:rPr>
                <w:rFonts w:hint="eastAsia" w:cs="宋体" w:asciiTheme="minorEastAsia" w:hAnsiTheme="minorEastAsia"/>
                <w:color w:val="000000"/>
                <w:kern w:val="0"/>
                <w:szCs w:val="24"/>
                <w:lang w:val="en-US" w:eastAsia="zh-CN"/>
              </w:rPr>
              <w:t>5</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语音模块</w:t>
            </w:r>
          </w:p>
        </w:tc>
        <w:tc>
          <w:tcPr>
            <w:tcW w:w="5032" w:type="dxa"/>
            <w:shd w:val="clear" w:color="000000" w:fill="FFFFFF"/>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专门用于语音通信的四芯接线模块； 内部采用PCB板结构、簧片镀金使性能稳定； 可接线径0.4mm-0.6mm；制造接触针全部镀金，厚度为30μ(inch)、插拔寿命≥500次，IDC线卡镀镍。</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hint="eastAsia" w:cs="宋体" w:asciiTheme="minorEastAsia" w:hAnsiTheme="minorEastAsia" w:eastAsiaTheme="minorEastAsia"/>
                <w:color w:val="000000"/>
                <w:kern w:val="0"/>
                <w:szCs w:val="24"/>
                <w:lang w:val="en-US" w:eastAsia="zh-CN"/>
              </w:rPr>
            </w:pPr>
            <w:r>
              <w:rPr>
                <w:rFonts w:hint="eastAsia" w:cs="宋体" w:asciiTheme="minorEastAsia" w:hAnsiTheme="minorEastAsia"/>
                <w:color w:val="000000"/>
                <w:kern w:val="0"/>
                <w:szCs w:val="24"/>
                <w:lang w:val="en-US" w:eastAsia="zh-CN"/>
              </w:rPr>
              <w:t>6</w:t>
            </w:r>
          </w:p>
        </w:tc>
        <w:tc>
          <w:tcPr>
            <w:tcW w:w="1353" w:type="dxa"/>
            <w:shd w:val="clear" w:color="auto" w:fill="auto"/>
            <w:vAlign w:val="center"/>
          </w:tcPr>
          <w:p>
            <w:pPr>
              <w:widowControl/>
              <w:spacing w:line="240" w:lineRule="auto"/>
              <w:jc w:val="left"/>
              <w:rPr>
                <w:rFonts w:hint="default" w:cs="宋体" w:asciiTheme="minorEastAsia" w:hAnsiTheme="minorEastAsia"/>
                <w:kern w:val="0"/>
                <w:szCs w:val="24"/>
                <w:lang w:val="en-US" w:eastAsia="zh-CN"/>
              </w:rPr>
            </w:pPr>
            <w:r>
              <w:rPr>
                <w:rFonts w:hint="eastAsia" w:cs="宋体" w:asciiTheme="minorEastAsia" w:hAnsiTheme="minorEastAsia"/>
                <w:kern w:val="0"/>
                <w:szCs w:val="24"/>
                <w:lang w:val="en-US" w:eastAsia="zh-CN"/>
              </w:rPr>
              <w:t>语音跳线</w:t>
            </w:r>
          </w:p>
        </w:tc>
        <w:tc>
          <w:tcPr>
            <w:tcW w:w="5032" w:type="dxa"/>
            <w:shd w:val="clear" w:color="auto" w:fill="auto"/>
            <w:vAlign w:val="center"/>
          </w:tcPr>
          <w:p>
            <w:pPr>
              <w:widowControl/>
              <w:spacing w:line="240" w:lineRule="auto"/>
              <w:rPr>
                <w:rFonts w:hint="eastAsia" w:cs="宋体" w:asciiTheme="minorEastAsia" w:hAnsiTheme="minorEastAsia"/>
                <w:kern w:val="0"/>
                <w:szCs w:val="24"/>
              </w:rPr>
            </w:pPr>
            <w:r>
              <w:rPr>
                <w:rFonts w:hint="eastAsia" w:cs="宋体" w:asciiTheme="minorEastAsia" w:hAnsiTheme="minorEastAsia"/>
                <w:kern w:val="0"/>
                <w:szCs w:val="24"/>
              </w:rPr>
              <w:t>单对语音跳线，3m；</w:t>
            </w:r>
          </w:p>
          <w:p>
            <w:pPr>
              <w:widowControl/>
              <w:spacing w:line="240" w:lineRule="auto"/>
              <w:rPr>
                <w:rFonts w:hint="eastAsia" w:cs="宋体" w:asciiTheme="minorEastAsia" w:hAnsiTheme="minorEastAsia"/>
                <w:kern w:val="0"/>
                <w:szCs w:val="24"/>
              </w:rPr>
            </w:pPr>
            <w:r>
              <w:rPr>
                <w:rFonts w:hint="eastAsia" w:cs="宋体" w:asciiTheme="minorEastAsia" w:hAnsiTheme="minorEastAsia"/>
                <w:kern w:val="0"/>
                <w:szCs w:val="24"/>
              </w:rPr>
              <w:t>达到标准TIA/EIA-5688的电气性能标准要求≥1000次插拔；</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低烟无卤。</w:t>
            </w:r>
          </w:p>
        </w:tc>
        <w:tc>
          <w:tcPr>
            <w:tcW w:w="817"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根</w:t>
            </w:r>
          </w:p>
        </w:tc>
        <w:tc>
          <w:tcPr>
            <w:tcW w:w="819" w:type="dxa"/>
            <w:shd w:val="clear" w:color="auto" w:fill="auto"/>
            <w:vAlign w:val="center"/>
          </w:tcPr>
          <w:p>
            <w:pPr>
              <w:widowControl/>
              <w:spacing w:line="240" w:lineRule="auto"/>
              <w:jc w:val="center"/>
              <w:rPr>
                <w:rFonts w:hint="default" w:cs="宋体" w:asciiTheme="minorEastAsia" w:hAnsiTheme="minorEastAsia"/>
                <w:kern w:val="0"/>
                <w:szCs w:val="24"/>
                <w:lang w:val="en-US" w:eastAsia="zh-CN"/>
              </w:rPr>
            </w:pPr>
            <w:r>
              <w:rPr>
                <w:rFonts w:hint="eastAsia" w:cs="宋体" w:asciiTheme="minorEastAsia" w:hAnsiTheme="minorEastAsia"/>
                <w:kern w:val="0"/>
                <w:szCs w:val="24"/>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hint="eastAsia" w:cs="宋体" w:asciiTheme="minorEastAsia" w:hAnsiTheme="minorEastAsia" w:eastAsiaTheme="minorEastAsia"/>
                <w:color w:val="000000"/>
                <w:kern w:val="0"/>
                <w:szCs w:val="24"/>
                <w:lang w:eastAsia="zh-CN"/>
              </w:rPr>
            </w:pPr>
            <w:r>
              <w:rPr>
                <w:rFonts w:hint="eastAsia" w:cs="宋体" w:asciiTheme="minorEastAsia" w:hAnsiTheme="minorEastAsia"/>
                <w:color w:val="000000"/>
                <w:kern w:val="0"/>
                <w:szCs w:val="24"/>
                <w:lang w:val="en-US" w:eastAsia="zh-CN"/>
              </w:rPr>
              <w:t>7</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光纤模块</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规格：</w:t>
            </w:r>
            <w:r>
              <w:rPr>
                <w:rFonts w:hint="eastAsia" w:cs="宋体" w:asciiTheme="minorEastAsia" w:hAnsiTheme="minorEastAsia"/>
                <w:kern w:val="0"/>
                <w:szCs w:val="24"/>
                <w:lang w:val="en-US" w:eastAsia="zh-CN"/>
              </w:rPr>
              <w:t>单</w:t>
            </w:r>
            <w:r>
              <w:rPr>
                <w:rFonts w:hint="eastAsia" w:cs="宋体" w:asciiTheme="minorEastAsia" w:hAnsiTheme="minorEastAsia"/>
                <w:kern w:val="0"/>
                <w:szCs w:val="24"/>
              </w:rPr>
              <w:t>芯单模光纤</w:t>
            </w:r>
            <w:r>
              <w:rPr>
                <w:rFonts w:hint="eastAsia" w:cs="宋体" w:asciiTheme="minorEastAsia" w:hAnsiTheme="minorEastAsia"/>
                <w:kern w:val="0"/>
                <w:szCs w:val="24"/>
                <w:lang w:val="en-US" w:eastAsia="zh-CN"/>
              </w:rPr>
              <w:t>模块</w:t>
            </w:r>
            <w:r>
              <w:rPr>
                <w:rFonts w:hint="eastAsia" w:cs="宋体" w:asciiTheme="minorEastAsia" w:hAnsiTheme="minorEastAsia"/>
                <w:kern w:val="0"/>
                <w:szCs w:val="24"/>
              </w:rPr>
              <w:t>。</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采用氧化锆陶瓷套管材料。</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UPC高精度端面研磨方式。</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既可以安装在配线架，也可以安装在工作区的面板上。</w:t>
            </w:r>
          </w:p>
        </w:tc>
        <w:tc>
          <w:tcPr>
            <w:tcW w:w="817" w:type="dxa"/>
            <w:shd w:val="clear" w:color="auto" w:fill="auto"/>
            <w:vAlign w:val="center"/>
          </w:tcPr>
          <w:p>
            <w:pPr>
              <w:widowControl/>
              <w:spacing w:line="240" w:lineRule="auto"/>
              <w:jc w:val="center"/>
              <w:rPr>
                <w:rFonts w:hint="eastAsia"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个</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hint="eastAsia" w:cs="宋体" w:asciiTheme="minorEastAsia" w:hAnsiTheme="minorEastAsia" w:eastAsiaTheme="minorEastAsia"/>
                <w:color w:val="000000"/>
                <w:kern w:val="0"/>
                <w:szCs w:val="24"/>
                <w:lang w:eastAsia="zh-CN"/>
              </w:rPr>
            </w:pPr>
            <w:r>
              <w:rPr>
                <w:rFonts w:hint="eastAsia" w:cs="宋体" w:asciiTheme="minorEastAsia" w:hAnsiTheme="minorEastAsia"/>
                <w:color w:val="000000"/>
                <w:kern w:val="0"/>
                <w:szCs w:val="24"/>
                <w:lang w:val="en-US" w:eastAsia="zh-CN"/>
              </w:rPr>
              <w:t>8</w:t>
            </w:r>
          </w:p>
        </w:tc>
        <w:tc>
          <w:tcPr>
            <w:tcW w:w="1353" w:type="dxa"/>
            <w:shd w:val="clear" w:color="auto" w:fill="auto"/>
            <w:vAlign w:val="center"/>
          </w:tcPr>
          <w:p>
            <w:pPr>
              <w:widowControl/>
              <w:spacing w:line="240" w:lineRule="auto"/>
              <w:jc w:val="left"/>
              <w:rPr>
                <w:rFonts w:hint="eastAsia"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光纤跳线</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规格：单模LC低烟无卤光纤尾纤（</w:t>
            </w:r>
            <w:r>
              <w:rPr>
                <w:rFonts w:hint="eastAsia" w:cs="宋体" w:asciiTheme="minorEastAsia" w:hAnsiTheme="minorEastAsia"/>
                <w:kern w:val="0"/>
                <w:szCs w:val="24"/>
                <w:lang w:val="en-US" w:eastAsia="zh-CN"/>
              </w:rPr>
              <w:t>3</w:t>
            </w:r>
            <w:r>
              <w:rPr>
                <w:rFonts w:hint="eastAsia" w:cs="宋体" w:asciiTheme="minorEastAsia" w:hAnsiTheme="minorEastAsia"/>
                <w:kern w:val="0"/>
                <w:szCs w:val="24"/>
              </w:rPr>
              <w:t>米）。</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UPC高精度端面研磨方式。</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外皮护套：LSZH低烟无卤。</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插入损耗：ST&amp;SC≤0.3dB、LC≤0.2dB；回波损耗ST&amp;SC≥30dB、LC≥30dB。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弯曲半径：≥5.8cm。</w:t>
            </w:r>
          </w:p>
        </w:tc>
        <w:tc>
          <w:tcPr>
            <w:tcW w:w="817" w:type="dxa"/>
            <w:shd w:val="clear" w:color="auto" w:fill="auto"/>
            <w:vAlign w:val="center"/>
          </w:tcPr>
          <w:p>
            <w:pPr>
              <w:widowControl/>
              <w:spacing w:line="240" w:lineRule="auto"/>
              <w:jc w:val="center"/>
              <w:rPr>
                <w:rFonts w:hint="eastAsia"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对</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457" w:type="dxa"/>
            <w:shd w:val="clear" w:color="auto" w:fill="auto"/>
            <w:vAlign w:val="center"/>
          </w:tcPr>
          <w:p>
            <w:pPr>
              <w:widowControl/>
              <w:spacing w:line="240" w:lineRule="auto"/>
              <w:jc w:val="center"/>
              <w:rPr>
                <w:rFonts w:hint="eastAsia" w:cs="宋体" w:asciiTheme="minorEastAsia" w:hAnsiTheme="minorEastAsia" w:eastAsiaTheme="minorEastAsia"/>
                <w:color w:val="000000"/>
                <w:kern w:val="0"/>
                <w:szCs w:val="24"/>
                <w:lang w:eastAsia="zh-CN"/>
              </w:rPr>
            </w:pPr>
            <w:r>
              <w:rPr>
                <w:rFonts w:hint="eastAsia" w:cs="宋体" w:asciiTheme="minorEastAsia" w:hAnsiTheme="minorEastAsia"/>
                <w:color w:val="000000"/>
                <w:kern w:val="0"/>
                <w:szCs w:val="24"/>
                <w:lang w:val="en-US" w:eastAsia="zh-CN"/>
              </w:rPr>
              <w:t>9</w:t>
            </w:r>
          </w:p>
        </w:tc>
        <w:tc>
          <w:tcPr>
            <w:tcW w:w="1353" w:type="dxa"/>
            <w:shd w:val="clear" w:color="auto" w:fill="auto"/>
            <w:vAlign w:val="center"/>
          </w:tcPr>
          <w:p>
            <w:pPr>
              <w:widowControl/>
              <w:spacing w:line="240" w:lineRule="auto"/>
              <w:jc w:val="left"/>
              <w:rPr>
                <w:rFonts w:cs="宋体" w:asciiTheme="minorEastAsia" w:hAnsiTheme="minorEastAsia" w:eastAsiaTheme="minorEastAsia"/>
                <w:kern w:val="0"/>
                <w:sz w:val="24"/>
                <w:szCs w:val="24"/>
                <w:lang w:val="en-US" w:eastAsia="zh-CN" w:bidi="ar-SA"/>
              </w:rPr>
            </w:pPr>
            <w:r>
              <w:rPr>
                <w:rFonts w:hint="eastAsia" w:cs="宋体" w:asciiTheme="minorEastAsia" w:hAnsiTheme="minorEastAsia"/>
                <w:kern w:val="0"/>
                <w:szCs w:val="24"/>
              </w:rPr>
              <w:t>LC室内光纤尾纤</w:t>
            </w:r>
          </w:p>
        </w:tc>
        <w:tc>
          <w:tcPr>
            <w:tcW w:w="5032" w:type="dxa"/>
            <w:shd w:val="clear" w:color="000000" w:fill="FFFFFF"/>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规格：单模LC低烟无卤光纤尾纤（1米）。</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UPC高精度端面研磨方式。</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外皮护套：LSZH低烟无卤。</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插入损耗：ST&amp;SC≤0.3dB、LC≤0.2dB；回波损耗ST&amp;SC≥30dB、LC≥30dB。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弯曲半径：≥5.8cm。</w:t>
            </w:r>
          </w:p>
        </w:tc>
        <w:tc>
          <w:tcPr>
            <w:tcW w:w="817" w:type="dxa"/>
            <w:shd w:val="clear" w:color="auto" w:fill="auto"/>
            <w:vAlign w:val="center"/>
          </w:tcPr>
          <w:p>
            <w:pPr>
              <w:widowControl/>
              <w:spacing w:line="240" w:lineRule="auto"/>
              <w:jc w:val="center"/>
              <w:rPr>
                <w:rFonts w:hint="eastAsia"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 xml:space="preserve">        根</w:t>
            </w:r>
          </w:p>
        </w:tc>
        <w:tc>
          <w:tcPr>
            <w:tcW w:w="819" w:type="dxa"/>
            <w:shd w:val="clear" w:color="000000" w:fill="FFFFFF"/>
            <w:vAlign w:val="center"/>
          </w:tcPr>
          <w:p>
            <w:pPr>
              <w:widowControl/>
              <w:spacing w:line="240" w:lineRule="auto"/>
              <w:jc w:val="center"/>
              <w:rPr>
                <w:rFonts w:hint="eastAsia" w:cs="宋体" w:asciiTheme="minorEastAsia" w:hAnsiTheme="minorEastAsia"/>
                <w:kern w:val="0"/>
                <w:szCs w:val="24"/>
                <w:lang w:val="en-US" w:eastAsia="zh-CN"/>
              </w:rPr>
            </w:pPr>
          </w:p>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hint="default" w:cs="宋体" w:asciiTheme="minorEastAsia" w:hAnsiTheme="minorEastAsia" w:eastAsiaTheme="minorEastAsia"/>
                <w:color w:val="000000"/>
                <w:kern w:val="0"/>
                <w:szCs w:val="24"/>
                <w:lang w:val="en-US" w:eastAsia="zh-CN"/>
              </w:rPr>
            </w:pPr>
            <w:r>
              <w:rPr>
                <w:rFonts w:hint="eastAsia" w:cs="宋体" w:asciiTheme="minorEastAsia" w:hAnsiTheme="minorEastAsia"/>
                <w:color w:val="000000"/>
                <w:kern w:val="0"/>
                <w:szCs w:val="24"/>
                <w:lang w:val="en-US" w:eastAsia="zh-CN"/>
              </w:rPr>
              <w:t>10</w:t>
            </w:r>
          </w:p>
        </w:tc>
        <w:tc>
          <w:tcPr>
            <w:tcW w:w="1353" w:type="dxa"/>
            <w:shd w:val="clear" w:color="auto" w:fill="auto"/>
            <w:vAlign w:val="center"/>
          </w:tcPr>
          <w:p>
            <w:pPr>
              <w:widowControl/>
              <w:spacing w:line="240" w:lineRule="auto"/>
              <w:jc w:val="left"/>
              <w:rPr>
                <w:rFonts w:cs="宋体" w:asciiTheme="minorEastAsia" w:hAnsiTheme="minorEastAsia" w:eastAsiaTheme="minorEastAsia"/>
                <w:kern w:val="0"/>
                <w:sz w:val="24"/>
                <w:szCs w:val="24"/>
                <w:lang w:val="en-US" w:eastAsia="zh-CN" w:bidi="ar-SA"/>
              </w:rPr>
            </w:pPr>
            <w:r>
              <w:rPr>
                <w:rFonts w:hint="eastAsia" w:cs="宋体" w:asciiTheme="minorEastAsia" w:hAnsiTheme="minorEastAsia"/>
                <w:kern w:val="0"/>
                <w:szCs w:val="24"/>
              </w:rPr>
              <w:t>光纤熔接</w:t>
            </w:r>
          </w:p>
        </w:tc>
        <w:tc>
          <w:tcPr>
            <w:tcW w:w="5032" w:type="dxa"/>
            <w:shd w:val="clear" w:color="000000" w:fill="FFFFFF"/>
            <w:vAlign w:val="center"/>
          </w:tcPr>
          <w:p>
            <w:pPr>
              <w:widowControl/>
              <w:spacing w:line="240" w:lineRule="auto"/>
              <w:jc w:val="left"/>
              <w:rPr>
                <w:rFonts w:cs="宋体" w:asciiTheme="minorEastAsia" w:hAnsiTheme="minorEastAsia"/>
                <w:kern w:val="0"/>
                <w:szCs w:val="24"/>
              </w:rPr>
            </w:pPr>
          </w:p>
        </w:tc>
        <w:tc>
          <w:tcPr>
            <w:tcW w:w="817" w:type="dxa"/>
            <w:shd w:val="clear" w:color="auto" w:fill="auto"/>
            <w:vAlign w:val="center"/>
          </w:tcPr>
          <w:p>
            <w:pPr>
              <w:widowControl/>
              <w:spacing w:line="240" w:lineRule="auto"/>
              <w:jc w:val="center"/>
              <w:rPr>
                <w:rFonts w:hint="eastAsia"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芯</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hint="default" w:cs="宋体" w:asciiTheme="minorEastAsia" w:hAnsiTheme="minorEastAsia" w:eastAsiaTheme="minorEastAsia"/>
                <w:color w:val="000000"/>
                <w:kern w:val="0"/>
                <w:szCs w:val="24"/>
                <w:lang w:val="en-US" w:eastAsia="zh-CN"/>
              </w:rPr>
            </w:pPr>
            <w:r>
              <w:rPr>
                <w:rFonts w:hint="eastAsia" w:cs="宋体" w:asciiTheme="minorEastAsia" w:hAnsiTheme="minorEastAsia"/>
                <w:color w:val="000000"/>
                <w:kern w:val="0"/>
                <w:szCs w:val="24"/>
                <w:lang w:val="en-US" w:eastAsia="zh-CN"/>
              </w:rPr>
              <w:t>11</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pvc线管</w:t>
            </w:r>
          </w:p>
        </w:tc>
        <w:tc>
          <w:tcPr>
            <w:tcW w:w="5032" w:type="dxa"/>
            <w:shd w:val="clear" w:color="auto" w:fill="auto"/>
            <w:vAlign w:val="center"/>
          </w:tcPr>
          <w:p>
            <w:pPr>
              <w:widowControl/>
              <w:spacing w:line="240" w:lineRule="auto"/>
              <w:jc w:val="left"/>
              <w:rPr>
                <w:rFonts w:cs="宋体" w:asciiTheme="minorEastAsia" w:hAnsiTheme="minorEastAsia"/>
                <w:kern w:val="0"/>
                <w:szCs w:val="24"/>
              </w:rPr>
            </w:pPr>
          </w:p>
        </w:tc>
        <w:tc>
          <w:tcPr>
            <w:tcW w:w="817" w:type="dxa"/>
            <w:shd w:val="clear" w:color="auto" w:fill="auto"/>
            <w:vAlign w:val="center"/>
          </w:tcPr>
          <w:p>
            <w:pPr>
              <w:widowControl/>
              <w:spacing w:line="240" w:lineRule="auto"/>
              <w:jc w:val="center"/>
              <w:rPr>
                <w:rFonts w:hint="eastAsia"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米</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hint="default" w:cs="宋体" w:asciiTheme="minorEastAsia" w:hAnsiTheme="minorEastAsia" w:eastAsiaTheme="minorEastAsia"/>
                <w:color w:val="000000"/>
                <w:kern w:val="0"/>
                <w:szCs w:val="24"/>
                <w:lang w:val="en-US" w:eastAsia="zh-CN"/>
              </w:rPr>
            </w:pPr>
            <w:r>
              <w:rPr>
                <w:rFonts w:hint="eastAsia" w:cs="宋体" w:asciiTheme="minorEastAsia" w:hAnsiTheme="minorEastAsia"/>
                <w:color w:val="000000"/>
                <w:kern w:val="0"/>
                <w:szCs w:val="24"/>
                <w:lang w:val="en-US" w:eastAsia="zh-CN"/>
              </w:rPr>
              <w:t>12</w:t>
            </w:r>
          </w:p>
        </w:tc>
        <w:tc>
          <w:tcPr>
            <w:tcW w:w="1353" w:type="dxa"/>
            <w:shd w:val="clear" w:color="auto" w:fill="auto"/>
            <w:vAlign w:val="center"/>
          </w:tcPr>
          <w:p>
            <w:pPr>
              <w:widowControl/>
              <w:spacing w:line="240" w:lineRule="auto"/>
              <w:jc w:val="left"/>
              <w:rPr>
                <w:rFonts w:hint="eastAsia" w:cs="宋体" w:asciiTheme="minorEastAsia" w:hAnsiTheme="minorEastAsia"/>
                <w:kern w:val="0"/>
                <w:szCs w:val="24"/>
                <w:lang w:val="en-US" w:eastAsia="zh-CN"/>
              </w:rPr>
            </w:pPr>
            <w:r>
              <w:rPr>
                <w:rFonts w:hint="eastAsia" w:cs="宋体" w:asciiTheme="minorEastAsia" w:hAnsiTheme="minorEastAsia"/>
                <w:kern w:val="0"/>
                <w:szCs w:val="24"/>
                <w:lang w:val="en-US" w:eastAsia="zh-CN"/>
              </w:rPr>
              <w:t>墙面开槽</w:t>
            </w:r>
          </w:p>
        </w:tc>
        <w:tc>
          <w:tcPr>
            <w:tcW w:w="5032" w:type="dxa"/>
            <w:shd w:val="clear" w:color="auto" w:fill="auto"/>
            <w:vAlign w:val="center"/>
          </w:tcPr>
          <w:p>
            <w:pPr>
              <w:widowControl/>
              <w:spacing w:line="240" w:lineRule="auto"/>
              <w:jc w:val="left"/>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墙面开槽、穿线、恢复工作，配套水晶头、扎带、卡钉、pvc槽道等辅材。</w:t>
            </w:r>
          </w:p>
        </w:tc>
        <w:tc>
          <w:tcPr>
            <w:tcW w:w="817" w:type="dxa"/>
            <w:shd w:val="clear" w:color="auto" w:fill="auto"/>
            <w:vAlign w:val="center"/>
          </w:tcPr>
          <w:p>
            <w:pPr>
              <w:widowControl/>
              <w:spacing w:line="240" w:lineRule="auto"/>
              <w:jc w:val="center"/>
              <w:rPr>
                <w:rFonts w:hint="eastAsia"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米</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二</w:t>
            </w:r>
          </w:p>
        </w:tc>
        <w:tc>
          <w:tcPr>
            <w:tcW w:w="1353"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水平区子系统</w:t>
            </w:r>
          </w:p>
        </w:tc>
        <w:tc>
          <w:tcPr>
            <w:tcW w:w="5032"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c>
          <w:tcPr>
            <w:tcW w:w="817"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c>
          <w:tcPr>
            <w:tcW w:w="819"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1</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6类4对室内非屏蔽数据双绞线</w:t>
            </w:r>
          </w:p>
        </w:tc>
        <w:tc>
          <w:tcPr>
            <w:tcW w:w="503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规格：六类四对非屏蔽双绞线，采用“中心十字骨架”技术</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芯线规格：23AWG的无氧铜</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芯线对数：4对，每芯带有彩色护套</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护套材料：LSZH。</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标准：ISO/IEC11801TIA/EIA568B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带宽：≥250MHz，测试带宽达到550MHz</w:t>
            </w:r>
            <w:r>
              <w:rPr>
                <w:rFonts w:hint="eastAsia" w:cs="宋体" w:asciiTheme="minorEastAsia" w:hAnsiTheme="minorEastAsia"/>
                <w:kern w:val="0"/>
                <w:szCs w:val="24"/>
                <w:lang w:eastAsia="zh-CN"/>
              </w:rPr>
              <w:t>，</w:t>
            </w:r>
            <w:r>
              <w:rPr>
                <w:rFonts w:hint="eastAsia" w:cs="宋体" w:asciiTheme="minorEastAsia" w:hAnsiTheme="minorEastAsia"/>
                <w:kern w:val="0"/>
                <w:szCs w:val="24"/>
                <w:lang w:val="en-US" w:eastAsia="zh-CN"/>
              </w:rPr>
              <w:t>满足1000兆数据传输。</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箱/305m</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hint="eastAsia" w:cs="宋体" w:asciiTheme="minorEastAsia" w:hAnsiTheme="minorEastAsia" w:eastAsiaTheme="minorEastAsia"/>
                <w:color w:val="000000"/>
                <w:kern w:val="0"/>
                <w:sz w:val="24"/>
                <w:szCs w:val="24"/>
                <w:lang w:val="en-US" w:eastAsia="zh-CN" w:bidi="ar-SA"/>
              </w:rPr>
            </w:pPr>
          </w:p>
        </w:tc>
        <w:tc>
          <w:tcPr>
            <w:tcW w:w="1353" w:type="dxa"/>
            <w:shd w:val="clear" w:color="auto" w:fill="auto"/>
            <w:vAlign w:val="center"/>
          </w:tcPr>
          <w:p>
            <w:pPr>
              <w:widowControl/>
              <w:spacing w:line="240" w:lineRule="auto"/>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Cs w:val="24"/>
                <w:lang w:val="en-US" w:eastAsia="zh-CN"/>
              </w:rPr>
              <w:t>2芯电话线</w:t>
            </w:r>
          </w:p>
        </w:tc>
        <w:tc>
          <w:tcPr>
            <w:tcW w:w="5032" w:type="dxa"/>
            <w:shd w:val="clear" w:color="auto" w:fill="auto"/>
            <w:vAlign w:val="center"/>
          </w:tcPr>
          <w:p>
            <w:pPr>
              <w:widowControl/>
              <w:spacing w:line="240" w:lineRule="auto"/>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Cs w:val="24"/>
                <w:lang w:val="en-US" w:eastAsia="zh-CN"/>
              </w:rPr>
              <w:t>传输频率≥16MHz；导体材料采用优质无氧铜，绝缘材料采用优质高密度聚乙烯（HDPE），厚度0.195mm；护套材料采用优质PVC塑料，厚度为0.55±0.05mm，电缆外径为3.1±0.1mm。</w:t>
            </w:r>
          </w:p>
        </w:tc>
        <w:tc>
          <w:tcPr>
            <w:tcW w:w="817" w:type="dxa"/>
            <w:shd w:val="clear" w:color="auto" w:fill="auto"/>
            <w:vAlign w:val="center"/>
          </w:tcPr>
          <w:p>
            <w:pPr>
              <w:widowControl/>
              <w:spacing w:line="240" w:lineRule="auto"/>
              <w:jc w:val="center"/>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Cs w:val="24"/>
                <w:lang w:val="en-US" w:eastAsia="zh-CN"/>
              </w:rPr>
              <w:t>轴（305米每轴）</w:t>
            </w:r>
          </w:p>
        </w:tc>
        <w:tc>
          <w:tcPr>
            <w:tcW w:w="819" w:type="dxa"/>
            <w:shd w:val="clear" w:color="auto" w:fill="auto"/>
            <w:vAlign w:val="center"/>
          </w:tcPr>
          <w:p>
            <w:pPr>
              <w:widowControl/>
              <w:spacing w:line="240" w:lineRule="auto"/>
              <w:jc w:val="center"/>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2</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室内</w:t>
            </w:r>
            <w:r>
              <w:rPr>
                <w:rFonts w:hint="eastAsia" w:cs="宋体" w:asciiTheme="minorEastAsia" w:hAnsiTheme="minorEastAsia"/>
                <w:kern w:val="0"/>
                <w:szCs w:val="24"/>
                <w:lang w:val="en-US" w:eastAsia="zh-CN"/>
              </w:rPr>
              <w:t>4</w:t>
            </w:r>
            <w:r>
              <w:rPr>
                <w:rFonts w:hint="eastAsia" w:cs="宋体" w:asciiTheme="minorEastAsia" w:hAnsiTheme="minorEastAsia"/>
                <w:kern w:val="0"/>
                <w:szCs w:val="24"/>
              </w:rPr>
              <w:t>芯</w:t>
            </w:r>
            <w:r>
              <w:rPr>
                <w:rFonts w:hint="eastAsia" w:cs="宋体" w:asciiTheme="minorEastAsia" w:hAnsiTheme="minorEastAsia"/>
                <w:kern w:val="0"/>
                <w:szCs w:val="24"/>
                <w:lang w:val="en-US" w:eastAsia="zh-CN"/>
              </w:rPr>
              <w:t>单</w:t>
            </w:r>
            <w:r>
              <w:rPr>
                <w:rFonts w:hint="eastAsia" w:cs="宋体" w:asciiTheme="minorEastAsia" w:hAnsiTheme="minorEastAsia"/>
                <w:kern w:val="0"/>
                <w:szCs w:val="24"/>
              </w:rPr>
              <w:t>模光纤</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室内单模光纤,4芯。</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芯数：4芯，每芯带有彩色编码护套</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护套：护套材料LSZH低烟无卤，具有阻燃性，无烟、无味、无毒等优点。</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标准：符合FDDI标准。</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9/125µm单模系列的光纤，符合国际TIA/EIA-568-B.3标准。</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护套材料LSZH低烟无卤，具有阻燃性，无烟、无味、无毒等优点。</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光纤和线缆子单元有彩色编码，方便识别。</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全绝缘构造，无需接地和担心光缆被雷击。</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米</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57"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三</w:t>
            </w:r>
          </w:p>
        </w:tc>
        <w:tc>
          <w:tcPr>
            <w:tcW w:w="1353"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管理间子系统</w:t>
            </w:r>
          </w:p>
        </w:tc>
        <w:tc>
          <w:tcPr>
            <w:tcW w:w="5032"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c>
          <w:tcPr>
            <w:tcW w:w="817"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c>
          <w:tcPr>
            <w:tcW w:w="819"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1</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6类24口非屏蔽快接数据配线架</w:t>
            </w:r>
          </w:p>
        </w:tc>
        <w:tc>
          <w:tcPr>
            <w:tcW w:w="5032" w:type="dxa"/>
            <w:shd w:val="clear" w:color="000000" w:fill="FFFFFF"/>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规格：EIA/TIA-568-B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规格：24口模块化通用型配线架，同时支持超五类和六类RJ45模块的配用。插拨式的模块化设计，每个模块可单独拔插，可随时调换出现问题模块，同时可提供不同颜色模块</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端接：配线架模块IDC4对端子按45度对斜角(X)形排列，能更好的和线缆配合，达到更高的传输性能</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结构：配套非屏蔽180度模块独特的前端RJ45口防尘盖设计，能防止灰尘，保证连接的可靠性；在插针上采用了弧度交错式设计，有效的减少串音；接触插针以100μ镍为底层，镀金50μ处理；</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标识：正面直观的分组标签区且能更换标签</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理线：配备后侧可拆卸理线支架，用于捆扎固定线缆，并确保应力消除</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外壳材料为PC阻燃级材料，设计简洁，对于各种线缆提供灵活、有效和安全的管理</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配线架理线器用于水平线缆及跳线、插线的整理、固定和维护</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配线架理线器符合1U机柜安装尺寸，标准19英寸机柜安装</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2</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光纤配线架</w:t>
            </w:r>
          </w:p>
        </w:tc>
        <w:tc>
          <w:tcPr>
            <w:tcW w:w="503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规格：EIA/TIA-568-B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安装：19”机柜式安装，滑轨式</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材料：镀锌喷塑壳体，结构牢固，美观大方</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结构：模块化结构，可灵活配置ST、SC、LC、FC等多种类型的光纤适配器及单双工适配器面扳</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3</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光纤配线架-配套面板</w:t>
            </w:r>
          </w:p>
        </w:tc>
        <w:tc>
          <w:tcPr>
            <w:tcW w:w="503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24口LC双工光纤配线架面板标准：EIA/TIA-568-B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安装：19”机柜式安装，滑轨式</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材料：镀锌喷塑壳体，结构牢固，美观大方</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结构：模块化结构，可灵活配置ST、SC、LC、FC等多种类型的光纤适配器及单双工适配器面扳</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4</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光纤配线架-耦合器</w:t>
            </w:r>
          </w:p>
        </w:tc>
        <w:tc>
          <w:tcPr>
            <w:tcW w:w="503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规格：</w:t>
            </w:r>
            <w:r>
              <w:rPr>
                <w:rFonts w:hint="eastAsia" w:cs="宋体" w:asciiTheme="minorEastAsia" w:hAnsiTheme="minorEastAsia"/>
                <w:kern w:val="0"/>
                <w:szCs w:val="24"/>
                <w:lang w:val="en-US" w:eastAsia="zh-CN"/>
              </w:rPr>
              <w:t>四</w:t>
            </w:r>
            <w:r>
              <w:rPr>
                <w:rFonts w:hint="eastAsia" w:cs="宋体" w:asciiTheme="minorEastAsia" w:hAnsiTheme="minorEastAsia"/>
                <w:kern w:val="0"/>
                <w:szCs w:val="24"/>
              </w:rPr>
              <w:t>芯多模光纤耦合器。</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采用氧化锆陶瓷套管材料。</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UPC高精度端面研磨方式。</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既可以安装在配线架，也可以安装在工作区的面板上。</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插入耗损≤0.20dB，回波损耗≥50dB。</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5</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LC-LC室内光纤跳线</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规格：</w:t>
            </w:r>
            <w:r>
              <w:rPr>
                <w:rFonts w:hint="eastAsia" w:cs="宋体" w:asciiTheme="minorEastAsia" w:hAnsiTheme="minorEastAsia"/>
                <w:kern w:val="0"/>
                <w:szCs w:val="24"/>
                <w:lang w:val="en-US" w:eastAsia="zh-CN"/>
              </w:rPr>
              <w:t>四</w:t>
            </w:r>
            <w:r>
              <w:rPr>
                <w:rFonts w:hint="eastAsia" w:cs="宋体" w:asciiTheme="minorEastAsia" w:hAnsiTheme="minorEastAsia"/>
                <w:kern w:val="0"/>
                <w:szCs w:val="24"/>
              </w:rPr>
              <w:t>芯单模低烟无卤光纤跳线（3米）。UPC高精度端面研磨方式。</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外皮护套：LSZH低烟无卤。</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插入损耗：ST&amp;SC≤0.3dB、LC≤0.2dB；回波损耗ST&amp;SC≥30dB、LC≥30dB。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弯曲半径：≥5.8cm。</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对</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6</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LC室内光纤尾纤</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规格：单模LC低烟无卤光纤尾纤（1米）。</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UPC高精度端面研磨方式。</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外皮护套：LSZH低烟无卤。</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插入损耗：ST&amp;SC≤0.3dB、LC≤0.2dB；回波损耗ST&amp;SC≥30dB、LC≥30dB。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弯曲半径：≥5.8cm。</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根</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7</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光纤熔接</w:t>
            </w:r>
          </w:p>
        </w:tc>
        <w:tc>
          <w:tcPr>
            <w:tcW w:w="503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　</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芯</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8</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室内6类非屏蔽数据跳线</w:t>
            </w:r>
          </w:p>
        </w:tc>
        <w:tc>
          <w:tcPr>
            <w:tcW w:w="5032" w:type="dxa"/>
            <w:shd w:val="clear" w:color="000000" w:fill="FFFFFF"/>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规格：六类非屏蔽RJ45低烟无卤跳线(3米）。</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所有的配线及跳线都予以标识，并单独编号。</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所有跳线的两端须具有接头护套。为多股软跳线。</w:t>
            </w:r>
          </w:p>
          <w:p>
            <w:pPr>
              <w:widowControl/>
              <w:spacing w:line="240" w:lineRule="auto"/>
              <w:jc w:val="left"/>
              <w:rPr>
                <w:rFonts w:hint="eastAsia" w:cs="宋体" w:asciiTheme="minorEastAsia" w:hAnsiTheme="minorEastAsia" w:eastAsiaTheme="minorEastAsia"/>
                <w:kern w:val="0"/>
                <w:szCs w:val="24"/>
                <w:lang w:eastAsia="zh-CN"/>
              </w:rPr>
            </w:pPr>
            <w:r>
              <w:rPr>
                <w:rFonts w:hint="eastAsia" w:cs="宋体" w:asciiTheme="minorEastAsia" w:hAnsiTheme="minorEastAsia"/>
                <w:kern w:val="0"/>
                <w:szCs w:val="24"/>
              </w:rPr>
              <w:t>触点材料：磷青铜，有50μm镀金层和100μm镀镍层</w:t>
            </w:r>
            <w:r>
              <w:rPr>
                <w:rFonts w:hint="eastAsia" w:cs="宋体" w:asciiTheme="minorEastAsia" w:hAnsiTheme="minorEastAsia"/>
                <w:kern w:val="0"/>
                <w:szCs w:val="24"/>
                <w:lang w:eastAsia="zh-CN"/>
              </w:rPr>
              <w:t>。</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线缆管理系统应完备详细，以确保跳线能够快速容易地进行。</w:t>
            </w:r>
          </w:p>
          <w:p>
            <w:pPr>
              <w:widowControl/>
              <w:spacing w:line="240" w:lineRule="auto"/>
              <w:jc w:val="left"/>
              <w:rPr>
                <w:rFonts w:hint="eastAsia" w:cs="宋体" w:asciiTheme="minorEastAsia" w:hAnsiTheme="minorEastAsia" w:eastAsiaTheme="minorEastAsia"/>
                <w:kern w:val="0"/>
                <w:szCs w:val="24"/>
                <w:lang w:eastAsia="zh-CN"/>
              </w:rPr>
            </w:pPr>
            <w:r>
              <w:rPr>
                <w:rFonts w:hint="eastAsia" w:cs="宋体" w:asciiTheme="minorEastAsia" w:hAnsiTheme="minorEastAsia"/>
                <w:kern w:val="0"/>
                <w:szCs w:val="24"/>
              </w:rPr>
              <w:t>外皮材质：LSZH低烟无卤</w:t>
            </w:r>
            <w:r>
              <w:rPr>
                <w:rFonts w:hint="eastAsia" w:cs="宋体" w:asciiTheme="minorEastAsia" w:hAnsiTheme="minorEastAsia"/>
                <w:kern w:val="0"/>
                <w:szCs w:val="24"/>
                <w:lang w:eastAsia="zh-CN"/>
              </w:rPr>
              <w:t>。</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根</w:t>
            </w:r>
          </w:p>
        </w:tc>
        <w:tc>
          <w:tcPr>
            <w:tcW w:w="819"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9</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110配线架</w:t>
            </w:r>
          </w:p>
        </w:tc>
        <w:tc>
          <w:tcPr>
            <w:tcW w:w="503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规格：100对，含连接模块背板安装，外壳材料：PC阻燃</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标准的T568A和T568B线序，</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11</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机柜</w:t>
            </w:r>
          </w:p>
        </w:tc>
        <w:tc>
          <w:tcPr>
            <w:tcW w:w="503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　</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台</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四</w:t>
            </w:r>
          </w:p>
        </w:tc>
        <w:tc>
          <w:tcPr>
            <w:tcW w:w="1353"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主干子系统</w:t>
            </w:r>
          </w:p>
        </w:tc>
        <w:tc>
          <w:tcPr>
            <w:tcW w:w="5032"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c>
          <w:tcPr>
            <w:tcW w:w="817"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c>
          <w:tcPr>
            <w:tcW w:w="819"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color w:val="000000"/>
                <w:kern w:val="0"/>
                <w:szCs w:val="24"/>
              </w:rPr>
              <w:t>1</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室内12芯单模光缆</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室内单模光纤,12芯。</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芯数：12芯，每芯带有彩色编码护套</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护套：护套材料LSZH低烟无卤，具有阻燃性，无烟、无味、无毒等优点。</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标准：符合FDDI标准。</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9/125µm单模系列的光纤，符合国际TIA/EIA-568-B.3标准。</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护套材料LSZH低烟无卤，具有阻燃性，无烟、无味、无毒等优点。</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光纤和线缆子单元有彩色编码，方便识别。</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全绝缘构造，无需接地和担心光缆被雷击。</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米</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kern w:val="0"/>
                <w:szCs w:val="24"/>
              </w:rPr>
              <w:t>2</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三类50对室内大对数</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三类50对室内规格：低烟无卤。</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测试到25MHz，系统应用提供至少16MHz带宽。</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紧小的外径尺寸使其具有稳定的电缆结构，防止安装中电缆扭曲和打结。</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线芯材料：无氧铜。</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绝缘材料：PE(高密度聚乙烯)。</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护套材料：LSZH。</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操作温度：-10至50℃。</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特性阻抗：100±15Ω。</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米</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kern w:val="0"/>
                <w:szCs w:val="24"/>
              </w:rPr>
              <w:t>3</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三类100对室内大对数</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三类100对室内规格：低烟无卤。</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测试到25MHz，系统应用提供至少16MHz带宽。</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紧小的外径尺寸使其具有稳定的电缆结构，防止安装中电缆扭曲和打结。</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线芯材料：无氧铜。</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绝缘材料：PE(高密度聚乙烯)。</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护套材料：LSZH。</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操作温度：-10至50℃。</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特性阻抗：100±15Ω。</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米</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五</w:t>
            </w:r>
          </w:p>
        </w:tc>
        <w:tc>
          <w:tcPr>
            <w:tcW w:w="1353"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设备间子系统</w:t>
            </w:r>
          </w:p>
        </w:tc>
        <w:tc>
          <w:tcPr>
            <w:tcW w:w="5032"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c>
          <w:tcPr>
            <w:tcW w:w="817"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c>
          <w:tcPr>
            <w:tcW w:w="819"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kern w:val="0"/>
                <w:szCs w:val="24"/>
              </w:rPr>
              <w:t>1</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光纤配线架</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规格：EIA/TIA-568-B</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安装：19”机柜式安装，滑轨式</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材料：镀锌喷塑壳体，结构牢固，美观大方</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结构：模块化结构，可灵活配置ST、SC、LC、FC等多种类型的光纤适配器及单双工适配器面扳</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kern w:val="0"/>
                <w:szCs w:val="24"/>
              </w:rPr>
              <w:t>2</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光纤配线架-配套面板</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24口LC双工光纤配线架面板标准：EIA/TIA-568-B</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安装：19”机柜式安装，滑轨式</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材料：镀锌喷塑壳体，结构牢固，美观大方</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结构：模块化结构，可灵活配置ST、SC、LC、FC等多种类型的光纤适配器及单双工适配器面扳</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kern w:val="0"/>
                <w:szCs w:val="24"/>
              </w:rPr>
              <w:t>3</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光纤配线架-耦合器</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规格：LC-LC双芯单模光</w:t>
            </w:r>
            <w:r>
              <w:rPr>
                <w:rFonts w:hint="eastAsia" w:cs="宋体" w:asciiTheme="minorEastAsia" w:hAnsiTheme="minorEastAsia"/>
                <w:kern w:val="0"/>
                <w:sz w:val="22"/>
                <w:szCs w:val="22"/>
              </w:rPr>
              <w:t>纤耦</w:t>
            </w:r>
            <w:r>
              <w:rPr>
                <w:rFonts w:hint="eastAsia" w:cs="宋体" w:asciiTheme="minorEastAsia" w:hAnsiTheme="minorEastAsia"/>
                <w:kern w:val="0"/>
                <w:szCs w:val="24"/>
              </w:rPr>
              <w:t>合器。</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采用氧化锆陶瓷套管材料。</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UPC高精度端面研磨方式。</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既可以安装在配线架，也可以安装在工作区的面板上。</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插入耗损≤0.20dB，回波损耗≥50dB。</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kern w:val="0"/>
                <w:szCs w:val="24"/>
              </w:rPr>
              <w:t>4</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LC-LC室内光纤跳线</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规格：双芯单模LC-LC低烟无卤光纤跳线（3米）。UPC高精度端面研磨方式。</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外皮护套：LSZH低烟无卤。</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插入损耗：ST&amp;SC≤0.3dB、LC≤0.2dB；回波损耗ST&amp;SC≥30dB、LC≥30dB。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弯曲半径：≥5.8cm。</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对</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kern w:val="0"/>
                <w:szCs w:val="24"/>
              </w:rPr>
              <w:t>5</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LC室内光纤尾纤</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规格：单模LC低烟无卤光纤尾纤（1米）。</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UPC高精度端面研磨方式。</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外皮护套：LSZH低烟无卤。</w:t>
            </w:r>
          </w:p>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插入损耗：ST&amp;SC≤0.3dB、LC≤0.2dB；回波损耗ST&amp;SC≥30dB、LC≥30dB。</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弯曲半径：≥5.8cm。</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根</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kern w:val="0"/>
                <w:szCs w:val="24"/>
              </w:rPr>
              <w:t>6</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光纤熔接</w:t>
            </w:r>
          </w:p>
        </w:tc>
        <w:tc>
          <w:tcPr>
            <w:tcW w:w="503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　</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芯</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7" w:type="dxa"/>
            <w:shd w:val="clear" w:color="auto" w:fill="auto"/>
            <w:vAlign w:val="center"/>
          </w:tcPr>
          <w:p>
            <w:pPr>
              <w:widowControl/>
              <w:spacing w:line="240" w:lineRule="auto"/>
              <w:jc w:val="center"/>
              <w:rPr>
                <w:rFonts w:cs="宋体" w:asciiTheme="minorEastAsia" w:hAnsiTheme="minorEastAsia"/>
                <w:color w:val="000000"/>
                <w:kern w:val="0"/>
                <w:szCs w:val="24"/>
              </w:rPr>
            </w:pPr>
            <w:r>
              <w:rPr>
                <w:rFonts w:hint="eastAsia" w:cs="宋体" w:asciiTheme="minorEastAsia" w:hAnsiTheme="minorEastAsia"/>
                <w:kern w:val="0"/>
                <w:szCs w:val="24"/>
              </w:rPr>
              <w:t>7</w:t>
            </w:r>
          </w:p>
        </w:tc>
        <w:tc>
          <w:tcPr>
            <w:tcW w:w="1353"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110配线架</w:t>
            </w:r>
          </w:p>
        </w:tc>
        <w:tc>
          <w:tcPr>
            <w:tcW w:w="5032" w:type="dxa"/>
            <w:shd w:val="clear" w:color="auto" w:fill="auto"/>
            <w:vAlign w:val="center"/>
          </w:tcPr>
          <w:p>
            <w:pPr>
              <w:widowControl/>
              <w:spacing w:line="240" w:lineRule="auto"/>
              <w:jc w:val="left"/>
              <w:rPr>
                <w:rFonts w:hint="eastAsia" w:cs="宋体" w:asciiTheme="minorEastAsia" w:hAnsiTheme="minorEastAsia"/>
                <w:kern w:val="0"/>
                <w:szCs w:val="24"/>
              </w:rPr>
            </w:pPr>
            <w:r>
              <w:rPr>
                <w:rFonts w:hint="eastAsia" w:cs="宋体" w:asciiTheme="minorEastAsia" w:hAnsiTheme="minorEastAsia"/>
                <w:kern w:val="0"/>
                <w:szCs w:val="24"/>
              </w:rPr>
              <w:t>规格：100对，含连接模块背板安装，外壳材料：PC阻燃</w:t>
            </w:r>
          </w:p>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标准的T568A和T568B线序，</w:t>
            </w:r>
          </w:p>
        </w:tc>
        <w:tc>
          <w:tcPr>
            <w:tcW w:w="817"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19"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3</w:t>
            </w:r>
          </w:p>
        </w:tc>
      </w:tr>
    </w:tbl>
    <w:p>
      <w:pPr>
        <w:widowControl/>
        <w:jc w:val="left"/>
        <w:rPr>
          <w:rFonts w:hint="eastAsia" w:ascii="宋体" w:hAnsi="宋体" w:eastAsia="宋体" w:cs="宋体"/>
          <w:sz w:val="24"/>
          <w:szCs w:val="24"/>
        </w:rPr>
      </w:pPr>
      <w:r>
        <w:rPr>
          <w:rFonts w:hint="eastAsia" w:ascii="宋体" w:hAnsi="宋体" w:eastAsia="宋体" w:cs="宋体"/>
          <w:sz w:val="24"/>
          <w:szCs w:val="24"/>
        </w:rPr>
        <w:br w:type="page"/>
      </w:r>
    </w:p>
    <w:p>
      <w:pPr>
        <w:jc w:val="center"/>
        <w:outlineLvl w:val="1"/>
        <w:rPr>
          <w:rFonts w:hint="eastAsia" w:ascii="宋体" w:hAnsi="宋体" w:eastAsia="宋体" w:cs="宋体"/>
          <w:b/>
          <w:sz w:val="24"/>
          <w:szCs w:val="24"/>
        </w:rPr>
      </w:pPr>
      <w:bookmarkStart w:id="16" w:name="_Toc26260887"/>
      <w:bookmarkStart w:id="17" w:name="_Toc7417"/>
      <w:bookmarkStart w:id="18" w:name="_Toc23185"/>
      <w:r>
        <w:rPr>
          <w:rFonts w:hint="eastAsia" w:ascii="宋体" w:hAnsi="宋体" w:eastAsia="宋体" w:cs="宋体"/>
          <w:b/>
          <w:sz w:val="24"/>
          <w:szCs w:val="24"/>
        </w:rPr>
        <w:t>公共管路系统</w:t>
      </w:r>
      <w:bookmarkEnd w:id="16"/>
      <w:r>
        <w:rPr>
          <w:rFonts w:hint="eastAsia" w:ascii="宋体" w:hAnsi="宋体" w:eastAsia="宋体" w:cs="宋体"/>
          <w:b/>
          <w:sz w:val="24"/>
          <w:szCs w:val="24"/>
          <w:lang w:val="en-US" w:eastAsia="zh-CN"/>
        </w:rPr>
        <w:t>设备</w:t>
      </w:r>
      <w:r>
        <w:rPr>
          <w:rFonts w:hint="eastAsia" w:ascii="宋体" w:hAnsi="宋体" w:eastAsia="宋体" w:cs="宋体"/>
          <w:b/>
          <w:sz w:val="24"/>
          <w:szCs w:val="24"/>
        </w:rPr>
        <w:t>清单及</w:t>
      </w:r>
      <w:r>
        <w:rPr>
          <w:rFonts w:hint="eastAsia" w:ascii="宋体" w:hAnsi="宋体" w:eastAsia="宋体" w:cs="宋体"/>
          <w:b/>
          <w:sz w:val="24"/>
          <w:szCs w:val="24"/>
          <w:lang w:val="en-US" w:eastAsia="zh-CN"/>
        </w:rPr>
        <w:t>参数</w:t>
      </w:r>
      <w:r>
        <w:rPr>
          <w:rFonts w:hint="eastAsia" w:ascii="宋体" w:hAnsi="宋体" w:eastAsia="宋体" w:cs="宋体"/>
          <w:b/>
          <w:sz w:val="24"/>
          <w:szCs w:val="24"/>
        </w:rPr>
        <w:t>要求</w:t>
      </w:r>
      <w:bookmarkEnd w:id="17"/>
      <w:bookmarkEnd w:id="18"/>
    </w:p>
    <w:tbl>
      <w:tblPr>
        <w:tblStyle w:val="14"/>
        <w:tblW w:w="8636" w:type="dxa"/>
        <w:tblInd w:w="0" w:type="dxa"/>
        <w:tblLayout w:type="fixed"/>
        <w:tblCellMar>
          <w:top w:w="0" w:type="dxa"/>
          <w:left w:w="108" w:type="dxa"/>
          <w:bottom w:w="0" w:type="dxa"/>
          <w:right w:w="108" w:type="dxa"/>
        </w:tblCellMar>
      </w:tblPr>
      <w:tblGrid>
        <w:gridCol w:w="568"/>
        <w:gridCol w:w="1695"/>
        <w:gridCol w:w="4617"/>
        <w:gridCol w:w="878"/>
        <w:gridCol w:w="878"/>
      </w:tblGrid>
      <w:tr>
        <w:tblPrEx>
          <w:tblCellMar>
            <w:top w:w="0" w:type="dxa"/>
            <w:left w:w="108" w:type="dxa"/>
            <w:bottom w:w="0" w:type="dxa"/>
            <w:right w:w="108" w:type="dxa"/>
          </w:tblCellMar>
        </w:tblPrEx>
        <w:trPr>
          <w:trHeight w:val="367"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b/>
                <w:bCs/>
                <w:kern w:val="0"/>
                <w:szCs w:val="24"/>
              </w:rPr>
            </w:pPr>
            <w:bookmarkStart w:id="19" w:name="_Toc26260888"/>
            <w:r>
              <w:rPr>
                <w:rFonts w:hint="eastAsia" w:cs="宋体" w:asciiTheme="minorEastAsia" w:hAnsiTheme="minorEastAsia"/>
                <w:b/>
                <w:bCs/>
                <w:kern w:val="0"/>
                <w:szCs w:val="24"/>
              </w:rPr>
              <w:t>序号</w:t>
            </w:r>
          </w:p>
        </w:tc>
        <w:tc>
          <w:tcPr>
            <w:tcW w:w="16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设备材料名称</w:t>
            </w:r>
          </w:p>
        </w:tc>
        <w:tc>
          <w:tcPr>
            <w:tcW w:w="46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招标参数</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单位</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数量</w:t>
            </w:r>
          </w:p>
        </w:tc>
      </w:tr>
      <w:tr>
        <w:tblPrEx>
          <w:tblCellMar>
            <w:top w:w="0" w:type="dxa"/>
            <w:left w:w="108" w:type="dxa"/>
            <w:bottom w:w="0" w:type="dxa"/>
            <w:right w:w="108" w:type="dxa"/>
          </w:tblCellMar>
        </w:tblPrEx>
        <w:trPr>
          <w:trHeight w:val="3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1</w:t>
            </w:r>
          </w:p>
        </w:tc>
        <w:tc>
          <w:tcPr>
            <w:tcW w:w="1695"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桥架</w:t>
            </w:r>
          </w:p>
        </w:tc>
        <w:tc>
          <w:tcPr>
            <w:tcW w:w="461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水平，100*50</w:t>
            </w: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米</w:t>
            </w: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60</w:t>
            </w:r>
          </w:p>
        </w:tc>
      </w:tr>
      <w:tr>
        <w:tblPrEx>
          <w:tblCellMar>
            <w:top w:w="0" w:type="dxa"/>
            <w:left w:w="108" w:type="dxa"/>
            <w:bottom w:w="0" w:type="dxa"/>
            <w:right w:w="108" w:type="dxa"/>
          </w:tblCellMar>
        </w:tblPrEx>
        <w:trPr>
          <w:trHeight w:val="3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2</w:t>
            </w:r>
          </w:p>
        </w:tc>
        <w:tc>
          <w:tcPr>
            <w:tcW w:w="1695"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桥架</w:t>
            </w:r>
          </w:p>
        </w:tc>
        <w:tc>
          <w:tcPr>
            <w:tcW w:w="461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水平，300*100</w:t>
            </w: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米</w:t>
            </w: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650</w:t>
            </w:r>
          </w:p>
        </w:tc>
      </w:tr>
      <w:tr>
        <w:tblPrEx>
          <w:tblCellMar>
            <w:top w:w="0" w:type="dxa"/>
            <w:left w:w="108" w:type="dxa"/>
            <w:bottom w:w="0" w:type="dxa"/>
            <w:right w:w="108" w:type="dxa"/>
          </w:tblCellMar>
        </w:tblPrEx>
        <w:trPr>
          <w:trHeight w:val="3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3</w:t>
            </w:r>
          </w:p>
        </w:tc>
        <w:tc>
          <w:tcPr>
            <w:tcW w:w="1695"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桥架</w:t>
            </w:r>
          </w:p>
        </w:tc>
        <w:tc>
          <w:tcPr>
            <w:tcW w:w="461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水平，400*200</w:t>
            </w: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米</w:t>
            </w: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10</w:t>
            </w:r>
          </w:p>
        </w:tc>
      </w:tr>
      <w:tr>
        <w:tblPrEx>
          <w:tblCellMar>
            <w:top w:w="0" w:type="dxa"/>
            <w:left w:w="108" w:type="dxa"/>
            <w:bottom w:w="0" w:type="dxa"/>
            <w:right w:w="108" w:type="dxa"/>
          </w:tblCellMar>
        </w:tblPrEx>
        <w:trPr>
          <w:trHeight w:val="3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4</w:t>
            </w:r>
          </w:p>
        </w:tc>
        <w:tc>
          <w:tcPr>
            <w:tcW w:w="1695"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桥架</w:t>
            </w:r>
          </w:p>
        </w:tc>
        <w:tc>
          <w:tcPr>
            <w:tcW w:w="461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垂直，200*100</w:t>
            </w: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米</w:t>
            </w: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40</w:t>
            </w:r>
          </w:p>
        </w:tc>
      </w:tr>
      <w:tr>
        <w:tblPrEx>
          <w:tblCellMar>
            <w:top w:w="0" w:type="dxa"/>
            <w:left w:w="108" w:type="dxa"/>
            <w:bottom w:w="0" w:type="dxa"/>
            <w:right w:w="108" w:type="dxa"/>
          </w:tblCellMar>
        </w:tblPrEx>
        <w:trPr>
          <w:trHeight w:val="3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5</w:t>
            </w:r>
          </w:p>
        </w:tc>
        <w:tc>
          <w:tcPr>
            <w:tcW w:w="1695"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吊杆及支架</w:t>
            </w:r>
          </w:p>
        </w:tc>
        <w:tc>
          <w:tcPr>
            <w:tcW w:w="461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套</w:t>
            </w: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300</w:t>
            </w:r>
          </w:p>
        </w:tc>
      </w:tr>
      <w:tr>
        <w:tblPrEx>
          <w:tblCellMar>
            <w:top w:w="0" w:type="dxa"/>
            <w:left w:w="108" w:type="dxa"/>
            <w:bottom w:w="0" w:type="dxa"/>
            <w:right w:w="108" w:type="dxa"/>
          </w:tblCellMar>
        </w:tblPrEx>
        <w:trPr>
          <w:trHeight w:val="3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6</w:t>
            </w:r>
          </w:p>
        </w:tc>
        <w:tc>
          <w:tcPr>
            <w:tcW w:w="1695"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穿线管</w:t>
            </w:r>
          </w:p>
        </w:tc>
        <w:tc>
          <w:tcPr>
            <w:tcW w:w="461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JDG25</w:t>
            </w: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7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kern w:val="0"/>
                <w:szCs w:val="24"/>
              </w:rPr>
            </w:pPr>
            <w:r>
              <w:rPr>
                <w:rFonts w:cs="宋体" w:asciiTheme="minorEastAsia" w:hAnsiTheme="minorEastAsia"/>
                <w:kern w:val="0"/>
                <w:szCs w:val="24"/>
              </w:rPr>
              <w:t>5841</w:t>
            </w:r>
          </w:p>
        </w:tc>
      </w:tr>
      <w:tr>
        <w:tblPrEx>
          <w:tblCellMar>
            <w:top w:w="0" w:type="dxa"/>
            <w:left w:w="108" w:type="dxa"/>
            <w:bottom w:w="0" w:type="dxa"/>
            <w:right w:w="108" w:type="dxa"/>
          </w:tblCellMar>
        </w:tblPrEx>
        <w:trPr>
          <w:trHeight w:val="3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7</w:t>
            </w:r>
          </w:p>
        </w:tc>
        <w:tc>
          <w:tcPr>
            <w:tcW w:w="1695"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rPr>
              <w:t>底盒</w:t>
            </w:r>
          </w:p>
        </w:tc>
        <w:tc>
          <w:tcPr>
            <w:tcW w:w="461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86型</w:t>
            </w:r>
          </w:p>
        </w:tc>
        <w:tc>
          <w:tcPr>
            <w:tcW w:w="87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87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kern w:val="0"/>
                <w:szCs w:val="24"/>
              </w:rPr>
            </w:pPr>
            <w:r>
              <w:rPr>
                <w:rFonts w:cs="宋体" w:asciiTheme="minorEastAsia" w:hAnsiTheme="minorEastAsia"/>
                <w:kern w:val="0"/>
                <w:szCs w:val="24"/>
              </w:rPr>
              <w:t>531</w:t>
            </w:r>
          </w:p>
        </w:tc>
      </w:tr>
    </w:tbl>
    <w:p>
      <w:pPr>
        <w:widowControl/>
        <w:jc w:val="left"/>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widowControl/>
        <w:jc w:val="center"/>
        <w:rPr>
          <w:rFonts w:hint="eastAsia" w:ascii="宋体" w:hAnsi="宋体" w:eastAsia="宋体" w:cs="宋体"/>
          <w:b/>
          <w:sz w:val="24"/>
          <w:szCs w:val="24"/>
        </w:rPr>
      </w:pPr>
      <w:r>
        <w:rPr>
          <w:rFonts w:hint="eastAsia" w:ascii="宋体" w:hAnsi="宋体" w:eastAsia="宋体" w:cs="宋体"/>
          <w:b/>
          <w:sz w:val="24"/>
          <w:szCs w:val="24"/>
        </w:rPr>
        <w:t>计算机网络系统</w:t>
      </w:r>
      <w:bookmarkEnd w:id="19"/>
      <w:r>
        <w:rPr>
          <w:rFonts w:hint="eastAsia" w:ascii="宋体" w:hAnsi="宋体" w:eastAsia="宋体" w:cs="宋体"/>
          <w:b/>
          <w:sz w:val="24"/>
          <w:szCs w:val="24"/>
          <w:lang w:val="en-US" w:eastAsia="zh-CN"/>
        </w:rPr>
        <w:t>设备</w:t>
      </w:r>
      <w:r>
        <w:rPr>
          <w:rFonts w:hint="eastAsia" w:ascii="宋体" w:hAnsi="宋体" w:eastAsia="宋体" w:cs="宋体"/>
          <w:b/>
          <w:sz w:val="24"/>
          <w:szCs w:val="24"/>
        </w:rPr>
        <w:t>清单及</w:t>
      </w:r>
      <w:r>
        <w:rPr>
          <w:rFonts w:hint="eastAsia" w:ascii="宋体" w:hAnsi="宋体" w:eastAsia="宋体" w:cs="宋体"/>
          <w:b/>
          <w:sz w:val="24"/>
          <w:szCs w:val="24"/>
          <w:lang w:val="en-US" w:eastAsia="zh-CN"/>
        </w:rPr>
        <w:t>参数</w:t>
      </w:r>
      <w:r>
        <w:rPr>
          <w:rFonts w:hint="eastAsia" w:ascii="宋体" w:hAnsi="宋体" w:eastAsia="宋体" w:cs="宋体"/>
          <w:b/>
          <w:sz w:val="24"/>
          <w:szCs w:val="24"/>
        </w:rPr>
        <w:t>要求</w:t>
      </w:r>
    </w:p>
    <w:tbl>
      <w:tblPr>
        <w:tblStyle w:val="14"/>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101"/>
        <w:gridCol w:w="5796"/>
        <w:gridCol w:w="576"/>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4" w:type="dxa"/>
            <w:shd w:val="clear" w:color="auto" w:fill="auto"/>
            <w:vAlign w:val="center"/>
          </w:tcPr>
          <w:p>
            <w:pPr>
              <w:widowControl/>
              <w:spacing w:line="240" w:lineRule="auto"/>
              <w:jc w:val="center"/>
              <w:rPr>
                <w:rFonts w:cs="宋体" w:asciiTheme="minorEastAsia" w:hAnsiTheme="minorEastAsia"/>
                <w:b/>
                <w:bCs/>
                <w:kern w:val="0"/>
                <w:szCs w:val="24"/>
              </w:rPr>
            </w:pPr>
            <w:bookmarkStart w:id="20" w:name="_Toc26260889"/>
            <w:r>
              <w:rPr>
                <w:rFonts w:hint="eastAsia" w:cs="宋体" w:asciiTheme="minorEastAsia" w:hAnsiTheme="minorEastAsia"/>
                <w:b/>
                <w:bCs/>
                <w:kern w:val="0"/>
                <w:szCs w:val="24"/>
              </w:rPr>
              <w:t>序号</w:t>
            </w:r>
          </w:p>
        </w:tc>
        <w:tc>
          <w:tcPr>
            <w:tcW w:w="1101"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设备材料名称</w:t>
            </w:r>
          </w:p>
        </w:tc>
        <w:tc>
          <w:tcPr>
            <w:tcW w:w="5796"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招标参数</w:t>
            </w:r>
          </w:p>
        </w:tc>
        <w:tc>
          <w:tcPr>
            <w:tcW w:w="576"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单位</w:t>
            </w:r>
          </w:p>
        </w:tc>
        <w:tc>
          <w:tcPr>
            <w:tcW w:w="628"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4" w:type="dxa"/>
            <w:shd w:val="clear" w:color="auto" w:fill="auto"/>
            <w:vAlign w:val="center"/>
          </w:tcPr>
          <w:p>
            <w:pPr>
              <w:widowControl/>
              <w:spacing w:line="240" w:lineRule="auto"/>
              <w:jc w:val="center"/>
              <w:rPr>
                <w:rFonts w:cs="宋体" w:asciiTheme="minorEastAsia" w:hAnsiTheme="minorEastAsia"/>
                <w:b/>
                <w:bCs/>
                <w:kern w:val="0"/>
                <w:szCs w:val="24"/>
              </w:rPr>
            </w:pPr>
            <w:r>
              <w:rPr>
                <w:rFonts w:hint="eastAsia" w:cs="宋体" w:asciiTheme="minorEastAsia" w:hAnsiTheme="minorEastAsia"/>
                <w:b/>
                <w:bCs/>
                <w:kern w:val="0"/>
                <w:szCs w:val="24"/>
              </w:rPr>
              <w:t>一</w:t>
            </w:r>
          </w:p>
        </w:tc>
        <w:tc>
          <w:tcPr>
            <w:tcW w:w="1101" w:type="dxa"/>
            <w:shd w:val="clear" w:color="auto" w:fill="auto"/>
            <w:vAlign w:val="center"/>
          </w:tcPr>
          <w:p>
            <w:pPr>
              <w:widowControl/>
              <w:spacing w:line="240" w:lineRule="auto"/>
              <w:jc w:val="left"/>
              <w:rPr>
                <w:rFonts w:cs="宋体" w:asciiTheme="minorEastAsia" w:hAnsiTheme="minorEastAsia"/>
                <w:b/>
                <w:bCs/>
                <w:kern w:val="0"/>
                <w:szCs w:val="24"/>
              </w:rPr>
            </w:pPr>
            <w:r>
              <w:rPr>
                <w:rFonts w:hint="eastAsia" w:cs="宋体" w:asciiTheme="minorEastAsia" w:hAnsiTheme="minorEastAsia"/>
                <w:b/>
                <w:bCs/>
                <w:kern w:val="0"/>
                <w:szCs w:val="24"/>
              </w:rPr>
              <w:t>内网</w:t>
            </w:r>
          </w:p>
        </w:tc>
        <w:tc>
          <w:tcPr>
            <w:tcW w:w="5796" w:type="dxa"/>
            <w:shd w:val="clear" w:color="auto" w:fill="auto"/>
            <w:vAlign w:val="center"/>
          </w:tcPr>
          <w:p>
            <w:pPr>
              <w:widowControl/>
              <w:spacing w:line="240" w:lineRule="auto"/>
              <w:jc w:val="left"/>
              <w:rPr>
                <w:rFonts w:cs="宋体" w:asciiTheme="minorEastAsia" w:hAnsiTheme="minorEastAsia"/>
                <w:b/>
                <w:bCs/>
                <w:kern w:val="0"/>
                <w:szCs w:val="24"/>
              </w:rPr>
            </w:pPr>
            <w:r>
              <w:rPr>
                <w:rFonts w:hint="eastAsia" w:cs="宋体" w:asciiTheme="minorEastAsia" w:hAnsiTheme="minorEastAsia"/>
                <w:b/>
                <w:bCs/>
                <w:kern w:val="0"/>
                <w:szCs w:val="24"/>
              </w:rPr>
              <w:t>　</w:t>
            </w:r>
          </w:p>
        </w:tc>
        <w:tc>
          <w:tcPr>
            <w:tcW w:w="576" w:type="dxa"/>
            <w:shd w:val="clear" w:color="auto" w:fill="auto"/>
            <w:vAlign w:val="center"/>
          </w:tcPr>
          <w:p>
            <w:pPr>
              <w:widowControl/>
              <w:spacing w:line="240" w:lineRule="auto"/>
              <w:jc w:val="left"/>
              <w:rPr>
                <w:rFonts w:cs="宋体" w:asciiTheme="minorEastAsia" w:hAnsiTheme="minorEastAsia"/>
                <w:b/>
                <w:bCs/>
                <w:kern w:val="0"/>
                <w:szCs w:val="24"/>
              </w:rPr>
            </w:pPr>
            <w:r>
              <w:rPr>
                <w:rFonts w:hint="eastAsia" w:cs="宋体" w:asciiTheme="minorEastAsia" w:hAnsiTheme="minorEastAsia"/>
                <w:b/>
                <w:bCs/>
                <w:kern w:val="0"/>
                <w:szCs w:val="24"/>
              </w:rPr>
              <w:t>　</w:t>
            </w:r>
          </w:p>
        </w:tc>
        <w:tc>
          <w:tcPr>
            <w:tcW w:w="628" w:type="dxa"/>
            <w:shd w:val="clear" w:color="auto" w:fill="auto"/>
            <w:vAlign w:val="center"/>
          </w:tcPr>
          <w:p>
            <w:pPr>
              <w:widowControl/>
              <w:spacing w:line="240" w:lineRule="auto"/>
              <w:jc w:val="left"/>
              <w:rPr>
                <w:rFonts w:cs="宋体" w:asciiTheme="minorEastAsia" w:hAnsiTheme="minorEastAsia"/>
                <w:b/>
                <w:bCs/>
                <w:kern w:val="0"/>
                <w:szCs w:val="24"/>
              </w:rPr>
            </w:pPr>
            <w:r>
              <w:rPr>
                <w:rFonts w:hint="eastAsia" w:cs="宋体" w:asciiTheme="minorEastAsia" w:hAnsiTheme="minorEastAsia"/>
                <w:b/>
                <w:bCs/>
                <w:kern w:val="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4" w:type="dxa"/>
            <w:shd w:val="clear" w:color="000000" w:fill="FFFFFF"/>
            <w:vAlign w:val="center"/>
          </w:tcPr>
          <w:p>
            <w:pPr>
              <w:widowControl/>
              <w:spacing w:line="240" w:lineRule="auto"/>
              <w:jc w:val="left"/>
              <w:rPr>
                <w:rFonts w:hint="eastAsia"/>
                <w:lang w:val="en-US" w:eastAsia="zh-CN"/>
              </w:rPr>
            </w:pPr>
            <w:r>
              <w:rPr>
                <w:rFonts w:hint="eastAsia"/>
                <w:lang w:val="en-US" w:eastAsia="zh-CN"/>
              </w:rPr>
              <w:t>1</w:t>
            </w:r>
          </w:p>
        </w:tc>
        <w:tc>
          <w:tcPr>
            <w:tcW w:w="1101" w:type="dxa"/>
            <w:shd w:val="clear" w:color="000000" w:fill="FFFFFF"/>
            <w:vAlign w:val="center"/>
          </w:tcPr>
          <w:p>
            <w:pPr>
              <w:widowControl/>
              <w:spacing w:line="240" w:lineRule="auto"/>
              <w:jc w:val="left"/>
              <w:rPr>
                <w:rFonts w:hint="eastAsia"/>
                <w:lang w:val="en-US" w:eastAsia="zh-CN"/>
              </w:rPr>
            </w:pPr>
            <w:r>
              <w:rPr>
                <w:rFonts w:hint="eastAsia"/>
                <w:lang w:val="en-US" w:eastAsia="zh-CN"/>
              </w:rPr>
              <w:t>内网48口接入交换机</w:t>
            </w:r>
          </w:p>
        </w:tc>
        <w:tc>
          <w:tcPr>
            <w:tcW w:w="5796" w:type="dxa"/>
            <w:shd w:val="clear" w:color="auto" w:fill="auto"/>
            <w:vAlign w:val="center"/>
          </w:tcPr>
          <w:p>
            <w:pPr>
              <w:widowControl/>
              <w:spacing w:line="240" w:lineRule="auto"/>
              <w:jc w:val="left"/>
              <w:rPr>
                <w:rFonts w:hint="eastAsia"/>
                <w:lang w:val="en-US" w:eastAsia="zh-CN"/>
              </w:rPr>
            </w:pPr>
            <w:r>
              <w:rPr>
                <w:rFonts w:hint="eastAsia"/>
                <w:lang w:val="en-US" w:eastAsia="zh-CN"/>
              </w:rPr>
              <w:t>1、★固化10/100/1000M以太网端口≥48，固化10G/1GSFP+光接口≥4个，双电源插槽；</w:t>
            </w:r>
          </w:p>
          <w:p>
            <w:pPr>
              <w:widowControl/>
              <w:spacing w:line="240" w:lineRule="auto"/>
              <w:jc w:val="left"/>
              <w:rPr>
                <w:rFonts w:hint="eastAsia"/>
                <w:lang w:val="en-US" w:eastAsia="zh-CN"/>
              </w:rPr>
            </w:pPr>
            <w:r>
              <w:rPr>
                <w:rFonts w:hint="eastAsia"/>
                <w:lang w:val="en-US" w:eastAsia="zh-CN"/>
              </w:rPr>
              <w:t>2、★交换容量≥3T，包转发率≥160Mpps；</w:t>
            </w:r>
          </w:p>
          <w:p>
            <w:pPr>
              <w:widowControl/>
              <w:spacing w:line="240" w:lineRule="auto"/>
              <w:jc w:val="left"/>
              <w:rPr>
                <w:rFonts w:hint="eastAsia"/>
                <w:lang w:val="en-US" w:eastAsia="zh-CN"/>
              </w:rPr>
            </w:pPr>
            <w:r>
              <w:rPr>
                <w:rFonts w:hint="eastAsia"/>
                <w:lang w:val="en-US" w:eastAsia="zh-CN"/>
              </w:rPr>
              <w:t>3、支持1对1、1对多、多对1和基于流的镜像；且支持RSPAN和ERSPAN；</w:t>
            </w:r>
          </w:p>
          <w:p>
            <w:pPr>
              <w:widowControl/>
              <w:spacing w:line="240" w:lineRule="auto"/>
              <w:jc w:val="left"/>
              <w:rPr>
                <w:rFonts w:hint="eastAsia"/>
                <w:lang w:val="en-US" w:eastAsia="zh-CN"/>
              </w:rPr>
            </w:pPr>
            <w:r>
              <w:rPr>
                <w:rFonts w:hint="eastAsia"/>
                <w:lang w:val="en-US" w:eastAsia="zh-CN"/>
              </w:rPr>
              <w:t>4、★支持静态路由、RIP/RIPng、OSPFv2/OSPFv3等三层路由协议；</w:t>
            </w:r>
          </w:p>
          <w:p>
            <w:pPr>
              <w:widowControl/>
              <w:spacing w:line="240" w:lineRule="auto"/>
              <w:jc w:val="left"/>
              <w:rPr>
                <w:rFonts w:hint="eastAsia"/>
                <w:lang w:val="en-US" w:eastAsia="zh-CN"/>
              </w:rPr>
            </w:pPr>
            <w:r>
              <w:rPr>
                <w:rFonts w:hint="eastAsia"/>
                <w:lang w:val="en-US" w:eastAsia="zh-CN"/>
              </w:rPr>
              <w:t>5、★支持专门基础网络保护机制，增强设备防攻击能力，即使在受到攻击的情况下，也能保护系统各种服务的正常运行，保持较低的CPU负载，从而保障整个网络的稳定运行；</w:t>
            </w:r>
          </w:p>
          <w:p>
            <w:pPr>
              <w:widowControl/>
              <w:spacing w:line="240" w:lineRule="auto"/>
              <w:jc w:val="left"/>
              <w:rPr>
                <w:rFonts w:hint="eastAsia"/>
                <w:lang w:val="en-US" w:eastAsia="zh-CN"/>
              </w:rPr>
            </w:pPr>
            <w:r>
              <w:rPr>
                <w:rFonts w:hint="eastAsia"/>
                <w:lang w:val="en-US" w:eastAsia="zh-CN"/>
              </w:rPr>
              <w:t>6、支持sFlow网络监测技术，可提供完整的第二层到第四层信息，可以适应超大网络流量环境下的流量分析，让用户详细、实时地分析网络传输流的性能、趋势和存在的问题；</w:t>
            </w:r>
          </w:p>
          <w:p>
            <w:pPr>
              <w:widowControl/>
              <w:spacing w:line="240" w:lineRule="auto"/>
              <w:jc w:val="left"/>
              <w:rPr>
                <w:rFonts w:hint="eastAsia"/>
                <w:lang w:val="en-US" w:eastAsia="zh-CN"/>
              </w:rPr>
            </w:pPr>
            <w:r>
              <w:rPr>
                <w:rFonts w:hint="eastAsia"/>
                <w:lang w:val="en-US" w:eastAsia="zh-CN"/>
              </w:rPr>
              <w:t>7、符合国家低碳环保等政策要求，支持IEEE802.3az标准的EEE节能技术；</w:t>
            </w:r>
          </w:p>
          <w:p>
            <w:pPr>
              <w:widowControl/>
              <w:spacing w:line="240" w:lineRule="auto"/>
              <w:jc w:val="left"/>
              <w:rPr>
                <w:rFonts w:hint="eastAsia"/>
                <w:lang w:val="en-US" w:eastAsia="zh-CN"/>
              </w:rPr>
            </w:pPr>
            <w:r>
              <w:rPr>
                <w:rFonts w:hint="eastAsia"/>
                <w:lang w:val="en-US" w:eastAsia="zh-CN"/>
              </w:rPr>
              <w:t>8、支持IPv6Ready第二阶段认证证书；</w:t>
            </w:r>
          </w:p>
          <w:p>
            <w:pPr>
              <w:widowControl/>
              <w:spacing w:line="240" w:lineRule="auto"/>
              <w:jc w:val="left"/>
              <w:rPr>
                <w:rFonts w:hint="eastAsia"/>
                <w:lang w:val="en-US" w:eastAsia="zh-CN"/>
              </w:rPr>
            </w:pPr>
            <w:r>
              <w:rPr>
                <w:rFonts w:hint="eastAsia"/>
                <w:lang w:val="en-US" w:eastAsia="zh-CN"/>
              </w:rPr>
              <w:t>9、整机采用绿色环保设计，满负荷情况下电源功率≤48W；</w:t>
            </w:r>
          </w:p>
          <w:p>
            <w:pPr>
              <w:widowControl/>
              <w:spacing w:line="240" w:lineRule="auto"/>
              <w:jc w:val="left"/>
              <w:rPr>
                <w:rFonts w:hint="eastAsia"/>
                <w:lang w:val="en-US" w:eastAsia="zh-CN"/>
              </w:rPr>
            </w:pPr>
            <w:r>
              <w:rPr>
                <w:rFonts w:hint="eastAsia"/>
                <w:lang w:val="en-US" w:eastAsia="zh-CN"/>
              </w:rPr>
              <w:t>10、要求产品支持≥10KV的端口防雷能力；</w:t>
            </w:r>
          </w:p>
          <w:p>
            <w:pPr>
              <w:widowControl/>
              <w:spacing w:line="240" w:lineRule="auto"/>
              <w:jc w:val="left"/>
              <w:rPr>
                <w:rFonts w:hint="eastAsia"/>
                <w:lang w:val="en-US" w:eastAsia="zh-CN"/>
              </w:rPr>
            </w:pPr>
            <w:r>
              <w:rPr>
                <w:rFonts w:hint="eastAsia"/>
                <w:lang w:val="en-US" w:eastAsia="zh-CN"/>
              </w:rPr>
              <w:t>11、★单台配置：千兆电接口≥48，万兆光接口≥4，单电源模块。</w:t>
            </w:r>
          </w:p>
          <w:p>
            <w:pPr>
              <w:widowControl/>
              <w:spacing w:line="240" w:lineRule="auto"/>
              <w:jc w:val="left"/>
              <w:rPr>
                <w:rFonts w:hint="eastAsia"/>
                <w:lang w:val="en-US" w:eastAsia="zh-CN"/>
              </w:rPr>
            </w:pPr>
            <w:r>
              <w:rPr>
                <w:rFonts w:hint="eastAsia"/>
                <w:lang w:val="en-US" w:eastAsia="zh-CN"/>
              </w:rPr>
              <w:t>★生产厂家通过IOS9001质量管理体系认证证书，并提供复印件加盖厂家鲜章。</w:t>
            </w:r>
          </w:p>
          <w:p>
            <w:pPr>
              <w:widowControl/>
              <w:spacing w:line="240" w:lineRule="auto"/>
              <w:jc w:val="left"/>
              <w:rPr>
                <w:rFonts w:hint="default"/>
                <w:lang w:val="en-US" w:eastAsia="zh-CN"/>
              </w:rPr>
            </w:pPr>
            <w:r>
              <w:rPr>
                <w:rFonts w:hint="eastAsia"/>
                <w:lang w:val="en-US" w:eastAsia="zh-CN"/>
              </w:rPr>
              <w:t>★需提供工信部出具的IPv4和IPv6入网测试报告，并提供复印件加盖厂家鲜章。</w:t>
            </w:r>
          </w:p>
        </w:tc>
        <w:tc>
          <w:tcPr>
            <w:tcW w:w="576" w:type="dxa"/>
            <w:shd w:val="clear" w:color="000000" w:fill="FFFFFF"/>
            <w:vAlign w:val="center"/>
          </w:tcPr>
          <w:p>
            <w:pPr>
              <w:widowControl/>
              <w:spacing w:line="240" w:lineRule="auto"/>
              <w:jc w:val="left"/>
              <w:rPr>
                <w:rFonts w:hint="eastAsia"/>
                <w:lang w:val="en-US" w:eastAsia="zh-CN"/>
              </w:rPr>
            </w:pPr>
            <w:r>
              <w:rPr>
                <w:rFonts w:hint="eastAsia"/>
                <w:lang w:val="en-US" w:eastAsia="zh-CN"/>
              </w:rPr>
              <w:t>台</w:t>
            </w:r>
          </w:p>
        </w:tc>
        <w:tc>
          <w:tcPr>
            <w:tcW w:w="628" w:type="dxa"/>
            <w:shd w:val="clear" w:color="000000" w:fill="FFFFFF"/>
            <w:vAlign w:val="center"/>
          </w:tcPr>
          <w:p>
            <w:pPr>
              <w:widowControl/>
              <w:spacing w:line="240" w:lineRule="auto"/>
              <w:jc w:val="left"/>
              <w:rPr>
                <w:rFonts w:hint="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4" w:type="dxa"/>
            <w:shd w:val="clear" w:color="000000" w:fill="FFFFFF"/>
            <w:vAlign w:val="center"/>
          </w:tcPr>
          <w:p>
            <w:pPr>
              <w:widowControl/>
              <w:spacing w:line="240" w:lineRule="auto"/>
              <w:jc w:val="left"/>
              <w:rPr>
                <w:rFonts w:hint="eastAsia"/>
                <w:lang w:val="en-US" w:eastAsia="zh-CN"/>
              </w:rPr>
            </w:pPr>
            <w:r>
              <w:rPr>
                <w:rFonts w:hint="eastAsia"/>
                <w:lang w:val="en-US" w:eastAsia="zh-CN"/>
              </w:rPr>
              <w:t>2</w:t>
            </w:r>
          </w:p>
        </w:tc>
        <w:tc>
          <w:tcPr>
            <w:tcW w:w="1101" w:type="dxa"/>
            <w:shd w:val="clear" w:color="000000" w:fill="FFFFFF"/>
            <w:vAlign w:val="center"/>
          </w:tcPr>
          <w:p>
            <w:pPr>
              <w:widowControl/>
              <w:spacing w:line="240" w:lineRule="auto"/>
              <w:jc w:val="left"/>
              <w:rPr>
                <w:rFonts w:hint="eastAsia"/>
                <w:lang w:val="en-US" w:eastAsia="zh-CN"/>
              </w:rPr>
            </w:pPr>
            <w:r>
              <w:rPr>
                <w:rFonts w:hint="eastAsia"/>
                <w:lang w:val="en-US" w:eastAsia="zh-CN"/>
              </w:rPr>
              <w:t>万兆单模</w:t>
            </w:r>
          </w:p>
        </w:tc>
        <w:tc>
          <w:tcPr>
            <w:tcW w:w="5796" w:type="dxa"/>
            <w:shd w:val="clear" w:color="auto" w:fill="auto"/>
            <w:vAlign w:val="center"/>
          </w:tcPr>
          <w:p>
            <w:pPr>
              <w:widowControl/>
              <w:spacing w:line="240" w:lineRule="auto"/>
              <w:jc w:val="left"/>
              <w:rPr>
                <w:rFonts w:hint="eastAsia"/>
                <w:lang w:val="en-US" w:eastAsia="zh-CN"/>
              </w:rPr>
            </w:pPr>
            <w:r>
              <w:rPr>
                <w:rFonts w:hint="eastAsia"/>
                <w:lang w:val="en-US" w:eastAsia="zh-CN"/>
              </w:rPr>
              <w:t>万兆LC接口模块，传输10km，适用于SFP+接口</w:t>
            </w:r>
          </w:p>
        </w:tc>
        <w:tc>
          <w:tcPr>
            <w:tcW w:w="576" w:type="dxa"/>
            <w:shd w:val="clear" w:color="000000" w:fill="FFFFFF"/>
            <w:vAlign w:val="center"/>
          </w:tcPr>
          <w:p>
            <w:pPr>
              <w:widowControl/>
              <w:spacing w:line="240" w:lineRule="auto"/>
              <w:jc w:val="left"/>
              <w:rPr>
                <w:rFonts w:hint="eastAsia"/>
                <w:lang w:val="en-US" w:eastAsia="zh-CN"/>
              </w:rPr>
            </w:pPr>
            <w:r>
              <w:rPr>
                <w:rFonts w:hint="eastAsia"/>
                <w:lang w:val="en-US" w:eastAsia="zh-CN"/>
              </w:rPr>
              <w:t>个</w:t>
            </w:r>
          </w:p>
        </w:tc>
        <w:tc>
          <w:tcPr>
            <w:tcW w:w="628" w:type="dxa"/>
            <w:shd w:val="clear" w:color="000000" w:fill="FFFFFF"/>
            <w:vAlign w:val="center"/>
          </w:tcPr>
          <w:p>
            <w:pPr>
              <w:widowControl/>
              <w:spacing w:line="240" w:lineRule="auto"/>
              <w:jc w:val="left"/>
              <w:rPr>
                <w:rFonts w:hint="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4" w:type="dxa"/>
            <w:shd w:val="clear" w:color="auto" w:fill="auto"/>
            <w:vAlign w:val="center"/>
          </w:tcPr>
          <w:p>
            <w:pPr>
              <w:widowControl/>
              <w:spacing w:line="240" w:lineRule="auto"/>
              <w:jc w:val="left"/>
              <w:rPr>
                <w:rFonts w:hint="eastAsia"/>
                <w:lang w:val="en-US" w:eastAsia="zh-CN"/>
              </w:rPr>
            </w:pPr>
            <w:r>
              <w:rPr>
                <w:rFonts w:hint="eastAsia"/>
                <w:lang w:val="en-US" w:eastAsia="zh-CN"/>
              </w:rPr>
              <w:t>二</w:t>
            </w:r>
          </w:p>
        </w:tc>
        <w:tc>
          <w:tcPr>
            <w:tcW w:w="1101" w:type="dxa"/>
            <w:shd w:val="clear" w:color="auto" w:fill="auto"/>
            <w:vAlign w:val="center"/>
          </w:tcPr>
          <w:p>
            <w:pPr>
              <w:widowControl/>
              <w:spacing w:line="240" w:lineRule="auto"/>
              <w:jc w:val="left"/>
              <w:rPr>
                <w:rFonts w:hint="eastAsia"/>
                <w:lang w:val="en-US" w:eastAsia="zh-CN"/>
              </w:rPr>
            </w:pPr>
            <w:r>
              <w:rPr>
                <w:rFonts w:hint="eastAsia"/>
                <w:lang w:val="en-US" w:eastAsia="zh-CN"/>
              </w:rPr>
              <w:t>外网</w:t>
            </w:r>
          </w:p>
        </w:tc>
        <w:tc>
          <w:tcPr>
            <w:tcW w:w="5796" w:type="dxa"/>
            <w:shd w:val="clear" w:color="auto" w:fill="auto"/>
            <w:vAlign w:val="center"/>
          </w:tcPr>
          <w:p>
            <w:pPr>
              <w:widowControl/>
              <w:spacing w:line="240" w:lineRule="auto"/>
              <w:jc w:val="left"/>
              <w:rPr>
                <w:rFonts w:hint="eastAsia"/>
                <w:lang w:val="en-US" w:eastAsia="zh-CN"/>
              </w:rPr>
            </w:pPr>
            <w:r>
              <w:rPr>
                <w:rFonts w:hint="eastAsia"/>
                <w:lang w:val="en-US" w:eastAsia="zh-CN"/>
              </w:rPr>
              <w:t>　</w:t>
            </w:r>
          </w:p>
        </w:tc>
        <w:tc>
          <w:tcPr>
            <w:tcW w:w="576" w:type="dxa"/>
            <w:shd w:val="clear" w:color="auto" w:fill="auto"/>
            <w:vAlign w:val="center"/>
          </w:tcPr>
          <w:p>
            <w:pPr>
              <w:widowControl/>
              <w:spacing w:line="240" w:lineRule="auto"/>
              <w:jc w:val="left"/>
              <w:rPr>
                <w:rFonts w:hint="eastAsia"/>
                <w:lang w:val="en-US" w:eastAsia="zh-CN"/>
              </w:rPr>
            </w:pPr>
            <w:r>
              <w:rPr>
                <w:rFonts w:hint="eastAsia"/>
                <w:lang w:val="en-US" w:eastAsia="zh-CN"/>
              </w:rPr>
              <w:t>　</w:t>
            </w:r>
          </w:p>
        </w:tc>
        <w:tc>
          <w:tcPr>
            <w:tcW w:w="628" w:type="dxa"/>
            <w:shd w:val="clear" w:color="auto" w:fill="auto"/>
            <w:vAlign w:val="center"/>
          </w:tcPr>
          <w:p>
            <w:pPr>
              <w:widowControl/>
              <w:spacing w:line="240" w:lineRule="auto"/>
              <w:jc w:val="left"/>
              <w:rPr>
                <w:rFonts w:hint="eastAsia"/>
                <w:lang w:val="en-US" w:eastAsia="zh-CN"/>
              </w:rPr>
            </w:pPr>
            <w:r>
              <w:rPr>
                <w:rFonts w:hint="eastAsia"/>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trPr>
        <w:tc>
          <w:tcPr>
            <w:tcW w:w="454" w:type="dxa"/>
            <w:shd w:val="clear" w:color="auto" w:fill="auto"/>
            <w:vAlign w:val="center"/>
          </w:tcPr>
          <w:p>
            <w:pPr>
              <w:widowControl/>
              <w:spacing w:line="240" w:lineRule="auto"/>
              <w:jc w:val="left"/>
              <w:rPr>
                <w:rFonts w:hint="eastAsia"/>
                <w:lang w:val="en-US" w:eastAsia="zh-CN"/>
              </w:rPr>
            </w:pPr>
            <w:r>
              <w:rPr>
                <w:rFonts w:hint="eastAsia"/>
                <w:lang w:val="en-US" w:eastAsia="zh-CN"/>
              </w:rPr>
              <w:t>1</w:t>
            </w:r>
          </w:p>
        </w:tc>
        <w:tc>
          <w:tcPr>
            <w:tcW w:w="1101" w:type="dxa"/>
            <w:shd w:val="clear" w:color="auto" w:fill="auto"/>
            <w:noWrap/>
            <w:vAlign w:val="center"/>
          </w:tcPr>
          <w:p>
            <w:pPr>
              <w:widowControl/>
              <w:spacing w:line="240" w:lineRule="auto"/>
              <w:jc w:val="left"/>
              <w:rPr>
                <w:rFonts w:hint="eastAsia"/>
                <w:lang w:val="en-US" w:eastAsia="zh-CN"/>
              </w:rPr>
            </w:pPr>
            <w:r>
              <w:rPr>
                <w:rFonts w:hint="eastAsia"/>
                <w:lang w:val="en-US" w:eastAsia="zh-CN"/>
              </w:rPr>
              <w:t>外网核心交换机</w:t>
            </w:r>
          </w:p>
        </w:tc>
        <w:tc>
          <w:tcPr>
            <w:tcW w:w="5796" w:type="dxa"/>
            <w:shd w:val="clear" w:color="auto" w:fill="auto"/>
            <w:vAlign w:val="center"/>
          </w:tcPr>
          <w:p>
            <w:pPr>
              <w:widowControl/>
              <w:spacing w:line="240" w:lineRule="auto"/>
              <w:jc w:val="left"/>
              <w:rPr>
                <w:rFonts w:hint="eastAsia"/>
                <w:lang w:val="en-US" w:eastAsia="zh-CN"/>
              </w:rPr>
            </w:pPr>
            <w:r>
              <w:rPr>
                <w:rFonts w:hint="eastAsia"/>
                <w:lang w:val="en-US" w:eastAsia="zh-CN"/>
              </w:rPr>
              <w:t>硬件参数:</w:t>
            </w:r>
            <w:r>
              <w:rPr>
                <w:rFonts w:hint="eastAsia"/>
                <w:lang w:val="en-US" w:eastAsia="zh-CN"/>
              </w:rPr>
              <w:br w:type="textWrapping"/>
            </w:r>
            <w:r>
              <w:rPr>
                <w:rFonts w:hint="eastAsia"/>
                <w:lang w:val="en-US" w:eastAsia="zh-CN"/>
              </w:rPr>
              <w:t>1.★整机主控引擎插槽≥2个，业务插槽≥6个</w:t>
            </w:r>
            <w:r>
              <w:rPr>
                <w:rFonts w:hint="eastAsia"/>
                <w:lang w:val="en-US" w:eastAsia="zh-CN"/>
              </w:rPr>
              <w:br w:type="textWrapping"/>
            </w:r>
            <w:r>
              <w:rPr>
                <w:rFonts w:hint="eastAsia"/>
                <w:lang w:val="en-US" w:eastAsia="zh-CN"/>
              </w:rPr>
              <w:t>2.★要求所投产品系统电源槽位≥4个，支持N+M冗余</w:t>
            </w:r>
            <w:r>
              <w:rPr>
                <w:rFonts w:hint="eastAsia"/>
                <w:lang w:val="en-US" w:eastAsia="zh-CN"/>
              </w:rPr>
              <w:br w:type="textWrapping"/>
            </w:r>
            <w:r>
              <w:rPr>
                <w:rFonts w:hint="eastAsia"/>
                <w:lang w:val="en-US" w:eastAsia="zh-CN"/>
              </w:rPr>
              <w:t>3.支持配置POE线卡，并由独立POE电源槽供电，防止因POE供电而影响其他业务模块供电稳定性。</w:t>
            </w:r>
            <w:r>
              <w:rPr>
                <w:rFonts w:hint="eastAsia"/>
                <w:lang w:val="en-US" w:eastAsia="zh-CN"/>
              </w:rPr>
              <w:br w:type="textWrapping"/>
            </w:r>
            <w:r>
              <w:rPr>
                <w:rFonts w:hint="eastAsia"/>
                <w:lang w:val="en-US" w:eastAsia="zh-CN"/>
              </w:rPr>
              <w:t>4.要求所投产品随机箱附带风扇盘，且风扇≥2个</w:t>
            </w:r>
            <w:r>
              <w:rPr>
                <w:rFonts w:hint="eastAsia"/>
                <w:lang w:val="en-US" w:eastAsia="zh-CN"/>
              </w:rPr>
              <w:br w:type="textWrapping"/>
            </w:r>
            <w:r>
              <w:rPr>
                <w:rFonts w:hint="eastAsia"/>
                <w:lang w:val="en-US" w:eastAsia="zh-CN"/>
              </w:rPr>
              <w:t>5.★要求所投产品线卡千兆光口≥40个,万兆光口≥12个</w:t>
            </w:r>
            <w:r>
              <w:rPr>
                <w:rFonts w:hint="eastAsia"/>
                <w:lang w:val="en-US" w:eastAsia="zh-CN"/>
              </w:rPr>
              <w:br w:type="textWrapping"/>
            </w:r>
            <w:r>
              <w:rPr>
                <w:rFonts w:hint="eastAsia"/>
                <w:lang w:val="en-US" w:eastAsia="zh-CN"/>
              </w:rPr>
              <w:t>6.为提高机房空间利用率，节约空间成本，要求采用紧凑型机框设计，设备高度&lt;=10U</w:t>
            </w:r>
            <w:r>
              <w:rPr>
                <w:rFonts w:hint="eastAsia"/>
                <w:lang w:val="en-US" w:eastAsia="zh-CN"/>
              </w:rPr>
              <w:br w:type="textWrapping"/>
            </w:r>
            <w:r>
              <w:rPr>
                <w:rFonts w:hint="eastAsia"/>
                <w:lang w:val="en-US" w:eastAsia="zh-CN"/>
              </w:rPr>
              <w:t>7.★交换容量≥230T，包转发性能≥48000Mpps</w:t>
            </w:r>
            <w:r>
              <w:rPr>
                <w:rFonts w:hint="eastAsia"/>
                <w:lang w:val="en-US" w:eastAsia="zh-CN"/>
              </w:rPr>
              <w:br w:type="textWrapping"/>
            </w:r>
            <w:r>
              <w:rPr>
                <w:rFonts w:hint="eastAsia"/>
                <w:lang w:val="en-US" w:eastAsia="zh-CN"/>
              </w:rPr>
              <w:t>8.要求整机ARP表项≥20K，实供板卡必须满足此项要求</w:t>
            </w:r>
            <w:r>
              <w:rPr>
                <w:rFonts w:hint="eastAsia"/>
                <w:lang w:val="en-US" w:eastAsia="zh-CN"/>
              </w:rPr>
              <w:br w:type="textWrapping"/>
            </w:r>
            <w:r>
              <w:rPr>
                <w:rFonts w:hint="eastAsia"/>
                <w:lang w:val="en-US" w:eastAsia="zh-CN"/>
              </w:rPr>
              <w:t>9.要求整机MAC表项≥64K，实供板卡必须满足此项要求</w:t>
            </w:r>
            <w:r>
              <w:rPr>
                <w:rFonts w:hint="eastAsia"/>
                <w:lang w:val="en-US" w:eastAsia="zh-CN"/>
              </w:rPr>
              <w:br w:type="textWrapping"/>
            </w:r>
            <w:r>
              <w:rPr>
                <w:rFonts w:hint="eastAsia"/>
                <w:lang w:val="en-US" w:eastAsia="zh-CN"/>
              </w:rPr>
              <w:t>技术特性:</w:t>
            </w:r>
            <w:r>
              <w:rPr>
                <w:rFonts w:hint="eastAsia"/>
                <w:lang w:val="en-US" w:eastAsia="zh-CN"/>
              </w:rPr>
              <w:br w:type="textWrapping"/>
            </w:r>
            <w:r>
              <w:rPr>
                <w:rFonts w:hint="eastAsia"/>
                <w:lang w:val="en-US" w:eastAsia="zh-CN"/>
              </w:rPr>
              <w:t>10.★完善的虚拟化功能：</w:t>
            </w:r>
            <w:r>
              <w:rPr>
                <w:rFonts w:hint="eastAsia"/>
                <w:lang w:val="en-US" w:eastAsia="zh-CN"/>
              </w:rPr>
              <w:br w:type="textWrapping"/>
            </w:r>
            <w:r>
              <w:rPr>
                <w:rFonts w:hint="eastAsia"/>
                <w:lang w:val="en-US" w:eastAsia="zh-CN"/>
              </w:rPr>
              <w:t>★N:1虚拟化：可将多台物理设备虚拟化为1台逻辑设备，虚拟组内设备具备统一的二层及三层转发表项，统一的管理界面，并可实现跨设备链路聚合.</w:t>
            </w:r>
            <w:r>
              <w:rPr>
                <w:rFonts w:hint="eastAsia"/>
                <w:lang w:val="en-US" w:eastAsia="zh-CN"/>
              </w:rPr>
              <w:br w:type="textWrapping"/>
            </w:r>
            <w:r>
              <w:rPr>
                <w:rFonts w:hint="eastAsia"/>
                <w:lang w:val="en-US" w:eastAsia="zh-CN"/>
              </w:rPr>
              <w:t>★1：N虚拟化：可将一台物理设备虚拟化为多台逻辑设备，各虚拟交换机间具备独立的转发表项及配置界面，各虚拟交换机的配置/重启互不影响。要求N≥4。</w:t>
            </w:r>
            <w:r>
              <w:rPr>
                <w:rFonts w:hint="eastAsia"/>
                <w:lang w:val="en-US" w:eastAsia="zh-CN"/>
              </w:rPr>
              <w:br w:type="textWrapping"/>
            </w:r>
            <w:r>
              <w:rPr>
                <w:rFonts w:hint="eastAsia"/>
                <w:lang w:val="en-US" w:eastAsia="zh-CN"/>
              </w:rPr>
              <w:t>11.支持多虚一与一虚多同时使用，彻底实现资源池化。</w:t>
            </w:r>
            <w:r>
              <w:rPr>
                <w:rFonts w:hint="eastAsia"/>
                <w:lang w:val="en-US" w:eastAsia="zh-CN"/>
              </w:rPr>
              <w:br w:type="textWrapping"/>
            </w:r>
            <w:r>
              <w:rPr>
                <w:rFonts w:hint="eastAsia"/>
                <w:lang w:val="en-US" w:eastAsia="zh-CN"/>
              </w:rPr>
              <w:t>12.支持多对一镜像,基于流的镜像，一对多镜像。支持SPAN、RSPAN远程镜像，支持VLAN的镜像。</w:t>
            </w:r>
            <w:r>
              <w:rPr>
                <w:rFonts w:hint="eastAsia"/>
                <w:lang w:val="en-US" w:eastAsia="zh-CN"/>
              </w:rPr>
              <w:br w:type="textWrapping"/>
            </w:r>
            <w:r>
              <w:rPr>
                <w:rFonts w:hint="eastAsia"/>
                <w:lang w:val="en-US" w:eastAsia="zh-CN"/>
              </w:rPr>
              <w:t>13.支持IPv6静态路由、RIPng、OSPF v3、BGP4+ 等路由协议。</w:t>
            </w:r>
            <w:r>
              <w:rPr>
                <w:rFonts w:hint="eastAsia"/>
                <w:lang w:val="en-US" w:eastAsia="zh-CN"/>
              </w:rPr>
              <w:br w:type="textWrapping"/>
            </w:r>
            <w:r>
              <w:rPr>
                <w:rFonts w:hint="eastAsia"/>
                <w:lang w:val="en-US" w:eastAsia="zh-CN"/>
              </w:rPr>
              <w:t>14.支持手动隧道，自动隧道，ISATAP</w:t>
            </w:r>
            <w:r>
              <w:rPr>
                <w:rFonts w:hint="eastAsia"/>
                <w:lang w:val="en-US" w:eastAsia="zh-CN"/>
              </w:rPr>
              <w:br w:type="textWrapping"/>
            </w:r>
            <w:r>
              <w:rPr>
                <w:rFonts w:hint="eastAsia"/>
                <w:lang w:val="en-US" w:eastAsia="zh-CN"/>
              </w:rPr>
              <w:t>15.要求所投产品支持sFlow网络监测技术，可提供完整的第二层到第四层信息，可以适应超大网络流量环境下的流量分析，让用户详细、实时地分析网络传输流的性能、趋势和存在的问题。</w:t>
            </w:r>
            <w:r>
              <w:rPr>
                <w:rFonts w:hint="eastAsia"/>
                <w:lang w:val="en-US" w:eastAsia="zh-CN"/>
              </w:rPr>
              <w:br w:type="textWrapping"/>
            </w:r>
            <w:r>
              <w:rPr>
                <w:rFonts w:hint="eastAsia"/>
                <w:lang w:val="en-US" w:eastAsia="zh-CN"/>
              </w:rPr>
              <w:t>16.要求所投产品支持软件定义网络SDN，符合OpenFlow 1.3协议标准，支持SDN和SDN Ready功能；</w:t>
            </w:r>
            <w:r>
              <w:rPr>
                <w:rFonts w:hint="eastAsia"/>
                <w:lang w:val="en-US" w:eastAsia="zh-CN"/>
              </w:rPr>
              <w:br w:type="textWrapping"/>
            </w:r>
            <w:r>
              <w:rPr>
                <w:rFonts w:hint="eastAsia"/>
                <w:lang w:val="en-US" w:eastAsia="zh-CN"/>
              </w:rPr>
              <w:t>17.采用模块化操作系统，支持多进程备份及ISSU不中断业务升级特性。</w:t>
            </w:r>
            <w:r>
              <w:rPr>
                <w:rFonts w:hint="eastAsia"/>
                <w:lang w:val="en-US" w:eastAsia="zh-CN"/>
              </w:rPr>
              <w:br w:type="textWrapping"/>
            </w:r>
            <w:r>
              <w:rPr>
                <w:rFonts w:hint="eastAsia"/>
                <w:lang w:val="en-US" w:eastAsia="zh-CN"/>
              </w:rPr>
              <w:t>18.★支持专门针对CPU的保护机制，能够针对发往CPU处理的各种报文进行流量控制和优先级处理，保护交换机在各种环境下稳定工作。</w:t>
            </w:r>
            <w:r>
              <w:rPr>
                <w:rFonts w:hint="eastAsia"/>
                <w:lang w:val="en-US" w:eastAsia="zh-CN"/>
              </w:rPr>
              <w:br w:type="textWrapping"/>
            </w:r>
            <w:r>
              <w:rPr>
                <w:rFonts w:hint="eastAsia"/>
                <w:lang w:val="en-US" w:eastAsia="zh-CN"/>
              </w:rPr>
              <w:t>19.★支持专门基础网络保护机制，增强设备防攻击能力，即使在受到攻击的情况下，也能保护系统各种服务的正常运行，保持较低的CPU负载，从而保障整个网络的稳定运行。</w:t>
            </w:r>
          </w:p>
          <w:p>
            <w:pPr>
              <w:widowControl/>
              <w:spacing w:line="240" w:lineRule="auto"/>
              <w:jc w:val="left"/>
              <w:rPr>
                <w:rFonts w:hint="eastAsia"/>
                <w:lang w:val="en-US" w:eastAsia="zh-CN"/>
              </w:rPr>
            </w:pPr>
            <w:r>
              <w:rPr>
                <w:rFonts w:hint="eastAsia"/>
                <w:lang w:val="en-US" w:eastAsia="zh-CN"/>
              </w:rPr>
              <w:t>高性能一代主控引擎。2套</w:t>
            </w:r>
          </w:p>
          <w:p>
            <w:pPr>
              <w:widowControl/>
              <w:spacing w:line="240" w:lineRule="auto"/>
              <w:jc w:val="left"/>
              <w:rPr>
                <w:rFonts w:hint="eastAsia"/>
                <w:lang w:val="en-US" w:eastAsia="zh-CN"/>
              </w:rPr>
            </w:pPr>
            <w:r>
              <w:rPr>
                <w:rFonts w:hint="eastAsia"/>
                <w:lang w:val="en-US" w:eastAsia="zh-CN"/>
              </w:rPr>
              <w:t>通用电源模块（可以冗余，交流，600W） 。 2块</w:t>
            </w:r>
          </w:p>
          <w:p>
            <w:pPr>
              <w:widowControl/>
              <w:spacing w:line="240" w:lineRule="auto"/>
              <w:jc w:val="left"/>
              <w:rPr>
                <w:rFonts w:hint="default"/>
                <w:lang w:val="en-US" w:eastAsia="zh-CN"/>
              </w:rPr>
            </w:pPr>
            <w:r>
              <w:rPr>
                <w:rFonts w:hint="eastAsia"/>
                <w:lang w:val="en-US" w:eastAsia="zh-CN"/>
              </w:rPr>
              <w:t>24端口千兆以太网光口(SFP,LC)+12端口千兆以太网电口复用(RJ45)+4端口万兆以太网光口(SFP+,LC)。1个</w:t>
            </w:r>
          </w:p>
          <w:p>
            <w:pPr>
              <w:widowControl/>
              <w:spacing w:line="240" w:lineRule="auto"/>
              <w:jc w:val="left"/>
              <w:rPr>
                <w:rFonts w:hint="eastAsia"/>
                <w:lang w:val="en-US" w:eastAsia="zh-CN"/>
              </w:rPr>
            </w:pPr>
            <w:r>
              <w:rPr>
                <w:rFonts w:hint="eastAsia"/>
                <w:lang w:val="en-US" w:eastAsia="zh-CN"/>
              </w:rPr>
              <w:t>16端口千兆以太网光口(SFP,LC)+8端口万兆以太网光接口板(SFP+,LC）。1块</w:t>
            </w:r>
          </w:p>
          <w:p>
            <w:pPr>
              <w:widowControl/>
              <w:spacing w:line="240" w:lineRule="auto"/>
              <w:jc w:val="left"/>
              <w:rPr>
                <w:rFonts w:hint="eastAsia"/>
                <w:lang w:val="en-US" w:eastAsia="zh-CN"/>
              </w:rPr>
            </w:pPr>
            <w:r>
              <w:rPr>
                <w:rFonts w:hint="eastAsia"/>
                <w:lang w:val="en-US" w:eastAsia="zh-CN"/>
              </w:rPr>
              <w:t>★生产厂家通过IOS9001质量管理体系认证证书，并提供复印件加盖厂家鲜章。</w:t>
            </w:r>
          </w:p>
          <w:p>
            <w:pPr>
              <w:widowControl/>
              <w:spacing w:line="240" w:lineRule="auto"/>
              <w:jc w:val="left"/>
              <w:rPr>
                <w:rFonts w:hint="eastAsia"/>
                <w:lang w:val="en-US" w:eastAsia="zh-CN"/>
              </w:rPr>
            </w:pPr>
            <w:r>
              <w:rPr>
                <w:rFonts w:hint="eastAsia"/>
                <w:lang w:val="en-US" w:eastAsia="zh-CN"/>
              </w:rPr>
              <w:t>★需提供工信部出具的IPv4和IPv6入网测试报告，并提供复印件加盖厂家鲜章。</w:t>
            </w:r>
          </w:p>
        </w:tc>
        <w:tc>
          <w:tcPr>
            <w:tcW w:w="576" w:type="dxa"/>
            <w:shd w:val="clear" w:color="auto" w:fill="auto"/>
            <w:noWrap/>
            <w:vAlign w:val="center"/>
          </w:tcPr>
          <w:p>
            <w:pPr>
              <w:widowControl/>
              <w:spacing w:line="240" w:lineRule="auto"/>
              <w:jc w:val="left"/>
              <w:rPr>
                <w:rFonts w:hint="eastAsia"/>
                <w:lang w:val="en-US" w:eastAsia="zh-CN"/>
              </w:rPr>
            </w:pPr>
            <w:r>
              <w:rPr>
                <w:rFonts w:hint="eastAsia"/>
                <w:lang w:val="en-US" w:eastAsia="zh-CN"/>
              </w:rPr>
              <w:t>套</w:t>
            </w:r>
          </w:p>
        </w:tc>
        <w:tc>
          <w:tcPr>
            <w:tcW w:w="628" w:type="dxa"/>
            <w:shd w:val="clear" w:color="auto" w:fill="auto"/>
            <w:noWrap/>
            <w:vAlign w:val="center"/>
          </w:tcPr>
          <w:p>
            <w:pPr>
              <w:widowControl/>
              <w:spacing w:line="240" w:lineRule="auto"/>
              <w:jc w:val="left"/>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4" w:type="dxa"/>
            <w:shd w:val="clear" w:color="auto" w:fill="auto"/>
            <w:vAlign w:val="center"/>
          </w:tcPr>
          <w:p>
            <w:pPr>
              <w:widowControl/>
              <w:spacing w:line="240" w:lineRule="auto"/>
              <w:jc w:val="left"/>
              <w:rPr>
                <w:rFonts w:hint="eastAsia"/>
                <w:lang w:val="en-US" w:eastAsia="zh-CN"/>
              </w:rPr>
            </w:pPr>
            <w:r>
              <w:rPr>
                <w:rFonts w:hint="eastAsia"/>
                <w:lang w:val="en-US" w:eastAsia="zh-CN"/>
              </w:rPr>
              <w:t>2</w:t>
            </w:r>
          </w:p>
        </w:tc>
        <w:tc>
          <w:tcPr>
            <w:tcW w:w="1101" w:type="dxa"/>
            <w:shd w:val="clear" w:color="auto" w:fill="auto"/>
            <w:vAlign w:val="center"/>
          </w:tcPr>
          <w:p>
            <w:pPr>
              <w:widowControl/>
              <w:spacing w:line="240" w:lineRule="auto"/>
              <w:jc w:val="left"/>
              <w:rPr>
                <w:rFonts w:hint="eastAsia"/>
                <w:lang w:val="en-US" w:eastAsia="zh-CN"/>
              </w:rPr>
            </w:pPr>
            <w:r>
              <w:rPr>
                <w:rFonts w:hint="eastAsia"/>
                <w:lang w:val="en-US" w:eastAsia="zh-CN"/>
              </w:rPr>
              <w:t>外网48口接入交换机</w:t>
            </w:r>
          </w:p>
        </w:tc>
        <w:tc>
          <w:tcPr>
            <w:tcW w:w="5796" w:type="dxa"/>
            <w:shd w:val="clear" w:color="auto" w:fill="auto"/>
            <w:vAlign w:val="center"/>
          </w:tcPr>
          <w:p>
            <w:pPr>
              <w:widowControl/>
              <w:spacing w:line="240" w:lineRule="auto"/>
              <w:jc w:val="left"/>
              <w:rPr>
                <w:rFonts w:hint="eastAsia"/>
                <w:lang w:val="en-US" w:eastAsia="zh-CN"/>
              </w:rPr>
            </w:pPr>
            <w:r>
              <w:rPr>
                <w:rFonts w:hint="eastAsia"/>
                <w:lang w:val="en-US" w:eastAsia="zh-CN"/>
              </w:rPr>
              <w:t>1、★固化10/100/1000M以太网端口≥48，固化10G/1GSFP+光接口≥4个，双电源插槽；</w:t>
            </w:r>
          </w:p>
          <w:p>
            <w:pPr>
              <w:widowControl/>
              <w:spacing w:line="240" w:lineRule="auto"/>
              <w:jc w:val="left"/>
              <w:rPr>
                <w:rFonts w:hint="eastAsia"/>
                <w:lang w:val="en-US" w:eastAsia="zh-CN"/>
              </w:rPr>
            </w:pPr>
            <w:r>
              <w:rPr>
                <w:rFonts w:hint="eastAsia"/>
                <w:lang w:val="en-US" w:eastAsia="zh-CN"/>
              </w:rPr>
              <w:t>2、★交换容量≥3T，包转发率≥160Mpps；</w:t>
            </w:r>
          </w:p>
          <w:p>
            <w:pPr>
              <w:widowControl/>
              <w:spacing w:line="240" w:lineRule="auto"/>
              <w:jc w:val="left"/>
              <w:rPr>
                <w:rFonts w:hint="eastAsia"/>
                <w:lang w:val="en-US" w:eastAsia="zh-CN"/>
              </w:rPr>
            </w:pPr>
            <w:r>
              <w:rPr>
                <w:rFonts w:hint="eastAsia"/>
                <w:lang w:val="en-US" w:eastAsia="zh-CN"/>
              </w:rPr>
              <w:t>3、支持1对1、1对多、多对1和基于流的镜像；且支持RSPAN和ERSPAN；</w:t>
            </w:r>
          </w:p>
          <w:p>
            <w:pPr>
              <w:widowControl/>
              <w:spacing w:line="240" w:lineRule="auto"/>
              <w:jc w:val="left"/>
              <w:rPr>
                <w:rFonts w:hint="eastAsia"/>
                <w:lang w:val="en-US" w:eastAsia="zh-CN"/>
              </w:rPr>
            </w:pPr>
            <w:r>
              <w:rPr>
                <w:rFonts w:hint="eastAsia"/>
                <w:lang w:val="en-US" w:eastAsia="zh-CN"/>
              </w:rPr>
              <w:t>4、★支持静态路由、RIP/RIPng、OSPFv2/OSPFv3等三层路由协议；</w:t>
            </w:r>
          </w:p>
          <w:p>
            <w:pPr>
              <w:widowControl/>
              <w:spacing w:line="240" w:lineRule="auto"/>
              <w:jc w:val="left"/>
              <w:rPr>
                <w:rFonts w:hint="eastAsia"/>
                <w:lang w:val="en-US" w:eastAsia="zh-CN"/>
              </w:rPr>
            </w:pPr>
            <w:r>
              <w:rPr>
                <w:rFonts w:hint="eastAsia"/>
                <w:lang w:val="en-US" w:eastAsia="zh-CN"/>
              </w:rPr>
              <w:t>5、★支持专门基础网络保护机制，增强设备防攻击能力，即使在受到攻击的情况下，也能保护系统各种服务的正常运行，保持较低的CPU负载，从而保障整个网络的稳定运行；</w:t>
            </w:r>
          </w:p>
          <w:p>
            <w:pPr>
              <w:widowControl/>
              <w:spacing w:line="240" w:lineRule="auto"/>
              <w:jc w:val="left"/>
              <w:rPr>
                <w:rFonts w:hint="eastAsia"/>
                <w:lang w:val="en-US" w:eastAsia="zh-CN"/>
              </w:rPr>
            </w:pPr>
            <w:r>
              <w:rPr>
                <w:rFonts w:hint="eastAsia"/>
                <w:lang w:val="en-US" w:eastAsia="zh-CN"/>
              </w:rPr>
              <w:t>6、支持sFlow网络监测技术，可提供完整的第二层到第四层信息，可以适应超大网络流量环境下的流量分析，让用户详细、实时地分析网络传输流的性能、趋势和存在的问题；</w:t>
            </w:r>
          </w:p>
          <w:p>
            <w:pPr>
              <w:widowControl/>
              <w:spacing w:line="240" w:lineRule="auto"/>
              <w:jc w:val="left"/>
              <w:rPr>
                <w:rFonts w:hint="eastAsia"/>
                <w:lang w:val="en-US" w:eastAsia="zh-CN"/>
              </w:rPr>
            </w:pPr>
            <w:r>
              <w:rPr>
                <w:rFonts w:hint="eastAsia"/>
                <w:lang w:val="en-US" w:eastAsia="zh-CN"/>
              </w:rPr>
              <w:t>7、符合国家低碳环保等政策要求，支持IEEE802.3az标准的EEE节能技术；</w:t>
            </w:r>
          </w:p>
          <w:p>
            <w:pPr>
              <w:widowControl/>
              <w:spacing w:line="240" w:lineRule="auto"/>
              <w:jc w:val="left"/>
              <w:rPr>
                <w:rFonts w:hint="eastAsia"/>
                <w:lang w:val="en-US" w:eastAsia="zh-CN"/>
              </w:rPr>
            </w:pPr>
            <w:r>
              <w:rPr>
                <w:rFonts w:hint="eastAsia"/>
                <w:lang w:val="en-US" w:eastAsia="zh-CN"/>
              </w:rPr>
              <w:t>8、支持IPv6Ready第二阶段认证证书；</w:t>
            </w:r>
          </w:p>
          <w:p>
            <w:pPr>
              <w:widowControl/>
              <w:spacing w:line="240" w:lineRule="auto"/>
              <w:jc w:val="left"/>
              <w:rPr>
                <w:rFonts w:hint="eastAsia"/>
                <w:lang w:val="en-US" w:eastAsia="zh-CN"/>
              </w:rPr>
            </w:pPr>
            <w:r>
              <w:rPr>
                <w:rFonts w:hint="eastAsia"/>
                <w:lang w:val="en-US" w:eastAsia="zh-CN"/>
              </w:rPr>
              <w:t>9、整机采用绿色环保设计，满负荷情况下电源功率≤48W；</w:t>
            </w:r>
          </w:p>
          <w:p>
            <w:pPr>
              <w:widowControl/>
              <w:spacing w:line="240" w:lineRule="auto"/>
              <w:jc w:val="left"/>
              <w:rPr>
                <w:rFonts w:hint="eastAsia"/>
                <w:lang w:val="en-US" w:eastAsia="zh-CN"/>
              </w:rPr>
            </w:pPr>
            <w:r>
              <w:rPr>
                <w:rFonts w:hint="eastAsia"/>
                <w:lang w:val="en-US" w:eastAsia="zh-CN"/>
              </w:rPr>
              <w:t>10、要求产品支持≥10KV的端口防雷能力；</w:t>
            </w:r>
          </w:p>
          <w:p>
            <w:pPr>
              <w:widowControl/>
              <w:spacing w:line="240" w:lineRule="auto"/>
              <w:jc w:val="left"/>
              <w:rPr>
                <w:rFonts w:hint="eastAsia"/>
                <w:lang w:val="en-US" w:eastAsia="zh-CN"/>
              </w:rPr>
            </w:pPr>
            <w:r>
              <w:rPr>
                <w:rFonts w:hint="eastAsia"/>
                <w:lang w:val="en-US" w:eastAsia="zh-CN"/>
              </w:rPr>
              <w:t>11、★单台配置：千兆电接口≥48，万兆光接口≥4，单电源模块。</w:t>
            </w:r>
          </w:p>
          <w:p>
            <w:pPr>
              <w:widowControl/>
              <w:spacing w:line="240" w:lineRule="auto"/>
              <w:jc w:val="left"/>
              <w:rPr>
                <w:rFonts w:hint="eastAsia"/>
                <w:lang w:val="en-US" w:eastAsia="zh-CN"/>
              </w:rPr>
            </w:pPr>
            <w:r>
              <w:rPr>
                <w:rFonts w:hint="eastAsia"/>
                <w:lang w:val="en-US" w:eastAsia="zh-CN"/>
              </w:rPr>
              <w:t>★生产厂家通过IOS9001质量管理体系认证证书，并提供复印件加盖厂家鲜章。</w:t>
            </w:r>
          </w:p>
          <w:p>
            <w:pPr>
              <w:widowControl/>
              <w:spacing w:line="240" w:lineRule="auto"/>
              <w:jc w:val="left"/>
              <w:rPr>
                <w:rFonts w:hint="eastAsia"/>
                <w:lang w:val="en-US" w:eastAsia="zh-CN"/>
              </w:rPr>
            </w:pPr>
            <w:r>
              <w:rPr>
                <w:rFonts w:hint="eastAsia"/>
                <w:lang w:val="en-US" w:eastAsia="zh-CN"/>
              </w:rPr>
              <w:t>★需提供工信部出具的IPv4和IPv6入网测试报告，并提供复印件加盖厂家鲜章。</w:t>
            </w:r>
          </w:p>
        </w:tc>
        <w:tc>
          <w:tcPr>
            <w:tcW w:w="576" w:type="dxa"/>
            <w:shd w:val="clear" w:color="auto" w:fill="auto"/>
            <w:vAlign w:val="center"/>
          </w:tcPr>
          <w:p>
            <w:pPr>
              <w:widowControl/>
              <w:spacing w:line="240" w:lineRule="auto"/>
              <w:jc w:val="left"/>
              <w:rPr>
                <w:rFonts w:hint="eastAsia"/>
                <w:lang w:val="en-US" w:eastAsia="zh-CN"/>
              </w:rPr>
            </w:pPr>
            <w:r>
              <w:rPr>
                <w:rFonts w:hint="eastAsia"/>
                <w:lang w:val="en-US" w:eastAsia="zh-CN"/>
              </w:rPr>
              <w:t>个</w:t>
            </w:r>
          </w:p>
        </w:tc>
        <w:tc>
          <w:tcPr>
            <w:tcW w:w="628" w:type="dxa"/>
            <w:shd w:val="clear" w:color="auto" w:fill="auto"/>
            <w:vAlign w:val="center"/>
          </w:tcPr>
          <w:p>
            <w:pPr>
              <w:widowControl/>
              <w:spacing w:line="240" w:lineRule="auto"/>
              <w:jc w:val="left"/>
              <w:rPr>
                <w:rFonts w:hint="eastAsia"/>
                <w:lang w:val="en-US" w:eastAsia="zh-CN"/>
              </w:rPr>
            </w:pP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54" w:type="dxa"/>
            <w:shd w:val="clear" w:color="auto" w:fill="auto"/>
            <w:vAlign w:val="center"/>
          </w:tcPr>
          <w:p>
            <w:pPr>
              <w:widowControl/>
              <w:spacing w:line="240" w:lineRule="auto"/>
              <w:jc w:val="left"/>
              <w:rPr>
                <w:rFonts w:hint="eastAsia"/>
                <w:lang w:val="en-US" w:eastAsia="zh-CN"/>
              </w:rPr>
            </w:pPr>
            <w:r>
              <w:rPr>
                <w:rFonts w:hint="eastAsia"/>
                <w:lang w:val="en-US" w:eastAsia="zh-CN"/>
              </w:rPr>
              <w:t>3</w:t>
            </w:r>
          </w:p>
        </w:tc>
        <w:tc>
          <w:tcPr>
            <w:tcW w:w="1101" w:type="dxa"/>
            <w:shd w:val="clear" w:color="auto" w:fill="auto"/>
            <w:vAlign w:val="center"/>
          </w:tcPr>
          <w:p>
            <w:pPr>
              <w:widowControl/>
              <w:spacing w:line="240" w:lineRule="auto"/>
              <w:jc w:val="left"/>
              <w:rPr>
                <w:rFonts w:hint="eastAsia"/>
                <w:lang w:val="en-US" w:eastAsia="zh-CN"/>
              </w:rPr>
            </w:pPr>
            <w:r>
              <w:rPr>
                <w:rFonts w:hint="eastAsia"/>
                <w:lang w:val="en-US" w:eastAsia="zh-CN"/>
              </w:rPr>
              <w:t>万兆单模</w:t>
            </w:r>
          </w:p>
        </w:tc>
        <w:tc>
          <w:tcPr>
            <w:tcW w:w="5796" w:type="dxa"/>
            <w:shd w:val="clear" w:color="000000" w:fill="FFFFFF"/>
            <w:vAlign w:val="center"/>
          </w:tcPr>
          <w:p>
            <w:pPr>
              <w:widowControl/>
              <w:spacing w:line="240" w:lineRule="auto"/>
              <w:jc w:val="left"/>
              <w:rPr>
                <w:rFonts w:hint="eastAsia"/>
                <w:lang w:val="en-US" w:eastAsia="zh-CN"/>
              </w:rPr>
            </w:pPr>
            <w:r>
              <w:rPr>
                <w:rFonts w:hint="eastAsia"/>
                <w:lang w:val="en-US" w:eastAsia="zh-CN"/>
              </w:rPr>
              <w:t>万兆LC接口模块，传输10km，适用于SFP+接口</w:t>
            </w:r>
          </w:p>
        </w:tc>
        <w:tc>
          <w:tcPr>
            <w:tcW w:w="576" w:type="dxa"/>
            <w:shd w:val="clear" w:color="auto" w:fill="auto"/>
            <w:vAlign w:val="center"/>
          </w:tcPr>
          <w:p>
            <w:pPr>
              <w:widowControl/>
              <w:spacing w:line="240" w:lineRule="auto"/>
              <w:jc w:val="left"/>
              <w:rPr>
                <w:rFonts w:hint="eastAsia"/>
                <w:lang w:val="en-US" w:eastAsia="zh-CN"/>
              </w:rPr>
            </w:pPr>
            <w:r>
              <w:rPr>
                <w:rFonts w:hint="eastAsia"/>
                <w:lang w:val="en-US" w:eastAsia="zh-CN"/>
              </w:rPr>
              <w:t>个</w:t>
            </w:r>
          </w:p>
        </w:tc>
        <w:tc>
          <w:tcPr>
            <w:tcW w:w="628" w:type="dxa"/>
            <w:shd w:val="clear" w:color="auto" w:fill="auto"/>
            <w:vAlign w:val="center"/>
          </w:tcPr>
          <w:p>
            <w:pPr>
              <w:widowControl/>
              <w:spacing w:line="240" w:lineRule="auto"/>
              <w:jc w:val="left"/>
              <w:rPr>
                <w:rFonts w:hint="default"/>
                <w:lang w:val="en-US" w:eastAsia="zh-CN"/>
              </w:rPr>
            </w:pPr>
            <w:r>
              <w:rPr>
                <w:rFonts w:hint="eastAsia"/>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shd w:val="clear" w:color="auto" w:fill="auto"/>
            <w:vAlign w:val="center"/>
          </w:tcPr>
          <w:p>
            <w:pPr>
              <w:widowControl/>
              <w:spacing w:line="240" w:lineRule="auto"/>
              <w:jc w:val="left"/>
              <w:rPr>
                <w:rFonts w:hint="eastAsia"/>
                <w:lang w:val="en-US" w:eastAsia="zh-CN"/>
              </w:rPr>
            </w:pPr>
            <w:r>
              <w:rPr>
                <w:rFonts w:hint="eastAsia"/>
                <w:lang w:val="en-US" w:eastAsia="zh-CN"/>
              </w:rPr>
              <w:t>4</w:t>
            </w:r>
          </w:p>
        </w:tc>
        <w:tc>
          <w:tcPr>
            <w:tcW w:w="1101" w:type="dxa"/>
            <w:shd w:val="clear" w:color="auto" w:fill="auto"/>
            <w:vAlign w:val="center"/>
          </w:tcPr>
          <w:p>
            <w:pPr>
              <w:widowControl/>
              <w:spacing w:line="240" w:lineRule="auto"/>
              <w:jc w:val="left"/>
              <w:rPr>
                <w:rFonts w:hint="eastAsia"/>
                <w:lang w:val="en-US" w:eastAsia="zh-CN"/>
              </w:rPr>
            </w:pPr>
            <w:r>
              <w:rPr>
                <w:rFonts w:hint="eastAsia"/>
                <w:lang w:val="en-US" w:eastAsia="zh-CN"/>
              </w:rPr>
              <w:t>上网行为管理</w:t>
            </w:r>
          </w:p>
        </w:tc>
        <w:tc>
          <w:tcPr>
            <w:tcW w:w="5796" w:type="dxa"/>
            <w:shd w:val="clear" w:color="auto" w:fill="auto"/>
            <w:vAlign w:val="center"/>
          </w:tcPr>
          <w:p>
            <w:pPr>
              <w:widowControl/>
              <w:spacing w:line="240" w:lineRule="auto"/>
              <w:jc w:val="left"/>
              <w:rPr>
                <w:rFonts w:hint="eastAsia"/>
                <w:lang w:val="en-US" w:eastAsia="zh-CN"/>
              </w:rPr>
            </w:pPr>
            <w:r>
              <w:rPr>
                <w:rFonts w:hint="eastAsia"/>
                <w:lang w:val="en-US" w:eastAsia="zh-CN"/>
              </w:rPr>
              <w:t>1、支持6个千兆电口和1个扩展卡槽；1T的硬盘存储；1U机架式设备；</w:t>
            </w:r>
          </w:p>
          <w:p>
            <w:pPr>
              <w:widowControl/>
              <w:spacing w:line="240" w:lineRule="auto"/>
              <w:jc w:val="left"/>
              <w:rPr>
                <w:rFonts w:hint="eastAsia"/>
                <w:lang w:val="en-US" w:eastAsia="zh-CN"/>
              </w:rPr>
            </w:pPr>
            <w:r>
              <w:rPr>
                <w:rFonts w:hint="eastAsia"/>
                <w:lang w:val="en-US" w:eastAsia="zh-CN"/>
              </w:rPr>
              <w:t>★2、设备最大吞吐量≥</w:t>
            </w:r>
            <w:r>
              <w:rPr>
                <w:rFonts w:hint="eastAsia"/>
                <w:lang w:val="en-US" w:eastAsia="zh-CN"/>
              </w:rPr>
              <w:t>9Gbps，设备最大适用带宽≥400Mbps，最大支持并发连接数≥</w:t>
            </w:r>
            <w:r>
              <w:rPr>
                <w:rFonts w:hint="eastAsia"/>
                <w:lang w:val="en-US" w:eastAsia="zh-CN"/>
              </w:rPr>
              <w:t>100万，每秒新建连接数≥10000/秒；配置3年特征库</w:t>
            </w:r>
            <w:r>
              <w:rPr>
                <w:rFonts w:hint="eastAsia"/>
                <w:lang w:val="en-US" w:eastAsia="zh-CN"/>
              </w:rPr>
              <w:t>免费升级服务授权。</w:t>
            </w:r>
          </w:p>
          <w:p>
            <w:pPr>
              <w:widowControl/>
              <w:spacing w:line="240" w:lineRule="auto"/>
              <w:jc w:val="left"/>
              <w:rPr>
                <w:rFonts w:hint="eastAsia"/>
                <w:lang w:val="en-US" w:eastAsia="zh-CN"/>
              </w:rPr>
            </w:pPr>
            <w:r>
              <w:rPr>
                <w:rFonts w:hint="eastAsia"/>
                <w:lang w:val="en-US" w:eastAsia="zh-CN"/>
              </w:rPr>
              <w:t>3、设备将主动通过SNMP协议去读取三层交换机上的内网主机的MAC地址，支持三层环境下绑定MAC或绑定IP+MAC进行上网认证的实现方式；</w:t>
            </w:r>
          </w:p>
          <w:p>
            <w:pPr>
              <w:widowControl/>
              <w:spacing w:line="240" w:lineRule="auto"/>
              <w:jc w:val="left"/>
              <w:rPr>
                <w:rFonts w:hint="eastAsia"/>
                <w:lang w:val="en-US" w:eastAsia="zh-CN"/>
              </w:rPr>
            </w:pPr>
            <w:r>
              <w:rPr>
                <w:rFonts w:hint="eastAsia"/>
                <w:lang w:val="en-US" w:eastAsia="zh-CN"/>
              </w:rPr>
              <w:t>4、支持单点登录的类型包括:ADSSO、PPPOESSO、WEBSSO；</w:t>
            </w:r>
          </w:p>
          <w:p>
            <w:pPr>
              <w:widowControl/>
              <w:spacing w:line="240" w:lineRule="auto"/>
              <w:jc w:val="left"/>
              <w:rPr>
                <w:rFonts w:hint="eastAsia"/>
                <w:lang w:val="en-US" w:eastAsia="zh-CN"/>
              </w:rPr>
            </w:pPr>
            <w:r>
              <w:rPr>
                <w:rFonts w:hint="eastAsia"/>
                <w:lang w:val="en-US" w:eastAsia="zh-CN"/>
              </w:rPr>
              <w:t>5、用户可以自助申请上网临时账号，账号可以通过邮件、短信发送给用户，输入该账号密码即可完成认证上网；</w:t>
            </w:r>
          </w:p>
          <w:p>
            <w:pPr>
              <w:widowControl/>
              <w:spacing w:line="240" w:lineRule="auto"/>
              <w:jc w:val="left"/>
              <w:rPr>
                <w:rFonts w:hint="eastAsia"/>
                <w:lang w:val="en-US" w:eastAsia="zh-CN"/>
              </w:rPr>
            </w:pPr>
            <w:r>
              <w:rPr>
                <w:rFonts w:hint="eastAsia"/>
                <w:lang w:val="en-US" w:eastAsia="zh-CN"/>
              </w:rPr>
              <w:t>6、支持将多个端口捆绑成一个逻辑的端口以增加带宽，同时增加链路备份；</w:t>
            </w:r>
          </w:p>
          <w:p>
            <w:pPr>
              <w:widowControl/>
              <w:spacing w:line="240" w:lineRule="auto"/>
              <w:jc w:val="left"/>
              <w:rPr>
                <w:rFonts w:hint="eastAsia"/>
                <w:lang w:val="en-US" w:eastAsia="zh-CN"/>
              </w:rPr>
            </w:pPr>
            <w:r>
              <w:rPr>
                <w:rFonts w:hint="eastAsia"/>
                <w:lang w:val="en-US" w:eastAsia="zh-CN"/>
              </w:rPr>
              <w:t>7、支持DHCP服务器功能、中继功能、客户端功能、代理功能；对于多IP的DNS解析，支持根据用户的来路而做出一些智能化的处理，然后把智能化判断后的IP返回给用户，而不需要用户进行选择。DNS均衡算法包括：按权重、按上行流量、按下行流量、按总流量</w:t>
            </w:r>
            <w:r>
              <w:rPr>
                <w:rFonts w:hint="eastAsia"/>
                <w:lang w:val="en-US" w:eastAsia="zh-CN"/>
              </w:rPr>
              <w:t>。</w:t>
            </w:r>
          </w:p>
          <w:p>
            <w:pPr>
              <w:widowControl/>
              <w:spacing w:line="240" w:lineRule="auto"/>
              <w:jc w:val="left"/>
              <w:rPr>
                <w:rFonts w:hint="eastAsia"/>
                <w:lang w:val="en-US" w:eastAsia="zh-CN"/>
              </w:rPr>
            </w:pPr>
            <w:r>
              <w:rPr>
                <w:rFonts w:hint="eastAsia"/>
                <w:lang w:val="en-US" w:eastAsia="zh-CN"/>
              </w:rPr>
              <w:t>★8、可检测出内网用户私接无线路由器、360WiFi等设备的共享上网行为，进行告警及阻断；</w:t>
            </w:r>
            <w:r>
              <w:rPr>
                <w:rFonts w:hint="eastAsia"/>
                <w:lang w:val="en-US" w:eastAsia="zh-CN"/>
              </w:rPr>
              <w:t>请提供功能截图，并加盖原厂鲜章。</w:t>
            </w:r>
          </w:p>
          <w:p>
            <w:pPr>
              <w:widowControl/>
              <w:spacing w:line="240" w:lineRule="auto"/>
              <w:jc w:val="left"/>
              <w:rPr>
                <w:rFonts w:hint="eastAsia"/>
                <w:lang w:val="en-US" w:eastAsia="zh-CN"/>
              </w:rPr>
            </w:pPr>
            <w:r>
              <w:rPr>
                <w:rFonts w:hint="eastAsia"/>
                <w:lang w:val="en-US" w:eastAsia="zh-CN"/>
              </w:rPr>
              <w:t>9、支持GRE隧道功能、PPTPVPN、IpsecVPN、L2TPVPN。</w:t>
            </w:r>
          </w:p>
          <w:p>
            <w:pPr>
              <w:widowControl/>
              <w:spacing w:line="240" w:lineRule="auto"/>
              <w:jc w:val="left"/>
              <w:rPr>
                <w:rFonts w:hint="eastAsia"/>
                <w:lang w:val="en-US" w:eastAsia="zh-CN"/>
              </w:rPr>
            </w:pPr>
            <w:r>
              <w:rPr>
                <w:rFonts w:hint="eastAsia"/>
                <w:lang w:val="en-US" w:eastAsia="zh-CN"/>
              </w:rPr>
              <w:t>10、支持将特殊协议（如MPLS、PPPoE、VLAN（Q-in-Q）等）的协议头剥离掉，这样可以对特殊协议封装内的原始数据进行认证、审计和控制</w:t>
            </w:r>
            <w:r>
              <w:rPr>
                <w:rFonts w:hint="eastAsia"/>
                <w:lang w:val="en-US" w:eastAsia="zh-CN"/>
              </w:rPr>
              <w:t>。</w:t>
            </w:r>
          </w:p>
          <w:p>
            <w:pPr>
              <w:widowControl/>
              <w:spacing w:line="240" w:lineRule="auto"/>
              <w:jc w:val="left"/>
              <w:rPr>
                <w:rFonts w:hint="eastAsia"/>
                <w:lang w:val="en-US" w:eastAsia="zh-CN"/>
              </w:rPr>
            </w:pPr>
            <w:r>
              <w:rPr>
                <w:rFonts w:hint="eastAsia"/>
                <w:lang w:val="en-US" w:eastAsia="zh-CN"/>
              </w:rPr>
              <w:t>11、支持流量父子通道技术，支持多级通道；支持基于线路的流控、基于应用的流控、基于URL的流控、基于IP的流控、基于用户组的流控、基于时间段的流控、基于单个用户的流控；限制指定的应用一天内可以使用的流量总额或使用时长</w:t>
            </w:r>
            <w:r>
              <w:rPr>
                <w:rFonts w:hint="eastAsia"/>
                <w:lang w:val="en-US" w:eastAsia="zh-CN"/>
              </w:rPr>
              <w:t>。</w:t>
            </w:r>
          </w:p>
          <w:p>
            <w:pPr>
              <w:widowControl/>
              <w:spacing w:line="240" w:lineRule="auto"/>
              <w:jc w:val="left"/>
              <w:rPr>
                <w:rFonts w:hint="eastAsia"/>
                <w:lang w:val="en-US" w:eastAsia="zh-CN"/>
              </w:rPr>
            </w:pPr>
            <w:r>
              <w:rPr>
                <w:rFonts w:hint="eastAsia"/>
                <w:lang w:val="en-US" w:eastAsia="zh-CN"/>
              </w:rPr>
              <w:t>12、将每个用户的QQ即时通讯工具的登入记录、聊天记录、或文件传输记录分项统计并显示。聊天记录的显示完全模拟即时通讯软件的聊天记录框的样式</w:t>
            </w:r>
            <w:r>
              <w:rPr>
                <w:rFonts w:hint="eastAsia"/>
                <w:lang w:val="en-US" w:eastAsia="zh-CN"/>
              </w:rPr>
              <w:t>。</w:t>
            </w:r>
          </w:p>
          <w:p>
            <w:pPr>
              <w:widowControl/>
              <w:spacing w:line="240" w:lineRule="auto"/>
              <w:jc w:val="left"/>
              <w:rPr>
                <w:rFonts w:hint="eastAsia"/>
                <w:lang w:val="en-US" w:eastAsia="zh-CN"/>
              </w:rPr>
            </w:pPr>
            <w:r>
              <w:rPr>
                <w:rFonts w:hint="eastAsia"/>
                <w:lang w:val="en-US" w:eastAsia="zh-CN"/>
              </w:rPr>
              <w:t>13、将每个用户的http上传、即时通讯上传、FTP上传和下载文件、EMAIL发送文件分项统计和记录。</w:t>
            </w:r>
          </w:p>
          <w:p>
            <w:pPr>
              <w:widowControl/>
              <w:spacing w:line="240" w:lineRule="auto"/>
              <w:jc w:val="left"/>
              <w:rPr>
                <w:rFonts w:hint="eastAsia"/>
                <w:lang w:val="en-US" w:eastAsia="zh-CN"/>
              </w:rPr>
            </w:pPr>
            <w:r>
              <w:rPr>
                <w:rFonts w:hint="eastAsia"/>
                <w:lang w:val="en-US" w:eastAsia="zh-CN"/>
              </w:rPr>
              <w:t>★14、本地认证、AD域认证、Radius认证、LDAP认证、POP3认证、短信认证、微信认证；支持同一portal页面内切换微信，短信，账号密码等多种认证方式；</w:t>
            </w:r>
            <w:r>
              <w:rPr>
                <w:rFonts w:hint="eastAsia"/>
                <w:lang w:val="en-US" w:eastAsia="zh-CN"/>
              </w:rPr>
              <w:t>请提供功能截图，并加盖原厂鲜章。</w:t>
            </w:r>
          </w:p>
          <w:p>
            <w:pPr>
              <w:widowControl/>
              <w:spacing w:line="240" w:lineRule="auto"/>
              <w:jc w:val="left"/>
              <w:rPr>
                <w:rFonts w:hint="eastAsia"/>
                <w:lang w:val="en-US" w:eastAsia="zh-CN"/>
              </w:rPr>
            </w:pPr>
            <w:r>
              <w:rPr>
                <w:rFonts w:hint="eastAsia"/>
                <w:lang w:val="en-US" w:eastAsia="zh-CN"/>
              </w:rPr>
              <w:t>15、详细记录每一个会话的信息，包括：用户名、用户组、源IP/端口、目的IP/端口、转换IP/端口、MAC地址、协议类型、协议名称、发送流量、接收流量、会话持续时间、会话结束时间。并可导出为EXCEL或者HTML格式的报表</w:t>
            </w:r>
            <w:r>
              <w:rPr>
                <w:rFonts w:hint="eastAsia"/>
                <w:lang w:val="en-US" w:eastAsia="zh-CN"/>
              </w:rPr>
              <w:t>。</w:t>
            </w:r>
          </w:p>
          <w:p>
            <w:pPr>
              <w:widowControl/>
              <w:spacing w:line="240" w:lineRule="auto"/>
              <w:jc w:val="left"/>
              <w:rPr>
                <w:rFonts w:hint="eastAsia"/>
                <w:lang w:val="en-US" w:eastAsia="zh-CN"/>
              </w:rPr>
            </w:pPr>
            <w:r>
              <w:rPr>
                <w:rFonts w:hint="eastAsia"/>
                <w:lang w:val="en-US" w:eastAsia="zh-CN"/>
              </w:rPr>
              <w:t>可根据IP地址来配置策略，对特定IP的用户免除上网行为的审计。</w:t>
            </w:r>
          </w:p>
          <w:p>
            <w:pPr>
              <w:widowControl/>
              <w:spacing w:line="240" w:lineRule="auto"/>
              <w:jc w:val="left"/>
              <w:rPr>
                <w:rFonts w:hint="eastAsia"/>
                <w:lang w:val="en-US" w:eastAsia="zh-CN"/>
              </w:rPr>
            </w:pPr>
            <w:r>
              <w:rPr>
                <w:rFonts w:hint="eastAsia"/>
                <w:lang w:val="en-US" w:eastAsia="zh-CN"/>
              </w:rPr>
              <w:t>★</w:t>
            </w:r>
            <w:r>
              <w:rPr>
                <w:rFonts w:hint="eastAsia"/>
                <w:lang w:val="en-US" w:eastAsia="zh-CN"/>
              </w:rPr>
              <w:t>17、黑名单支持流量配额、速率控制、并发会话数控制、基于时间段控制、多加倍惩罚等方式；请提供功能截图，并加盖原厂鲜章。</w:t>
            </w:r>
            <w:r>
              <w:rPr>
                <w:rFonts w:hint="eastAsia"/>
                <w:lang w:val="en-US" w:eastAsia="zh-CN"/>
              </w:rPr>
              <w:br w:type="textWrapping"/>
            </w:r>
            <w:r>
              <w:rPr>
                <w:rFonts w:hint="eastAsia"/>
                <w:lang w:val="en-US" w:eastAsia="zh-CN"/>
              </w:rPr>
              <w:t>★</w:t>
            </w:r>
            <w:r>
              <w:rPr>
                <w:rFonts w:hint="eastAsia"/>
                <w:lang w:val="en-US" w:eastAsia="zh-CN"/>
              </w:rPr>
              <w:t>18、支持基于内网用户的白名单、外网IP地址的白名单、基于URL的白名单、基于即时通讯账号的白名单、基于时间段的白名单等方式；请提供功能截图，并加盖原厂鲜章。</w:t>
            </w:r>
          </w:p>
          <w:p>
            <w:pPr>
              <w:widowControl/>
              <w:spacing w:line="240" w:lineRule="auto"/>
              <w:jc w:val="left"/>
              <w:rPr>
                <w:rFonts w:hint="eastAsia"/>
                <w:lang w:val="en-US" w:eastAsia="zh-CN"/>
              </w:rPr>
            </w:pPr>
            <w:r>
              <w:rPr>
                <w:rFonts w:hint="eastAsia"/>
                <w:lang w:val="en-US" w:eastAsia="zh-CN"/>
              </w:rPr>
              <w:t>★生产厂家通过IOS9001质量管理体系认证证书，并提供复印件加盖厂家鲜章。</w:t>
            </w:r>
          </w:p>
          <w:p>
            <w:pPr>
              <w:widowControl/>
              <w:spacing w:line="240" w:lineRule="auto"/>
              <w:jc w:val="left"/>
              <w:rPr>
                <w:rFonts w:hint="default"/>
                <w:lang w:val="en-US" w:eastAsia="zh-CN"/>
              </w:rPr>
            </w:pPr>
            <w:r>
              <w:rPr>
                <w:rFonts w:hint="eastAsia"/>
                <w:lang w:val="en-US" w:eastAsia="zh-CN"/>
              </w:rPr>
              <w:t>★需提供工信部出具的IPv4和IPv6入网测试报告，并提供复印件加盖厂家鲜章。</w:t>
            </w:r>
          </w:p>
        </w:tc>
        <w:tc>
          <w:tcPr>
            <w:tcW w:w="576" w:type="dxa"/>
            <w:shd w:val="clear" w:color="auto" w:fill="auto"/>
            <w:vAlign w:val="center"/>
          </w:tcPr>
          <w:p>
            <w:pPr>
              <w:widowControl/>
              <w:spacing w:line="240" w:lineRule="auto"/>
              <w:jc w:val="left"/>
              <w:rPr>
                <w:rFonts w:hint="eastAsia"/>
                <w:lang w:val="en-US" w:eastAsia="zh-CN"/>
              </w:rPr>
            </w:pPr>
            <w:r>
              <w:rPr>
                <w:rFonts w:hint="eastAsia"/>
                <w:lang w:val="en-US" w:eastAsia="zh-CN"/>
              </w:rPr>
              <w:t>台</w:t>
            </w:r>
          </w:p>
        </w:tc>
        <w:tc>
          <w:tcPr>
            <w:tcW w:w="628" w:type="dxa"/>
            <w:shd w:val="clear" w:color="auto" w:fill="auto"/>
            <w:vAlign w:val="center"/>
          </w:tcPr>
          <w:p>
            <w:pPr>
              <w:widowControl/>
              <w:spacing w:line="240" w:lineRule="auto"/>
              <w:jc w:val="left"/>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shd w:val="clear" w:color="auto" w:fill="auto"/>
            <w:vAlign w:val="center"/>
          </w:tcPr>
          <w:p>
            <w:pPr>
              <w:widowControl/>
              <w:spacing w:line="240" w:lineRule="auto"/>
              <w:jc w:val="left"/>
              <w:rPr>
                <w:rFonts w:hint="eastAsia"/>
                <w:lang w:val="en-US" w:eastAsia="zh-CN"/>
              </w:rPr>
            </w:pPr>
            <w:r>
              <w:rPr>
                <w:rFonts w:hint="eastAsia"/>
                <w:lang w:val="en-US" w:eastAsia="zh-CN"/>
              </w:rPr>
              <w:t>5</w:t>
            </w:r>
          </w:p>
        </w:tc>
        <w:tc>
          <w:tcPr>
            <w:tcW w:w="1101" w:type="dxa"/>
            <w:shd w:val="clear" w:color="auto" w:fill="auto"/>
            <w:vAlign w:val="center"/>
          </w:tcPr>
          <w:p>
            <w:pPr>
              <w:widowControl/>
              <w:spacing w:line="240" w:lineRule="auto"/>
              <w:jc w:val="left"/>
              <w:rPr>
                <w:rFonts w:hint="eastAsia"/>
                <w:lang w:val="en-US" w:eastAsia="zh-CN"/>
              </w:rPr>
            </w:pPr>
            <w:r>
              <w:rPr>
                <w:rFonts w:hint="eastAsia"/>
                <w:lang w:val="en-US" w:eastAsia="zh-CN"/>
              </w:rPr>
              <w:t>KVM切换器</w:t>
            </w:r>
          </w:p>
        </w:tc>
        <w:tc>
          <w:tcPr>
            <w:tcW w:w="5796" w:type="dxa"/>
            <w:shd w:val="clear" w:color="auto" w:fill="auto"/>
            <w:vAlign w:val="center"/>
          </w:tcPr>
          <w:p>
            <w:pPr>
              <w:widowControl/>
              <w:spacing w:line="240" w:lineRule="auto"/>
              <w:jc w:val="left"/>
              <w:rPr>
                <w:rFonts w:hint="eastAsia"/>
                <w:lang w:val="en-US" w:eastAsia="zh-CN"/>
              </w:rPr>
            </w:pPr>
            <w:r>
              <w:rPr>
                <w:rFonts w:hint="eastAsia"/>
                <w:lang w:val="en-US" w:eastAsia="zh-CN"/>
              </w:rPr>
              <w:t>外部规格（长×宽×高） 448mm×601mm×42.5mm</w:t>
            </w:r>
            <w:r>
              <w:rPr>
                <w:rFonts w:hint="eastAsia"/>
                <w:lang w:val="en-US" w:eastAsia="zh-CN"/>
              </w:rPr>
              <w:br w:type="textWrapping"/>
            </w:r>
            <w:r>
              <w:rPr>
                <w:rFonts w:hint="eastAsia"/>
                <w:lang w:val="en-US" w:eastAsia="zh-CN"/>
              </w:rPr>
              <w:t>分辨率 1280×1024@60Hz</w:t>
            </w:r>
            <w:r>
              <w:rPr>
                <w:rFonts w:hint="eastAsia"/>
                <w:lang w:val="en-US" w:eastAsia="zh-CN"/>
              </w:rPr>
              <w:br w:type="textWrapping"/>
            </w:r>
            <w:r>
              <w:rPr>
                <w:rFonts w:hint="eastAsia"/>
                <w:lang w:val="en-US" w:eastAsia="zh-CN"/>
              </w:rPr>
              <w:t>交流电源输入（AC） 90-264V AC /双输出（Max）：20W（直流电需定制）</w:t>
            </w:r>
            <w:r>
              <w:rPr>
                <w:rFonts w:hint="eastAsia"/>
                <w:lang w:val="en-US" w:eastAsia="zh-CN"/>
              </w:rPr>
              <w:br w:type="textWrapping"/>
            </w:r>
            <w:r>
              <w:rPr>
                <w:rFonts w:hint="eastAsia"/>
                <w:lang w:val="en-US" w:eastAsia="zh-CN"/>
              </w:rPr>
              <w:t>级联 支持8层菊链式链接和2层树形拓扑连接，DB15接头（母头）</w:t>
            </w:r>
            <w:r>
              <w:rPr>
                <w:rFonts w:hint="eastAsia"/>
                <w:lang w:val="en-US" w:eastAsia="zh-CN"/>
              </w:rPr>
              <w:br w:type="textWrapping"/>
            </w:r>
            <w:r>
              <w:rPr>
                <w:rFonts w:hint="eastAsia"/>
                <w:lang w:val="en-US" w:eastAsia="zh-CN"/>
              </w:rPr>
              <w:t>按键设计 超薄键盘99键，带数字小键盘</w:t>
            </w:r>
            <w:r>
              <w:rPr>
                <w:rFonts w:hint="eastAsia"/>
                <w:lang w:val="en-US" w:eastAsia="zh-CN"/>
              </w:rPr>
              <w:br w:type="textWrapping"/>
            </w:r>
            <w:r>
              <w:rPr>
                <w:rFonts w:hint="eastAsia"/>
                <w:lang w:val="en-US" w:eastAsia="zh-CN"/>
              </w:rPr>
              <w:t>后端键鼠外接口类型 USB / PS/2可选</w:t>
            </w:r>
            <w:r>
              <w:rPr>
                <w:rFonts w:hint="eastAsia"/>
                <w:lang w:val="en-US" w:eastAsia="zh-CN"/>
              </w:rPr>
              <w:br w:type="textWrapping"/>
            </w:r>
            <w:r>
              <w:rPr>
                <w:rFonts w:hint="eastAsia"/>
                <w:lang w:val="en-US" w:eastAsia="zh-CN"/>
              </w:rPr>
              <w:t>PC选择 OSD菜单，热键，按键</w:t>
            </w:r>
            <w:r>
              <w:rPr>
                <w:rFonts w:hint="eastAsia"/>
                <w:lang w:val="en-US" w:eastAsia="zh-CN"/>
              </w:rPr>
              <w:br w:type="textWrapping"/>
            </w:r>
            <w:r>
              <w:rPr>
                <w:rFonts w:hint="eastAsia"/>
                <w:lang w:val="en-US" w:eastAsia="zh-CN"/>
              </w:rPr>
              <w:t>毛重 19KG</w:t>
            </w:r>
            <w:r>
              <w:rPr>
                <w:rFonts w:hint="eastAsia"/>
                <w:lang w:val="en-US" w:eastAsia="zh-CN"/>
              </w:rPr>
              <w:br w:type="textWrapping"/>
            </w:r>
            <w:r>
              <w:rPr>
                <w:rFonts w:hint="eastAsia"/>
                <w:lang w:val="en-US" w:eastAsia="zh-CN"/>
              </w:rPr>
              <w:t>工作/仓储温度 0~50℃/-20~60℃</w:t>
            </w:r>
            <w:r>
              <w:rPr>
                <w:rFonts w:hint="eastAsia"/>
                <w:lang w:val="en-US" w:eastAsia="zh-CN"/>
              </w:rPr>
              <w:br w:type="textWrapping"/>
            </w:r>
            <w:r>
              <w:rPr>
                <w:rFonts w:hint="eastAsia"/>
                <w:lang w:val="en-US" w:eastAsia="zh-CN"/>
              </w:rPr>
              <w:t>显示屏类型 XGA TFT</w:t>
            </w:r>
            <w:r>
              <w:rPr>
                <w:rFonts w:hint="eastAsia"/>
                <w:lang w:val="en-US" w:eastAsia="zh-CN"/>
              </w:rPr>
              <w:br w:type="textWrapping"/>
            </w:r>
            <w:r>
              <w:rPr>
                <w:rFonts w:hint="eastAsia"/>
                <w:lang w:val="en-US" w:eastAsia="zh-CN"/>
              </w:rPr>
              <w:t>色彩显示 16.7M</w:t>
            </w:r>
            <w:r>
              <w:rPr>
                <w:rFonts w:hint="eastAsia"/>
                <w:lang w:val="en-US" w:eastAsia="zh-CN"/>
              </w:rPr>
              <w:br w:type="textWrapping"/>
            </w:r>
            <w:r>
              <w:rPr>
                <w:rFonts w:hint="eastAsia"/>
                <w:lang w:val="en-US" w:eastAsia="zh-CN"/>
              </w:rPr>
              <w:t>亮度 300（cd/m2）</w:t>
            </w:r>
            <w:r>
              <w:rPr>
                <w:rFonts w:hint="eastAsia"/>
                <w:lang w:val="en-US" w:eastAsia="zh-CN"/>
              </w:rPr>
              <w:br w:type="textWrapping"/>
            </w:r>
            <w:r>
              <w:rPr>
                <w:rFonts w:hint="eastAsia"/>
                <w:lang w:val="en-US" w:eastAsia="zh-CN"/>
              </w:rPr>
              <w:t>对比度 1000：1</w:t>
            </w:r>
            <w:r>
              <w:rPr>
                <w:rFonts w:hint="eastAsia"/>
                <w:lang w:val="en-US" w:eastAsia="zh-CN"/>
              </w:rPr>
              <w:br w:type="textWrapping"/>
            </w:r>
            <w:r>
              <w:rPr>
                <w:rFonts w:hint="eastAsia"/>
                <w:lang w:val="en-US" w:eastAsia="zh-CN"/>
              </w:rPr>
              <w:t>像素间隔 0.264（H）×0.264（W）</w:t>
            </w:r>
            <w:r>
              <w:rPr>
                <w:rFonts w:hint="eastAsia"/>
                <w:lang w:val="en-US" w:eastAsia="zh-CN"/>
              </w:rPr>
              <w:br w:type="textWrapping"/>
            </w:r>
            <w:r>
              <w:rPr>
                <w:rFonts w:hint="eastAsia"/>
                <w:lang w:val="en-US" w:eastAsia="zh-CN"/>
              </w:rPr>
              <w:t>使用寿命 LCD MTBF＞50000H，背光源MTBF＞30000H</w:t>
            </w:r>
            <w:r>
              <w:rPr>
                <w:rFonts w:hint="eastAsia"/>
                <w:lang w:val="en-US" w:eastAsia="zh-CN"/>
              </w:rPr>
              <w:br w:type="textWrapping"/>
            </w:r>
            <w:r>
              <w:rPr>
                <w:rFonts w:hint="eastAsia"/>
                <w:lang w:val="en-US" w:eastAsia="zh-CN"/>
              </w:rPr>
              <w:t>功率 25W</w:t>
            </w:r>
            <w:r>
              <w:rPr>
                <w:rFonts w:hint="eastAsia"/>
                <w:lang w:val="en-US" w:eastAsia="zh-CN"/>
              </w:rPr>
              <w:br w:type="textWrapping"/>
            </w:r>
            <w:r>
              <w:rPr>
                <w:rFonts w:hint="eastAsia"/>
                <w:lang w:val="en-US" w:eastAsia="zh-CN"/>
              </w:rPr>
              <w:t>兼容性 IMB/AT，支持Microsoft Windows9X,/Me/nt/2K/XP</w:t>
            </w:r>
            <w:r>
              <w:rPr>
                <w:rFonts w:hint="eastAsia"/>
                <w:lang w:val="en-US" w:eastAsia="zh-CN"/>
              </w:rPr>
              <w:br w:type="textWrapping"/>
            </w:r>
            <w:r>
              <w:rPr>
                <w:rFonts w:hint="eastAsia"/>
                <w:lang w:val="en-US" w:eastAsia="zh-CN"/>
              </w:rPr>
              <w:t>键盘接口 PS/2 / USB</w:t>
            </w:r>
            <w:r>
              <w:rPr>
                <w:rFonts w:hint="eastAsia"/>
                <w:lang w:val="en-US" w:eastAsia="zh-CN"/>
              </w:rPr>
              <w:br w:type="textWrapping"/>
            </w:r>
            <w:r>
              <w:rPr>
                <w:rFonts w:hint="eastAsia"/>
                <w:lang w:val="en-US" w:eastAsia="zh-CN"/>
              </w:rPr>
              <w:t>使用寿命 ＞1.000.000次</w:t>
            </w:r>
            <w:r>
              <w:rPr>
                <w:rFonts w:hint="eastAsia"/>
                <w:lang w:val="en-US" w:eastAsia="zh-CN"/>
              </w:rPr>
              <w:br w:type="textWrapping"/>
            </w:r>
            <w:r>
              <w:rPr>
                <w:rFonts w:hint="eastAsia"/>
                <w:lang w:val="en-US" w:eastAsia="zh-CN"/>
              </w:rPr>
              <w:t>硬件接口 PS/2USB</w:t>
            </w:r>
            <w:r>
              <w:rPr>
                <w:rFonts w:hint="eastAsia"/>
                <w:lang w:val="en-US" w:eastAsia="zh-CN"/>
              </w:rPr>
              <w:br w:type="textWrapping"/>
            </w:r>
            <w:r>
              <w:rPr>
                <w:rFonts w:hint="eastAsia"/>
                <w:lang w:val="en-US" w:eastAsia="zh-CN"/>
              </w:rPr>
              <w:t>操作系统 支持Microsoft Windows9X,/Me/nt/2K/XP/2003等系统</w:t>
            </w:r>
            <w:r>
              <w:rPr>
                <w:rFonts w:hint="eastAsia"/>
                <w:lang w:val="en-US" w:eastAsia="zh-CN"/>
              </w:rPr>
              <w:br w:type="textWrapping"/>
            </w:r>
            <w:r>
              <w:rPr>
                <w:rFonts w:hint="eastAsia"/>
                <w:lang w:val="en-US" w:eastAsia="zh-CN"/>
              </w:rPr>
              <w:t>外壳材质 镀锌电解板/铝合金</w:t>
            </w:r>
            <w:r>
              <w:rPr>
                <w:rFonts w:hint="eastAsia"/>
                <w:lang w:val="en-US" w:eastAsia="zh-CN"/>
              </w:rPr>
              <w:br w:type="textWrapping"/>
            </w:r>
            <w:r>
              <w:rPr>
                <w:rFonts w:hint="eastAsia"/>
                <w:lang w:val="en-US" w:eastAsia="zh-CN"/>
              </w:rPr>
              <w:t>安全性能 双层密码保护，ACL（Access Control List）安全保护功能，储存8个独立PC账户信息</w:t>
            </w:r>
            <w:r>
              <w:rPr>
                <w:rFonts w:hint="eastAsia"/>
                <w:lang w:val="en-US" w:eastAsia="zh-CN"/>
              </w:rPr>
              <w:br w:type="textWrapping"/>
            </w:r>
            <w:r>
              <w:rPr>
                <w:rFonts w:hint="eastAsia"/>
                <w:lang w:val="en-US" w:eastAsia="zh-CN"/>
              </w:rPr>
              <w:t>PC端口 16</w:t>
            </w:r>
            <w:r>
              <w:rPr>
                <w:rFonts w:hint="eastAsia"/>
                <w:lang w:val="en-US" w:eastAsia="zh-CN"/>
              </w:rPr>
              <w:br w:type="textWrapping"/>
            </w:r>
            <w:r>
              <w:rPr>
                <w:rFonts w:hint="eastAsia"/>
                <w:lang w:val="en-US" w:eastAsia="zh-CN"/>
              </w:rPr>
              <w:t>机柜安装深度 大于800mm深度的机柜（选用适当的挂耳）</w:t>
            </w:r>
            <w:r>
              <w:rPr>
                <w:rFonts w:hint="eastAsia"/>
                <w:lang w:val="en-US" w:eastAsia="zh-CN"/>
              </w:rPr>
              <w:br w:type="textWrapping"/>
            </w:r>
            <w:r>
              <w:rPr>
                <w:rFonts w:hint="eastAsia"/>
                <w:lang w:val="en-US" w:eastAsia="zh-CN"/>
              </w:rPr>
              <w:t>安装方法 kvm切换器两端的挂耳与机柜前侧立柱固定，后侧的两端插入插条与机柜后两侧立柱固定</w:t>
            </w:r>
            <w:r>
              <w:rPr>
                <w:rFonts w:hint="eastAsia"/>
                <w:lang w:val="en-US" w:eastAsia="zh-CN"/>
              </w:rPr>
              <w:br w:type="textWrapping"/>
            </w:r>
            <w:r>
              <w:rPr>
                <w:rFonts w:hint="eastAsia"/>
                <w:lang w:val="en-US" w:eastAsia="zh-CN"/>
              </w:rPr>
              <w:t>与服务器链接方法 采用RJ-45连接器和CAT5类线缆连接多台主机，传输距离可达150M以上，透过IP或调制解调器远程访问KVM（键盘、影像、鼠标）</w:t>
            </w:r>
            <w:r>
              <w:rPr>
                <w:rFonts w:hint="eastAsia"/>
                <w:lang w:val="en-US" w:eastAsia="zh-CN"/>
              </w:rPr>
              <w:br w:type="textWrapping"/>
            </w:r>
            <w:r>
              <w:rPr>
                <w:rFonts w:hint="eastAsia"/>
                <w:lang w:val="en-US" w:eastAsia="zh-CN"/>
              </w:rPr>
              <w:t xml:space="preserve">产品特性 </w:t>
            </w:r>
            <w:r>
              <w:rPr>
                <w:rFonts w:hint="eastAsia"/>
                <w:lang w:val="en-US" w:eastAsia="zh-CN"/>
              </w:rPr>
              <w:br w:type="textWrapping"/>
            </w:r>
            <w:r>
              <w:rPr>
                <w:rFonts w:hint="eastAsia"/>
                <w:lang w:val="en-US" w:eastAsia="zh-CN"/>
              </w:rPr>
              <w:t>1、4合1一体机，结合了显示器、键盘、鼠标、切换器的功能，是依据标准19寸机架之1U高度设计。</w:t>
            </w:r>
            <w:r>
              <w:rPr>
                <w:rFonts w:hint="eastAsia"/>
                <w:lang w:val="en-US" w:eastAsia="zh-CN"/>
              </w:rPr>
              <w:br w:type="textWrapping"/>
            </w:r>
            <w:r>
              <w:rPr>
                <w:rFonts w:hint="eastAsia"/>
                <w:lang w:val="en-US" w:eastAsia="zh-CN"/>
              </w:rPr>
              <w:t>2、可直接连接16台电脑或服务器，并预留了一套外置KVM控制端。</w:t>
            </w:r>
            <w:r>
              <w:rPr>
                <w:rFonts w:hint="eastAsia"/>
                <w:lang w:val="en-US" w:eastAsia="zh-CN"/>
              </w:rPr>
              <w:br w:type="textWrapping"/>
            </w:r>
            <w:r>
              <w:rPr>
                <w:rFonts w:hint="eastAsia"/>
                <w:lang w:val="en-US" w:eastAsia="zh-CN"/>
              </w:rPr>
              <w:t>3、本机适用于DOS，Win3.X，Win95/98/98SE/ME/2000/2003/XP,WinNT,Unix,Linux等操作系统。</w:t>
            </w:r>
            <w:r>
              <w:rPr>
                <w:rFonts w:hint="eastAsia"/>
                <w:lang w:val="en-US" w:eastAsia="zh-CN"/>
              </w:rPr>
              <w:br w:type="textWrapping"/>
            </w:r>
            <w:r>
              <w:rPr>
                <w:rFonts w:hint="eastAsia"/>
                <w:lang w:val="en-US" w:eastAsia="zh-CN"/>
              </w:rPr>
              <w:t>4、本机适用于iMAC,Power MAC and Sun Microsystems with USB与PS2接口可选，可外接键鼠。</w:t>
            </w:r>
            <w:r>
              <w:rPr>
                <w:rFonts w:hint="eastAsia"/>
                <w:lang w:val="en-US" w:eastAsia="zh-CN"/>
              </w:rPr>
              <w:br w:type="textWrapping"/>
            </w:r>
            <w:r>
              <w:rPr>
                <w:rFonts w:hint="eastAsia"/>
                <w:lang w:val="en-US" w:eastAsia="zh-CN"/>
              </w:rPr>
              <w:t>5、不需安装软件-仅需输入热键指令及画面选择切换就可轻松操作本机。</w:t>
            </w:r>
            <w:r>
              <w:rPr>
                <w:rFonts w:hint="eastAsia"/>
                <w:lang w:val="en-US" w:eastAsia="zh-CN"/>
              </w:rPr>
              <w:br w:type="textWrapping"/>
            </w:r>
            <w:r>
              <w:rPr>
                <w:rFonts w:hint="eastAsia"/>
                <w:lang w:val="en-US" w:eastAsia="zh-CN"/>
              </w:rPr>
              <w:t>6、导轨带自动锁止装置。</w:t>
            </w:r>
            <w:r>
              <w:rPr>
                <w:rFonts w:hint="eastAsia"/>
                <w:lang w:val="en-US" w:eastAsia="zh-CN"/>
              </w:rPr>
              <w:br w:type="textWrapping"/>
            </w:r>
            <w:r>
              <w:rPr>
                <w:rFonts w:hint="eastAsia"/>
                <w:lang w:val="en-US" w:eastAsia="zh-CN"/>
              </w:rPr>
              <w:t>7、自动扫描功能，KVM自动对电脑逐一扫描，通过OSD视控菜单对每台服务器进行命名，以方便管理。</w:t>
            </w:r>
            <w:r>
              <w:rPr>
                <w:rFonts w:hint="eastAsia"/>
                <w:lang w:val="en-US" w:eastAsia="zh-CN"/>
              </w:rPr>
              <w:br w:type="textWrapping"/>
            </w:r>
            <w:r>
              <w:rPr>
                <w:rFonts w:hint="eastAsia"/>
                <w:lang w:val="en-US" w:eastAsia="zh-CN"/>
              </w:rPr>
              <w:t>8、内置电源，电源自动开关。</w:t>
            </w:r>
            <w:r>
              <w:rPr>
                <w:rFonts w:hint="eastAsia"/>
                <w:lang w:val="en-US" w:eastAsia="zh-CN"/>
              </w:rPr>
              <w:br w:type="textWrapping"/>
            </w:r>
            <w:r>
              <w:rPr>
                <w:rFonts w:hint="eastAsia"/>
                <w:lang w:val="en-US" w:eastAsia="zh-CN"/>
              </w:rPr>
              <w:t>9、独立的操作系统，可支持各种操作系统，而无须添加任何其他软件或硬件。</w:t>
            </w:r>
            <w:r>
              <w:rPr>
                <w:rFonts w:hint="eastAsia"/>
                <w:lang w:val="en-US" w:eastAsia="zh-CN"/>
              </w:rPr>
              <w:br w:type="textWrapping"/>
            </w:r>
            <w:r>
              <w:rPr>
                <w:rFonts w:hint="eastAsia"/>
                <w:lang w:val="en-US" w:eastAsia="zh-CN"/>
              </w:rPr>
              <w:t>10、热插拔-具有即插即用功能，增加或拆掉一台PC进行维修时，无需断电，允许控制端即插即用。</w:t>
            </w:r>
          </w:p>
        </w:tc>
        <w:tc>
          <w:tcPr>
            <w:tcW w:w="576" w:type="dxa"/>
            <w:shd w:val="clear" w:color="auto" w:fill="auto"/>
            <w:vAlign w:val="center"/>
          </w:tcPr>
          <w:p>
            <w:pPr>
              <w:widowControl/>
              <w:spacing w:line="240" w:lineRule="auto"/>
              <w:jc w:val="left"/>
              <w:rPr>
                <w:rFonts w:hint="eastAsia"/>
                <w:lang w:val="en-US" w:eastAsia="zh-CN"/>
              </w:rPr>
            </w:pPr>
            <w:r>
              <w:rPr>
                <w:rFonts w:hint="eastAsia"/>
                <w:lang w:val="en-US" w:eastAsia="zh-CN"/>
              </w:rPr>
              <w:t>台</w:t>
            </w:r>
          </w:p>
        </w:tc>
        <w:tc>
          <w:tcPr>
            <w:tcW w:w="628" w:type="dxa"/>
            <w:shd w:val="clear" w:color="auto" w:fill="auto"/>
            <w:vAlign w:val="center"/>
          </w:tcPr>
          <w:p>
            <w:pPr>
              <w:widowControl/>
              <w:spacing w:line="240" w:lineRule="auto"/>
              <w:jc w:val="left"/>
              <w:rPr>
                <w:rFonts w:hint="eastAsia"/>
                <w:lang w:val="en-US" w:eastAsia="zh-CN"/>
              </w:rPr>
            </w:pPr>
            <w:r>
              <w:rPr>
                <w:rFonts w:hint="eastAsia"/>
                <w:lang w:val="en-US" w:eastAsia="zh-CN"/>
              </w:rPr>
              <w:t>1</w:t>
            </w:r>
          </w:p>
        </w:tc>
      </w:tr>
    </w:tbl>
    <w:p>
      <w:pPr>
        <w:widowControl/>
        <w:spacing w:line="240" w:lineRule="auto"/>
        <w:jc w:val="left"/>
        <w:rPr>
          <w:rFonts w:hint="eastAsia"/>
          <w:lang w:val="en-US" w:eastAsia="zh-CN"/>
        </w:rPr>
      </w:pPr>
    </w:p>
    <w:p>
      <w:pPr>
        <w:widowControl/>
        <w:spacing w:line="240" w:lineRule="auto"/>
        <w:jc w:val="left"/>
        <w:rPr>
          <w:rFonts w:hint="eastAsia"/>
          <w:lang w:val="en-US" w:eastAsia="zh-CN"/>
        </w:rPr>
      </w:pPr>
    </w:p>
    <w:p>
      <w:pPr>
        <w:widowControl/>
        <w:spacing w:line="240" w:lineRule="auto"/>
        <w:jc w:val="left"/>
        <w:rPr>
          <w:rFonts w:hint="eastAsia"/>
          <w:lang w:val="en-US" w:eastAsia="zh-CN"/>
        </w:rPr>
      </w:pPr>
      <w:r>
        <w:rPr>
          <w:rFonts w:hint="eastAsia"/>
          <w:lang w:val="en-US" w:eastAsia="zh-CN"/>
        </w:rPr>
        <w:t>4、视频监控系统</w:t>
      </w:r>
      <w:bookmarkEnd w:id="20"/>
    </w:p>
    <w:tbl>
      <w:tblPr>
        <w:tblStyle w:val="14"/>
        <w:tblW w:w="8816"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972"/>
        <w:gridCol w:w="5556"/>
        <w:gridCol w:w="64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05" w:type="dxa"/>
            <w:shd w:val="clear" w:color="auto" w:fill="auto"/>
            <w:vAlign w:val="center"/>
          </w:tcPr>
          <w:p>
            <w:pPr>
              <w:widowControl/>
              <w:spacing w:line="240" w:lineRule="auto"/>
              <w:jc w:val="left"/>
              <w:rPr>
                <w:rFonts w:hint="eastAsia"/>
                <w:lang w:val="en-US" w:eastAsia="zh-CN"/>
              </w:rPr>
            </w:pPr>
            <w:r>
              <w:rPr>
                <w:rFonts w:hint="eastAsia"/>
                <w:lang w:val="en-US" w:eastAsia="zh-CN"/>
              </w:rPr>
              <w:t>序号</w:t>
            </w:r>
          </w:p>
        </w:tc>
        <w:tc>
          <w:tcPr>
            <w:tcW w:w="972" w:type="dxa"/>
            <w:shd w:val="clear" w:color="auto" w:fill="auto"/>
            <w:vAlign w:val="center"/>
          </w:tcPr>
          <w:p>
            <w:pPr>
              <w:widowControl/>
              <w:spacing w:line="240" w:lineRule="auto"/>
              <w:jc w:val="left"/>
              <w:rPr>
                <w:rFonts w:hint="eastAsia"/>
                <w:lang w:val="en-US" w:eastAsia="zh-CN"/>
              </w:rPr>
            </w:pPr>
            <w:r>
              <w:rPr>
                <w:rFonts w:hint="eastAsia"/>
                <w:lang w:val="en-US" w:eastAsia="zh-CN"/>
              </w:rPr>
              <w:t>设备材料名称</w:t>
            </w:r>
          </w:p>
        </w:tc>
        <w:tc>
          <w:tcPr>
            <w:tcW w:w="5556" w:type="dxa"/>
            <w:shd w:val="clear" w:color="auto" w:fill="auto"/>
            <w:vAlign w:val="center"/>
          </w:tcPr>
          <w:p>
            <w:pPr>
              <w:widowControl/>
              <w:spacing w:line="240" w:lineRule="auto"/>
              <w:jc w:val="left"/>
              <w:rPr>
                <w:rFonts w:hint="eastAsia"/>
                <w:lang w:val="en-US" w:eastAsia="zh-CN"/>
              </w:rPr>
            </w:pPr>
            <w:r>
              <w:rPr>
                <w:rFonts w:hint="eastAsia"/>
                <w:lang w:val="en-US" w:eastAsia="zh-CN"/>
              </w:rPr>
              <w:t>招标参数</w:t>
            </w:r>
          </w:p>
        </w:tc>
        <w:tc>
          <w:tcPr>
            <w:tcW w:w="648" w:type="dxa"/>
            <w:shd w:val="clear" w:color="auto" w:fill="auto"/>
            <w:vAlign w:val="center"/>
          </w:tcPr>
          <w:p>
            <w:pPr>
              <w:widowControl/>
              <w:spacing w:line="240" w:lineRule="auto"/>
              <w:jc w:val="left"/>
              <w:rPr>
                <w:rFonts w:hint="eastAsia"/>
                <w:lang w:val="en-US" w:eastAsia="zh-CN"/>
              </w:rPr>
            </w:pPr>
            <w:r>
              <w:rPr>
                <w:rFonts w:hint="eastAsia"/>
                <w:lang w:val="en-US" w:eastAsia="zh-CN"/>
              </w:rPr>
              <w:t>单位</w:t>
            </w:r>
          </w:p>
        </w:tc>
        <w:tc>
          <w:tcPr>
            <w:tcW w:w="1135" w:type="dxa"/>
            <w:shd w:val="clear" w:color="auto" w:fill="auto"/>
            <w:vAlign w:val="center"/>
          </w:tcPr>
          <w:p>
            <w:pPr>
              <w:widowControl/>
              <w:spacing w:line="240" w:lineRule="auto"/>
              <w:jc w:val="left"/>
              <w:rPr>
                <w:rFonts w:hint="eastAsia"/>
                <w:lang w:val="en-US" w:eastAsia="zh-CN"/>
              </w:rPr>
            </w:pPr>
            <w:r>
              <w:rPr>
                <w:rFonts w:hint="eastAsia"/>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5" w:type="dxa"/>
            <w:shd w:val="clear" w:color="auto" w:fill="auto"/>
            <w:vAlign w:val="center"/>
          </w:tcPr>
          <w:p>
            <w:pPr>
              <w:widowControl/>
              <w:spacing w:line="240" w:lineRule="auto"/>
              <w:jc w:val="left"/>
              <w:rPr>
                <w:rFonts w:hint="eastAsia"/>
                <w:lang w:val="en-US" w:eastAsia="zh-CN"/>
              </w:rPr>
            </w:pPr>
            <w:r>
              <w:rPr>
                <w:rFonts w:hint="eastAsia"/>
                <w:lang w:val="en-US" w:eastAsia="zh-CN"/>
              </w:rPr>
              <w:t>一</w:t>
            </w:r>
          </w:p>
        </w:tc>
        <w:tc>
          <w:tcPr>
            <w:tcW w:w="972" w:type="dxa"/>
            <w:shd w:val="clear" w:color="auto" w:fill="auto"/>
            <w:vAlign w:val="center"/>
          </w:tcPr>
          <w:p>
            <w:pPr>
              <w:widowControl/>
              <w:spacing w:line="240" w:lineRule="auto"/>
              <w:jc w:val="left"/>
              <w:rPr>
                <w:rFonts w:hint="eastAsia"/>
                <w:lang w:val="en-US" w:eastAsia="zh-CN"/>
              </w:rPr>
            </w:pPr>
            <w:r>
              <w:rPr>
                <w:rFonts w:hint="eastAsia"/>
                <w:lang w:val="en-US" w:eastAsia="zh-CN"/>
              </w:rPr>
              <w:t>视频监控前端</w:t>
            </w:r>
          </w:p>
        </w:tc>
        <w:tc>
          <w:tcPr>
            <w:tcW w:w="5556" w:type="dxa"/>
            <w:shd w:val="clear" w:color="auto" w:fill="auto"/>
            <w:vAlign w:val="center"/>
          </w:tcPr>
          <w:p>
            <w:pPr>
              <w:widowControl/>
              <w:spacing w:line="240" w:lineRule="auto"/>
              <w:jc w:val="left"/>
              <w:rPr>
                <w:rFonts w:hint="eastAsia"/>
                <w:lang w:val="en-US" w:eastAsia="zh-CN"/>
              </w:rPr>
            </w:pPr>
            <w:r>
              <w:rPr>
                <w:rFonts w:hint="eastAsia"/>
                <w:lang w:val="en-US" w:eastAsia="zh-CN"/>
              </w:rPr>
              <w:t>　</w:t>
            </w:r>
          </w:p>
        </w:tc>
        <w:tc>
          <w:tcPr>
            <w:tcW w:w="648" w:type="dxa"/>
            <w:shd w:val="clear" w:color="auto" w:fill="auto"/>
            <w:vAlign w:val="center"/>
          </w:tcPr>
          <w:p>
            <w:pPr>
              <w:widowControl/>
              <w:spacing w:line="240" w:lineRule="auto"/>
              <w:jc w:val="left"/>
              <w:rPr>
                <w:rFonts w:hint="eastAsia"/>
                <w:lang w:val="en-US" w:eastAsia="zh-CN"/>
              </w:rPr>
            </w:pPr>
            <w:r>
              <w:rPr>
                <w:rFonts w:hint="eastAsia"/>
                <w:lang w:val="en-US" w:eastAsia="zh-CN"/>
              </w:rPr>
              <w:t>　</w:t>
            </w:r>
          </w:p>
        </w:tc>
        <w:tc>
          <w:tcPr>
            <w:tcW w:w="1135" w:type="dxa"/>
            <w:shd w:val="clear" w:color="auto" w:fill="auto"/>
            <w:vAlign w:val="center"/>
          </w:tcPr>
          <w:p>
            <w:pPr>
              <w:widowControl/>
              <w:spacing w:line="240" w:lineRule="auto"/>
              <w:jc w:val="left"/>
              <w:rPr>
                <w:rFonts w:hint="eastAsia"/>
                <w:lang w:val="en-US" w:eastAsia="zh-CN"/>
              </w:rPr>
            </w:pPr>
            <w:r>
              <w:rPr>
                <w:rFonts w:hint="eastAsia"/>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5" w:type="dxa"/>
            <w:shd w:val="clear" w:color="auto" w:fill="auto"/>
            <w:vAlign w:val="center"/>
          </w:tcPr>
          <w:p>
            <w:pPr>
              <w:widowControl/>
              <w:spacing w:line="240" w:lineRule="auto"/>
              <w:jc w:val="left"/>
              <w:rPr>
                <w:rFonts w:hint="eastAsia"/>
                <w:lang w:val="en-US" w:eastAsia="zh-CN"/>
              </w:rPr>
            </w:pPr>
            <w:r>
              <w:rPr>
                <w:rFonts w:hint="eastAsia"/>
                <w:lang w:val="en-US" w:eastAsia="zh-CN"/>
              </w:rPr>
              <w:t>1</w:t>
            </w:r>
          </w:p>
        </w:tc>
        <w:tc>
          <w:tcPr>
            <w:tcW w:w="972" w:type="dxa"/>
            <w:shd w:val="clear" w:color="auto" w:fill="auto"/>
            <w:vAlign w:val="center"/>
          </w:tcPr>
          <w:p>
            <w:pPr>
              <w:widowControl/>
              <w:spacing w:line="240" w:lineRule="auto"/>
              <w:jc w:val="left"/>
              <w:rPr>
                <w:rFonts w:hint="default"/>
                <w:lang w:val="en-US" w:eastAsia="zh-CN"/>
              </w:rPr>
            </w:pPr>
            <w:r>
              <w:rPr>
                <w:rFonts w:hint="eastAsia"/>
                <w:lang w:val="en-US" w:eastAsia="zh-CN"/>
              </w:rPr>
              <w:t>轻智能警戒机及配套支架</w:t>
            </w:r>
          </w:p>
        </w:tc>
        <w:tc>
          <w:tcPr>
            <w:tcW w:w="5556" w:type="dxa"/>
            <w:shd w:val="clear" w:color="auto" w:fill="auto"/>
            <w:vAlign w:val="center"/>
          </w:tcPr>
          <w:p>
            <w:pPr>
              <w:widowControl/>
              <w:spacing w:line="240" w:lineRule="auto"/>
              <w:jc w:val="left"/>
              <w:rPr>
                <w:rFonts w:hint="eastAsia"/>
                <w:lang w:val="en-US" w:eastAsia="zh-CN"/>
              </w:rPr>
            </w:pPr>
            <w:r>
              <w:rPr>
                <w:rFonts w:hint="eastAsia"/>
                <w:lang w:val="en-US" w:eastAsia="zh-CN"/>
              </w:rPr>
              <w:t>具有400万像素 CMOS传感器。</w:t>
            </w:r>
            <w:r>
              <w:rPr>
                <w:rFonts w:hint="eastAsia"/>
                <w:lang w:val="en-US" w:eastAsia="zh-CN"/>
              </w:rPr>
              <w:br w:type="textWrapping"/>
            </w:r>
            <w:r>
              <w:rPr>
                <w:rFonts w:hint="eastAsia"/>
                <w:lang w:val="en-US" w:eastAsia="zh-CN"/>
              </w:rPr>
              <w:t>★红外补光距离不小于85米，最低照度彩色：0.0004 lx，白天或夜晚均可输出彩色视频图像。（公安部检验报告证明）</w:t>
            </w:r>
            <w:r>
              <w:rPr>
                <w:rFonts w:hint="eastAsia"/>
                <w:lang w:val="en-US" w:eastAsia="zh-CN"/>
              </w:rPr>
              <w:br w:type="textWrapping"/>
            </w:r>
            <w:r>
              <w:rPr>
                <w:rFonts w:hint="eastAsia"/>
                <w:lang w:val="en-US" w:eastAsia="zh-CN"/>
              </w:rPr>
              <w:t>★具有不小于1/1.8"靶面尺寸。（公安部检验报告证明）</w:t>
            </w:r>
          </w:p>
          <w:p>
            <w:pPr>
              <w:widowControl/>
              <w:spacing w:line="240" w:lineRule="auto"/>
              <w:jc w:val="left"/>
              <w:rPr>
                <w:rFonts w:hint="eastAsia"/>
                <w:lang w:val="en-US" w:eastAsia="zh-CN"/>
              </w:rPr>
            </w:pPr>
            <w:r>
              <w:rPr>
                <w:rFonts w:hint="eastAsia"/>
                <w:lang w:val="en-US" w:eastAsia="zh-CN"/>
              </w:rPr>
              <w:t>★支持白光报警功能，当报警产生时，可触发联动声音报警和白光闪烁。（公安部检验报告证明）</w:t>
            </w:r>
            <w:r>
              <w:rPr>
                <w:rFonts w:hint="eastAsia"/>
                <w:lang w:val="en-US" w:eastAsia="zh-CN"/>
              </w:rPr>
              <w:br w:type="textWrapping"/>
            </w:r>
            <w:r>
              <w:rPr>
                <w:rFonts w:hint="eastAsia"/>
                <w:lang w:val="en-US" w:eastAsia="zh-CN"/>
              </w:rPr>
              <w:t>★支持H.264、H.265、MJPEG视频编码格式，且具有High Profile编码能力。（公安部检验报告证明）</w:t>
            </w:r>
            <w:r>
              <w:rPr>
                <w:rFonts w:hint="eastAsia"/>
                <w:lang w:val="en-US" w:eastAsia="zh-CN"/>
              </w:rPr>
              <w:br w:type="textWrapping"/>
            </w:r>
            <w:r>
              <w:rPr>
                <w:rFonts w:hint="eastAsia"/>
                <w:lang w:val="en-US" w:eastAsia="zh-CN"/>
              </w:rPr>
              <w:t>信噪比不小于55dB。</w:t>
            </w:r>
            <w:r>
              <w:rPr>
                <w:rFonts w:hint="eastAsia"/>
                <w:lang w:val="en-US" w:eastAsia="zh-CN"/>
              </w:rPr>
              <w:br w:type="textWrapping"/>
            </w:r>
            <w:r>
              <w:rPr>
                <w:rFonts w:hint="eastAsia"/>
                <w:lang w:val="en-US" w:eastAsia="zh-CN"/>
              </w:rPr>
              <w:t>★摄像机能够在-30~60摄氏度，湿度小于93%环境下稳定工作。（公安部检验报告证明）</w:t>
            </w:r>
            <w:r>
              <w:rPr>
                <w:rFonts w:hint="eastAsia"/>
                <w:lang w:val="en-US" w:eastAsia="zh-CN"/>
              </w:rPr>
              <w:br w:type="textWrapping"/>
            </w:r>
            <w:r>
              <w:rPr>
                <w:rFonts w:hint="eastAsia"/>
                <w:lang w:val="en-US" w:eastAsia="zh-CN"/>
              </w:rPr>
              <w:t>★设备与客户端之间用100米网线进行传输，数据包丢包率小于0.1%。（公安部检验报告证明）。</w:t>
            </w:r>
            <w:r>
              <w:rPr>
                <w:rFonts w:hint="eastAsia"/>
                <w:lang w:val="en-US" w:eastAsia="zh-CN"/>
              </w:rPr>
              <w:br w:type="textWrapping"/>
            </w:r>
            <w:r>
              <w:rPr>
                <w:rFonts w:hint="eastAsia"/>
                <w:lang w:val="en-US" w:eastAsia="zh-CN"/>
              </w:rPr>
              <w:t>不低于IP67防尘防水等级。</w:t>
            </w:r>
            <w:r>
              <w:rPr>
                <w:rFonts w:hint="eastAsia"/>
                <w:lang w:val="en-US" w:eastAsia="zh-CN"/>
              </w:rPr>
              <w:br w:type="textWrapping"/>
            </w:r>
            <w:r>
              <w:rPr>
                <w:rFonts w:hint="eastAsia"/>
                <w:lang w:val="en-US" w:eastAsia="zh-CN"/>
              </w:rPr>
              <w:t>电源供应:DC12V±25% / PoE(802.3af) 。</w:t>
            </w:r>
            <w:r>
              <w:rPr>
                <w:rFonts w:hint="eastAsia"/>
                <w:lang w:val="en-US" w:eastAsia="zh-CN"/>
              </w:rPr>
              <w:br w:type="textWrapping"/>
            </w:r>
            <w:r>
              <w:rPr>
                <w:rFonts w:hint="eastAsia"/>
                <w:lang w:val="en-US" w:eastAsia="zh-CN"/>
              </w:rPr>
              <w:t>设备工作状态时，支持空气放电8kV，接触放电6kV，通讯端口支持6kV峰值电压。</w:t>
            </w:r>
          </w:p>
          <w:p>
            <w:pPr>
              <w:widowControl/>
              <w:spacing w:line="240" w:lineRule="auto"/>
              <w:jc w:val="left"/>
              <w:rPr>
                <w:rFonts w:hint="eastAsia"/>
                <w:lang w:val="en-US" w:eastAsia="zh-CN"/>
              </w:rPr>
            </w:pPr>
            <w:r>
              <w:rPr>
                <w:rFonts w:hint="eastAsia"/>
                <w:lang w:val="en-US" w:eastAsia="zh-CN"/>
              </w:rPr>
              <w:t>内置GPU芯片，内置红外与白光补光灯。</w:t>
            </w:r>
          </w:p>
        </w:tc>
        <w:tc>
          <w:tcPr>
            <w:tcW w:w="648" w:type="dxa"/>
            <w:shd w:val="clear" w:color="auto" w:fill="auto"/>
            <w:vAlign w:val="center"/>
          </w:tcPr>
          <w:p>
            <w:pPr>
              <w:widowControl/>
              <w:spacing w:line="240" w:lineRule="auto"/>
              <w:jc w:val="left"/>
              <w:rPr>
                <w:rFonts w:hint="eastAsia"/>
                <w:lang w:val="en-US" w:eastAsia="zh-CN"/>
              </w:rPr>
            </w:pPr>
            <w:r>
              <w:rPr>
                <w:rFonts w:hint="eastAsia"/>
                <w:lang w:val="en-US" w:eastAsia="zh-CN"/>
              </w:rPr>
              <w:t>台</w:t>
            </w:r>
          </w:p>
        </w:tc>
        <w:tc>
          <w:tcPr>
            <w:tcW w:w="1135" w:type="dxa"/>
            <w:shd w:val="clear" w:color="auto" w:fill="auto"/>
            <w:vAlign w:val="center"/>
          </w:tcPr>
          <w:p>
            <w:pPr>
              <w:widowControl/>
              <w:spacing w:line="240" w:lineRule="auto"/>
              <w:jc w:val="left"/>
              <w:rPr>
                <w:rFonts w:hint="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5" w:type="dxa"/>
            <w:shd w:val="clear" w:color="auto" w:fill="auto"/>
            <w:vAlign w:val="center"/>
          </w:tcPr>
          <w:p>
            <w:pPr>
              <w:widowControl/>
              <w:spacing w:line="240" w:lineRule="auto"/>
              <w:jc w:val="left"/>
              <w:rPr>
                <w:rFonts w:hint="eastAsia"/>
                <w:lang w:val="en-US" w:eastAsia="zh-CN"/>
              </w:rPr>
            </w:pPr>
            <w:r>
              <w:rPr>
                <w:rFonts w:hint="eastAsia"/>
                <w:lang w:val="en-US" w:eastAsia="zh-CN"/>
              </w:rPr>
              <w:t>2</w:t>
            </w:r>
          </w:p>
        </w:tc>
        <w:tc>
          <w:tcPr>
            <w:tcW w:w="972" w:type="dxa"/>
            <w:shd w:val="clear" w:color="auto" w:fill="auto"/>
            <w:vAlign w:val="center"/>
          </w:tcPr>
          <w:p>
            <w:pPr>
              <w:widowControl/>
              <w:spacing w:line="240" w:lineRule="auto"/>
              <w:jc w:val="left"/>
              <w:rPr>
                <w:rFonts w:hint="default"/>
                <w:lang w:val="en-US" w:eastAsia="zh-CN"/>
              </w:rPr>
            </w:pPr>
            <w:r>
              <w:rPr>
                <w:rFonts w:hint="eastAsia"/>
                <w:lang w:val="en-US" w:eastAsia="zh-CN"/>
              </w:rPr>
              <w:t>轻智能人脸警戒机及配套支架</w:t>
            </w:r>
          </w:p>
        </w:tc>
        <w:tc>
          <w:tcPr>
            <w:tcW w:w="5556" w:type="dxa"/>
            <w:shd w:val="clear" w:color="auto" w:fill="auto"/>
            <w:vAlign w:val="center"/>
          </w:tcPr>
          <w:p>
            <w:pPr>
              <w:widowControl/>
              <w:spacing w:line="240" w:lineRule="auto"/>
              <w:jc w:val="left"/>
              <w:rPr>
                <w:rFonts w:hint="eastAsia"/>
                <w:lang w:val="en-US" w:eastAsia="zh-CN"/>
              </w:rPr>
            </w:pPr>
            <w:r>
              <w:rPr>
                <w:rFonts w:hint="eastAsia"/>
                <w:lang w:val="en-US" w:eastAsia="zh-CN"/>
              </w:rPr>
              <w:t>具有400万像素 CMOS传感器。</w:t>
            </w:r>
            <w:r>
              <w:rPr>
                <w:rFonts w:hint="eastAsia"/>
                <w:lang w:val="en-US" w:eastAsia="zh-CN"/>
              </w:rPr>
              <w:br w:type="textWrapping"/>
            </w:r>
            <w:r>
              <w:rPr>
                <w:rFonts w:hint="eastAsia"/>
                <w:lang w:val="en-US" w:eastAsia="zh-CN"/>
              </w:rPr>
              <w:t>★最低照度彩色：0.0005 lx，黑白:0.0001 lx，最大亮度鉴别等级（灰度等级）不小于11级。（公安部检验报告证明）</w:t>
            </w:r>
            <w:r>
              <w:rPr>
                <w:rFonts w:hint="eastAsia"/>
                <w:lang w:val="en-US" w:eastAsia="zh-CN"/>
              </w:rPr>
              <w:br w:type="textWrapping"/>
            </w:r>
            <w:r>
              <w:rPr>
                <w:rFonts w:hint="eastAsia"/>
                <w:lang w:val="en-US" w:eastAsia="zh-CN"/>
              </w:rPr>
              <w:t>★红外补光距离不小于100米。（公安部检验报告证明）</w:t>
            </w:r>
            <w:r>
              <w:rPr>
                <w:rFonts w:hint="eastAsia"/>
                <w:lang w:val="en-US" w:eastAsia="zh-CN"/>
              </w:rPr>
              <w:br w:type="textWrapping"/>
            </w:r>
            <w:r>
              <w:rPr>
                <w:rFonts w:hint="eastAsia"/>
                <w:lang w:val="en-US" w:eastAsia="zh-CN"/>
              </w:rPr>
              <w:t>★支持检出两眼瞳距20像素点以上的人脸图片。（公安部检验报告证明）</w:t>
            </w:r>
            <w:r>
              <w:rPr>
                <w:rFonts w:hint="eastAsia"/>
                <w:lang w:val="en-US" w:eastAsia="zh-CN"/>
              </w:rPr>
              <w:br w:type="textWrapping"/>
            </w:r>
            <w:r>
              <w:rPr>
                <w:rFonts w:hint="eastAsia"/>
                <w:lang w:val="en-US" w:eastAsia="zh-CN"/>
              </w:rPr>
              <w:t>★支持最佳抓拍和快速抓拍2种人脸图片抓拍模式设置选项。（公安部检验报告证明）</w:t>
            </w:r>
            <w:r>
              <w:rPr>
                <w:rFonts w:hint="eastAsia"/>
                <w:lang w:val="en-US" w:eastAsia="zh-CN"/>
              </w:rPr>
              <w:br w:type="textWrapping"/>
            </w:r>
            <w:r>
              <w:rPr>
                <w:rFonts w:hint="eastAsia"/>
                <w:lang w:val="en-US" w:eastAsia="zh-CN"/>
              </w:rPr>
              <w:t>★需具备区域入侵、越界入侵、进入区域、离开区域等功能，并可将分析目标设置为人、车辆、人和车辆三种，可对布防时间和联动报警方式进行设置。（公安部检验报告证明）</w:t>
            </w:r>
            <w:r>
              <w:rPr>
                <w:rFonts w:hint="eastAsia"/>
                <w:lang w:val="en-US" w:eastAsia="zh-CN"/>
              </w:rPr>
              <w:br w:type="textWrapping"/>
            </w:r>
            <w:r>
              <w:rPr>
                <w:rFonts w:hint="eastAsia"/>
                <w:lang w:val="en-US" w:eastAsia="zh-CN"/>
              </w:rPr>
              <w:t>★需具备智能分析抗干扰功能，当非人或车辆目标经过检测区域时，不会触发报警。（公安部检验报告证明）</w:t>
            </w:r>
            <w:r>
              <w:rPr>
                <w:rFonts w:hint="eastAsia"/>
                <w:lang w:val="en-US" w:eastAsia="zh-CN"/>
              </w:rPr>
              <w:br w:type="textWrapping"/>
            </w:r>
            <w:r>
              <w:rPr>
                <w:rFonts w:hint="eastAsia"/>
                <w:lang w:val="en-US" w:eastAsia="zh-CN"/>
              </w:rPr>
              <w:t>★需具备镜头控制功能，可通过IE控制镜头的ZOOM和FOCUS，并支持自动聚焦功能，在变焦过程中不会虚焦。（公安部检验报告证明）</w:t>
            </w:r>
            <w:r>
              <w:rPr>
                <w:rFonts w:hint="eastAsia"/>
                <w:lang w:val="en-US" w:eastAsia="zh-CN"/>
              </w:rPr>
              <w:br w:type="textWrapping"/>
            </w:r>
            <w:r>
              <w:rPr>
                <w:rFonts w:hint="eastAsia"/>
                <w:lang w:val="en-US" w:eastAsia="zh-CN"/>
              </w:rPr>
              <w:t>不低于IP67防尘防水等级。</w:t>
            </w:r>
            <w:r>
              <w:rPr>
                <w:rFonts w:hint="eastAsia"/>
                <w:lang w:val="en-US" w:eastAsia="zh-CN"/>
              </w:rPr>
              <w:br w:type="textWrapping"/>
            </w:r>
            <w:r>
              <w:rPr>
                <w:rFonts w:hint="eastAsia"/>
                <w:lang w:val="en-US" w:eastAsia="zh-CN"/>
              </w:rPr>
              <w:t>不低于IK10防暴等级。</w:t>
            </w:r>
            <w:r>
              <w:rPr>
                <w:rFonts w:hint="eastAsia"/>
                <w:lang w:val="en-US" w:eastAsia="zh-CN"/>
              </w:rPr>
              <w:br w:type="textWrapping"/>
            </w:r>
            <w:r>
              <w:rPr>
                <w:rFonts w:hint="eastAsia"/>
                <w:lang w:val="en-US" w:eastAsia="zh-CN"/>
              </w:rPr>
              <w:t>需支持DC12V供电，且在不小于DC12V±30%范围内变化时可以正常工作。</w:t>
            </w:r>
          </w:p>
          <w:p>
            <w:pPr>
              <w:widowControl/>
              <w:spacing w:line="240" w:lineRule="auto"/>
              <w:jc w:val="left"/>
              <w:rPr>
                <w:rFonts w:hint="eastAsia"/>
                <w:lang w:val="en-US" w:eastAsia="zh-CN"/>
              </w:rPr>
            </w:pPr>
            <w:r>
              <w:rPr>
                <w:rFonts w:hint="eastAsia"/>
                <w:lang w:val="en-US" w:eastAsia="zh-CN"/>
              </w:rPr>
              <w:t>支持声音报警功能，报警声音类型不小于10种，报警声级及报警次数可设置。</w:t>
            </w:r>
            <w:r>
              <w:rPr>
                <w:rFonts w:hint="eastAsia"/>
                <w:lang w:val="en-US" w:eastAsia="zh-CN"/>
              </w:rPr>
              <w:br w:type="textWrapping"/>
            </w:r>
            <w:r>
              <w:rPr>
                <w:rFonts w:hint="eastAsia"/>
                <w:lang w:val="en-US" w:eastAsia="zh-CN"/>
              </w:rPr>
              <w:t>内置GPU芯片，内置麦克风和喇叭，信噪比不小于62dB。</w:t>
            </w:r>
          </w:p>
          <w:p>
            <w:pPr>
              <w:widowControl/>
              <w:spacing w:line="240" w:lineRule="auto"/>
              <w:jc w:val="left"/>
              <w:rPr>
                <w:rFonts w:hint="eastAsia"/>
                <w:lang w:val="en-US" w:eastAsia="zh-CN"/>
              </w:rPr>
            </w:pPr>
            <w:r>
              <w:rPr>
                <w:rFonts w:hint="eastAsia"/>
                <w:lang w:val="en-US" w:eastAsia="zh-CN"/>
              </w:rPr>
              <w:t xml:space="preserve">电源供应:DC12V±25% / PoE(802.3af) </w:t>
            </w:r>
          </w:p>
        </w:tc>
        <w:tc>
          <w:tcPr>
            <w:tcW w:w="648" w:type="dxa"/>
            <w:shd w:val="clear" w:color="auto" w:fill="auto"/>
            <w:vAlign w:val="center"/>
          </w:tcPr>
          <w:p>
            <w:pPr>
              <w:widowControl/>
              <w:spacing w:line="240" w:lineRule="auto"/>
              <w:jc w:val="left"/>
              <w:rPr>
                <w:rFonts w:hint="eastAsia"/>
                <w:lang w:val="en-US" w:eastAsia="zh-CN"/>
              </w:rPr>
            </w:pPr>
            <w:r>
              <w:rPr>
                <w:rFonts w:hint="eastAsia"/>
                <w:lang w:val="en-US" w:eastAsia="zh-CN"/>
              </w:rPr>
              <w:t>台</w:t>
            </w:r>
          </w:p>
        </w:tc>
        <w:tc>
          <w:tcPr>
            <w:tcW w:w="1135" w:type="dxa"/>
            <w:shd w:val="clear" w:color="auto" w:fill="auto"/>
            <w:vAlign w:val="center"/>
          </w:tcPr>
          <w:p>
            <w:pPr>
              <w:widowControl/>
              <w:spacing w:line="240" w:lineRule="auto"/>
              <w:jc w:val="left"/>
              <w:rPr>
                <w:rFonts w:hint="default"/>
                <w:lang w:val="en-US" w:eastAsia="zh-CN"/>
              </w:rPr>
            </w:pPr>
            <w:r>
              <w:rPr>
                <w:rFonts w:hint="eastAsia"/>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5"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3</w:t>
            </w:r>
          </w:p>
        </w:tc>
        <w:tc>
          <w:tcPr>
            <w:tcW w:w="972" w:type="dxa"/>
            <w:shd w:val="clear" w:color="auto" w:fill="auto"/>
            <w:vAlign w:val="center"/>
          </w:tcPr>
          <w:p>
            <w:pPr>
              <w:widowControl/>
              <w:spacing w:line="240" w:lineRule="auto"/>
              <w:jc w:val="left"/>
              <w:rPr>
                <w:rFonts w:hint="default" w:cs="宋体" w:asciiTheme="minorEastAsia" w:hAnsiTheme="minorEastAsia"/>
                <w:kern w:val="0"/>
                <w:szCs w:val="24"/>
                <w:lang w:val="en-US"/>
              </w:rPr>
            </w:pPr>
            <w:r>
              <w:rPr>
                <w:rFonts w:hint="eastAsia" w:cs="宋体" w:asciiTheme="minorEastAsia" w:hAnsiTheme="minorEastAsia"/>
                <w:kern w:val="0"/>
                <w:szCs w:val="24"/>
                <w:lang w:val="en-US" w:eastAsia="zh-CN"/>
              </w:rPr>
              <w:t>全彩球机及配套支架</w:t>
            </w:r>
          </w:p>
        </w:tc>
        <w:tc>
          <w:tcPr>
            <w:tcW w:w="5556" w:type="dxa"/>
            <w:shd w:val="clear" w:color="auto" w:fill="auto"/>
            <w:vAlign w:val="center"/>
          </w:tcPr>
          <w:p>
            <w:pPr>
              <w:widowControl/>
              <w:spacing w:line="240" w:lineRule="auto"/>
              <w:jc w:val="left"/>
              <w:rPr>
                <w:rFonts w:hint="eastAsia" w:cs="宋体" w:asciiTheme="minorEastAsia" w:hAnsiTheme="minorEastAsia"/>
                <w:kern w:val="0"/>
                <w:szCs w:val="24"/>
                <w:lang w:val="en-US" w:eastAsia="zh-CN"/>
              </w:rPr>
            </w:pPr>
            <w:r>
              <w:rPr>
                <w:rFonts w:hint="eastAsia" w:cs="宋体" w:asciiTheme="minorEastAsia" w:hAnsiTheme="minorEastAsia"/>
                <w:kern w:val="0"/>
                <w:szCs w:val="24"/>
                <w:lang w:val="en-US" w:eastAsia="zh-CN"/>
              </w:rPr>
              <w:t>★支持最低照度可达彩色0.0003Lux，黑白0.0001Lux（以公安部检验报告为准）</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★支持水平手控速度不小于550°/S，垂直速度不小于120°/S，云台定位精度为±0.1°。水平旋转范围为360°连续旋转，垂直旋转范围为-20°~90°。（以公安部检验报告为准）</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支持300个预置位，可按照所设置的预置位完成不小于8条巡航路径，支持不小于4条模式路径设置，支持预置位视频冻结功能；可实现RS485接口优先或RJ45网络接口优先控制功能。</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信噪比≥61dB，网络延时不大于100ms。</w:t>
            </w:r>
          </w:p>
          <w:p>
            <w:pPr>
              <w:widowControl/>
              <w:spacing w:line="240" w:lineRule="auto"/>
              <w:jc w:val="left"/>
              <w:rPr>
                <w:rFonts w:hint="eastAsia" w:cs="宋体" w:asciiTheme="minorEastAsia" w:hAnsiTheme="minorEastAsia"/>
                <w:kern w:val="0"/>
                <w:szCs w:val="24"/>
                <w:lang w:val="en-US" w:eastAsia="zh-CN"/>
              </w:rPr>
            </w:pPr>
            <w:r>
              <w:rPr>
                <w:rFonts w:hint="eastAsia" w:cs="宋体" w:asciiTheme="minorEastAsia" w:hAnsiTheme="minorEastAsia"/>
                <w:kern w:val="0"/>
                <w:szCs w:val="24"/>
                <w:lang w:val="en-US" w:eastAsia="zh-CN"/>
              </w:rPr>
              <w:t>动态范围不小于106dB，照度适应范围不小于138dB，宽动态能力综合得分不小于135。</w:t>
            </w:r>
          </w:p>
          <w:p>
            <w:pPr>
              <w:widowControl/>
              <w:spacing w:line="240" w:lineRule="auto"/>
              <w:jc w:val="left"/>
              <w:rPr>
                <w:rFonts w:hint="eastAsia" w:cs="宋体" w:asciiTheme="minorEastAsia" w:hAnsiTheme="minorEastAsia"/>
                <w:kern w:val="0"/>
                <w:szCs w:val="24"/>
                <w:lang w:val="en-US" w:eastAsia="zh-CN"/>
              </w:rPr>
            </w:pPr>
            <w:r>
              <w:rPr>
                <w:rFonts w:hint="eastAsia" w:cs="宋体" w:asciiTheme="minorEastAsia" w:hAnsiTheme="minorEastAsia"/>
                <w:kern w:val="0"/>
                <w:szCs w:val="24"/>
                <w:lang w:val="en-US" w:eastAsia="zh-CN"/>
              </w:rPr>
              <w:t>具备较强的网络适应能力，在丢包率为30%的网络环境下，仍可正常显示监视画面。</w:t>
            </w:r>
          </w:p>
          <w:p>
            <w:pPr>
              <w:widowControl/>
              <w:spacing w:line="240" w:lineRule="auto"/>
              <w:jc w:val="left"/>
              <w:rPr>
                <w:rFonts w:hint="eastAsia" w:cs="宋体" w:asciiTheme="minorEastAsia" w:hAnsiTheme="minorEastAsia"/>
                <w:kern w:val="0"/>
                <w:szCs w:val="24"/>
                <w:lang w:val="en-US" w:eastAsia="zh-CN"/>
              </w:rPr>
            </w:pPr>
            <w:r>
              <w:rPr>
                <w:rFonts w:hint="eastAsia" w:cs="宋体" w:asciiTheme="minorEastAsia" w:hAnsiTheme="minorEastAsia"/>
                <w:kern w:val="0"/>
                <w:szCs w:val="24"/>
                <w:lang w:val="en-US" w:eastAsia="zh-CN"/>
              </w:rPr>
              <w:t>支持智能红外、透雾、强光抑制、电子防抖、数字降噪、防红外过曝功能。</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★球机应具备本机存储功能，支持SD卡热插拔，最大支持256GB。（以公安部检验报告为准）</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支持采用H.265、H.264视频编码标准，H.264编码支持Baseline/Main/High Profile，音频编码支G.711ulaw/G.711alaw/G.726/G.722.1。</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具备较好的防护性能环境适应性，支持IP67，8kV防浪涌，工作温度范围可达-45℃-70℃。</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★支持快速聚焦功能，设备对监控区域内的移动目标进行跟踪录像，录像通过单帧回放时应能保证每帧画面清晰稳定。（以公安部检验报告为准）</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★具备较好的电源适应性，电压在AC24V±45%或DC24V±45%范围内变化时，设备可正常工作（以公安部检验报告为准）</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★视频输出支持1920×1080@25fps，分辨力不小于1100TVL，红外距离可达300米（以公安部检验报告为准）</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支持人脸抓拍功能，可对运动人脸进行检测、跟踪、抓拍，同时支持8个场景下的轮巡人脸抓拍，每个场景的时间可设。</w:t>
            </w:r>
          </w:p>
          <w:p>
            <w:pPr>
              <w:widowControl/>
              <w:spacing w:line="240" w:lineRule="auto"/>
              <w:jc w:val="left"/>
              <w:rPr>
                <w:rFonts w:hint="eastAsia" w:cs="宋体" w:asciiTheme="minorEastAsia" w:hAnsiTheme="minorEastAsia"/>
                <w:kern w:val="0"/>
                <w:szCs w:val="24"/>
                <w:lang w:val="en-US" w:eastAsia="zh-CN"/>
              </w:rPr>
            </w:pPr>
            <w:r>
              <w:rPr>
                <w:rFonts w:hint="eastAsia" w:cs="宋体" w:asciiTheme="minorEastAsia" w:hAnsiTheme="minorEastAsia"/>
                <w:kern w:val="0"/>
                <w:szCs w:val="24"/>
                <w:lang w:val="en-US" w:eastAsia="zh-CN"/>
              </w:rPr>
              <w:t>电源供应:DC12V±25% / PoE(802.3af) 。</w:t>
            </w:r>
          </w:p>
        </w:tc>
        <w:tc>
          <w:tcPr>
            <w:tcW w:w="648" w:type="dxa"/>
            <w:shd w:val="clear" w:color="auto" w:fill="auto"/>
            <w:vAlign w:val="center"/>
          </w:tcPr>
          <w:p>
            <w:pPr>
              <w:widowControl/>
              <w:spacing w:line="240" w:lineRule="auto"/>
              <w:jc w:val="center"/>
              <w:rPr>
                <w:rFonts w:hint="default" w:eastAsia="宋体" w:cs="宋体" w:asciiTheme="minorEastAsia" w:hAnsiTheme="minorEastAsia"/>
                <w:kern w:val="0"/>
                <w:szCs w:val="24"/>
                <w:lang w:val="en-US" w:eastAsia="zh-CN"/>
              </w:rPr>
            </w:pPr>
            <w:r>
              <w:rPr>
                <w:rFonts w:hint="eastAsia" w:eastAsia="宋体" w:cs="宋体" w:asciiTheme="minorEastAsia" w:hAnsiTheme="minorEastAsia"/>
                <w:kern w:val="0"/>
                <w:szCs w:val="24"/>
                <w:lang w:val="en-US" w:eastAsia="zh-CN"/>
              </w:rPr>
              <w:t>台</w:t>
            </w:r>
          </w:p>
        </w:tc>
        <w:tc>
          <w:tcPr>
            <w:tcW w:w="1135" w:type="dxa"/>
            <w:shd w:val="clear" w:color="auto" w:fill="auto"/>
            <w:vAlign w:val="center"/>
          </w:tcPr>
          <w:p>
            <w:pPr>
              <w:widowControl/>
              <w:spacing w:line="240" w:lineRule="auto"/>
              <w:jc w:val="center"/>
              <w:rPr>
                <w:rFonts w:hint="eastAsia" w:cs="宋体" w:asciiTheme="minorEastAsia" w:hAnsiTheme="minorEastAsia" w:eastAsiaTheme="minorEastAsia"/>
                <w:kern w:val="0"/>
                <w:szCs w:val="24"/>
                <w:lang w:eastAsia="zh-CN"/>
              </w:rPr>
            </w:pPr>
            <w:r>
              <w:rPr>
                <w:rFonts w:hint="eastAsia" w:cs="宋体" w:asciiTheme="minorEastAsia" w:hAnsiTheme="minorEastAsia"/>
                <w:kern w:val="0"/>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5"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4</w:t>
            </w:r>
          </w:p>
        </w:tc>
        <w:tc>
          <w:tcPr>
            <w:tcW w:w="97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汇聚交换机</w:t>
            </w:r>
          </w:p>
        </w:tc>
        <w:tc>
          <w:tcPr>
            <w:tcW w:w="5556" w:type="dxa"/>
            <w:shd w:val="clear" w:color="auto" w:fill="auto"/>
            <w:vAlign w:val="center"/>
          </w:tcPr>
          <w:p>
            <w:pPr>
              <w:widowControl/>
              <w:spacing w:line="240" w:lineRule="auto"/>
              <w:jc w:val="left"/>
              <w:rPr>
                <w:rFonts w:hint="eastAsia" w:cs="宋体" w:asciiTheme="minorEastAsia" w:hAnsiTheme="minorEastAsia"/>
                <w:kern w:val="0"/>
                <w:szCs w:val="24"/>
                <w:lang w:val="en-US" w:eastAsia="zh-CN"/>
              </w:rPr>
            </w:pPr>
            <w:r>
              <w:rPr>
                <w:rFonts w:hint="eastAsia" w:cs="宋体" w:asciiTheme="minorEastAsia" w:hAnsiTheme="minorEastAsia"/>
                <w:kern w:val="0"/>
                <w:szCs w:val="24"/>
                <w:lang w:val="en-US" w:eastAsia="zh-CN"/>
              </w:rPr>
              <w:t>三层交换机，交换容量598Gbps，包转发率222Mpps；28口SFP接口（SFP为千兆/百兆口），8个复用的10/100/1000M自适应电口，4个1G/10G SFP+光口，2个扩展槽，2个模块化电源插槽，至少需要购买1个RG-PA70I或者RG-PD70I电源模块；支持RIP、OSPF、BGP、IS-IS等路由协议；支持DHCP server；支持虚拟化；支持MACC云平台统一管理。</w:t>
            </w:r>
          </w:p>
          <w:p>
            <w:pPr>
              <w:widowControl/>
              <w:spacing w:line="240" w:lineRule="auto"/>
              <w:jc w:val="left"/>
              <w:rPr>
                <w:rFonts w:hint="eastAsia" w:cs="宋体" w:asciiTheme="minorEastAsia" w:hAnsiTheme="minorEastAsia"/>
                <w:kern w:val="0"/>
                <w:szCs w:val="24"/>
                <w:lang w:val="en-US" w:eastAsia="zh-CN"/>
              </w:rPr>
            </w:pPr>
            <w:r>
              <w:rPr>
                <w:rFonts w:hint="eastAsia" w:cs="宋体" w:asciiTheme="minorEastAsia" w:hAnsiTheme="minorEastAsia"/>
                <w:kern w:val="0"/>
                <w:szCs w:val="24"/>
                <w:lang w:val="en-US" w:eastAsia="zh-CN"/>
              </w:rPr>
              <w:t>70W交流电源模块，适用于RG-S5750H（仅RG-S5750C-28GT4XS-H、RG-S5750C-28SFP4XS-H、RG-S5750C-48GT4XS-H）、RG-S5310、RG-S6000E、RG-WS6512系列产品，必配1块，支持1+1电源冗余。</w:t>
            </w:r>
          </w:p>
        </w:tc>
        <w:tc>
          <w:tcPr>
            <w:tcW w:w="648"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台</w:t>
            </w:r>
          </w:p>
        </w:tc>
        <w:tc>
          <w:tcPr>
            <w:tcW w:w="1135"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rPr>
              <w:t>1</w:t>
            </w:r>
            <w:r>
              <w:rPr>
                <w:rFonts w:hint="eastAsia" w:cs="宋体" w:asciiTheme="minorEastAsia" w:hAnsiTheme="minorEastAsia"/>
                <w:kern w:val="0"/>
                <w:szCs w:val="24"/>
                <w:lang w:eastAsia="zh-CN"/>
              </w:rPr>
              <w:t>（</w:t>
            </w:r>
            <w:r>
              <w:rPr>
                <w:rFonts w:hint="eastAsia" w:cs="宋体" w:asciiTheme="minorEastAsia" w:hAnsiTheme="minorEastAsia"/>
                <w:kern w:val="0"/>
                <w:szCs w:val="24"/>
                <w:lang w:val="en-US" w:eastAsia="zh-CN"/>
              </w:rPr>
              <w:t>配2块电源模块</w:t>
            </w:r>
            <w:r>
              <w:rPr>
                <w:rFonts w:hint="eastAsia" w:cs="宋体" w:asciiTheme="minorEastAsia" w:hAnsiTheme="minorEastAsia"/>
                <w:kern w:val="0"/>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05"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5</w:t>
            </w:r>
          </w:p>
        </w:tc>
        <w:tc>
          <w:tcPr>
            <w:tcW w:w="97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光模块</w:t>
            </w:r>
          </w:p>
        </w:tc>
        <w:tc>
          <w:tcPr>
            <w:tcW w:w="5556"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企业级千兆SFP光纤模块。</w:t>
            </w:r>
          </w:p>
        </w:tc>
        <w:tc>
          <w:tcPr>
            <w:tcW w:w="648"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1135"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505"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6</w:t>
            </w:r>
          </w:p>
        </w:tc>
        <w:tc>
          <w:tcPr>
            <w:tcW w:w="97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接入交换机</w:t>
            </w:r>
          </w:p>
        </w:tc>
        <w:tc>
          <w:tcPr>
            <w:tcW w:w="5556"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24个10/100/1000M自适应电口，4个100M/1G SFP光口，2个复用的10/100/1000M自适应电口，固化单交流电源和双风扇，支持PoE/PoE+远程供电，370W POE供电。</w:t>
            </w:r>
          </w:p>
        </w:tc>
        <w:tc>
          <w:tcPr>
            <w:tcW w:w="648"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台</w:t>
            </w:r>
          </w:p>
        </w:tc>
        <w:tc>
          <w:tcPr>
            <w:tcW w:w="1135"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5"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7</w:t>
            </w:r>
          </w:p>
        </w:tc>
        <w:tc>
          <w:tcPr>
            <w:tcW w:w="97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网线</w:t>
            </w:r>
          </w:p>
        </w:tc>
        <w:tc>
          <w:tcPr>
            <w:tcW w:w="5556"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产品标准：ISO_IEC11801-A1-2008、TIA/EIA-568 C.2 ，YD/T 926.2-2009和YD/T1019-2013</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产品特性：六类非屏蔽数字电缆传输带宽≥250MHz，满足1000兆数据传输，采用中心十字架结构；铜芯材料采用优质TR实芯裸铜导体,铜线直径≥0.57mm，满足线规23AWG；绝缘采用优质高密度聚乙烯（HDPE）厚度≥0.225mm，护套材料采用优质PVC料，厚度≥0.6±mm ；防火级别为CM，铜缆外径为￠6.3±mm ；工作温度范围：-20 至 75度。</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电缆电气性能和传输特性：直流电阻：≤9.4Ω/ 100m；直流电阻不平衡：≤2.5%；工作电容：≤5.6nF/100m；绝缘电阻：＞5000 MΩ·km；导体间介电强度：1.0KV·1min；</w:t>
            </w:r>
            <w:r>
              <w:rPr>
                <w:rFonts w:hint="eastAsia" w:cs="宋体" w:asciiTheme="minorEastAsia" w:hAnsiTheme="minorEastAsia"/>
                <w:kern w:val="0"/>
                <w:szCs w:val="24"/>
                <w:lang w:val="en-US" w:eastAsia="zh-CN"/>
              </w:rPr>
              <w:br w:type="textWrapping"/>
            </w:r>
            <w:r>
              <w:rPr>
                <w:rFonts w:hint="eastAsia" w:cs="宋体" w:asciiTheme="minorEastAsia" w:hAnsiTheme="minorEastAsia"/>
                <w:kern w:val="0"/>
                <w:szCs w:val="24"/>
                <w:lang w:val="en-US" w:eastAsia="zh-CN"/>
              </w:rPr>
              <w:t>产品用途：适用于综合布线网络，支持各种高速率ATM622Mb／1.24Gb、1000baseTX以太网的应用。</w:t>
            </w:r>
          </w:p>
        </w:tc>
        <w:tc>
          <w:tcPr>
            <w:tcW w:w="648"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箱</w:t>
            </w:r>
          </w:p>
        </w:tc>
        <w:tc>
          <w:tcPr>
            <w:tcW w:w="1135"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5"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8</w:t>
            </w:r>
          </w:p>
        </w:tc>
        <w:tc>
          <w:tcPr>
            <w:tcW w:w="97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电源线</w:t>
            </w:r>
          </w:p>
        </w:tc>
        <w:tc>
          <w:tcPr>
            <w:tcW w:w="5556"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1.5平方多股绞合 额定电压(V)300-500</w:t>
            </w:r>
          </w:p>
        </w:tc>
        <w:tc>
          <w:tcPr>
            <w:tcW w:w="648" w:type="dxa"/>
            <w:shd w:val="clear" w:color="auto" w:fill="auto"/>
            <w:vAlign w:val="center"/>
          </w:tcPr>
          <w:p>
            <w:pPr>
              <w:widowControl/>
              <w:spacing w:line="240" w:lineRule="auto"/>
              <w:jc w:val="center"/>
              <w:rPr>
                <w:rFonts w:hint="eastAsia" w:cs="宋体" w:asciiTheme="minorEastAsia" w:hAnsiTheme="minorEastAsia" w:eastAsiaTheme="minorEastAsia"/>
                <w:kern w:val="0"/>
                <w:szCs w:val="24"/>
                <w:lang w:eastAsia="zh-CN"/>
              </w:rPr>
            </w:pPr>
            <w:r>
              <w:rPr>
                <w:rFonts w:hint="eastAsia" w:cs="宋体" w:asciiTheme="minorEastAsia" w:hAnsiTheme="minorEastAsia"/>
                <w:kern w:val="0"/>
                <w:szCs w:val="24"/>
                <w:lang w:val="en-US" w:eastAsia="zh-CN"/>
              </w:rPr>
              <w:t>米</w:t>
            </w:r>
          </w:p>
        </w:tc>
        <w:tc>
          <w:tcPr>
            <w:tcW w:w="1135"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05"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9</w:t>
            </w:r>
          </w:p>
        </w:tc>
        <w:tc>
          <w:tcPr>
            <w:tcW w:w="97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电源箱</w:t>
            </w:r>
          </w:p>
        </w:tc>
        <w:tc>
          <w:tcPr>
            <w:tcW w:w="5556"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不锈钢钢材质</w:t>
            </w:r>
          </w:p>
        </w:tc>
        <w:tc>
          <w:tcPr>
            <w:tcW w:w="648"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1135"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5"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10</w:t>
            </w:r>
          </w:p>
        </w:tc>
        <w:tc>
          <w:tcPr>
            <w:tcW w:w="972"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插线板</w:t>
            </w:r>
          </w:p>
        </w:tc>
        <w:tc>
          <w:tcPr>
            <w:tcW w:w="5556" w:type="dxa"/>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0A  2500W  3孔双插</w:t>
            </w:r>
          </w:p>
        </w:tc>
        <w:tc>
          <w:tcPr>
            <w:tcW w:w="648" w:type="dxa"/>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rPr>
              <w:t>个</w:t>
            </w:r>
          </w:p>
        </w:tc>
        <w:tc>
          <w:tcPr>
            <w:tcW w:w="1135" w:type="dxa"/>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11</w:t>
            </w:r>
          </w:p>
        </w:tc>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光纤收发器</w:t>
            </w:r>
          </w:p>
        </w:tc>
        <w:tc>
          <w:tcPr>
            <w:tcW w:w="5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cs="宋体" w:asciiTheme="minorEastAsia" w:hAnsiTheme="minorEastAsia"/>
                <w:kern w:val="0"/>
                <w:szCs w:val="24"/>
              </w:rPr>
            </w:pPr>
            <w:r>
              <w:rPr>
                <w:rFonts w:hint="default" w:cs="宋体" w:asciiTheme="minorEastAsia" w:hAnsiTheme="minorEastAsia"/>
                <w:kern w:val="0"/>
                <w:szCs w:val="24"/>
                <w:lang w:val="en-US" w:eastAsia="zh-CN"/>
              </w:rPr>
              <w:t>1</w:t>
            </w:r>
            <w:r>
              <w:rPr>
                <w:rFonts w:cs="宋体" w:asciiTheme="minorEastAsia" w:hAnsiTheme="minorEastAsia"/>
                <w:kern w:val="0"/>
                <w:szCs w:val="24"/>
                <w:lang w:val="en-US" w:eastAsia="zh-CN"/>
              </w:rPr>
              <w:t>个百兆</w:t>
            </w:r>
            <w:r>
              <w:rPr>
                <w:rFonts w:hint="default" w:cs="宋体" w:asciiTheme="minorEastAsia" w:hAnsiTheme="minorEastAsia"/>
                <w:kern w:val="0"/>
                <w:szCs w:val="24"/>
                <w:lang w:val="en-US" w:eastAsia="zh-CN"/>
              </w:rPr>
              <w:t>SC</w:t>
            </w:r>
            <w:r>
              <w:rPr>
                <w:rFonts w:cs="宋体" w:asciiTheme="minorEastAsia" w:hAnsiTheme="minorEastAsia"/>
                <w:kern w:val="0"/>
                <w:szCs w:val="24"/>
                <w:lang w:val="en-US" w:eastAsia="zh-CN"/>
              </w:rPr>
              <w:t>光纤接口，</w:t>
            </w:r>
            <w:r>
              <w:rPr>
                <w:rFonts w:hint="default" w:cs="宋体" w:asciiTheme="minorEastAsia" w:hAnsiTheme="minorEastAsia"/>
                <w:kern w:val="0"/>
                <w:szCs w:val="24"/>
                <w:lang w:val="en-US" w:eastAsia="zh-CN"/>
              </w:rPr>
              <w:t>1</w:t>
            </w:r>
            <w:r>
              <w:rPr>
                <w:rFonts w:cs="宋体" w:asciiTheme="minorEastAsia" w:hAnsiTheme="minorEastAsia"/>
                <w:kern w:val="0"/>
                <w:szCs w:val="24"/>
                <w:lang w:val="en-US" w:eastAsia="zh-CN"/>
              </w:rPr>
              <w:t>个百兆</w:t>
            </w:r>
            <w:r>
              <w:rPr>
                <w:rFonts w:hint="default" w:cs="宋体" w:asciiTheme="minorEastAsia" w:hAnsiTheme="minorEastAsia"/>
                <w:kern w:val="0"/>
                <w:szCs w:val="24"/>
                <w:lang w:val="en-US" w:eastAsia="zh-CN"/>
              </w:rPr>
              <w:t>RJ45</w:t>
            </w:r>
            <w:r>
              <w:rPr>
                <w:rFonts w:cs="宋体" w:asciiTheme="minorEastAsia" w:hAnsiTheme="minorEastAsia"/>
                <w:kern w:val="0"/>
                <w:szCs w:val="24"/>
                <w:lang w:val="en-US" w:eastAsia="zh-CN"/>
              </w:rPr>
              <w:t>端口</w:t>
            </w:r>
            <w:r>
              <w:rPr>
                <w:rFonts w:cs="宋体" w:asciiTheme="minorEastAsia" w:hAnsiTheme="minorEastAsia"/>
                <w:kern w:val="0"/>
                <w:szCs w:val="24"/>
                <w:lang w:val="en-US" w:eastAsia="zh-CN"/>
              </w:rPr>
              <w:br w:type="textWrapping"/>
            </w:r>
            <w:r>
              <w:rPr>
                <w:rFonts w:cs="宋体" w:asciiTheme="minorEastAsia" w:hAnsiTheme="minorEastAsia"/>
                <w:kern w:val="0"/>
                <w:szCs w:val="24"/>
                <w:lang w:val="en-US" w:eastAsia="zh-CN"/>
              </w:rPr>
              <w:t>基于</w:t>
            </w:r>
            <w:r>
              <w:rPr>
                <w:rFonts w:hint="default" w:cs="宋体" w:asciiTheme="minorEastAsia" w:hAnsiTheme="minorEastAsia"/>
                <w:kern w:val="0"/>
                <w:szCs w:val="24"/>
                <w:lang w:val="en-US" w:eastAsia="zh-CN"/>
              </w:rPr>
              <w:t>WDM</w:t>
            </w:r>
            <w:r>
              <w:rPr>
                <w:rFonts w:cs="宋体" w:asciiTheme="minorEastAsia" w:hAnsiTheme="minorEastAsia"/>
                <w:kern w:val="0"/>
                <w:szCs w:val="24"/>
                <w:lang w:val="en-US" w:eastAsia="zh-CN"/>
              </w:rPr>
              <w:t>技术，单模单纤传输，最远传输距离</w:t>
            </w:r>
            <w:r>
              <w:rPr>
                <w:rFonts w:hint="default" w:cs="宋体" w:asciiTheme="minorEastAsia" w:hAnsiTheme="minorEastAsia"/>
                <w:kern w:val="0"/>
                <w:szCs w:val="24"/>
                <w:lang w:val="en-US" w:eastAsia="zh-CN"/>
              </w:rPr>
              <w:t>20km</w:t>
            </w:r>
            <w:r>
              <w:rPr>
                <w:rFonts w:hint="default" w:cs="宋体" w:asciiTheme="minorEastAsia" w:hAnsiTheme="minorEastAsia"/>
                <w:kern w:val="0"/>
                <w:szCs w:val="24"/>
                <w:lang w:val="en-US" w:eastAsia="zh-CN"/>
              </w:rPr>
              <w:br w:type="textWrapping"/>
            </w:r>
            <w:r>
              <w:rPr>
                <w:rFonts w:cs="宋体" w:asciiTheme="minorEastAsia" w:hAnsiTheme="minorEastAsia"/>
                <w:kern w:val="0"/>
                <w:szCs w:val="24"/>
                <w:lang w:val="en-US" w:eastAsia="zh-CN"/>
              </w:rPr>
              <w:t>工作波长：</w:t>
            </w:r>
            <w:r>
              <w:rPr>
                <w:rFonts w:hint="default" w:cs="宋体" w:asciiTheme="minorEastAsia" w:hAnsiTheme="minorEastAsia"/>
                <w:kern w:val="0"/>
                <w:szCs w:val="24"/>
                <w:lang w:val="en-US" w:eastAsia="zh-CN"/>
              </w:rPr>
              <w:t>1550nm</w:t>
            </w:r>
            <w:r>
              <w:rPr>
                <w:rFonts w:cs="宋体" w:asciiTheme="minorEastAsia" w:hAnsiTheme="minorEastAsia"/>
                <w:kern w:val="0"/>
                <w:szCs w:val="24"/>
                <w:lang w:val="en-US" w:eastAsia="zh-CN"/>
              </w:rPr>
              <w:t>（发射）、</w:t>
            </w:r>
            <w:r>
              <w:rPr>
                <w:rFonts w:hint="default" w:cs="宋体" w:asciiTheme="minorEastAsia" w:hAnsiTheme="minorEastAsia"/>
                <w:kern w:val="0"/>
                <w:szCs w:val="24"/>
                <w:lang w:val="en-US" w:eastAsia="zh-CN"/>
              </w:rPr>
              <w:t>1310nm</w:t>
            </w:r>
            <w:r>
              <w:rPr>
                <w:rFonts w:cs="宋体" w:asciiTheme="minorEastAsia" w:hAnsiTheme="minorEastAsia"/>
                <w:kern w:val="0"/>
                <w:szCs w:val="24"/>
                <w:lang w:val="en-US" w:eastAsia="zh-CN"/>
              </w:rPr>
              <w:t>（接收）</w:t>
            </w:r>
          </w:p>
        </w:tc>
        <w:tc>
          <w:tcPr>
            <w:tcW w:w="6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kern w:val="0"/>
                <w:szCs w:val="24"/>
              </w:rPr>
            </w:pPr>
            <w:r>
              <w:rPr>
                <w:rFonts w:hint="eastAsia" w:cs="宋体" w:asciiTheme="minorEastAsia" w:hAnsiTheme="minorEastAsia"/>
                <w:kern w:val="0"/>
                <w:szCs w:val="24"/>
                <w:lang w:val="en-US" w:eastAsia="zh-CN"/>
              </w:rPr>
              <w:t>套</w:t>
            </w:r>
            <w:r>
              <w:rPr>
                <w:rFonts w:hint="eastAsia" w:cs="宋体" w:asciiTheme="minorEastAsia" w:hAnsiTheme="minorEastAsia"/>
                <w:kern w:val="0"/>
                <w:szCs w:val="24"/>
              </w:rPr>
              <w:t>　</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rPr>
              <w:t>　</w:t>
            </w:r>
            <w:r>
              <w:rPr>
                <w:rFonts w:hint="eastAsia" w:cs="宋体" w:asciiTheme="minorEastAsia" w:hAnsiTheme="minorEastAsia"/>
                <w:kern w:val="0"/>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cs="宋体" w:asciiTheme="minorEastAsia" w:hAnsiTheme="minorEastAsia" w:eastAsiaTheme="minorEastAsia"/>
                <w:kern w:val="0"/>
                <w:szCs w:val="24"/>
                <w:lang w:val="en-US" w:eastAsia="zh-CN"/>
              </w:rPr>
            </w:pPr>
            <w:r>
              <w:rPr>
                <w:rFonts w:hint="eastAsia" w:cs="宋体" w:asciiTheme="minorEastAsia" w:hAnsiTheme="minorEastAsia"/>
                <w:kern w:val="0"/>
                <w:szCs w:val="24"/>
              </w:rPr>
              <w:t>1</w:t>
            </w:r>
            <w:r>
              <w:rPr>
                <w:rFonts w:hint="eastAsia" w:cs="宋体" w:asciiTheme="minorEastAsia" w:hAnsiTheme="minorEastAsia"/>
                <w:kern w:val="0"/>
                <w:szCs w:val="24"/>
                <w:lang w:val="en-US" w:eastAsia="zh-CN"/>
              </w:rPr>
              <w:t>2</w:t>
            </w:r>
          </w:p>
        </w:tc>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其它辅材</w:t>
            </w:r>
          </w:p>
        </w:tc>
        <w:tc>
          <w:tcPr>
            <w:tcW w:w="5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cs="宋体" w:asciiTheme="minorEastAsia" w:hAnsiTheme="minorEastAsia"/>
                <w:kern w:val="0"/>
                <w:szCs w:val="24"/>
              </w:rPr>
            </w:pPr>
            <w:r>
              <w:rPr>
                <w:rFonts w:hint="eastAsia" w:cs="宋体" w:asciiTheme="minorEastAsia" w:hAnsiTheme="minorEastAsia"/>
                <w:kern w:val="0"/>
                <w:szCs w:val="24"/>
                <w:lang w:val="en-US" w:eastAsia="zh-CN"/>
              </w:rPr>
              <w:t>扎带、胶带、水晶头、皮线光缆、pvc槽道</w:t>
            </w:r>
          </w:p>
        </w:tc>
        <w:tc>
          <w:tcPr>
            <w:tcW w:w="6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cs="宋体" w:asciiTheme="minorEastAsia" w:hAnsiTheme="minorEastAsia" w:eastAsiaTheme="minorEastAsia"/>
                <w:kern w:val="0"/>
                <w:szCs w:val="24"/>
                <w:lang w:eastAsia="zh-CN"/>
              </w:rPr>
            </w:pPr>
            <w:r>
              <w:rPr>
                <w:rFonts w:hint="eastAsia" w:cs="宋体" w:asciiTheme="minorEastAsia" w:hAnsiTheme="minorEastAsia"/>
                <w:kern w:val="0"/>
                <w:szCs w:val="24"/>
                <w:lang w:val="en-US" w:eastAsia="zh-CN"/>
              </w:rPr>
              <w:t>点</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cs="宋体" w:asciiTheme="minorEastAsia" w:hAnsiTheme="minorEastAsia" w:eastAsiaTheme="minorEastAsia"/>
                <w:kern w:val="0"/>
                <w:szCs w:val="24"/>
                <w:lang w:val="en-US" w:eastAsia="zh-CN"/>
              </w:rPr>
            </w:pPr>
            <w:r>
              <w:rPr>
                <w:rFonts w:hint="eastAsia" w:cs="宋体" w:asciiTheme="minorEastAsia" w:hAnsiTheme="minorEastAsia"/>
                <w:kern w:val="0"/>
                <w:szCs w:val="24"/>
                <w:lang w:val="en-US" w:eastAsia="zh-CN"/>
              </w:rPr>
              <w:t>73</w:t>
            </w:r>
          </w:p>
        </w:tc>
      </w:tr>
    </w:tbl>
    <w:p>
      <w:pPr>
        <w:widowControl/>
        <w:spacing w:line="240" w:lineRule="auto"/>
        <w:jc w:val="left"/>
        <w:rPr>
          <w:rFonts w:hint="eastAsia" w:ascii="宋体" w:hAnsi="宋体" w:eastAsia="宋体" w:cs="宋体"/>
          <w:sz w:val="24"/>
          <w:szCs w:val="24"/>
        </w:rPr>
      </w:pPr>
    </w:p>
    <w:p>
      <w:pPr>
        <w:ind w:firstLine="1200" w:firstLineChars="500"/>
        <w:rPr>
          <w:rFonts w:hint="eastAsia" w:ascii="宋体" w:hAnsi="宋体" w:eastAsia="宋体" w:cs="宋体"/>
          <w:b w:val="0"/>
          <w:bCs w:val="0"/>
          <w:sz w:val="24"/>
          <w:szCs w:val="24"/>
          <w:lang w:val="en-US" w:eastAsia="zh-CN"/>
        </w:rPr>
      </w:pPr>
    </w:p>
    <w:p>
      <w:pPr>
        <w:pStyle w:val="2"/>
        <w:numPr>
          <w:ilvl w:val="0"/>
          <w:numId w:val="0"/>
        </w:numPr>
        <w:spacing w:line="360" w:lineRule="auto"/>
        <w:ind w:leftChars="0"/>
        <w:jc w:val="both"/>
        <w:rPr>
          <w:rFonts w:hint="eastAsia" w:asciiTheme="minorEastAsia" w:hAnsiTheme="minorEastAsia" w:eastAsiaTheme="minorEastAsia" w:cstheme="minorEastAsia"/>
          <w:b/>
          <w:bCs/>
          <w:sz w:val="24"/>
          <w:szCs w:val="24"/>
          <w:lang w:val="en-US" w:eastAsia="zh-CN"/>
        </w:rPr>
      </w:pPr>
    </w:p>
    <w:p>
      <w:pPr>
        <w:pStyle w:val="2"/>
        <w:numPr>
          <w:ilvl w:val="0"/>
          <w:numId w:val="3"/>
        </w:numPr>
        <w:spacing w:line="360" w:lineRule="auto"/>
        <w:ind w:left="0" w:leftChars="0" w:firstLine="0" w:firstLine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pStyle w:val="2"/>
        <w:numPr>
          <w:ilvl w:val="0"/>
          <w:numId w:val="0"/>
        </w:numPr>
        <w:spacing w:line="360" w:lineRule="auto"/>
        <w:ind w:leftChars="0"/>
        <w:jc w:val="both"/>
        <w:rPr>
          <w:rFonts w:hint="eastAsia" w:asciiTheme="minorEastAsia" w:hAnsiTheme="minorEastAsia" w:eastAsiaTheme="minorEastAsia" w:cstheme="minorEastAsia"/>
          <w:b/>
          <w:bCs/>
          <w:sz w:val="32"/>
          <w:szCs w:val="32"/>
          <w:lang w:val="en-US" w:eastAsia="zh-CN"/>
        </w:rPr>
      </w:pPr>
    </w:p>
    <w:p>
      <w:pPr>
        <w:pStyle w:val="2"/>
        <w:numPr>
          <w:ilvl w:val="0"/>
          <w:numId w:val="0"/>
        </w:numPr>
        <w:spacing w:line="360" w:lineRule="auto"/>
        <w:ind w:leftChars="0"/>
        <w:jc w:val="both"/>
        <w:rPr>
          <w:rFonts w:hint="eastAsia" w:asciiTheme="minorEastAsia" w:hAnsiTheme="minorEastAsia" w:eastAsiaTheme="minorEastAsia" w:cstheme="minorEastAsia"/>
          <w:b/>
          <w:bCs/>
          <w:sz w:val="32"/>
          <w:szCs w:val="32"/>
          <w:lang w:val="en-US" w:eastAsia="zh-CN"/>
        </w:rPr>
      </w:pPr>
    </w:p>
    <w:p>
      <w:pPr>
        <w:pStyle w:val="2"/>
        <w:numPr>
          <w:ilvl w:val="0"/>
          <w:numId w:val="0"/>
        </w:numPr>
        <w:spacing w:line="360" w:lineRule="auto"/>
        <w:ind w:leftChars="0"/>
        <w:jc w:val="both"/>
        <w:rPr>
          <w:rFonts w:hint="eastAsia" w:asciiTheme="minorEastAsia" w:hAnsiTheme="minorEastAsia" w:eastAsiaTheme="minorEastAsia" w:cstheme="minorEastAsia"/>
          <w:b/>
          <w:bCs/>
          <w:sz w:val="32"/>
          <w:szCs w:val="32"/>
          <w:lang w:val="en-US" w:eastAsia="zh-CN"/>
        </w:rPr>
      </w:pPr>
    </w:p>
    <w:p>
      <w:pPr>
        <w:pStyle w:val="2"/>
        <w:numPr>
          <w:ilvl w:val="0"/>
          <w:numId w:val="0"/>
        </w:numPr>
        <w:spacing w:line="360" w:lineRule="auto"/>
        <w:ind w:leftChars="0"/>
        <w:jc w:val="both"/>
        <w:rPr>
          <w:rFonts w:hint="eastAsia" w:asciiTheme="minorEastAsia" w:hAnsiTheme="minorEastAsia" w:eastAsiaTheme="minorEastAsia" w:cstheme="minorEastAsia"/>
          <w:b/>
          <w:bCs/>
          <w:sz w:val="32"/>
          <w:szCs w:val="32"/>
          <w:lang w:val="en-US" w:eastAsia="zh-CN"/>
        </w:rPr>
      </w:pPr>
    </w:p>
    <w:p>
      <w:pPr>
        <w:pStyle w:val="2"/>
        <w:numPr>
          <w:ilvl w:val="0"/>
          <w:numId w:val="0"/>
        </w:numPr>
        <w:spacing w:line="360" w:lineRule="auto"/>
        <w:ind w:leftChars="0"/>
        <w:jc w:val="both"/>
        <w:rPr>
          <w:rFonts w:hint="eastAsia" w:asciiTheme="minorEastAsia" w:hAnsiTheme="minorEastAsia" w:eastAsiaTheme="minorEastAsia" w:cstheme="minorEastAsia"/>
          <w:b/>
          <w:bCs/>
          <w:sz w:val="32"/>
          <w:szCs w:val="32"/>
          <w:lang w:val="en-US" w:eastAsia="zh-CN"/>
        </w:rPr>
      </w:pPr>
    </w:p>
    <w:p>
      <w:pPr>
        <w:pStyle w:val="2"/>
        <w:numPr>
          <w:ilvl w:val="0"/>
          <w:numId w:val="0"/>
        </w:numPr>
        <w:spacing w:line="360" w:lineRule="auto"/>
        <w:ind w:leftChars="0"/>
        <w:jc w:val="both"/>
        <w:rPr>
          <w:rFonts w:hint="eastAsia" w:asciiTheme="minorEastAsia" w:hAnsiTheme="minorEastAsia" w:eastAsiaTheme="minorEastAsia" w:cstheme="minorEastAsia"/>
          <w:b/>
          <w:bCs/>
          <w:sz w:val="32"/>
          <w:szCs w:val="32"/>
          <w:lang w:val="en-US" w:eastAsia="zh-CN"/>
        </w:rPr>
      </w:pPr>
    </w:p>
    <w:p>
      <w:pPr>
        <w:pStyle w:val="2"/>
        <w:numPr>
          <w:ilvl w:val="0"/>
          <w:numId w:val="0"/>
        </w:numPr>
        <w:spacing w:line="360" w:lineRule="auto"/>
        <w:ind w:leftChars="0"/>
        <w:jc w:val="both"/>
        <w:rPr>
          <w:rFonts w:hint="eastAsia" w:asciiTheme="minorEastAsia" w:hAnsiTheme="minorEastAsia" w:eastAsiaTheme="minorEastAsia" w:cstheme="minorEastAsia"/>
          <w:b/>
          <w:bCs/>
          <w:sz w:val="32"/>
          <w:szCs w:val="32"/>
          <w:lang w:val="en-US" w:eastAsia="zh-CN"/>
        </w:rPr>
      </w:pPr>
    </w:p>
    <w:p>
      <w:pPr>
        <w:pStyle w:val="2"/>
        <w:numPr>
          <w:ilvl w:val="0"/>
          <w:numId w:val="0"/>
        </w:numPr>
        <w:spacing w:line="360" w:lineRule="auto"/>
        <w:ind w:leftChars="0"/>
        <w:jc w:val="center"/>
        <w:outlineLvl w:val="0"/>
        <w:rPr>
          <w:rFonts w:hint="eastAsia" w:asciiTheme="minorEastAsia" w:hAnsiTheme="minorEastAsia" w:eastAsiaTheme="minorEastAsia" w:cstheme="minorEastAsia"/>
          <w:b/>
          <w:bCs/>
          <w:sz w:val="32"/>
          <w:szCs w:val="32"/>
          <w:lang w:val="en-US" w:eastAsia="zh-CN"/>
        </w:rPr>
      </w:pPr>
      <w:bookmarkStart w:id="21" w:name="_Toc26991"/>
      <w:r>
        <w:rPr>
          <w:rFonts w:hint="eastAsia" w:asciiTheme="minorEastAsia" w:hAnsiTheme="minorEastAsia" w:eastAsiaTheme="minorEastAsia" w:cstheme="minorEastAsia"/>
          <w:b/>
          <w:bCs/>
          <w:sz w:val="32"/>
          <w:szCs w:val="32"/>
          <w:lang w:val="en-US" w:eastAsia="zh-CN"/>
        </w:rPr>
        <w:t>第五部分 招标原则及办法</w:t>
      </w:r>
      <w:bookmarkEnd w:id="21"/>
    </w:p>
    <w:p>
      <w:pPr>
        <w:pStyle w:val="2"/>
        <w:numPr>
          <w:ilvl w:val="0"/>
          <w:numId w:val="0"/>
        </w:numPr>
        <w:spacing w:line="360" w:lineRule="auto"/>
        <w:ind w:leftChars="0"/>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br w:type="page"/>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为使此次评标工作顺利进行，确保评标活动客观、公正，根据《中华人民共和国政府采购法》的有关规定，制定评标办法如下：</w:t>
      </w:r>
    </w:p>
    <w:p>
      <w:pPr>
        <w:pStyle w:val="2"/>
        <w:numPr>
          <w:ilvl w:val="0"/>
          <w:numId w:val="0"/>
        </w:numPr>
        <w:spacing w:line="360" w:lineRule="auto"/>
        <w:ind w:leftChars="0"/>
        <w:jc w:val="both"/>
        <w:outlineLvl w:val="1"/>
        <w:rPr>
          <w:rFonts w:hint="eastAsia" w:asciiTheme="minorEastAsia" w:hAnsiTheme="minorEastAsia" w:eastAsiaTheme="minorEastAsia" w:cstheme="minorEastAsia"/>
          <w:b/>
          <w:bCs/>
          <w:sz w:val="24"/>
          <w:szCs w:val="24"/>
          <w:lang w:val="en-US" w:eastAsia="zh-CN"/>
        </w:rPr>
      </w:pPr>
      <w:bookmarkStart w:id="22" w:name="_Toc31145"/>
      <w:r>
        <w:rPr>
          <w:rFonts w:hint="eastAsia" w:asciiTheme="minorEastAsia" w:hAnsiTheme="minorEastAsia" w:eastAsiaTheme="minorEastAsia" w:cstheme="minorEastAsia"/>
          <w:b/>
          <w:bCs/>
          <w:sz w:val="24"/>
          <w:szCs w:val="24"/>
          <w:lang w:val="en-US" w:eastAsia="zh-CN"/>
        </w:rPr>
        <w:t>一、评标组织机构及职责</w:t>
      </w:r>
      <w:bookmarkEnd w:id="22"/>
    </w:p>
    <w:p>
      <w:pPr>
        <w:pStyle w:val="2"/>
        <w:numPr>
          <w:ilvl w:val="0"/>
          <w:numId w:val="0"/>
        </w:numPr>
        <w:spacing w:line="360" w:lineRule="auto"/>
        <w:ind w:leftChars="0"/>
        <w:jc w:val="both"/>
        <w:outlineLvl w:val="2"/>
        <w:rPr>
          <w:rFonts w:hint="eastAsia" w:asciiTheme="minorEastAsia" w:hAnsiTheme="minorEastAsia" w:eastAsiaTheme="minorEastAsia" w:cstheme="minorEastAsia"/>
          <w:b/>
          <w:bCs/>
          <w:sz w:val="24"/>
          <w:szCs w:val="24"/>
          <w:lang w:val="en-US" w:eastAsia="zh-CN"/>
        </w:rPr>
      </w:pPr>
      <w:bookmarkStart w:id="23" w:name="_Toc25290"/>
      <w:r>
        <w:rPr>
          <w:rFonts w:hint="eastAsia" w:asciiTheme="minorEastAsia" w:hAnsiTheme="minorEastAsia" w:eastAsiaTheme="minorEastAsia" w:cstheme="minorEastAsia"/>
          <w:b/>
          <w:bCs/>
          <w:sz w:val="24"/>
          <w:szCs w:val="24"/>
          <w:lang w:val="en-US" w:eastAsia="zh-CN"/>
        </w:rPr>
        <w:t>1.采购人</w:t>
      </w:r>
      <w:bookmarkEnd w:id="23"/>
    </w:p>
    <w:p>
      <w:pPr>
        <w:pStyle w:val="2"/>
        <w:numPr>
          <w:ilvl w:val="0"/>
          <w:numId w:val="0"/>
        </w:numPr>
        <w:spacing w:line="360" w:lineRule="auto"/>
        <w:ind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在监督部门监督下，根据《中华人民共和国政府采购法》规定构成评标小组成员之一。</w:t>
      </w:r>
    </w:p>
    <w:p>
      <w:pPr>
        <w:pStyle w:val="2"/>
        <w:numPr>
          <w:ilvl w:val="0"/>
          <w:numId w:val="0"/>
        </w:numPr>
        <w:spacing w:line="360" w:lineRule="auto"/>
        <w:ind w:leftChars="0"/>
        <w:jc w:val="both"/>
        <w:outlineLvl w:val="2"/>
        <w:rPr>
          <w:rFonts w:hint="eastAsia" w:asciiTheme="minorEastAsia" w:hAnsiTheme="minorEastAsia" w:eastAsiaTheme="minorEastAsia" w:cstheme="minorEastAsia"/>
          <w:b/>
          <w:bCs/>
          <w:sz w:val="24"/>
          <w:szCs w:val="24"/>
          <w:lang w:val="en-US" w:eastAsia="zh-CN"/>
        </w:rPr>
      </w:pPr>
      <w:bookmarkStart w:id="24" w:name="_Toc8783"/>
      <w:r>
        <w:rPr>
          <w:rFonts w:hint="eastAsia" w:asciiTheme="minorEastAsia" w:hAnsiTheme="minorEastAsia" w:eastAsiaTheme="minorEastAsia" w:cstheme="minorEastAsia"/>
          <w:b/>
          <w:bCs/>
          <w:sz w:val="24"/>
          <w:szCs w:val="24"/>
          <w:lang w:val="en-US" w:eastAsia="zh-CN"/>
        </w:rPr>
        <w:t>2.评标委员会</w:t>
      </w:r>
      <w:bookmarkEnd w:id="24"/>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评标委员会由技术、经济等专家组成，成员为五人及五人以上单数组成。</w:t>
      </w:r>
    </w:p>
    <w:p>
      <w:pPr>
        <w:pStyle w:val="2"/>
        <w:numPr>
          <w:ilvl w:val="0"/>
          <w:numId w:val="0"/>
        </w:numPr>
        <w:spacing w:line="360" w:lineRule="auto"/>
        <w:ind w:leftChars="0"/>
        <w:jc w:val="both"/>
        <w:outlineLvl w:val="2"/>
        <w:rPr>
          <w:rFonts w:hint="eastAsia" w:asciiTheme="minorEastAsia" w:hAnsiTheme="minorEastAsia" w:eastAsiaTheme="minorEastAsia" w:cstheme="minorEastAsia"/>
          <w:b/>
          <w:bCs/>
          <w:sz w:val="24"/>
          <w:szCs w:val="24"/>
          <w:lang w:val="en-US" w:eastAsia="zh-CN"/>
        </w:rPr>
      </w:pPr>
      <w:bookmarkStart w:id="25" w:name="_Toc26068"/>
      <w:r>
        <w:rPr>
          <w:rFonts w:hint="eastAsia" w:asciiTheme="minorEastAsia" w:hAnsiTheme="minorEastAsia" w:eastAsiaTheme="minorEastAsia" w:cstheme="minorEastAsia"/>
          <w:b/>
          <w:bCs/>
          <w:sz w:val="24"/>
          <w:szCs w:val="24"/>
          <w:lang w:val="en-US" w:eastAsia="zh-CN"/>
        </w:rPr>
        <w:t>3.招标代理机构</w:t>
      </w:r>
      <w:bookmarkEnd w:id="25"/>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依据《中国人民共和国采购法》《中华人民共和国政府采购法实施条例》及“财政部2014-69”号文件之规定，由甘肃国泰国际招标有限公司工作人员组成，负责《招标文件》的制作，对外联系，开标、评标的会务工作,整理并向评标委员会成员分发招标资料和《招标文件》；做好开标和评标会议记录；对评标过程中的原始文件进行归档；随时印发需要的文件资料,对各种咨询函件及档案文件的统收统发。</w:t>
      </w:r>
    </w:p>
    <w:p>
      <w:pPr>
        <w:pStyle w:val="2"/>
        <w:numPr>
          <w:ilvl w:val="0"/>
          <w:numId w:val="0"/>
        </w:numPr>
        <w:spacing w:line="360" w:lineRule="auto"/>
        <w:ind w:leftChars="0"/>
        <w:jc w:val="both"/>
        <w:outlineLvl w:val="2"/>
        <w:rPr>
          <w:rFonts w:hint="eastAsia" w:asciiTheme="minorEastAsia" w:hAnsiTheme="minorEastAsia" w:eastAsiaTheme="minorEastAsia" w:cstheme="minorEastAsia"/>
          <w:b/>
          <w:bCs/>
          <w:sz w:val="24"/>
          <w:szCs w:val="24"/>
          <w:lang w:val="en-US" w:eastAsia="zh-CN"/>
        </w:rPr>
      </w:pPr>
      <w:bookmarkStart w:id="26" w:name="_Toc18490"/>
      <w:r>
        <w:rPr>
          <w:rFonts w:hint="eastAsia" w:asciiTheme="minorEastAsia" w:hAnsiTheme="minorEastAsia" w:eastAsiaTheme="minorEastAsia" w:cstheme="minorEastAsia"/>
          <w:b/>
          <w:bCs/>
          <w:sz w:val="24"/>
          <w:szCs w:val="24"/>
          <w:lang w:val="en-US" w:eastAsia="zh-CN"/>
        </w:rPr>
        <w:t>4.监督部门</w:t>
      </w:r>
      <w:bookmarkEnd w:id="26"/>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根据国家有关法律、法规规定由行业监管部门对整个开标评标过程进行监督,其他任何单位和个人不得参与或非法干预正常的评审工作和评审结果，保证评标的公正性,防止违法行为的产生。</w:t>
      </w:r>
    </w:p>
    <w:p>
      <w:pPr>
        <w:pStyle w:val="2"/>
        <w:numPr>
          <w:ilvl w:val="0"/>
          <w:numId w:val="0"/>
        </w:numPr>
        <w:spacing w:line="360" w:lineRule="auto"/>
        <w:ind w:leftChars="0"/>
        <w:jc w:val="both"/>
        <w:outlineLvl w:val="2"/>
        <w:rPr>
          <w:rFonts w:hint="eastAsia" w:asciiTheme="minorEastAsia" w:hAnsiTheme="minorEastAsia" w:eastAsiaTheme="minorEastAsia" w:cstheme="minorEastAsia"/>
          <w:b/>
          <w:bCs/>
          <w:sz w:val="24"/>
          <w:szCs w:val="24"/>
          <w:lang w:val="en-US" w:eastAsia="zh-CN"/>
        </w:rPr>
      </w:pPr>
      <w:bookmarkStart w:id="27" w:name="_Toc16532"/>
      <w:r>
        <w:rPr>
          <w:rFonts w:hint="eastAsia" w:asciiTheme="minorEastAsia" w:hAnsiTheme="minorEastAsia" w:eastAsiaTheme="minorEastAsia" w:cstheme="minorEastAsia"/>
          <w:b/>
          <w:bCs/>
          <w:sz w:val="24"/>
          <w:szCs w:val="24"/>
          <w:lang w:val="en-US" w:eastAsia="zh-CN"/>
        </w:rPr>
        <w:t>5.审核小组</w:t>
      </w:r>
      <w:bookmarkEnd w:id="27"/>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由监督部门和甘肃国泰国际招标有限公司项目主持人、项目负责人共同组成，负责对评标委员会填写的商务打分表和技术打分表最终统计结果进行审核，审核无误后由评标委员会签字确认。</w:t>
      </w:r>
    </w:p>
    <w:p>
      <w:pPr>
        <w:pStyle w:val="2"/>
        <w:numPr>
          <w:ilvl w:val="0"/>
          <w:numId w:val="0"/>
        </w:numPr>
        <w:spacing w:line="360" w:lineRule="auto"/>
        <w:ind w:leftChars="0"/>
        <w:jc w:val="both"/>
        <w:outlineLvl w:val="1"/>
        <w:rPr>
          <w:rFonts w:hint="eastAsia" w:asciiTheme="minorEastAsia" w:hAnsiTheme="minorEastAsia" w:eastAsiaTheme="minorEastAsia" w:cstheme="minorEastAsia"/>
          <w:b/>
          <w:bCs/>
          <w:sz w:val="24"/>
          <w:szCs w:val="24"/>
          <w:lang w:val="en-US" w:eastAsia="zh-CN"/>
        </w:rPr>
      </w:pPr>
      <w:bookmarkStart w:id="28" w:name="_Toc13168"/>
      <w:r>
        <w:rPr>
          <w:rFonts w:hint="eastAsia" w:asciiTheme="minorEastAsia" w:hAnsiTheme="minorEastAsia" w:eastAsiaTheme="minorEastAsia" w:cstheme="minorEastAsia"/>
          <w:b/>
          <w:bCs/>
          <w:sz w:val="24"/>
          <w:szCs w:val="24"/>
          <w:lang w:val="en-US" w:eastAsia="zh-CN"/>
        </w:rPr>
        <w:t>二、评标原则、方法和程序</w:t>
      </w:r>
      <w:bookmarkEnd w:id="28"/>
    </w:p>
    <w:p>
      <w:pPr>
        <w:pStyle w:val="2"/>
        <w:numPr>
          <w:ilvl w:val="0"/>
          <w:numId w:val="0"/>
        </w:numPr>
        <w:spacing w:line="360" w:lineRule="auto"/>
        <w:ind w:leftChars="0"/>
        <w:jc w:val="both"/>
        <w:outlineLvl w:val="2"/>
        <w:rPr>
          <w:rFonts w:hint="eastAsia" w:asciiTheme="minorEastAsia" w:hAnsiTheme="minorEastAsia" w:eastAsiaTheme="minorEastAsia" w:cstheme="minorEastAsia"/>
          <w:b/>
          <w:bCs/>
          <w:sz w:val="24"/>
          <w:szCs w:val="24"/>
          <w:lang w:val="en-US" w:eastAsia="zh-CN"/>
        </w:rPr>
      </w:pPr>
      <w:bookmarkStart w:id="29" w:name="_Toc18014"/>
      <w:r>
        <w:rPr>
          <w:rFonts w:hint="eastAsia" w:asciiTheme="minorEastAsia" w:hAnsiTheme="minorEastAsia" w:eastAsiaTheme="minorEastAsia" w:cstheme="minorEastAsia"/>
          <w:b/>
          <w:bCs/>
          <w:sz w:val="24"/>
          <w:szCs w:val="24"/>
          <w:lang w:val="en-US" w:eastAsia="zh-CN"/>
        </w:rPr>
        <w:t>1.评标原则</w:t>
      </w:r>
      <w:bookmarkEnd w:id="29"/>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坚持公平、公正、科学、择优和保密的原则。评标人员不能对任何供应商带有倾向性。任何单位和个人不得非法干预、影响评标过程及结果。</w:t>
      </w:r>
    </w:p>
    <w:p>
      <w:pPr>
        <w:pStyle w:val="2"/>
        <w:numPr>
          <w:ilvl w:val="0"/>
          <w:numId w:val="0"/>
        </w:numPr>
        <w:spacing w:line="360" w:lineRule="auto"/>
        <w:ind w:leftChars="0"/>
        <w:jc w:val="both"/>
        <w:outlineLvl w:val="2"/>
        <w:rPr>
          <w:rFonts w:hint="eastAsia" w:asciiTheme="minorEastAsia" w:hAnsiTheme="minorEastAsia" w:eastAsiaTheme="minorEastAsia" w:cstheme="minorEastAsia"/>
          <w:b/>
          <w:bCs/>
          <w:sz w:val="24"/>
          <w:szCs w:val="24"/>
          <w:lang w:val="en-US" w:eastAsia="zh-CN"/>
        </w:rPr>
      </w:pPr>
      <w:bookmarkStart w:id="30" w:name="_Toc18138"/>
      <w:r>
        <w:rPr>
          <w:rFonts w:hint="eastAsia" w:asciiTheme="minorEastAsia" w:hAnsiTheme="minorEastAsia" w:eastAsiaTheme="minorEastAsia" w:cstheme="minorEastAsia"/>
          <w:b/>
          <w:bCs/>
          <w:sz w:val="24"/>
          <w:szCs w:val="24"/>
          <w:lang w:val="en-US" w:eastAsia="zh-CN"/>
        </w:rPr>
        <w:t>2.评标办法</w:t>
      </w:r>
      <w:bookmarkEnd w:id="30"/>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次评标采用百分制综合计分评标办法。“综合评分法”是指在最大限度地满足《投标文件》实质性要求前提下，以投标报价、技术响应程度、商务响应程度、质量保证措施等综合实力多个因素作为评审指标，全面比较各投标文件，使评审的结果能准确地反映供应商的实际情况，并将各指标量化计分，按总得分排列顺序，确定中标人的方法。总得分最高的供应商作为拟中标人。</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采购人、评标委员会不向投标商承诺最低价中标，对未中标的投标商不作任何解释说明。</w:t>
      </w:r>
    </w:p>
    <w:p>
      <w:pPr>
        <w:pStyle w:val="2"/>
        <w:numPr>
          <w:ilvl w:val="0"/>
          <w:numId w:val="0"/>
        </w:numPr>
        <w:spacing w:line="360" w:lineRule="auto"/>
        <w:ind w:leftChars="0"/>
        <w:jc w:val="both"/>
        <w:outlineLvl w:val="2"/>
        <w:rPr>
          <w:rFonts w:hint="eastAsia" w:asciiTheme="minorEastAsia" w:hAnsiTheme="minorEastAsia" w:eastAsiaTheme="minorEastAsia" w:cstheme="minorEastAsia"/>
          <w:b/>
          <w:bCs/>
          <w:sz w:val="24"/>
          <w:szCs w:val="24"/>
          <w:lang w:val="en-US" w:eastAsia="zh-CN"/>
        </w:rPr>
      </w:pPr>
      <w:bookmarkStart w:id="31" w:name="_Toc26178"/>
      <w:r>
        <w:rPr>
          <w:rFonts w:hint="eastAsia" w:asciiTheme="minorEastAsia" w:hAnsiTheme="minorEastAsia" w:eastAsiaTheme="minorEastAsia" w:cstheme="minorEastAsia"/>
          <w:b/>
          <w:bCs/>
          <w:sz w:val="24"/>
          <w:szCs w:val="24"/>
          <w:lang w:val="en-US" w:eastAsia="zh-CN"/>
        </w:rPr>
        <w:t>3.评标程序</w:t>
      </w:r>
      <w:bookmarkEnd w:id="31"/>
    </w:p>
    <w:p>
      <w:pPr>
        <w:pStyle w:val="2"/>
        <w:numPr>
          <w:ilvl w:val="0"/>
          <w:numId w:val="0"/>
        </w:numPr>
        <w:spacing w:line="360" w:lineRule="auto"/>
        <w:ind w:left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3.1 开标前，《投标文件》有下列情形之一的，采购人不予受理</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（1）逾期送达的或者未送达指定地点的；</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（2）未按《招标文件》要求密封的；</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（3）供应商法定代表人或者授权的委托代理人未参加开标会议的或者授权的委托代理人不能出示授权委托书和居民身份证的。</w:t>
      </w:r>
    </w:p>
    <w:p>
      <w:pPr>
        <w:pStyle w:val="2"/>
        <w:numPr>
          <w:ilvl w:val="0"/>
          <w:numId w:val="0"/>
        </w:numPr>
        <w:spacing w:line="360" w:lineRule="auto"/>
        <w:ind w:left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3.2 《投标文件》有下列情形之一的，由评标委员会初审后按废标处理</w:t>
      </w:r>
    </w:p>
    <w:p>
      <w:pPr>
        <w:pStyle w:val="2"/>
        <w:numPr>
          <w:ilvl w:val="0"/>
          <w:numId w:val="0"/>
        </w:numPr>
        <w:spacing w:line="360" w:lineRule="auto"/>
        <w:ind w:leftChars="0"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（1）无单位盖章并无法定代表人或者法定代表人授权的代理人签字或者盖章的；出现两个以上法人公章不一致或者法定代表人印章不一致的；</w:t>
      </w:r>
    </w:p>
    <w:p>
      <w:pPr>
        <w:pStyle w:val="2"/>
        <w:numPr>
          <w:ilvl w:val="0"/>
          <w:numId w:val="0"/>
        </w:numPr>
        <w:spacing w:line="360" w:lineRule="auto"/>
        <w:ind w:leftChars="0"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（2）企业法定代表人委托的代理人未参加开标会议的；</w:t>
      </w:r>
    </w:p>
    <w:p>
      <w:pPr>
        <w:pStyle w:val="2"/>
        <w:numPr>
          <w:ilvl w:val="0"/>
          <w:numId w:val="0"/>
        </w:numPr>
        <w:spacing w:line="360" w:lineRule="auto"/>
        <w:ind w:leftChars="0"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（3）未按规定的格式填写，内容不全或者关键字迹模糊、无法辨认的；</w:t>
      </w:r>
    </w:p>
    <w:p>
      <w:pPr>
        <w:pStyle w:val="2"/>
        <w:numPr>
          <w:ilvl w:val="0"/>
          <w:numId w:val="0"/>
        </w:numPr>
        <w:spacing w:line="360" w:lineRule="auto"/>
        <w:ind w:leftChars="0"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（4）供应商递交两份或多份内容不同的《投标文件》，或者在一份《投标文件》中对同一招标项目报有两个或者多个报价，且未声明哪一个有效的。</w:t>
      </w:r>
    </w:p>
    <w:p>
      <w:pPr>
        <w:pStyle w:val="2"/>
        <w:numPr>
          <w:ilvl w:val="0"/>
          <w:numId w:val="0"/>
        </w:numPr>
        <w:spacing w:line="360" w:lineRule="auto"/>
        <w:ind w:leftChars="0"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（5）供应商未提交完整的报价文件的；</w:t>
      </w:r>
    </w:p>
    <w:p>
      <w:pPr>
        <w:pStyle w:val="2"/>
        <w:numPr>
          <w:ilvl w:val="0"/>
          <w:numId w:val="0"/>
        </w:numPr>
        <w:spacing w:line="360" w:lineRule="auto"/>
        <w:ind w:leftChars="0"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（6）投标报价被认定为以低于企业成本价竞争的；</w:t>
      </w:r>
    </w:p>
    <w:p>
      <w:pPr>
        <w:pStyle w:val="2"/>
        <w:numPr>
          <w:ilvl w:val="0"/>
          <w:numId w:val="0"/>
        </w:numPr>
        <w:spacing w:line="360" w:lineRule="auto"/>
        <w:ind w:leftChars="0"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（7）法律、法规规定的其他条件。</w:t>
      </w:r>
    </w:p>
    <w:p>
      <w:pPr>
        <w:pStyle w:val="2"/>
        <w:numPr>
          <w:ilvl w:val="0"/>
          <w:numId w:val="0"/>
        </w:numPr>
        <w:spacing w:line="360" w:lineRule="auto"/>
        <w:ind w:left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3.3 投标报价计算正确性检查</w:t>
      </w:r>
    </w:p>
    <w:p>
      <w:pPr>
        <w:pStyle w:val="2"/>
        <w:numPr>
          <w:ilvl w:val="0"/>
          <w:numId w:val="0"/>
        </w:numPr>
        <w:spacing w:line="360" w:lineRule="auto"/>
        <w:ind w:leftChars="0" w:firstLine="720" w:firstLineChars="3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初评阶段应对各项目报价计算的正确性进行检查。对出现的算术错误，由评标委员会予以改正，并让供应商澄清确认。改正后的投标价对供应商起约束作用。如果供应商不接受改正后的投标报价，其投标将被拒绝，其投标保证金将被没收，修正计算错误按如下原则进行：</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val="0"/>
          <w:sz w:val="24"/>
          <w:szCs w:val="24"/>
          <w:lang w:val="en-US" w:eastAsia="zh-CN"/>
        </w:rPr>
        <w:t>《投标文件》的大写金额和小写金额不一致的，以大写金额为准；总价金额与单项单价汇总金额不一致的，以单价金额计算结果为准；单价金额小数点有明显错位的，应以总价为准，并修改单价；对不同文字文本《投标文件》的解释发生异议的，以中文文本为准。</w:t>
      </w:r>
    </w:p>
    <w:p>
      <w:pPr>
        <w:pStyle w:val="2"/>
        <w:numPr>
          <w:ilvl w:val="0"/>
          <w:numId w:val="0"/>
        </w:numPr>
        <w:spacing w:line="360" w:lineRule="auto"/>
        <w:ind w:left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3.4 澄清</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对《投标文件》中的细微偏差经评标委员会讨论，并得到三分之二以上委员同意后，可以要求供应商以书面形式予以澄清和说明，以确认正确的内容。</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细微偏差是指《投标文件》在实质上响应《招标文件》的要求，不影响《投标文件》的有效性，但在个别地方存在漏项或者不完整内容不会对其他供应商造成不公平结果。</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对需要澄清和确认的问题应以书面形式回答，要由法定代表人或授权代理人签字，在规定时间内递交评标委员会。澄清问题的答复函应作为《投标文件》的组成部分。但在澄清或说明问题时不允许更改《投标文件》中任何实质性内容。</w:t>
      </w:r>
    </w:p>
    <w:p>
      <w:pPr>
        <w:pStyle w:val="2"/>
        <w:numPr>
          <w:ilvl w:val="0"/>
          <w:numId w:val="0"/>
        </w:numPr>
        <w:spacing w:line="360" w:lineRule="auto"/>
        <w:ind w:left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3.5 详评</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开标后，对各供应商的《投标文件》按照投标报价、售后服务、质量保证承诺、供应商业绩和信誉等四个方面采取科学的方法，按平等竞争、公平合理的原则综合评定打分。</w:t>
      </w:r>
    </w:p>
    <w:p>
      <w:pPr>
        <w:pStyle w:val="2"/>
        <w:numPr>
          <w:ilvl w:val="0"/>
          <w:numId w:val="0"/>
        </w:numPr>
        <w:spacing w:line="360" w:lineRule="auto"/>
        <w:ind w:leftChars="0"/>
        <w:jc w:val="both"/>
        <w:outlineLvl w:val="2"/>
        <w:rPr>
          <w:rFonts w:hint="eastAsia" w:asciiTheme="minorEastAsia" w:hAnsiTheme="minorEastAsia" w:eastAsiaTheme="minorEastAsia" w:cstheme="minorEastAsia"/>
          <w:b/>
          <w:bCs/>
          <w:sz w:val="24"/>
          <w:szCs w:val="24"/>
          <w:lang w:val="en-US" w:eastAsia="zh-CN"/>
        </w:rPr>
      </w:pPr>
      <w:bookmarkStart w:id="32" w:name="_Toc26914"/>
      <w:r>
        <w:rPr>
          <w:rFonts w:hint="eastAsia" w:asciiTheme="minorEastAsia" w:hAnsiTheme="minorEastAsia" w:eastAsiaTheme="minorEastAsia" w:cstheme="minorEastAsia"/>
          <w:b/>
          <w:bCs/>
          <w:sz w:val="24"/>
          <w:szCs w:val="24"/>
          <w:lang w:val="en-US" w:eastAsia="zh-CN"/>
        </w:rPr>
        <w:t>4.关于中小企业及节能环保</w:t>
      </w:r>
      <w:bookmarkEnd w:id="32"/>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供应商所投产品如被列入财政部与国家主管部门颁发的节能产品目录或环境标志产品目录或无线局域网产品目录，应提供相关证明，在评标时予以优先采购，具体优先采购办法见评标方法和标准。</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本项目非专门面向中小企业。小型和微型企业产品的价格给予 6%的扣除，用扣除后的价格参与评审。参加政府采购活动的中小企业应当如是提供财库【2011】181 号办法规定的《中小企业声明函》</w:t>
      </w:r>
    </w:p>
    <w:p>
      <w:pPr>
        <w:pStyle w:val="2"/>
        <w:numPr>
          <w:ilvl w:val="0"/>
          <w:numId w:val="0"/>
        </w:numPr>
        <w:spacing w:line="360" w:lineRule="auto"/>
        <w:ind w:leftChars="0"/>
        <w:jc w:val="both"/>
        <w:outlineLvl w:val="2"/>
        <w:rPr>
          <w:rFonts w:hint="eastAsia" w:asciiTheme="minorEastAsia" w:hAnsiTheme="minorEastAsia" w:eastAsiaTheme="minorEastAsia" w:cstheme="minorEastAsia"/>
          <w:b/>
          <w:bCs/>
          <w:sz w:val="24"/>
          <w:szCs w:val="24"/>
          <w:lang w:val="en-US" w:eastAsia="zh-CN"/>
        </w:rPr>
      </w:pPr>
      <w:bookmarkStart w:id="33" w:name="_Toc12840"/>
      <w:r>
        <w:rPr>
          <w:rFonts w:hint="eastAsia" w:asciiTheme="minorEastAsia" w:hAnsiTheme="minorEastAsia" w:eastAsiaTheme="minorEastAsia" w:cstheme="minorEastAsia"/>
          <w:b/>
          <w:bCs/>
          <w:sz w:val="24"/>
          <w:szCs w:val="24"/>
          <w:lang w:val="en-US" w:eastAsia="zh-CN"/>
        </w:rPr>
        <w:t>5.政府采购活动中查询及使用信用记录的有关问题</w:t>
      </w:r>
      <w:bookmarkEnd w:id="33"/>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val="0"/>
          <w:sz w:val="24"/>
          <w:szCs w:val="24"/>
          <w:lang w:val="en-US" w:eastAsia="zh-CN"/>
        </w:rPr>
        <w:t>申请人信用信息查询渠道及截止时间、信用信息查询记录和证据留存的具体方式、信用信息的使用规则等内容要求如下:</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5.1 报据《关于在行政管理事項中使用信用记录和信用报告的若干意见的通知》(发改财金[2013]920 号)、《国务院关于印发社会信用体系建设规划纲要(2014-2020 年)的通知》国发[2014]21 号、《国务院办公厅关于运用大数据加强对市场主体服务和监管的若干意见》（国办发[2015]51 号）、《关于在政府采购活动中查询及使用信用记录有关问题的通知》财库[2016]125 号及《中华入民共和国财政部令第 87 号一政府采购货物和服务招标投标管理办法》等文件规定要求,投标人必须提供由第三方社会征信机构出具的信用记录或信用报告,并须由其信用机构的信用管理师签字盖章生效,否则视为无效信用报告；</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val="0"/>
          <w:sz w:val="24"/>
          <w:szCs w:val="24"/>
          <w:lang w:val="en-US" w:eastAsia="zh-CN"/>
        </w:rPr>
        <w:t>5.2 根据《征信业管理条例》十一条:“国务院征信业监督管理部门应当向社会公告经营个人征信业务和企业征信业务的征信机构名单”规定,出具信用报告的第三方征信机构必须持有《企业征信业务经营备集证》，未在国务院征信业监督管理部门取得《企业征信业务经营备案证》的信用公司出具的信用报告无效；</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5.3 参与本项目的信用报告及查询渠道必须出自同一具各«企业征信业务经营备案证»第三方信用机构查询平台,并注明项目名称及招标编号等;</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5.4 参与本项目的投标人信用报告截止时间及信用等级要求为:至递交投标文件截止时间前 3 天内,企业信用等级为 3B 以上的企业；</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5.5 对 在 “ 信 用 中 国 ” 网 站 (www.creditchina. gov.cn) 及 中 国 政 府 采 购 网(www. ccgp.gov.cn)被列入失信被执行人的不得参与本项目招投标。为使此次评标工作顺利进行，确保评标活动客观、公正，根据《中华人民共和国政府采购法》的有关规定，制定评标办法如下：</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leftChars="0"/>
        <w:jc w:val="both"/>
        <w:outlineLvl w:val="1"/>
        <w:rPr>
          <w:rFonts w:hint="eastAsia" w:asciiTheme="minorEastAsia" w:hAnsiTheme="minorEastAsia" w:eastAsiaTheme="minorEastAsia" w:cstheme="minorEastAsia"/>
          <w:b/>
          <w:bCs/>
          <w:sz w:val="24"/>
          <w:szCs w:val="24"/>
          <w:lang w:val="en-US" w:eastAsia="zh-CN"/>
        </w:rPr>
      </w:pPr>
      <w:bookmarkStart w:id="34" w:name="_Toc9194"/>
      <w:r>
        <w:rPr>
          <w:rFonts w:hint="eastAsia" w:asciiTheme="minorEastAsia" w:hAnsiTheme="minorEastAsia" w:eastAsiaTheme="minorEastAsia" w:cstheme="minorEastAsia"/>
          <w:b/>
          <w:bCs/>
          <w:sz w:val="24"/>
          <w:szCs w:val="24"/>
          <w:lang w:val="en-US" w:eastAsia="zh-CN"/>
        </w:rPr>
        <w:t>三、评分办法和评分标准</w:t>
      </w:r>
      <w:bookmarkEnd w:id="34"/>
    </w:p>
    <w:p>
      <w:pPr>
        <w:pStyle w:val="2"/>
        <w:numPr>
          <w:ilvl w:val="0"/>
          <w:numId w:val="0"/>
        </w:numPr>
        <w:spacing w:line="360" w:lineRule="auto"/>
        <w:ind w:leftChars="0"/>
        <w:jc w:val="both"/>
        <w:outlineLvl w:val="9"/>
        <w:rPr>
          <w:rFonts w:hint="eastAsia" w:asciiTheme="minorEastAsia" w:hAnsiTheme="minorEastAsia" w:eastAsiaTheme="minorEastAsia" w:cstheme="minorEastAsia"/>
          <w:b/>
          <w:bCs/>
          <w:sz w:val="24"/>
          <w:szCs w:val="24"/>
          <w:lang w:val="en-US" w:eastAsia="zh-CN"/>
        </w:rPr>
      </w:pP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p>
    <w:tbl>
      <w:tblPr>
        <w:tblStyle w:val="14"/>
        <w:tblpPr w:leftFromText="180" w:rightFromText="180" w:vertAnchor="page" w:horzAnchor="page" w:tblpX="1400" w:tblpY="214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149"/>
        <w:gridCol w:w="6121"/>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2" w:type="dxa"/>
            <w:shd w:val="clear" w:color="auto" w:fill="auto"/>
            <w:vAlign w:val="center"/>
          </w:tcPr>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项目</w:t>
            </w:r>
          </w:p>
        </w:tc>
        <w:tc>
          <w:tcPr>
            <w:tcW w:w="1149" w:type="dxa"/>
            <w:shd w:val="clear" w:color="auto" w:fill="auto"/>
            <w:vAlign w:val="center"/>
          </w:tcPr>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项目</w:t>
            </w:r>
          </w:p>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小节</w:t>
            </w:r>
          </w:p>
        </w:tc>
        <w:tc>
          <w:tcPr>
            <w:tcW w:w="6121" w:type="dxa"/>
            <w:shd w:val="clear" w:color="auto" w:fill="auto"/>
            <w:vAlign w:val="center"/>
          </w:tcPr>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评分内容</w:t>
            </w:r>
          </w:p>
        </w:tc>
        <w:tc>
          <w:tcPr>
            <w:tcW w:w="768" w:type="dxa"/>
            <w:shd w:val="clear" w:color="auto" w:fill="auto"/>
            <w:vAlign w:val="center"/>
          </w:tcPr>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202" w:type="dxa"/>
            <w:shd w:val="clear" w:color="auto" w:fill="auto"/>
            <w:vAlign w:val="center"/>
          </w:tcPr>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 xml:space="preserve">价格 </w:t>
            </w:r>
            <w:r>
              <w:rPr>
                <w:rFonts w:hint="eastAsia" w:ascii="宋体" w:hAnsi="宋体" w:cs="Tahoma"/>
                <w:color w:val="181717" w:themeColor="background2" w:themeShade="1A"/>
                <w:kern w:val="0"/>
                <w:szCs w:val="21"/>
                <w:lang w:val="en-US" w:eastAsia="zh-CN"/>
              </w:rPr>
              <w:t xml:space="preserve">  </w:t>
            </w:r>
            <w:r>
              <w:rPr>
                <w:rFonts w:hint="eastAsia" w:ascii="宋体" w:hAnsi="宋体" w:cs="Tahoma"/>
                <w:color w:val="181717" w:themeColor="background2" w:themeShade="1A"/>
                <w:kern w:val="0"/>
                <w:szCs w:val="21"/>
              </w:rPr>
              <w:t>部分</w:t>
            </w:r>
            <w:r>
              <w:rPr>
                <w:rFonts w:hint="eastAsia" w:ascii="宋体" w:hAnsi="宋体" w:cs="Tahoma"/>
                <w:color w:val="181717" w:themeColor="background2" w:themeShade="1A"/>
                <w:kern w:val="0"/>
                <w:szCs w:val="21"/>
                <w:lang w:val="en-US" w:eastAsia="zh-CN"/>
              </w:rPr>
              <w:t xml:space="preserve">    </w:t>
            </w:r>
            <w:r>
              <w:rPr>
                <w:rFonts w:hint="eastAsia" w:ascii="宋体" w:hAnsi="宋体" w:cs="Tahoma"/>
                <w:color w:val="181717" w:themeColor="background2" w:themeShade="1A"/>
                <w:kern w:val="0"/>
                <w:szCs w:val="21"/>
              </w:rPr>
              <w:t>（</w:t>
            </w:r>
            <w:r>
              <w:rPr>
                <w:rFonts w:hint="eastAsia" w:ascii="宋体" w:hAnsi="宋体" w:cs="Tahoma"/>
                <w:color w:val="181717" w:themeColor="background2" w:themeShade="1A"/>
                <w:kern w:val="0"/>
                <w:szCs w:val="21"/>
                <w:lang w:val="en-US" w:eastAsia="zh-CN"/>
              </w:rPr>
              <w:t>4</w:t>
            </w:r>
            <w:r>
              <w:rPr>
                <w:rFonts w:hint="eastAsia" w:ascii="宋体" w:hAnsi="宋体" w:cs="Tahoma"/>
                <w:color w:val="181717" w:themeColor="background2" w:themeShade="1A"/>
                <w:kern w:val="0"/>
                <w:szCs w:val="21"/>
              </w:rPr>
              <w:t>0分）</w:t>
            </w:r>
          </w:p>
        </w:tc>
        <w:tc>
          <w:tcPr>
            <w:tcW w:w="1149" w:type="dxa"/>
            <w:shd w:val="clear" w:color="auto" w:fill="auto"/>
            <w:vAlign w:val="center"/>
          </w:tcPr>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价格</w:t>
            </w:r>
          </w:p>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部分</w:t>
            </w:r>
          </w:p>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w:t>
            </w:r>
            <w:r>
              <w:rPr>
                <w:rFonts w:hint="eastAsia" w:ascii="宋体" w:hAnsi="宋体" w:cs="Tahoma"/>
                <w:color w:val="181717" w:themeColor="background2" w:themeShade="1A"/>
                <w:kern w:val="0"/>
                <w:szCs w:val="21"/>
                <w:lang w:val="en-US" w:eastAsia="zh-CN"/>
              </w:rPr>
              <w:t>4</w:t>
            </w:r>
            <w:r>
              <w:rPr>
                <w:rFonts w:hint="eastAsia" w:ascii="宋体" w:hAnsi="宋体" w:cs="Tahoma"/>
                <w:color w:val="181717" w:themeColor="background2" w:themeShade="1A"/>
                <w:kern w:val="0"/>
                <w:szCs w:val="21"/>
              </w:rPr>
              <w:t>0分）</w:t>
            </w:r>
          </w:p>
        </w:tc>
        <w:tc>
          <w:tcPr>
            <w:tcW w:w="6121" w:type="dxa"/>
            <w:shd w:val="clear" w:color="auto" w:fill="auto"/>
            <w:vAlign w:val="center"/>
          </w:tcPr>
          <w:p>
            <w:pPr>
              <w:numPr>
                <w:ilvl w:val="0"/>
                <w:numId w:val="0"/>
              </w:numPr>
              <w:autoSpaceDE/>
              <w:autoSpaceDN/>
              <w:spacing w:before="0" w:after="0" w:line="240" w:lineRule="auto"/>
              <w:ind w:right="0"/>
              <w:jc w:val="left"/>
              <w:rPr>
                <w:rFonts w:hint="eastAsia" w:ascii="Times New Roman" w:hAnsi="Times New Roman" w:cs="Times New Roman"/>
                <w:color w:val="181717" w:themeColor="background2" w:themeShade="1A"/>
                <w:kern w:val="2"/>
                <w:sz w:val="24"/>
                <w:szCs w:val="24"/>
                <w:highlight w:val="none"/>
                <w:vertAlign w:val="baseline"/>
                <w:lang w:val="en-US" w:eastAsia="zh-CN"/>
              </w:rPr>
            </w:pPr>
            <w:r>
              <w:rPr>
                <w:rFonts w:hint="eastAsia" w:ascii="Times New Roman" w:hAnsi="Times New Roman" w:cs="Times New Roman"/>
                <w:color w:val="181717" w:themeColor="background2" w:themeShade="1A"/>
                <w:kern w:val="2"/>
                <w:sz w:val="24"/>
                <w:szCs w:val="24"/>
                <w:highlight w:val="none"/>
                <w:vertAlign w:val="baseline"/>
                <w:lang w:val="en-US" w:eastAsia="zh-CN"/>
              </w:rPr>
              <w:t>以满足招标文件要求且最低的投标总报价为评审基准价,其报价得分为满分40 分。其他投标人的报价分统一按照下列公式计算：</w:t>
            </w:r>
          </w:p>
          <w:p>
            <w:pPr>
              <w:widowControl/>
              <w:jc w:val="left"/>
              <w:rPr>
                <w:rFonts w:ascii="宋体" w:hAnsi="宋体" w:cs="Tahoma"/>
                <w:color w:val="181717" w:themeColor="background2" w:themeShade="1A"/>
                <w:kern w:val="0"/>
                <w:sz w:val="24"/>
                <w:szCs w:val="24"/>
              </w:rPr>
            </w:pPr>
            <w:r>
              <w:rPr>
                <w:rFonts w:hint="eastAsia" w:ascii="Times New Roman" w:hAnsi="Times New Roman" w:cs="Times New Roman"/>
                <w:color w:val="181717" w:themeColor="background2" w:themeShade="1A"/>
                <w:kern w:val="2"/>
                <w:sz w:val="24"/>
                <w:szCs w:val="24"/>
                <w:highlight w:val="none"/>
                <w:vertAlign w:val="baseline"/>
                <w:lang w:val="en-US" w:eastAsia="zh-CN"/>
              </w:rPr>
              <w:t>投标总报价得分=(评审基准价/投标总报价)×40%×100计算分数时四舍五入取小数点后两位。</w:t>
            </w:r>
          </w:p>
        </w:tc>
        <w:tc>
          <w:tcPr>
            <w:tcW w:w="768" w:type="dxa"/>
            <w:shd w:val="clear" w:color="auto" w:fill="auto"/>
            <w:vAlign w:val="center"/>
          </w:tcPr>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lang w:val="en-US" w:eastAsia="zh-CN"/>
              </w:rPr>
              <w:t>4</w:t>
            </w:r>
            <w:r>
              <w:rPr>
                <w:rFonts w:hint="eastAsia" w:ascii="宋体" w:hAnsi="宋体" w:cs="Tahoma"/>
                <w:color w:val="181717" w:themeColor="background2" w:themeShade="1A"/>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1202" w:type="dxa"/>
            <w:vMerge w:val="restart"/>
            <w:shd w:val="clear" w:color="auto" w:fill="auto"/>
            <w:vAlign w:val="center"/>
          </w:tcPr>
          <w:p>
            <w:pPr>
              <w:widowControl/>
              <w:jc w:val="center"/>
              <w:rPr>
                <w:rFonts w:hint="eastAsia"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 xml:space="preserve">商务 </w:t>
            </w:r>
            <w:r>
              <w:rPr>
                <w:rFonts w:hint="eastAsia" w:ascii="宋体" w:hAnsi="宋体" w:cs="Tahoma"/>
                <w:color w:val="181717" w:themeColor="background2" w:themeShade="1A"/>
                <w:kern w:val="0"/>
                <w:szCs w:val="21"/>
                <w:lang w:val="en-US" w:eastAsia="zh-CN"/>
              </w:rPr>
              <w:t xml:space="preserve">  </w:t>
            </w:r>
            <w:r>
              <w:rPr>
                <w:rFonts w:hint="eastAsia" w:ascii="宋体" w:hAnsi="宋体" w:cs="Tahoma"/>
                <w:color w:val="181717" w:themeColor="background2" w:themeShade="1A"/>
                <w:kern w:val="0"/>
                <w:szCs w:val="21"/>
              </w:rPr>
              <w:t>部分</w:t>
            </w:r>
            <w:r>
              <w:rPr>
                <w:rFonts w:hint="eastAsia" w:ascii="宋体" w:hAnsi="宋体" w:cs="Tahoma"/>
                <w:color w:val="181717" w:themeColor="background2" w:themeShade="1A"/>
                <w:kern w:val="0"/>
                <w:szCs w:val="21"/>
                <w:lang w:val="en-US" w:eastAsia="zh-CN"/>
              </w:rPr>
              <w:t xml:space="preserve">  </w:t>
            </w:r>
            <w:r>
              <w:rPr>
                <w:rFonts w:hint="eastAsia" w:ascii="宋体" w:hAnsi="宋体" w:cs="Tahoma"/>
                <w:color w:val="181717" w:themeColor="background2" w:themeShade="1A"/>
                <w:kern w:val="0"/>
                <w:szCs w:val="21"/>
              </w:rPr>
              <w:t>（</w:t>
            </w:r>
            <w:r>
              <w:rPr>
                <w:rFonts w:hint="eastAsia" w:ascii="宋体" w:hAnsi="宋体" w:cs="Tahoma"/>
                <w:color w:val="181717" w:themeColor="background2" w:themeShade="1A"/>
                <w:kern w:val="0"/>
                <w:szCs w:val="21"/>
                <w:lang w:val="en-US" w:eastAsia="zh-CN"/>
              </w:rPr>
              <w:t>12</w:t>
            </w:r>
            <w:r>
              <w:rPr>
                <w:rFonts w:hint="eastAsia" w:ascii="宋体" w:hAnsi="宋体" w:cs="Tahoma"/>
                <w:color w:val="181717" w:themeColor="background2" w:themeShade="1A"/>
                <w:kern w:val="0"/>
                <w:szCs w:val="21"/>
              </w:rPr>
              <w:t>分）</w:t>
            </w:r>
          </w:p>
        </w:tc>
        <w:tc>
          <w:tcPr>
            <w:tcW w:w="1149" w:type="dxa"/>
            <w:shd w:val="clear" w:color="auto" w:fill="auto"/>
            <w:vAlign w:val="center"/>
          </w:tcPr>
          <w:p>
            <w:pPr>
              <w:widowControl/>
              <w:jc w:val="center"/>
              <w:rPr>
                <w:rFonts w:hint="eastAsia"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投标人能力评价</w:t>
            </w:r>
          </w:p>
          <w:p>
            <w:pPr>
              <w:widowControl/>
              <w:jc w:val="center"/>
              <w:rPr>
                <w:rFonts w:hint="eastAsia"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w:t>
            </w:r>
            <w:r>
              <w:rPr>
                <w:rFonts w:hint="eastAsia" w:ascii="宋体" w:hAnsi="宋体" w:cs="Tahoma"/>
                <w:color w:val="181717" w:themeColor="background2" w:themeShade="1A"/>
                <w:kern w:val="0"/>
                <w:szCs w:val="21"/>
                <w:lang w:val="en-US" w:eastAsia="zh-CN"/>
              </w:rPr>
              <w:t>6</w:t>
            </w:r>
            <w:r>
              <w:rPr>
                <w:rFonts w:hint="eastAsia" w:ascii="宋体" w:hAnsi="宋体" w:cs="Tahoma"/>
                <w:color w:val="181717" w:themeColor="background2" w:themeShade="1A"/>
                <w:kern w:val="0"/>
                <w:szCs w:val="21"/>
              </w:rPr>
              <w:t>分）</w:t>
            </w:r>
          </w:p>
        </w:tc>
        <w:tc>
          <w:tcPr>
            <w:tcW w:w="6121" w:type="dxa"/>
            <w:shd w:val="clear" w:color="auto" w:fill="auto"/>
            <w:vAlign w:val="center"/>
          </w:tcPr>
          <w:p>
            <w:pPr>
              <w:numPr>
                <w:ilvl w:val="0"/>
                <w:numId w:val="0"/>
              </w:numPr>
              <w:autoSpaceDE/>
              <w:autoSpaceDN/>
              <w:spacing w:before="0" w:after="0" w:line="240" w:lineRule="auto"/>
              <w:ind w:right="0"/>
              <w:jc w:val="left"/>
              <w:rPr>
                <w:rFonts w:hint="eastAsia" w:ascii="Times New Roman" w:hAnsi="Times New Roman" w:cs="Times New Roman"/>
                <w:color w:val="181717" w:themeColor="background2" w:themeShade="1A"/>
                <w:kern w:val="2"/>
                <w:sz w:val="24"/>
                <w:szCs w:val="24"/>
                <w:highlight w:val="none"/>
                <w:vertAlign w:val="baseline"/>
                <w:lang w:val="en-US" w:eastAsia="zh-CN"/>
              </w:rPr>
            </w:pPr>
            <w:r>
              <w:rPr>
                <w:rFonts w:hint="eastAsia" w:ascii="Times New Roman" w:hAnsi="Times New Roman" w:cs="Times New Roman"/>
                <w:color w:val="181717" w:themeColor="background2" w:themeShade="1A"/>
                <w:kern w:val="2"/>
                <w:sz w:val="24"/>
                <w:szCs w:val="24"/>
                <w:highlight w:val="none"/>
                <w:vertAlign w:val="baseline"/>
                <w:lang w:val="en-US" w:eastAsia="zh-CN"/>
              </w:rPr>
              <w:t>1.投标人应通过 ISO9001 质量管理体系认证,得1分，不提供不得分，共1分。</w:t>
            </w:r>
          </w:p>
          <w:p>
            <w:pPr>
              <w:numPr>
                <w:ilvl w:val="0"/>
                <w:numId w:val="0"/>
              </w:numPr>
              <w:autoSpaceDE/>
              <w:autoSpaceDN/>
              <w:spacing w:before="0" w:after="0" w:line="240" w:lineRule="auto"/>
              <w:ind w:right="0"/>
              <w:jc w:val="left"/>
              <w:rPr>
                <w:rFonts w:hint="default" w:ascii="Times New Roman" w:hAnsi="Times New Roman" w:cs="Times New Roman"/>
                <w:color w:val="181717" w:themeColor="background2" w:themeShade="1A"/>
                <w:kern w:val="2"/>
                <w:sz w:val="24"/>
                <w:szCs w:val="24"/>
                <w:highlight w:val="none"/>
                <w:vertAlign w:val="baseline"/>
                <w:lang w:val="en-US" w:eastAsia="zh-CN"/>
              </w:rPr>
            </w:pPr>
            <w:r>
              <w:rPr>
                <w:rFonts w:hint="eastAsia" w:ascii="Times New Roman" w:hAnsi="Times New Roman" w:cs="Times New Roman"/>
                <w:color w:val="181717" w:themeColor="background2" w:themeShade="1A"/>
                <w:kern w:val="2"/>
                <w:sz w:val="24"/>
                <w:szCs w:val="24"/>
                <w:highlight w:val="none"/>
                <w:vertAlign w:val="baseline"/>
                <w:lang w:val="en-US" w:eastAsia="zh-CN"/>
              </w:rPr>
              <w:t>2.投标人具备涉密信息系统集成（综合布线、运行维护）资质得3分，具有AAA企业信用等级得2分，不提供不得分，共5分。</w:t>
            </w:r>
          </w:p>
        </w:tc>
        <w:tc>
          <w:tcPr>
            <w:tcW w:w="768" w:type="dxa"/>
            <w:shd w:val="clear" w:color="auto" w:fill="auto"/>
            <w:vAlign w:val="center"/>
          </w:tcPr>
          <w:p>
            <w:pPr>
              <w:widowControl/>
              <w:jc w:val="center"/>
              <w:rPr>
                <w:rFonts w:hint="default" w:ascii="宋体" w:hAnsi="宋体" w:cs="Tahoma" w:eastAsiaTheme="minorEastAsia"/>
                <w:color w:val="181717" w:themeColor="background2" w:themeShade="1A"/>
                <w:kern w:val="0"/>
                <w:szCs w:val="21"/>
                <w:lang w:val="en-US" w:eastAsia="zh-CN"/>
              </w:rPr>
            </w:pPr>
            <w:r>
              <w:rPr>
                <w:rFonts w:hint="eastAsia" w:ascii="宋体" w:hAnsi="宋体" w:cs="Tahoma"/>
                <w:color w:val="181717" w:themeColor="background2" w:themeShade="1A"/>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2" w:type="dxa"/>
            <w:vMerge w:val="continue"/>
            <w:vAlign w:val="center"/>
          </w:tcPr>
          <w:p>
            <w:pPr>
              <w:widowControl/>
              <w:jc w:val="center"/>
              <w:rPr>
                <w:rFonts w:hint="eastAsia" w:ascii="宋体" w:hAnsi="宋体" w:cs="Tahoma"/>
                <w:color w:val="181717" w:themeColor="background2" w:themeShade="1A"/>
                <w:kern w:val="0"/>
                <w:szCs w:val="21"/>
              </w:rPr>
            </w:pPr>
          </w:p>
        </w:tc>
        <w:tc>
          <w:tcPr>
            <w:tcW w:w="1149" w:type="dxa"/>
            <w:shd w:val="clear" w:color="auto" w:fill="auto"/>
            <w:vAlign w:val="center"/>
          </w:tcPr>
          <w:p>
            <w:pPr>
              <w:widowControl/>
              <w:jc w:val="center"/>
              <w:rPr>
                <w:rFonts w:hint="eastAsia" w:ascii="宋体" w:hAnsi="宋体" w:cs="Tahoma"/>
                <w:color w:val="181717" w:themeColor="background2" w:themeShade="1A"/>
                <w:kern w:val="0"/>
                <w:szCs w:val="21"/>
                <w:lang w:val="en-US" w:eastAsia="zh-CN"/>
              </w:rPr>
            </w:pPr>
            <w:r>
              <w:rPr>
                <w:rFonts w:hint="eastAsia" w:ascii="宋体" w:hAnsi="宋体" w:cs="Tahoma"/>
                <w:color w:val="181717" w:themeColor="background2" w:themeShade="1A"/>
                <w:kern w:val="0"/>
                <w:szCs w:val="21"/>
                <w:lang w:val="en-US" w:eastAsia="zh-CN"/>
              </w:rPr>
              <w:t>业绩</w:t>
            </w:r>
          </w:p>
          <w:p>
            <w:pPr>
              <w:widowControl/>
              <w:jc w:val="center"/>
              <w:rPr>
                <w:rFonts w:hint="eastAsia" w:ascii="宋体" w:hAnsi="宋体" w:cs="Tahoma"/>
                <w:color w:val="181717" w:themeColor="background2" w:themeShade="1A"/>
                <w:kern w:val="0"/>
                <w:szCs w:val="21"/>
                <w:lang w:val="en-US" w:eastAsia="zh-CN"/>
              </w:rPr>
            </w:pPr>
            <w:r>
              <w:rPr>
                <w:rFonts w:hint="eastAsia" w:ascii="宋体" w:hAnsi="宋体" w:cs="Tahoma"/>
                <w:color w:val="181717" w:themeColor="background2" w:themeShade="1A"/>
                <w:kern w:val="0"/>
                <w:szCs w:val="21"/>
                <w:lang w:val="en-US" w:eastAsia="zh-CN"/>
              </w:rPr>
              <w:t>证明</w:t>
            </w:r>
          </w:p>
          <w:p>
            <w:pPr>
              <w:widowControl/>
              <w:jc w:val="center"/>
              <w:rPr>
                <w:rFonts w:hint="eastAsia" w:ascii="宋体" w:hAnsi="宋体" w:cs="Tahoma"/>
                <w:color w:val="181717" w:themeColor="background2" w:themeShade="1A"/>
                <w:kern w:val="0"/>
                <w:szCs w:val="21"/>
                <w:lang w:val="en-US" w:eastAsia="zh-CN"/>
              </w:rPr>
            </w:pPr>
            <w:r>
              <w:rPr>
                <w:rFonts w:hint="eastAsia" w:ascii="宋体" w:hAnsi="宋体" w:cs="Tahoma"/>
                <w:color w:val="181717" w:themeColor="background2" w:themeShade="1A"/>
                <w:kern w:val="0"/>
                <w:szCs w:val="21"/>
                <w:lang w:val="en-US" w:eastAsia="zh-CN"/>
              </w:rPr>
              <w:t>（6分）</w:t>
            </w:r>
          </w:p>
        </w:tc>
        <w:tc>
          <w:tcPr>
            <w:tcW w:w="6121" w:type="dxa"/>
            <w:shd w:val="clear" w:color="auto" w:fill="auto"/>
            <w:vAlign w:val="center"/>
          </w:tcPr>
          <w:p>
            <w:pPr>
              <w:numPr>
                <w:ilvl w:val="0"/>
                <w:numId w:val="0"/>
              </w:numPr>
              <w:autoSpaceDE/>
              <w:autoSpaceDN/>
              <w:spacing w:before="0" w:after="0" w:line="240" w:lineRule="auto"/>
              <w:ind w:right="0"/>
              <w:jc w:val="left"/>
              <w:rPr>
                <w:rFonts w:hint="eastAsia" w:ascii="Times New Roman" w:hAnsi="Times New Roman" w:cs="Times New Roman"/>
                <w:color w:val="181717" w:themeColor="background2" w:themeShade="1A"/>
                <w:kern w:val="2"/>
                <w:sz w:val="24"/>
                <w:szCs w:val="24"/>
                <w:highlight w:val="none"/>
                <w:vertAlign w:val="baseline"/>
                <w:lang w:val="en-US" w:eastAsia="zh-CN"/>
              </w:rPr>
            </w:pPr>
            <w:r>
              <w:rPr>
                <w:rFonts w:hint="eastAsia" w:ascii="Times New Roman" w:hAnsi="Times New Roman" w:cs="Times New Roman"/>
                <w:color w:val="181717" w:themeColor="background2" w:themeShade="1A"/>
                <w:kern w:val="2"/>
                <w:sz w:val="24"/>
                <w:szCs w:val="24"/>
                <w:highlight w:val="none"/>
                <w:vertAlign w:val="baseline"/>
                <w:lang w:val="en-US" w:eastAsia="zh-CN"/>
              </w:rPr>
              <w:t>提供近三年（2017年至2019年）投标单位承担过同类工程业绩，（以备案过的合同和中标通知书复印件加盖投标人鲜章，原件备查）每提供一个项目得1分，最高得 6分，不提供不得分。</w:t>
            </w:r>
          </w:p>
        </w:tc>
        <w:tc>
          <w:tcPr>
            <w:tcW w:w="768" w:type="dxa"/>
            <w:shd w:val="clear" w:color="auto" w:fill="auto"/>
            <w:vAlign w:val="center"/>
          </w:tcPr>
          <w:p>
            <w:pPr>
              <w:widowControl/>
              <w:jc w:val="center"/>
              <w:rPr>
                <w:rFonts w:hint="default" w:ascii="宋体" w:hAnsi="宋体" w:cs="Tahoma" w:eastAsiaTheme="minorEastAsia"/>
                <w:color w:val="181717" w:themeColor="background2" w:themeShade="1A"/>
                <w:kern w:val="0"/>
                <w:szCs w:val="21"/>
                <w:lang w:val="en-US" w:eastAsia="zh-CN"/>
              </w:rPr>
            </w:pPr>
            <w:r>
              <w:rPr>
                <w:rFonts w:hint="eastAsia" w:ascii="宋体" w:hAnsi="宋体" w:cs="Tahoma"/>
                <w:color w:val="181717" w:themeColor="background2" w:themeShade="1A"/>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202" w:type="dxa"/>
            <w:vMerge w:val="restart"/>
            <w:shd w:val="clear" w:color="auto" w:fill="auto"/>
            <w:vAlign w:val="center"/>
          </w:tcPr>
          <w:p>
            <w:pPr>
              <w:widowControl/>
              <w:jc w:val="center"/>
              <w:rPr>
                <w:rFonts w:hint="eastAsia"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技术</w:t>
            </w:r>
            <w:r>
              <w:rPr>
                <w:rFonts w:hint="eastAsia" w:ascii="宋体" w:hAnsi="宋体" w:cs="Tahoma"/>
                <w:color w:val="181717" w:themeColor="background2" w:themeShade="1A"/>
                <w:kern w:val="0"/>
                <w:szCs w:val="21"/>
                <w:lang w:val="en-US" w:eastAsia="zh-CN"/>
              </w:rPr>
              <w:t xml:space="preserve">  </w:t>
            </w:r>
            <w:r>
              <w:rPr>
                <w:rFonts w:hint="eastAsia" w:ascii="宋体" w:hAnsi="宋体" w:cs="Tahoma"/>
                <w:color w:val="181717" w:themeColor="background2" w:themeShade="1A"/>
                <w:kern w:val="0"/>
                <w:szCs w:val="21"/>
              </w:rPr>
              <w:t xml:space="preserve"> 部分</w:t>
            </w:r>
            <w:r>
              <w:rPr>
                <w:rFonts w:hint="eastAsia" w:ascii="宋体" w:hAnsi="宋体" w:cs="Tahoma"/>
                <w:color w:val="181717" w:themeColor="background2" w:themeShade="1A"/>
                <w:kern w:val="0"/>
                <w:szCs w:val="21"/>
                <w:lang w:val="en-US" w:eastAsia="zh-CN"/>
              </w:rPr>
              <w:t xml:space="preserve">  </w:t>
            </w:r>
            <w:r>
              <w:rPr>
                <w:rFonts w:hint="eastAsia" w:ascii="宋体" w:hAnsi="宋体" w:cs="Tahoma"/>
                <w:color w:val="181717" w:themeColor="background2" w:themeShade="1A"/>
                <w:kern w:val="0"/>
                <w:szCs w:val="21"/>
              </w:rPr>
              <w:t>（</w:t>
            </w:r>
            <w:r>
              <w:rPr>
                <w:rFonts w:hint="eastAsia" w:ascii="宋体" w:hAnsi="宋体" w:cs="Tahoma"/>
                <w:color w:val="181717" w:themeColor="background2" w:themeShade="1A"/>
                <w:kern w:val="0"/>
                <w:szCs w:val="21"/>
                <w:lang w:val="en-US" w:eastAsia="zh-CN"/>
              </w:rPr>
              <w:t>48</w:t>
            </w:r>
            <w:r>
              <w:rPr>
                <w:rFonts w:hint="eastAsia" w:ascii="宋体" w:hAnsi="宋体" w:cs="Tahoma"/>
                <w:color w:val="181717" w:themeColor="background2" w:themeShade="1A"/>
                <w:kern w:val="0"/>
                <w:szCs w:val="21"/>
              </w:rPr>
              <w:t>分）</w:t>
            </w:r>
          </w:p>
        </w:tc>
        <w:tc>
          <w:tcPr>
            <w:tcW w:w="1149" w:type="dxa"/>
            <w:shd w:val="clear" w:color="auto" w:fill="auto"/>
            <w:vAlign w:val="center"/>
          </w:tcPr>
          <w:p>
            <w:pPr>
              <w:widowControl/>
              <w:jc w:val="center"/>
              <w:rPr>
                <w:rFonts w:hint="eastAsia"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技术</w:t>
            </w:r>
          </w:p>
          <w:p>
            <w:pPr>
              <w:widowControl/>
              <w:jc w:val="center"/>
              <w:rPr>
                <w:rFonts w:hint="eastAsia"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响应</w:t>
            </w:r>
          </w:p>
          <w:p>
            <w:pPr>
              <w:widowControl/>
              <w:jc w:val="center"/>
              <w:rPr>
                <w:rFonts w:hint="eastAsia"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w:t>
            </w:r>
            <w:r>
              <w:rPr>
                <w:rFonts w:hint="eastAsia" w:ascii="宋体" w:hAnsi="宋体" w:cs="Tahoma"/>
                <w:color w:val="181717" w:themeColor="background2" w:themeShade="1A"/>
                <w:kern w:val="0"/>
                <w:szCs w:val="21"/>
                <w:lang w:val="en-US" w:eastAsia="zh-CN"/>
              </w:rPr>
              <w:t>30</w:t>
            </w:r>
            <w:r>
              <w:rPr>
                <w:rFonts w:hint="eastAsia" w:ascii="宋体" w:hAnsi="宋体" w:cs="Tahoma"/>
                <w:color w:val="181717" w:themeColor="background2" w:themeShade="1A"/>
                <w:kern w:val="0"/>
                <w:szCs w:val="21"/>
              </w:rPr>
              <w:t>分）</w:t>
            </w:r>
          </w:p>
        </w:tc>
        <w:tc>
          <w:tcPr>
            <w:tcW w:w="6121" w:type="dxa"/>
            <w:shd w:val="clear" w:color="auto" w:fill="auto"/>
            <w:vAlign w:val="center"/>
          </w:tcPr>
          <w:p>
            <w:pPr>
              <w:numPr>
                <w:ilvl w:val="0"/>
                <w:numId w:val="0"/>
              </w:numPr>
              <w:autoSpaceDE/>
              <w:autoSpaceDN/>
              <w:spacing w:before="0" w:after="0" w:line="240" w:lineRule="auto"/>
              <w:ind w:right="0"/>
              <w:jc w:val="left"/>
              <w:rPr>
                <w:rFonts w:hint="eastAsia" w:asciiTheme="minorHAnsi" w:hAnsiTheme="minorHAnsi" w:eastAsiaTheme="minorEastAsia" w:cstheme="minorBidi"/>
                <w:b w:val="0"/>
                <w:bCs w:val="0"/>
                <w:color w:val="181717" w:themeColor="background2" w:themeShade="1A"/>
                <w:kern w:val="2"/>
                <w:sz w:val="24"/>
                <w:szCs w:val="22"/>
                <w:lang w:val="en-US" w:eastAsia="zh-CN" w:bidi="ar-SA"/>
              </w:rPr>
            </w:pPr>
            <w:r>
              <w:rPr>
                <w:rFonts w:hint="eastAsia" w:asciiTheme="minorHAnsi" w:hAnsiTheme="minorHAnsi" w:eastAsiaTheme="minorEastAsia" w:cstheme="minorBidi"/>
                <w:b w:val="0"/>
                <w:bCs w:val="0"/>
                <w:color w:val="181717" w:themeColor="background2" w:themeShade="1A"/>
                <w:kern w:val="2"/>
                <w:sz w:val="24"/>
                <w:szCs w:val="22"/>
                <w:lang w:val="en-US" w:eastAsia="zh-CN" w:bidi="ar-SA"/>
              </w:rPr>
              <w:t>★项为重要技术指标，投标人所投的产品对应★项参数每有一项不满足或负偏离扣1分，扣完为止。</w:t>
            </w:r>
          </w:p>
          <w:p>
            <w:pPr>
              <w:pStyle w:val="2"/>
              <w:spacing w:line="240" w:lineRule="auto"/>
              <w:ind w:left="0" w:leftChars="0" w:firstLine="0" w:firstLineChars="0"/>
              <w:rPr>
                <w:rFonts w:hint="eastAsia" w:asciiTheme="minorHAnsi" w:hAnsiTheme="minorHAnsi" w:eastAsiaTheme="minorEastAsia" w:cstheme="minorBidi"/>
                <w:b w:val="0"/>
                <w:bCs w:val="0"/>
                <w:color w:val="181717" w:themeColor="background2" w:themeShade="1A"/>
                <w:kern w:val="2"/>
                <w:sz w:val="24"/>
                <w:szCs w:val="22"/>
                <w:lang w:val="en-US" w:eastAsia="zh-CN" w:bidi="ar-SA"/>
              </w:rPr>
            </w:pPr>
            <w:r>
              <w:rPr>
                <w:rFonts w:hint="eastAsia" w:asciiTheme="minorHAnsi" w:hAnsiTheme="minorHAnsi" w:eastAsiaTheme="minorEastAsia" w:cstheme="minorBidi"/>
                <w:b w:val="0"/>
                <w:bCs w:val="0"/>
                <w:color w:val="181717" w:themeColor="background2" w:themeShade="1A"/>
                <w:kern w:val="2"/>
                <w:sz w:val="24"/>
                <w:szCs w:val="22"/>
                <w:lang w:val="en-US" w:eastAsia="zh-CN" w:bidi="ar-SA"/>
              </w:rPr>
              <w:t>注：要求对所有标★项的参数响应，须提供检测报告、功能截图等相关证明材料并加盖厂家鲜章证明，不能提供者不得分。</w:t>
            </w:r>
          </w:p>
        </w:tc>
        <w:tc>
          <w:tcPr>
            <w:tcW w:w="768" w:type="dxa"/>
            <w:shd w:val="clear" w:color="auto" w:fill="auto"/>
            <w:vAlign w:val="center"/>
          </w:tcPr>
          <w:p>
            <w:pPr>
              <w:widowControl/>
              <w:jc w:val="center"/>
              <w:rPr>
                <w:rFonts w:hint="default" w:ascii="宋体" w:hAnsi="宋体" w:cs="Tahoma" w:eastAsiaTheme="minorEastAsia"/>
                <w:color w:val="181717" w:themeColor="background2" w:themeShade="1A"/>
                <w:kern w:val="0"/>
                <w:szCs w:val="21"/>
                <w:lang w:val="en-US" w:eastAsia="zh-CN"/>
              </w:rPr>
            </w:pPr>
            <w:r>
              <w:rPr>
                <w:rFonts w:hint="eastAsia" w:ascii="宋体" w:hAnsi="宋体" w:cs="Tahoma"/>
                <w:color w:val="181717" w:themeColor="background2" w:themeShade="1A"/>
                <w:kern w:val="0"/>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2" w:type="dxa"/>
            <w:vMerge w:val="continue"/>
            <w:shd w:val="clear" w:color="auto" w:fill="auto"/>
            <w:vAlign w:val="center"/>
          </w:tcPr>
          <w:p>
            <w:pPr>
              <w:widowControl/>
              <w:jc w:val="center"/>
              <w:rPr>
                <w:rFonts w:hint="eastAsia" w:ascii="宋体" w:hAnsi="宋体" w:cs="Tahoma"/>
                <w:color w:val="181717" w:themeColor="background2" w:themeShade="1A"/>
                <w:kern w:val="0"/>
                <w:szCs w:val="21"/>
              </w:rPr>
            </w:pPr>
          </w:p>
        </w:tc>
        <w:tc>
          <w:tcPr>
            <w:tcW w:w="1149" w:type="dxa"/>
            <w:shd w:val="clear" w:color="auto" w:fill="auto"/>
            <w:vAlign w:val="center"/>
          </w:tcPr>
          <w:p>
            <w:pPr>
              <w:widowControl/>
              <w:jc w:val="center"/>
              <w:rPr>
                <w:rFonts w:hint="eastAsia"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施工</w:t>
            </w:r>
          </w:p>
          <w:p>
            <w:pPr>
              <w:widowControl/>
              <w:jc w:val="center"/>
              <w:rPr>
                <w:rFonts w:hint="eastAsia"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方案</w:t>
            </w:r>
          </w:p>
          <w:p>
            <w:pPr>
              <w:widowControl/>
              <w:jc w:val="center"/>
              <w:rPr>
                <w:rFonts w:hint="eastAsia"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w:t>
            </w:r>
            <w:r>
              <w:rPr>
                <w:rFonts w:hint="eastAsia" w:ascii="宋体" w:hAnsi="宋体" w:cs="Tahoma"/>
                <w:color w:val="181717" w:themeColor="background2" w:themeShade="1A"/>
                <w:kern w:val="0"/>
                <w:szCs w:val="21"/>
                <w:lang w:val="en-US" w:eastAsia="zh-CN"/>
              </w:rPr>
              <w:t>5</w:t>
            </w:r>
            <w:r>
              <w:rPr>
                <w:rFonts w:hint="eastAsia" w:ascii="宋体" w:hAnsi="宋体" w:cs="Tahoma"/>
                <w:color w:val="181717" w:themeColor="background2" w:themeShade="1A"/>
                <w:kern w:val="0"/>
                <w:szCs w:val="21"/>
              </w:rPr>
              <w:t>分）</w:t>
            </w:r>
          </w:p>
        </w:tc>
        <w:tc>
          <w:tcPr>
            <w:tcW w:w="6121" w:type="dxa"/>
            <w:shd w:val="clear" w:color="auto" w:fill="auto"/>
            <w:vAlign w:val="center"/>
          </w:tcPr>
          <w:p>
            <w:pPr>
              <w:numPr>
                <w:ilvl w:val="0"/>
                <w:numId w:val="0"/>
              </w:numPr>
              <w:autoSpaceDE/>
              <w:autoSpaceDN/>
              <w:spacing w:before="0" w:after="0" w:line="240" w:lineRule="auto"/>
              <w:ind w:right="0"/>
              <w:jc w:val="left"/>
              <w:rPr>
                <w:rFonts w:hint="eastAsia" w:asciiTheme="minorHAnsi" w:hAnsiTheme="minorHAnsi" w:eastAsiaTheme="minorEastAsia" w:cstheme="minorBidi"/>
                <w:b w:val="0"/>
                <w:bCs w:val="0"/>
                <w:color w:val="181717" w:themeColor="background2" w:themeShade="1A"/>
                <w:kern w:val="2"/>
                <w:sz w:val="24"/>
                <w:szCs w:val="22"/>
                <w:lang w:val="en-US" w:eastAsia="zh-CN" w:bidi="ar-SA"/>
              </w:rPr>
            </w:pPr>
            <w:r>
              <w:rPr>
                <w:rFonts w:hint="eastAsia" w:asciiTheme="minorHAnsi" w:hAnsiTheme="minorHAnsi" w:eastAsiaTheme="minorEastAsia" w:cstheme="minorBidi"/>
                <w:b w:val="0"/>
                <w:bCs w:val="0"/>
                <w:color w:val="181717" w:themeColor="background2" w:themeShade="1A"/>
                <w:kern w:val="2"/>
                <w:sz w:val="24"/>
                <w:szCs w:val="22"/>
                <w:lang w:val="en-US" w:eastAsia="zh-CN" w:bidi="ar-SA"/>
              </w:rPr>
              <w:t>1.提供综合布线技术施工方案，施工方案要有详细的施工进度计划和执行方案，进度计划条理清晰，工作关键点清楚得1分，否则不得分。</w:t>
            </w:r>
          </w:p>
          <w:p>
            <w:pPr>
              <w:numPr>
                <w:ilvl w:val="0"/>
                <w:numId w:val="0"/>
              </w:numPr>
              <w:autoSpaceDE/>
              <w:autoSpaceDN/>
              <w:spacing w:before="0" w:after="0" w:line="240" w:lineRule="auto"/>
              <w:ind w:right="0"/>
              <w:jc w:val="left"/>
              <w:rPr>
                <w:rFonts w:hint="default" w:ascii="Times New Roman" w:hAnsi="Times New Roman" w:cs="Times New Roman"/>
                <w:color w:val="181717" w:themeColor="background2" w:themeShade="1A"/>
                <w:kern w:val="2"/>
                <w:sz w:val="24"/>
                <w:szCs w:val="24"/>
                <w:highlight w:val="none"/>
                <w:vertAlign w:val="baseline"/>
                <w:lang w:val="en-US" w:eastAsia="zh-CN"/>
              </w:rPr>
            </w:pPr>
            <w:r>
              <w:rPr>
                <w:rFonts w:hint="eastAsia" w:asciiTheme="minorHAnsi" w:hAnsiTheme="minorHAnsi" w:eastAsiaTheme="minorEastAsia" w:cstheme="minorBidi"/>
                <w:b w:val="0"/>
                <w:bCs w:val="0"/>
                <w:color w:val="181717" w:themeColor="background2" w:themeShade="1A"/>
                <w:kern w:val="2"/>
                <w:sz w:val="24"/>
                <w:szCs w:val="22"/>
                <w:lang w:val="en-US" w:eastAsia="zh-CN" w:bidi="ar-SA"/>
              </w:rPr>
              <w:t>2.针对本项目拟派项目经理，须具有信息技术项目管理师证书，近三个月缴纳社保证明，得1分，没有不得分。技术人员具有网络规划设计师（高级）证书，近三个月缴纳社保证明、高级通信工程师证书，近三个月缴纳社保证明的得2分。安全生产负责人具有国家注册安全工程师证书，近三个月缴纳社保证明的得1分。(复印件并加盖公章,资质证书原件备查。)</w:t>
            </w:r>
          </w:p>
        </w:tc>
        <w:tc>
          <w:tcPr>
            <w:tcW w:w="768" w:type="dxa"/>
            <w:shd w:val="clear" w:color="auto" w:fill="auto"/>
            <w:vAlign w:val="center"/>
          </w:tcPr>
          <w:p>
            <w:pPr>
              <w:widowControl/>
              <w:jc w:val="center"/>
              <w:rPr>
                <w:rFonts w:hint="default" w:ascii="宋体" w:hAnsi="宋体" w:cs="Tahoma" w:eastAsiaTheme="minorEastAsia"/>
                <w:color w:val="181717" w:themeColor="background2" w:themeShade="1A"/>
                <w:kern w:val="0"/>
                <w:szCs w:val="21"/>
                <w:lang w:val="en-US" w:eastAsia="zh-CN"/>
              </w:rPr>
            </w:pPr>
            <w:r>
              <w:rPr>
                <w:rFonts w:hint="eastAsia" w:ascii="宋体" w:hAnsi="宋体" w:cs="Tahoma"/>
                <w:color w:val="181717" w:themeColor="background2" w:themeShade="1A"/>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02" w:type="dxa"/>
            <w:vMerge w:val="continue"/>
            <w:vAlign w:val="center"/>
          </w:tcPr>
          <w:p>
            <w:pPr>
              <w:widowControl/>
              <w:jc w:val="left"/>
              <w:rPr>
                <w:rFonts w:ascii="宋体" w:hAnsi="宋体" w:cs="Tahoma"/>
                <w:color w:val="181717" w:themeColor="background2" w:themeShade="1A"/>
                <w:kern w:val="0"/>
                <w:szCs w:val="21"/>
              </w:rPr>
            </w:pPr>
          </w:p>
        </w:tc>
        <w:tc>
          <w:tcPr>
            <w:tcW w:w="1149" w:type="dxa"/>
            <w:shd w:val="clear" w:color="auto" w:fill="auto"/>
            <w:vAlign w:val="center"/>
          </w:tcPr>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产品</w:t>
            </w:r>
          </w:p>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性能</w:t>
            </w:r>
          </w:p>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w:t>
            </w:r>
            <w:r>
              <w:rPr>
                <w:rFonts w:hint="eastAsia" w:ascii="宋体" w:hAnsi="宋体" w:cs="Tahoma"/>
                <w:color w:val="181717" w:themeColor="background2" w:themeShade="1A"/>
                <w:kern w:val="0"/>
                <w:szCs w:val="21"/>
                <w:lang w:val="en-US" w:eastAsia="zh-CN"/>
              </w:rPr>
              <w:t>8</w:t>
            </w:r>
            <w:r>
              <w:rPr>
                <w:rFonts w:hint="eastAsia" w:ascii="宋体" w:hAnsi="宋体" w:cs="Tahoma"/>
                <w:color w:val="181717" w:themeColor="background2" w:themeShade="1A"/>
                <w:kern w:val="0"/>
                <w:szCs w:val="21"/>
              </w:rPr>
              <w:t>分）</w:t>
            </w:r>
          </w:p>
        </w:tc>
        <w:tc>
          <w:tcPr>
            <w:tcW w:w="6121" w:type="dxa"/>
            <w:shd w:val="clear" w:color="auto" w:fill="auto"/>
            <w:vAlign w:val="center"/>
          </w:tcPr>
          <w:p>
            <w:pPr>
              <w:numPr>
                <w:ilvl w:val="0"/>
                <w:numId w:val="0"/>
              </w:numPr>
              <w:autoSpaceDE/>
              <w:autoSpaceDN/>
              <w:spacing w:before="0" w:after="0" w:line="240" w:lineRule="auto"/>
              <w:ind w:right="0"/>
              <w:jc w:val="left"/>
              <w:rPr>
                <w:rFonts w:hint="eastAsia" w:asciiTheme="minorHAnsi" w:hAnsiTheme="minorHAnsi" w:eastAsiaTheme="minorEastAsia" w:cstheme="minorBidi"/>
                <w:b w:val="0"/>
                <w:bCs w:val="0"/>
                <w:color w:val="181717" w:themeColor="background2" w:themeShade="1A"/>
                <w:kern w:val="2"/>
                <w:sz w:val="24"/>
                <w:szCs w:val="22"/>
                <w:lang w:val="en-US" w:eastAsia="zh-CN" w:bidi="ar-SA"/>
              </w:rPr>
            </w:pPr>
            <w:r>
              <w:rPr>
                <w:rFonts w:hint="eastAsia" w:asciiTheme="minorHAnsi" w:hAnsiTheme="minorHAnsi" w:eastAsiaTheme="minorEastAsia" w:cstheme="minorBidi"/>
                <w:b w:val="0"/>
                <w:bCs w:val="0"/>
                <w:color w:val="181717" w:themeColor="background2" w:themeShade="1A"/>
                <w:kern w:val="2"/>
                <w:sz w:val="24"/>
                <w:szCs w:val="22"/>
                <w:lang w:val="en-US" w:eastAsia="zh-CN" w:bidi="ar-SA"/>
              </w:rPr>
              <w:t>1.综合布线产品制造商通过IOS 9001质量管理体系认证，具有CE、UL、ROHS认证证书，25年质保,提供产品检测报告复印件并加盖厂家鲜章（原件备查）。提供得5分，不提供不得分。</w:t>
            </w:r>
          </w:p>
          <w:p>
            <w:pPr>
              <w:numPr>
                <w:ilvl w:val="0"/>
                <w:numId w:val="0"/>
              </w:numPr>
              <w:autoSpaceDE/>
              <w:autoSpaceDN/>
              <w:spacing w:before="0" w:after="0" w:line="240" w:lineRule="auto"/>
              <w:ind w:right="0"/>
              <w:jc w:val="left"/>
              <w:rPr>
                <w:rFonts w:hint="eastAsia" w:asciiTheme="minorHAnsi" w:hAnsiTheme="minorHAnsi" w:eastAsiaTheme="minorEastAsia" w:cstheme="minorBidi"/>
                <w:b w:val="0"/>
                <w:bCs w:val="0"/>
                <w:color w:val="181717" w:themeColor="background2" w:themeShade="1A"/>
                <w:kern w:val="2"/>
                <w:sz w:val="24"/>
                <w:szCs w:val="22"/>
                <w:lang w:val="en-US" w:eastAsia="zh-CN" w:bidi="ar-SA"/>
              </w:rPr>
            </w:pPr>
            <w:r>
              <w:rPr>
                <w:rFonts w:hint="eastAsia" w:asciiTheme="minorHAnsi" w:hAnsiTheme="minorHAnsi" w:eastAsiaTheme="minorEastAsia" w:cstheme="minorBidi"/>
                <w:b w:val="0"/>
                <w:bCs w:val="0"/>
                <w:color w:val="181717" w:themeColor="background2" w:themeShade="1A"/>
                <w:kern w:val="2"/>
                <w:sz w:val="24"/>
                <w:szCs w:val="22"/>
                <w:lang w:val="en-US" w:eastAsia="zh-CN" w:bidi="ar-SA"/>
              </w:rPr>
              <w:t>2.提供所投主要产品（综合布线产品、交换机、上网行为管理、摄像机）厂家授权函及售后服务承诺函复印件并加盖厂家鲜章，得3分。（原件备查）。</w:t>
            </w:r>
          </w:p>
        </w:tc>
        <w:tc>
          <w:tcPr>
            <w:tcW w:w="768" w:type="dxa"/>
            <w:shd w:val="clear" w:color="auto" w:fill="auto"/>
            <w:vAlign w:val="center"/>
          </w:tcPr>
          <w:p>
            <w:pPr>
              <w:widowControl/>
              <w:jc w:val="center"/>
              <w:rPr>
                <w:rFonts w:hint="eastAsia"/>
                <w:color w:val="181717" w:themeColor="background2" w:themeShade="1A"/>
              </w:rPr>
            </w:pPr>
          </w:p>
          <w:p>
            <w:pPr>
              <w:widowControl/>
              <w:jc w:val="center"/>
              <w:rPr>
                <w:rFonts w:hint="eastAsia"/>
                <w:color w:val="181717" w:themeColor="background2" w:themeShade="1A"/>
              </w:rPr>
            </w:pPr>
          </w:p>
          <w:p>
            <w:pPr>
              <w:pStyle w:val="2"/>
              <w:ind w:left="0" w:leftChars="0" w:firstLine="200" w:firstLineChars="100"/>
              <w:rPr>
                <w:rFonts w:hint="eastAsia" w:ascii="宋体" w:hAnsi="宋体" w:cs="Tahoma" w:eastAsiaTheme="minorEastAsia"/>
                <w:color w:val="181717" w:themeColor="background2" w:themeShade="1A"/>
                <w:kern w:val="0"/>
                <w:szCs w:val="21"/>
                <w:lang w:eastAsia="zh-CN"/>
              </w:rPr>
            </w:pPr>
            <w:r>
              <w:rPr>
                <w:rFonts w:hint="eastAsia"/>
                <w:color w:val="181717" w:themeColor="background2" w:themeShade="1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202" w:type="dxa"/>
            <w:vMerge w:val="continue"/>
            <w:vAlign w:val="center"/>
          </w:tcPr>
          <w:p>
            <w:pPr>
              <w:widowControl/>
              <w:jc w:val="left"/>
              <w:rPr>
                <w:rFonts w:ascii="宋体" w:hAnsi="宋体" w:cs="Tahoma"/>
                <w:color w:val="181717" w:themeColor="background2" w:themeShade="1A"/>
                <w:kern w:val="0"/>
                <w:szCs w:val="21"/>
              </w:rPr>
            </w:pPr>
          </w:p>
        </w:tc>
        <w:tc>
          <w:tcPr>
            <w:tcW w:w="1149" w:type="dxa"/>
            <w:shd w:val="clear" w:color="auto" w:fill="auto"/>
            <w:vAlign w:val="center"/>
          </w:tcPr>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售后</w:t>
            </w:r>
          </w:p>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服务</w:t>
            </w:r>
          </w:p>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w:t>
            </w:r>
            <w:r>
              <w:rPr>
                <w:rFonts w:hint="eastAsia" w:ascii="宋体" w:hAnsi="宋体" w:cs="Tahoma"/>
                <w:color w:val="181717" w:themeColor="background2" w:themeShade="1A"/>
                <w:kern w:val="0"/>
                <w:szCs w:val="21"/>
                <w:lang w:val="en-US" w:eastAsia="zh-CN"/>
              </w:rPr>
              <w:t>5</w:t>
            </w:r>
            <w:r>
              <w:rPr>
                <w:rFonts w:hint="eastAsia" w:ascii="宋体" w:hAnsi="宋体" w:cs="Tahoma"/>
                <w:color w:val="181717" w:themeColor="background2" w:themeShade="1A"/>
                <w:kern w:val="0"/>
                <w:szCs w:val="21"/>
              </w:rPr>
              <w:t>分）</w:t>
            </w:r>
          </w:p>
        </w:tc>
        <w:tc>
          <w:tcPr>
            <w:tcW w:w="6121" w:type="dxa"/>
            <w:shd w:val="clear" w:color="auto" w:fill="auto"/>
            <w:vAlign w:val="center"/>
          </w:tcPr>
          <w:p>
            <w:pPr>
              <w:numPr>
                <w:ilvl w:val="0"/>
                <w:numId w:val="0"/>
              </w:numPr>
              <w:autoSpaceDE/>
              <w:autoSpaceDN/>
              <w:spacing w:before="0" w:after="0" w:line="240" w:lineRule="auto"/>
              <w:ind w:right="0"/>
              <w:jc w:val="left"/>
              <w:rPr>
                <w:rFonts w:hint="eastAsia" w:ascii="Times New Roman" w:hAnsi="Times New Roman" w:cs="Times New Roman"/>
                <w:color w:val="181717" w:themeColor="background2" w:themeShade="1A"/>
                <w:kern w:val="2"/>
                <w:sz w:val="24"/>
                <w:szCs w:val="24"/>
                <w:highlight w:val="none"/>
                <w:vertAlign w:val="baseline"/>
                <w:lang w:val="en-US" w:eastAsia="zh-CN"/>
              </w:rPr>
            </w:pPr>
            <w:r>
              <w:rPr>
                <w:rFonts w:hint="eastAsia" w:ascii="Times New Roman" w:hAnsi="Times New Roman" w:cs="Times New Roman"/>
                <w:color w:val="181717" w:themeColor="background2" w:themeShade="1A"/>
                <w:kern w:val="2"/>
                <w:sz w:val="24"/>
                <w:szCs w:val="24"/>
                <w:highlight w:val="none"/>
                <w:vertAlign w:val="baseline"/>
                <w:lang w:val="en-US" w:eastAsia="zh-CN"/>
              </w:rPr>
              <w:t>1.为保证本项目的后期维护，投标人需在2小时内有响应，6个小时内上门服务。能满足者并提供承诺书的得3分，不能满足不得分。</w:t>
            </w:r>
          </w:p>
          <w:p>
            <w:pPr>
              <w:numPr>
                <w:ilvl w:val="0"/>
                <w:numId w:val="0"/>
              </w:numPr>
              <w:autoSpaceDE/>
              <w:autoSpaceDN/>
              <w:spacing w:before="0" w:after="0" w:line="240" w:lineRule="auto"/>
              <w:ind w:right="0"/>
              <w:jc w:val="left"/>
              <w:rPr>
                <w:rFonts w:hint="eastAsia" w:ascii="Times New Roman" w:hAnsi="Times New Roman" w:cs="Times New Roman"/>
                <w:color w:val="181717" w:themeColor="background2" w:themeShade="1A"/>
                <w:kern w:val="2"/>
                <w:sz w:val="24"/>
                <w:szCs w:val="24"/>
                <w:highlight w:val="none"/>
                <w:vertAlign w:val="baseline"/>
                <w:lang w:val="en-US" w:eastAsia="zh-CN"/>
              </w:rPr>
            </w:pPr>
            <w:r>
              <w:rPr>
                <w:rFonts w:hint="eastAsia" w:ascii="Times New Roman" w:hAnsi="Times New Roman" w:cs="Times New Roman"/>
                <w:color w:val="181717" w:themeColor="background2" w:themeShade="1A"/>
                <w:kern w:val="2"/>
                <w:sz w:val="24"/>
                <w:szCs w:val="24"/>
                <w:highlight w:val="none"/>
                <w:vertAlign w:val="baseline"/>
                <w:lang w:val="en-US" w:eastAsia="zh-CN"/>
              </w:rPr>
              <w:t>2.</w:t>
            </w:r>
            <w:r>
              <w:rPr>
                <w:rFonts w:hint="eastAsia" w:asciiTheme="minorHAnsi" w:hAnsiTheme="minorHAnsi" w:eastAsiaTheme="minorEastAsia" w:cstheme="minorBidi"/>
                <w:b w:val="0"/>
                <w:bCs w:val="0"/>
                <w:color w:val="181717" w:themeColor="background2" w:themeShade="1A"/>
                <w:kern w:val="2"/>
                <w:sz w:val="24"/>
                <w:szCs w:val="22"/>
                <w:lang w:val="en-US" w:eastAsia="zh-CN" w:bidi="ar-SA"/>
              </w:rPr>
              <w:t>所投主要产品（交换机、上网行为管理、KVM、摄像机）</w:t>
            </w:r>
            <w:r>
              <w:rPr>
                <w:rFonts w:hint="eastAsia" w:ascii="Times New Roman" w:hAnsi="Times New Roman" w:cs="Times New Roman"/>
                <w:color w:val="181717" w:themeColor="background2" w:themeShade="1A"/>
                <w:kern w:val="2"/>
                <w:sz w:val="24"/>
                <w:szCs w:val="24"/>
                <w:highlight w:val="none"/>
                <w:vertAlign w:val="baseline"/>
                <w:lang w:val="en-US" w:eastAsia="zh-CN"/>
              </w:rPr>
              <w:t>满足招标文件保修要求的基础上，免费保修时间每</w:t>
            </w:r>
          </w:p>
          <w:p>
            <w:pPr>
              <w:numPr>
                <w:ilvl w:val="0"/>
                <w:numId w:val="0"/>
              </w:numPr>
              <w:autoSpaceDE/>
              <w:autoSpaceDN/>
              <w:spacing w:before="0" w:after="0" w:line="240" w:lineRule="auto"/>
              <w:ind w:right="0"/>
              <w:jc w:val="left"/>
              <w:rPr>
                <w:rFonts w:hint="default" w:ascii="Times New Roman" w:hAnsi="Times New Roman" w:cs="Times New Roman"/>
                <w:color w:val="181717" w:themeColor="background2" w:themeShade="1A"/>
                <w:kern w:val="2"/>
                <w:sz w:val="24"/>
                <w:szCs w:val="24"/>
                <w:highlight w:val="none"/>
                <w:vertAlign w:val="baseline"/>
                <w:lang w:val="en-US" w:eastAsia="zh-CN" w:bidi="ar-SA"/>
              </w:rPr>
            </w:pPr>
            <w:r>
              <w:rPr>
                <w:rFonts w:hint="eastAsia" w:ascii="Times New Roman" w:hAnsi="Times New Roman" w:cs="Times New Roman"/>
                <w:color w:val="181717" w:themeColor="background2" w:themeShade="1A"/>
                <w:kern w:val="2"/>
                <w:sz w:val="24"/>
                <w:szCs w:val="24"/>
                <w:highlight w:val="none"/>
                <w:vertAlign w:val="baseline"/>
                <w:lang w:val="en-US" w:eastAsia="zh-CN"/>
              </w:rPr>
              <w:t>增加1年加1分，最高得2分。</w:t>
            </w:r>
          </w:p>
        </w:tc>
        <w:tc>
          <w:tcPr>
            <w:tcW w:w="768" w:type="dxa"/>
            <w:shd w:val="clear" w:color="auto" w:fill="auto"/>
            <w:vAlign w:val="center"/>
          </w:tcPr>
          <w:p>
            <w:pPr>
              <w:widowControl/>
              <w:jc w:val="center"/>
              <w:rPr>
                <w:rFonts w:hint="eastAsia" w:ascii="宋体" w:hAnsi="宋体" w:cs="Tahoma" w:eastAsiaTheme="minorEastAsia"/>
                <w:color w:val="181717" w:themeColor="background2" w:themeShade="1A"/>
                <w:kern w:val="0"/>
                <w:szCs w:val="21"/>
                <w:lang w:eastAsia="zh-CN"/>
              </w:rPr>
            </w:pPr>
            <w:r>
              <w:rPr>
                <w:rFonts w:hint="eastAsia" w:ascii="宋体" w:hAnsi="宋体" w:cs="Tahoma"/>
                <w:color w:val="181717" w:themeColor="background2" w:themeShade="1A"/>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351" w:type="dxa"/>
            <w:gridSpan w:val="2"/>
            <w:shd w:val="clear" w:color="auto" w:fill="auto"/>
            <w:vAlign w:val="center"/>
          </w:tcPr>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合计</w:t>
            </w:r>
          </w:p>
        </w:tc>
        <w:tc>
          <w:tcPr>
            <w:tcW w:w="6121" w:type="dxa"/>
            <w:shd w:val="clear" w:color="auto" w:fill="auto"/>
            <w:vAlign w:val="center"/>
          </w:tcPr>
          <w:p>
            <w:pPr>
              <w:widowControl/>
              <w:jc w:val="left"/>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　</w:t>
            </w:r>
          </w:p>
        </w:tc>
        <w:tc>
          <w:tcPr>
            <w:tcW w:w="768" w:type="dxa"/>
            <w:shd w:val="clear" w:color="auto" w:fill="auto"/>
            <w:vAlign w:val="center"/>
          </w:tcPr>
          <w:p>
            <w:pPr>
              <w:widowControl/>
              <w:jc w:val="center"/>
              <w:rPr>
                <w:rFonts w:ascii="宋体" w:hAnsi="宋体" w:cs="Tahoma"/>
                <w:color w:val="181717" w:themeColor="background2" w:themeShade="1A"/>
                <w:kern w:val="0"/>
                <w:szCs w:val="21"/>
              </w:rPr>
            </w:pPr>
            <w:r>
              <w:rPr>
                <w:rFonts w:hint="eastAsia" w:ascii="宋体" w:hAnsi="宋体" w:cs="Tahoma"/>
                <w:color w:val="181717" w:themeColor="background2" w:themeShade="1A"/>
                <w:kern w:val="0"/>
                <w:szCs w:val="21"/>
              </w:rPr>
              <w:t>100</w:t>
            </w:r>
          </w:p>
        </w:tc>
      </w:tr>
    </w:tbl>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left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pStyle w:val="2"/>
        <w:numPr>
          <w:ilvl w:val="0"/>
          <w:numId w:val="0"/>
        </w:numPr>
        <w:spacing w:line="360" w:lineRule="auto"/>
        <w:ind w:leftChars="0"/>
        <w:jc w:val="center"/>
        <w:rPr>
          <w:rFonts w:hint="eastAsia" w:asciiTheme="minorEastAsia" w:hAnsiTheme="minorEastAsia" w:eastAsiaTheme="minorEastAsia" w:cstheme="minorEastAsia"/>
          <w:b/>
          <w:bCs/>
          <w:sz w:val="36"/>
          <w:szCs w:val="36"/>
          <w:lang w:val="en-US" w:eastAsia="zh-CN"/>
        </w:rPr>
      </w:pPr>
    </w:p>
    <w:p>
      <w:pPr>
        <w:pStyle w:val="2"/>
        <w:numPr>
          <w:ilvl w:val="0"/>
          <w:numId w:val="0"/>
        </w:numPr>
        <w:spacing w:line="360" w:lineRule="auto"/>
        <w:ind w:leftChars="0"/>
        <w:jc w:val="center"/>
        <w:rPr>
          <w:rFonts w:hint="eastAsia" w:asciiTheme="minorEastAsia" w:hAnsiTheme="minorEastAsia" w:eastAsiaTheme="minorEastAsia" w:cstheme="minorEastAsia"/>
          <w:b/>
          <w:bCs/>
          <w:sz w:val="36"/>
          <w:szCs w:val="36"/>
          <w:lang w:val="en-US" w:eastAsia="zh-CN"/>
        </w:rPr>
      </w:pPr>
    </w:p>
    <w:p>
      <w:pPr>
        <w:pStyle w:val="2"/>
        <w:numPr>
          <w:ilvl w:val="0"/>
          <w:numId w:val="0"/>
        </w:numPr>
        <w:spacing w:line="360" w:lineRule="auto"/>
        <w:ind w:leftChars="0"/>
        <w:jc w:val="center"/>
        <w:rPr>
          <w:rFonts w:hint="eastAsia" w:asciiTheme="minorEastAsia" w:hAnsiTheme="minorEastAsia" w:eastAsiaTheme="minorEastAsia" w:cstheme="minorEastAsia"/>
          <w:b/>
          <w:bCs/>
          <w:sz w:val="36"/>
          <w:szCs w:val="36"/>
          <w:lang w:val="en-US" w:eastAsia="zh-CN"/>
        </w:rPr>
      </w:pPr>
    </w:p>
    <w:p>
      <w:pPr>
        <w:pStyle w:val="2"/>
        <w:numPr>
          <w:ilvl w:val="0"/>
          <w:numId w:val="0"/>
        </w:numPr>
        <w:spacing w:line="360" w:lineRule="auto"/>
        <w:ind w:leftChars="0"/>
        <w:jc w:val="center"/>
        <w:rPr>
          <w:rFonts w:hint="eastAsia" w:asciiTheme="minorEastAsia" w:hAnsiTheme="minorEastAsia" w:eastAsiaTheme="minorEastAsia" w:cstheme="minorEastAsia"/>
          <w:b/>
          <w:bCs/>
          <w:sz w:val="36"/>
          <w:szCs w:val="36"/>
          <w:lang w:val="en-US" w:eastAsia="zh-CN"/>
        </w:rPr>
      </w:pPr>
    </w:p>
    <w:p>
      <w:pPr>
        <w:pStyle w:val="2"/>
        <w:numPr>
          <w:ilvl w:val="0"/>
          <w:numId w:val="0"/>
        </w:numPr>
        <w:spacing w:line="360" w:lineRule="auto"/>
        <w:ind w:leftChars="0"/>
        <w:jc w:val="center"/>
        <w:rPr>
          <w:rFonts w:hint="eastAsia" w:asciiTheme="minorEastAsia" w:hAnsiTheme="minorEastAsia" w:eastAsiaTheme="minorEastAsia" w:cstheme="minorEastAsia"/>
          <w:b/>
          <w:bCs/>
          <w:sz w:val="36"/>
          <w:szCs w:val="36"/>
          <w:lang w:val="en-US" w:eastAsia="zh-CN"/>
        </w:rPr>
      </w:pPr>
    </w:p>
    <w:p>
      <w:pPr>
        <w:pStyle w:val="2"/>
        <w:numPr>
          <w:ilvl w:val="0"/>
          <w:numId w:val="0"/>
        </w:numPr>
        <w:spacing w:line="360" w:lineRule="auto"/>
        <w:ind w:leftChars="0"/>
        <w:jc w:val="center"/>
        <w:rPr>
          <w:rFonts w:hint="eastAsia" w:asciiTheme="minorEastAsia" w:hAnsiTheme="minorEastAsia" w:eastAsiaTheme="minorEastAsia" w:cstheme="minorEastAsia"/>
          <w:b/>
          <w:bCs/>
          <w:sz w:val="36"/>
          <w:szCs w:val="36"/>
          <w:lang w:val="en-US" w:eastAsia="zh-CN"/>
        </w:rPr>
      </w:pPr>
    </w:p>
    <w:p>
      <w:pPr>
        <w:pStyle w:val="2"/>
        <w:numPr>
          <w:ilvl w:val="0"/>
          <w:numId w:val="0"/>
        </w:numPr>
        <w:spacing w:line="360" w:lineRule="auto"/>
        <w:ind w:leftChars="0"/>
        <w:jc w:val="center"/>
        <w:rPr>
          <w:rFonts w:hint="eastAsia" w:asciiTheme="minorEastAsia" w:hAnsiTheme="minorEastAsia" w:eastAsiaTheme="minorEastAsia" w:cstheme="minorEastAsia"/>
          <w:b/>
          <w:bCs/>
          <w:sz w:val="36"/>
          <w:szCs w:val="36"/>
          <w:lang w:val="en-US" w:eastAsia="zh-CN"/>
        </w:rPr>
      </w:pPr>
    </w:p>
    <w:p>
      <w:pPr>
        <w:pStyle w:val="2"/>
        <w:numPr>
          <w:ilvl w:val="0"/>
          <w:numId w:val="0"/>
        </w:numPr>
        <w:spacing w:line="360" w:lineRule="auto"/>
        <w:ind w:leftChars="0"/>
        <w:jc w:val="center"/>
        <w:rPr>
          <w:rFonts w:hint="eastAsia" w:asciiTheme="minorEastAsia" w:hAnsiTheme="minorEastAsia" w:eastAsiaTheme="minorEastAsia" w:cstheme="minorEastAsia"/>
          <w:b/>
          <w:bCs/>
          <w:sz w:val="36"/>
          <w:szCs w:val="36"/>
          <w:lang w:val="en-US" w:eastAsia="zh-CN"/>
        </w:rPr>
      </w:pPr>
    </w:p>
    <w:p>
      <w:pPr>
        <w:pStyle w:val="2"/>
        <w:numPr>
          <w:ilvl w:val="0"/>
          <w:numId w:val="0"/>
        </w:numPr>
        <w:spacing w:line="360" w:lineRule="auto"/>
        <w:ind w:leftChars="0"/>
        <w:jc w:val="center"/>
        <w:outlineLvl w:val="0"/>
        <w:rPr>
          <w:rFonts w:hint="eastAsia" w:asciiTheme="minorEastAsia" w:hAnsiTheme="minorEastAsia" w:eastAsiaTheme="minorEastAsia" w:cstheme="minorEastAsia"/>
          <w:b/>
          <w:bCs/>
          <w:sz w:val="36"/>
          <w:szCs w:val="36"/>
          <w:lang w:val="en-US" w:eastAsia="zh-CN"/>
        </w:rPr>
      </w:pPr>
      <w:bookmarkStart w:id="35" w:name="_Toc8573"/>
      <w:r>
        <w:rPr>
          <w:rFonts w:hint="eastAsia" w:asciiTheme="minorEastAsia" w:hAnsiTheme="minorEastAsia" w:eastAsiaTheme="minorEastAsia" w:cstheme="minorEastAsia"/>
          <w:b/>
          <w:bCs/>
          <w:sz w:val="36"/>
          <w:szCs w:val="36"/>
          <w:lang w:val="en-US" w:eastAsia="zh-CN"/>
        </w:rPr>
        <w:t>第六部分 投标文件格式</w:t>
      </w:r>
      <w:bookmarkEnd w:id="35"/>
    </w:p>
    <w:p>
      <w:pPr>
        <w:pStyle w:val="2"/>
        <w:numPr>
          <w:ilvl w:val="0"/>
          <w:numId w:val="0"/>
        </w:numPr>
        <w:spacing w:line="360" w:lineRule="auto"/>
        <w:ind w:leftChars="0"/>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br w:type="page"/>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在此提交的《投标文件》，正本一份，副本叁份，投标函信封一份，开标信封（含电子文本）一份。包括如下等内容：</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一、投标函；</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二、法定代表人身份证明；</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三、法定代表人授权委托书；</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四、投标保证金递交凭证（复印件）；</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五、报价一览表；</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六、报价明细表（后附造价文件）；</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七、商务、技术偏离表；</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八、供应商一般情况表；</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九、供应商类似项目业绩一览表；</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十、供应商本项目管理、技术、服务人员情况表；</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十一、其他商务及技术证明材料；</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十二、无骗取入围和严重违约及重大质量问题声明；</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十三、质量保证承诺；</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十四、售后服务保证措施承诺；</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十五、未被列入失信记录书面声明</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十六、虚假应标承担责任声明；</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十七、中小企业声明函；</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十八、小微企业价格评审优惠申请及承诺函；</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十九、附件</w:t>
      </w:r>
    </w:p>
    <w:p>
      <w:pPr>
        <w:pStyle w:val="2"/>
        <w:numPr>
          <w:ilvl w:val="0"/>
          <w:numId w:val="0"/>
        </w:numPr>
        <w:spacing w:line="360" w:lineRule="auto"/>
        <w:ind w:leftChars="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br w:type="page"/>
      </w:r>
    </w:p>
    <w:p>
      <w:pPr>
        <w:pStyle w:val="2"/>
        <w:numPr>
          <w:ilvl w:val="0"/>
          <w:numId w:val="0"/>
        </w:numPr>
        <w:spacing w:line="360" w:lineRule="auto"/>
        <w:ind w:leftChars="0"/>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一、投标函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致：甘肃国泰国际招标有限公司</w:t>
      </w:r>
      <w:r>
        <w:rPr>
          <w:rFonts w:hint="eastAsia" w:asciiTheme="minorEastAsia" w:hAnsiTheme="minorEastAsia" w:eastAsiaTheme="minorEastAsia" w:cstheme="minorEastAsia"/>
          <w:b w:val="0"/>
          <w:bCs w:val="0"/>
          <w:sz w:val="24"/>
          <w:szCs w:val="24"/>
          <w:lang w:val="en-US" w:eastAsia="zh-CN"/>
        </w:rPr>
        <w:tab/>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我方确认收到贵方提供的项目编号：</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《招标文件》的全部内容，我方：</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lang w:val="en-US" w:eastAsia="zh-CN"/>
        </w:rPr>
        <w:tab/>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（供应商名称）作为供应商正式授权</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（授权代表全名、职务）代表我方进行有关本项目招标的一切事宜。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我方已完全明白《招标文件》的所有条款要求，并重申以下几点：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（一）我方决定参加：项目编号为</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的投标；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（二）本《投标文件》的有效期在投标截止日后 60 天有效，如中标，有效期将延至合同终止日为止；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（三）我方已详细研究了《招标文件》的所有内容包括正文（如果有）和所有已提供的参考资料以及有关附件并完全明白，我方放弃在此方面提出含糊意见或误解的一切权力。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（四）我方明白并愿意在规定的开标时间和日期之后、投标有效期之内撤回投标，则投标保证金将被贵方没收。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right="-273" w:rightChars="-124"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（五）我方同意按照贵方可能提出的要求提供与投标有关的任何数据或信息。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（六）我方理解贵方不一定接受最低标价或任何贵方可能收到的投标。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（七）我方如果中标，将保证履行招标文件及其补充文件中的全部责任和义务，保质、保量、按期完成合同中的全部任务。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（八）如我方中标，我方将在收到中标通知书之前，按《招标文件》中规定的标准一次性向甘肃国泰国际招标有限公司交纳足额的代理服务费。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（九）与本招标有关的函件请发往下列地址：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地址：</w:t>
      </w:r>
      <w:r>
        <w:rPr>
          <w:rFonts w:hint="eastAsia" w:asciiTheme="minorEastAsia" w:hAnsiTheme="minorEastAsia" w:eastAsiaTheme="minorEastAsia" w:cstheme="minorEastAsia"/>
          <w:b w:val="0"/>
          <w:bCs w:val="0"/>
          <w:sz w:val="24"/>
          <w:szCs w:val="24"/>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邮编：</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 xml:space="preserve">  电    话：</w:t>
      </w:r>
      <w:r>
        <w:rPr>
          <w:rFonts w:hint="eastAsia" w:asciiTheme="minorEastAsia" w:hAnsiTheme="minorEastAsia" w:eastAsiaTheme="minorEastAsia" w:cstheme="minorEastAsia"/>
          <w:b w:val="0"/>
          <w:bCs w:val="0"/>
          <w:sz w:val="24"/>
          <w:szCs w:val="24"/>
          <w:u w:val="single"/>
          <w:lang w:val="en-US" w:eastAsia="zh-CN"/>
        </w:rPr>
        <w:t xml:space="preserve">                  </w:t>
      </w:r>
    </w:p>
    <w:p>
      <w:pPr>
        <w:pStyle w:val="2"/>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u w:val="single"/>
          <w:lang w:val="en-US" w:eastAsia="zh-CN"/>
        </w:rPr>
      </w:pPr>
      <w:r>
        <w:rPr>
          <w:rFonts w:hint="eastAsia" w:asciiTheme="minorEastAsia" w:hAnsiTheme="minorEastAsia" w:eastAsiaTheme="minorEastAsia" w:cstheme="minorEastAsia"/>
          <w:b w:val="0"/>
          <w:bCs w:val="0"/>
          <w:sz w:val="24"/>
          <w:szCs w:val="24"/>
          <w:lang w:val="en-US" w:eastAsia="zh-CN"/>
        </w:rPr>
        <w:t>传真：</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 xml:space="preserve">  电子函件：</w:t>
      </w:r>
      <w:r>
        <w:rPr>
          <w:rFonts w:hint="eastAsia" w:asciiTheme="minorEastAsia" w:hAnsiTheme="minorEastAsia" w:eastAsiaTheme="minorEastAsia" w:cstheme="minorEastAsia"/>
          <w:b w:val="0"/>
          <w:bCs w:val="0"/>
          <w:sz w:val="24"/>
          <w:szCs w:val="24"/>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u w:val="single"/>
          <w:lang w:val="en-US" w:eastAsia="zh-CN"/>
        </w:rPr>
      </w:pPr>
      <w:r>
        <w:rPr>
          <w:rFonts w:hint="eastAsia" w:asciiTheme="minorEastAsia" w:hAnsiTheme="minorEastAsia" w:eastAsiaTheme="minorEastAsia" w:cstheme="minorEastAsia"/>
          <w:b w:val="0"/>
          <w:bCs w:val="0"/>
          <w:sz w:val="24"/>
          <w:szCs w:val="24"/>
          <w:lang w:val="en-US" w:eastAsia="zh-CN"/>
        </w:rPr>
        <w:t>供应商代表签字</w:t>
      </w:r>
      <w:r>
        <w:rPr>
          <w:rFonts w:hint="eastAsia" w:asciiTheme="minorEastAsia" w:hAnsiTheme="minorEastAsia" w:eastAsiaTheme="minorEastAsia" w:cstheme="minorEastAsia"/>
          <w:b w:val="0"/>
          <w:bCs w:val="0"/>
          <w:sz w:val="24"/>
          <w:szCs w:val="24"/>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供应商名称：</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 xml:space="preserve"> （盖章）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u w:val="single"/>
          <w:lang w:val="en-US" w:eastAsia="zh-CN"/>
        </w:rPr>
      </w:pPr>
      <w:r>
        <w:rPr>
          <w:rFonts w:hint="eastAsia" w:asciiTheme="minorEastAsia" w:hAnsiTheme="minorEastAsia" w:eastAsiaTheme="minorEastAsia" w:cstheme="minorEastAsia"/>
          <w:b w:val="0"/>
          <w:bCs w:val="0"/>
          <w:sz w:val="24"/>
          <w:szCs w:val="24"/>
          <w:lang w:val="en-US" w:eastAsia="zh-CN"/>
        </w:rPr>
        <w:t>日期：</w:t>
      </w:r>
      <w:r>
        <w:rPr>
          <w:rFonts w:hint="eastAsia" w:asciiTheme="minorEastAsia" w:hAnsiTheme="minorEastAsia" w:eastAsiaTheme="minorEastAsia" w:cstheme="minorEastAsia"/>
          <w:b w:val="0"/>
          <w:bCs w:val="0"/>
          <w:sz w:val="24"/>
          <w:szCs w:val="24"/>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firstLineChars="200"/>
        <w:jc w:val="both"/>
        <w:textAlignment w:val="auto"/>
        <w:rPr>
          <w:rFonts w:hint="eastAsia" w:asciiTheme="minorEastAsia" w:hAnsiTheme="minorEastAsia" w:eastAsiaTheme="minorEastAsia" w:cstheme="minorEastAsia"/>
          <w:b w:val="0"/>
          <w:bCs w:val="0"/>
          <w:sz w:val="24"/>
          <w:szCs w:val="24"/>
          <w:u w:val="single"/>
          <w:lang w:val="en-US" w:eastAsia="zh-CN"/>
        </w:rPr>
      </w:pPr>
      <w:r>
        <w:rPr>
          <w:rFonts w:hint="eastAsia" w:asciiTheme="minorEastAsia" w:hAnsiTheme="minorEastAsia" w:eastAsiaTheme="minorEastAsia" w:cstheme="minorEastAsia"/>
          <w:b w:val="0"/>
          <w:bCs w:val="0"/>
          <w:sz w:val="24"/>
          <w:szCs w:val="24"/>
          <w:u w:val="single"/>
          <w:lang w:val="en-US" w:eastAsia="zh-CN"/>
        </w:rPr>
        <w:br w:type="page"/>
      </w:r>
    </w:p>
    <w:p>
      <w:pPr>
        <w:pStyle w:val="2"/>
        <w:keepNext w:val="0"/>
        <w:keepLines w:val="0"/>
        <w:pageBreakBefore w:val="0"/>
        <w:widowControl w:val="0"/>
        <w:numPr>
          <w:ilvl w:val="0"/>
          <w:numId w:val="2"/>
        </w:numPr>
        <w:kinsoku/>
        <w:wordWrap/>
        <w:overflowPunct/>
        <w:topLinePunct w:val="0"/>
        <w:autoSpaceDE/>
        <w:autoSpaceDN/>
        <w:bidi w:val="0"/>
        <w:adjustRightInd/>
        <w:snapToGrid/>
        <w:spacing w:line="312" w:lineRule="auto"/>
        <w:ind w:left="0" w:leftChars="0" w:firstLine="0" w:firstLineChars="0"/>
        <w:jc w:val="center"/>
        <w:textAlignment w:val="auto"/>
        <w:rPr>
          <w:rFonts w:hint="eastAsia" w:asciiTheme="minorEastAsia" w:hAnsiTheme="minorEastAsia" w:eastAsiaTheme="minorEastAsia" w:cstheme="minorEastAsia"/>
          <w:b/>
          <w:bCs/>
          <w:sz w:val="32"/>
          <w:szCs w:val="32"/>
          <w:u w:val="none"/>
          <w:lang w:val="en-US" w:eastAsia="zh-CN"/>
        </w:rPr>
      </w:pPr>
      <w:r>
        <w:rPr>
          <w:rFonts w:hint="eastAsia" w:asciiTheme="minorEastAsia" w:hAnsiTheme="minorEastAsia" w:eastAsiaTheme="minorEastAsia" w:cstheme="minorEastAsia"/>
          <w:b/>
          <w:bCs/>
          <w:sz w:val="32"/>
          <w:szCs w:val="32"/>
          <w:u w:val="none"/>
          <w:lang w:val="en-US" w:eastAsia="zh-CN"/>
        </w:rPr>
        <w:t>法定代表人身份证明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both"/>
        <w:textAlignment w:val="auto"/>
        <w:rPr>
          <w:rFonts w:hint="eastAsia" w:asciiTheme="minorEastAsia" w:hAnsiTheme="minorEastAsia" w:eastAsiaTheme="minorEastAsia" w:cstheme="minorEastAsia"/>
          <w:b w:val="0"/>
          <w:bCs w:val="0"/>
          <w:sz w:val="24"/>
          <w:szCs w:val="24"/>
          <w:u w:val="single"/>
          <w:lang w:val="en-US" w:eastAsia="zh-CN"/>
        </w:rPr>
      </w:pPr>
      <w:r>
        <w:rPr>
          <w:rFonts w:hint="eastAsia" w:asciiTheme="minorEastAsia" w:hAnsiTheme="minorEastAsia" w:eastAsiaTheme="minorEastAsia" w:cstheme="minorEastAsia"/>
          <w:b w:val="0"/>
          <w:bCs w:val="0"/>
          <w:sz w:val="24"/>
          <w:szCs w:val="24"/>
          <w:u w:val="none"/>
          <w:lang w:val="en-US" w:eastAsia="zh-CN"/>
        </w:rPr>
        <w:t>供应商名称：</w:t>
      </w:r>
      <w:r>
        <w:rPr>
          <w:rFonts w:hint="eastAsia" w:asciiTheme="minorEastAsia" w:hAnsiTheme="minorEastAsia" w:eastAsiaTheme="minorEastAsia" w:cstheme="minorEastAsia"/>
          <w:b w:val="0"/>
          <w:bCs w:val="0"/>
          <w:sz w:val="24"/>
          <w:szCs w:val="24"/>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val="en-US" w:eastAsia="zh-CN"/>
        </w:rPr>
        <w:t>单位性质：</w:t>
      </w:r>
      <w:r>
        <w:rPr>
          <w:rFonts w:hint="eastAsia" w:asciiTheme="minorEastAsia" w:hAnsiTheme="minorEastAsia" w:eastAsiaTheme="minorEastAsia" w:cstheme="minorEastAsia"/>
          <w:b w:val="0"/>
          <w:bCs w:val="0"/>
          <w:sz w:val="24"/>
          <w:szCs w:val="24"/>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val="en-US" w:eastAsia="zh-CN"/>
        </w:rPr>
        <w:t>地址：</w:t>
      </w:r>
      <w:r>
        <w:rPr>
          <w:rFonts w:hint="eastAsia" w:asciiTheme="minorEastAsia" w:hAnsiTheme="minorEastAsia" w:eastAsiaTheme="minorEastAsia" w:cstheme="minorEastAsia"/>
          <w:b w:val="0"/>
          <w:bCs w:val="0"/>
          <w:sz w:val="24"/>
          <w:szCs w:val="24"/>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val="en-US" w:eastAsia="zh-CN"/>
        </w:rPr>
        <w:t>成立时间：</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年</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月</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both"/>
        <w:textAlignment w:val="auto"/>
        <w:rPr>
          <w:rFonts w:hint="eastAsia" w:asciiTheme="minorEastAsia" w:hAnsiTheme="minorEastAsia" w:eastAsiaTheme="minorEastAsia" w:cstheme="minorEastAsia"/>
          <w:b w:val="0"/>
          <w:bCs w:val="0"/>
          <w:sz w:val="24"/>
          <w:szCs w:val="24"/>
          <w:u w:val="single"/>
          <w:lang w:val="en-US" w:eastAsia="zh-CN"/>
        </w:rPr>
      </w:pPr>
      <w:r>
        <w:rPr>
          <w:rFonts w:hint="eastAsia" w:asciiTheme="minorEastAsia" w:hAnsiTheme="minorEastAsia" w:eastAsiaTheme="minorEastAsia" w:cstheme="minorEastAsia"/>
          <w:b w:val="0"/>
          <w:bCs w:val="0"/>
          <w:sz w:val="24"/>
          <w:szCs w:val="24"/>
          <w:u w:val="none"/>
          <w:lang w:val="en-US" w:eastAsia="zh-CN"/>
        </w:rPr>
        <w:t>经营期限：</w:t>
      </w:r>
      <w:r>
        <w:rPr>
          <w:rFonts w:hint="eastAsia" w:asciiTheme="minorEastAsia" w:hAnsiTheme="minorEastAsia" w:eastAsiaTheme="minorEastAsia" w:cstheme="minorEastAsia"/>
          <w:b w:val="0"/>
          <w:bCs w:val="0"/>
          <w:sz w:val="24"/>
          <w:szCs w:val="24"/>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both"/>
        <w:textAlignment w:val="auto"/>
        <w:rPr>
          <w:rFonts w:hint="eastAsia" w:asciiTheme="minorEastAsia" w:hAnsiTheme="minorEastAsia" w:eastAsiaTheme="minorEastAsia" w:cstheme="minorEastAsia"/>
          <w:b w:val="0"/>
          <w:bCs w:val="0"/>
          <w:sz w:val="24"/>
          <w:szCs w:val="24"/>
          <w:u w:val="single"/>
          <w:lang w:val="en-US" w:eastAsia="zh-CN"/>
        </w:rPr>
      </w:pPr>
      <w:r>
        <w:rPr>
          <w:rFonts w:hint="eastAsia" w:asciiTheme="minorEastAsia" w:hAnsiTheme="minorEastAsia" w:eastAsiaTheme="minorEastAsia" w:cstheme="minorEastAsia"/>
          <w:b w:val="0"/>
          <w:bCs w:val="0"/>
          <w:sz w:val="24"/>
          <w:szCs w:val="24"/>
          <w:u w:val="none"/>
          <w:lang w:val="en-US" w:eastAsia="zh-CN"/>
        </w:rPr>
        <w:t>姓名：</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性别：</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 xml:space="preserve"> 年龄：</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 xml:space="preserve"> 职务：</w:t>
      </w:r>
      <w:r>
        <w:rPr>
          <w:rFonts w:hint="eastAsia" w:asciiTheme="minorEastAsia" w:hAnsiTheme="minorEastAsia" w:eastAsiaTheme="minorEastAsia" w:cstheme="minorEastAsia"/>
          <w:b w:val="0"/>
          <w:bCs w:val="0"/>
          <w:sz w:val="24"/>
          <w:szCs w:val="24"/>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both"/>
        <w:textAlignment w:val="auto"/>
        <w:rPr>
          <w:rFonts w:hint="eastAsia" w:asciiTheme="minorEastAsia" w:hAnsiTheme="minorEastAsia" w:eastAsiaTheme="minorEastAsia" w:cstheme="minorEastAsia"/>
          <w:b w:val="0"/>
          <w:bCs w:val="0"/>
          <w:sz w:val="24"/>
          <w:szCs w:val="24"/>
          <w:u w:val="single"/>
          <w:lang w:val="en-US" w:eastAsia="zh-CN"/>
        </w:rPr>
      </w:pPr>
      <w:r>
        <w:rPr>
          <w:rFonts w:hint="eastAsia" w:asciiTheme="minorEastAsia" w:hAnsiTheme="minorEastAsia" w:eastAsiaTheme="minorEastAsia" w:cstheme="minorEastAsia"/>
          <w:b w:val="0"/>
          <w:bCs w:val="0"/>
          <w:sz w:val="24"/>
          <w:szCs w:val="24"/>
          <w:u w:val="none"/>
          <w:lang w:val="en-US" w:eastAsia="zh-CN"/>
        </w:rPr>
        <w:t>身份证号码：</w:t>
      </w:r>
      <w:r>
        <w:rPr>
          <w:rFonts w:hint="eastAsia" w:asciiTheme="minorEastAsia" w:hAnsiTheme="minorEastAsia" w:eastAsiaTheme="minorEastAsia" w:cstheme="minorEastAsia"/>
          <w:b w:val="0"/>
          <w:bCs w:val="0"/>
          <w:sz w:val="24"/>
          <w:szCs w:val="24"/>
          <w:u w:val="singl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val="en-US" w:eastAsia="zh-CN"/>
        </w:rPr>
        <w:t xml:space="preserve">系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（供应商名称） 的法定代表人。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val="en-US" w:eastAsia="zh-CN"/>
        </w:rPr>
        <w:t>特此证明。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val="en-US" w:eastAsia="zh-CN"/>
        </w:rPr>
        <w:t>供应商：</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 xml:space="preserve"> （盖单位章）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48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val="en-US" w:eastAsia="zh-CN"/>
        </w:rPr>
        <w:t>年</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月</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heme="minorEastAsia" w:hAnsiTheme="minorEastAsia" w:eastAsiaTheme="minorEastAsia" w:cstheme="minorEastAsia"/>
          <w:b w:val="0"/>
          <w:bCs w:val="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pPr>
      <w:r>
        <mc:AlternateContent>
          <mc:Choice Requires="wps">
            <w:drawing>
              <wp:anchor distT="0" distB="0" distL="114300" distR="114300" simplePos="0" relativeHeight="251714560" behindDoc="0" locked="0" layoutInCell="1" allowOverlap="1">
                <wp:simplePos x="0" y="0"/>
                <wp:positionH relativeFrom="page">
                  <wp:posOffset>3875405</wp:posOffset>
                </wp:positionH>
                <wp:positionV relativeFrom="paragraph">
                  <wp:posOffset>233045</wp:posOffset>
                </wp:positionV>
                <wp:extent cx="3126740" cy="2235200"/>
                <wp:effectExtent l="0" t="0" r="12700" b="5080"/>
                <wp:wrapNone/>
                <wp:docPr id="11" name="任意多边形 5"/>
                <wp:cNvGraphicFramePr/>
                <a:graphic xmlns:a="http://schemas.openxmlformats.org/drawingml/2006/main">
                  <a:graphicData uri="http://schemas.microsoft.com/office/word/2010/wordprocessingShape">
                    <wps:wsp>
                      <wps:cNvSpPr/>
                      <wps:spPr>
                        <a:xfrm>
                          <a:off x="0" y="0"/>
                          <a:ext cx="3126740" cy="2235200"/>
                        </a:xfrm>
                        <a:custGeom>
                          <a:avLst/>
                          <a:gdLst/>
                          <a:ahLst/>
                          <a:cxnLst/>
                          <a:pathLst>
                            <a:path w="4924" h="3520">
                              <a:moveTo>
                                <a:pt x="328" y="20"/>
                              </a:moveTo>
                              <a:lnTo>
                                <a:pt x="260" y="20"/>
                              </a:lnTo>
                              <a:lnTo>
                                <a:pt x="278" y="0"/>
                              </a:lnTo>
                              <a:lnTo>
                                <a:pt x="338" y="0"/>
                              </a:lnTo>
                              <a:lnTo>
                                <a:pt x="328" y="20"/>
                              </a:lnTo>
                              <a:close/>
                              <a:moveTo>
                                <a:pt x="4664" y="20"/>
                              </a:moveTo>
                              <a:lnTo>
                                <a:pt x="4595" y="20"/>
                              </a:lnTo>
                              <a:lnTo>
                                <a:pt x="4585" y="0"/>
                              </a:lnTo>
                              <a:lnTo>
                                <a:pt x="4645" y="0"/>
                              </a:lnTo>
                              <a:lnTo>
                                <a:pt x="4664" y="20"/>
                              </a:lnTo>
                              <a:close/>
                              <a:moveTo>
                                <a:pt x="247" y="40"/>
                              </a:moveTo>
                              <a:lnTo>
                                <a:pt x="207" y="40"/>
                              </a:lnTo>
                              <a:lnTo>
                                <a:pt x="224" y="20"/>
                              </a:lnTo>
                              <a:lnTo>
                                <a:pt x="265" y="20"/>
                              </a:lnTo>
                              <a:lnTo>
                                <a:pt x="247" y="40"/>
                              </a:lnTo>
                              <a:close/>
                              <a:moveTo>
                                <a:pt x="4716" y="40"/>
                              </a:moveTo>
                              <a:lnTo>
                                <a:pt x="4676" y="40"/>
                              </a:lnTo>
                              <a:lnTo>
                                <a:pt x="4658" y="20"/>
                              </a:lnTo>
                              <a:lnTo>
                                <a:pt x="4699" y="20"/>
                              </a:lnTo>
                              <a:lnTo>
                                <a:pt x="4716" y="40"/>
                              </a:lnTo>
                              <a:close/>
                              <a:moveTo>
                                <a:pt x="214" y="60"/>
                              </a:moveTo>
                              <a:lnTo>
                                <a:pt x="174" y="60"/>
                              </a:lnTo>
                              <a:lnTo>
                                <a:pt x="191" y="40"/>
                              </a:lnTo>
                              <a:lnTo>
                                <a:pt x="231" y="40"/>
                              </a:lnTo>
                              <a:lnTo>
                                <a:pt x="214" y="60"/>
                              </a:lnTo>
                              <a:close/>
                              <a:moveTo>
                                <a:pt x="4749" y="60"/>
                              </a:moveTo>
                              <a:lnTo>
                                <a:pt x="4709" y="60"/>
                              </a:lnTo>
                              <a:lnTo>
                                <a:pt x="4692" y="40"/>
                              </a:lnTo>
                              <a:lnTo>
                                <a:pt x="4733" y="40"/>
                              </a:lnTo>
                              <a:lnTo>
                                <a:pt x="4749" y="60"/>
                              </a:lnTo>
                              <a:close/>
                              <a:moveTo>
                                <a:pt x="153" y="100"/>
                              </a:moveTo>
                              <a:lnTo>
                                <a:pt x="130" y="100"/>
                              </a:lnTo>
                              <a:lnTo>
                                <a:pt x="144" y="80"/>
                              </a:lnTo>
                              <a:lnTo>
                                <a:pt x="159" y="60"/>
                              </a:lnTo>
                              <a:lnTo>
                                <a:pt x="198" y="60"/>
                              </a:lnTo>
                              <a:lnTo>
                                <a:pt x="183" y="80"/>
                              </a:lnTo>
                              <a:lnTo>
                                <a:pt x="168" y="80"/>
                              </a:lnTo>
                              <a:lnTo>
                                <a:pt x="153" y="100"/>
                              </a:lnTo>
                              <a:close/>
                              <a:moveTo>
                                <a:pt x="4794" y="100"/>
                              </a:moveTo>
                              <a:lnTo>
                                <a:pt x="4770" y="100"/>
                              </a:lnTo>
                              <a:lnTo>
                                <a:pt x="4755" y="80"/>
                              </a:lnTo>
                              <a:lnTo>
                                <a:pt x="4740" y="80"/>
                              </a:lnTo>
                              <a:lnTo>
                                <a:pt x="4725" y="60"/>
                              </a:lnTo>
                              <a:lnTo>
                                <a:pt x="4764" y="60"/>
                              </a:lnTo>
                              <a:lnTo>
                                <a:pt x="4779" y="80"/>
                              </a:lnTo>
                              <a:lnTo>
                                <a:pt x="4794" y="100"/>
                              </a:lnTo>
                              <a:close/>
                              <a:moveTo>
                                <a:pt x="101" y="140"/>
                              </a:moveTo>
                              <a:lnTo>
                                <a:pt x="90" y="140"/>
                              </a:lnTo>
                              <a:lnTo>
                                <a:pt x="103" y="120"/>
                              </a:lnTo>
                              <a:lnTo>
                                <a:pt x="116" y="100"/>
                              </a:lnTo>
                              <a:lnTo>
                                <a:pt x="140" y="100"/>
                              </a:lnTo>
                              <a:lnTo>
                                <a:pt x="126" y="120"/>
                              </a:lnTo>
                              <a:lnTo>
                                <a:pt x="114" y="120"/>
                              </a:lnTo>
                              <a:lnTo>
                                <a:pt x="101" y="140"/>
                              </a:lnTo>
                              <a:close/>
                              <a:moveTo>
                                <a:pt x="4833" y="140"/>
                              </a:moveTo>
                              <a:lnTo>
                                <a:pt x="4822" y="140"/>
                              </a:lnTo>
                              <a:lnTo>
                                <a:pt x="4809" y="120"/>
                              </a:lnTo>
                              <a:lnTo>
                                <a:pt x="4797" y="120"/>
                              </a:lnTo>
                              <a:lnTo>
                                <a:pt x="4783" y="100"/>
                              </a:lnTo>
                              <a:lnTo>
                                <a:pt x="4808" y="100"/>
                              </a:lnTo>
                              <a:lnTo>
                                <a:pt x="4821" y="120"/>
                              </a:lnTo>
                              <a:lnTo>
                                <a:pt x="4833" y="140"/>
                              </a:lnTo>
                              <a:close/>
                              <a:moveTo>
                                <a:pt x="113" y="140"/>
                              </a:moveTo>
                              <a:lnTo>
                                <a:pt x="114" y="120"/>
                              </a:lnTo>
                              <a:lnTo>
                                <a:pt x="126" y="120"/>
                              </a:lnTo>
                              <a:lnTo>
                                <a:pt x="113" y="140"/>
                              </a:lnTo>
                              <a:close/>
                              <a:moveTo>
                                <a:pt x="4810" y="140"/>
                              </a:moveTo>
                              <a:lnTo>
                                <a:pt x="4797" y="120"/>
                              </a:lnTo>
                              <a:lnTo>
                                <a:pt x="4809" y="120"/>
                              </a:lnTo>
                              <a:lnTo>
                                <a:pt x="4810" y="140"/>
                              </a:lnTo>
                              <a:close/>
                              <a:moveTo>
                                <a:pt x="44" y="240"/>
                              </a:moveTo>
                              <a:lnTo>
                                <a:pt x="31" y="240"/>
                              </a:lnTo>
                              <a:lnTo>
                                <a:pt x="39" y="220"/>
                              </a:lnTo>
                              <a:lnTo>
                                <a:pt x="47" y="200"/>
                              </a:lnTo>
                              <a:lnTo>
                                <a:pt x="57" y="180"/>
                              </a:lnTo>
                              <a:lnTo>
                                <a:pt x="67" y="160"/>
                              </a:lnTo>
                              <a:lnTo>
                                <a:pt x="78" y="140"/>
                              </a:lnTo>
                              <a:lnTo>
                                <a:pt x="102" y="140"/>
                              </a:lnTo>
                              <a:lnTo>
                                <a:pt x="90" y="160"/>
                              </a:lnTo>
                              <a:lnTo>
                                <a:pt x="90" y="160"/>
                              </a:lnTo>
                              <a:lnTo>
                                <a:pt x="80" y="180"/>
                              </a:lnTo>
                              <a:lnTo>
                                <a:pt x="70" y="180"/>
                              </a:lnTo>
                              <a:lnTo>
                                <a:pt x="60" y="200"/>
                              </a:lnTo>
                              <a:lnTo>
                                <a:pt x="61" y="200"/>
                              </a:lnTo>
                              <a:lnTo>
                                <a:pt x="52" y="220"/>
                              </a:lnTo>
                              <a:lnTo>
                                <a:pt x="52" y="220"/>
                              </a:lnTo>
                              <a:lnTo>
                                <a:pt x="44" y="240"/>
                              </a:lnTo>
                              <a:close/>
                              <a:moveTo>
                                <a:pt x="4900" y="260"/>
                              </a:moveTo>
                              <a:lnTo>
                                <a:pt x="4885" y="260"/>
                              </a:lnTo>
                              <a:lnTo>
                                <a:pt x="4878" y="240"/>
                              </a:lnTo>
                              <a:lnTo>
                                <a:pt x="4879" y="240"/>
                              </a:lnTo>
                              <a:lnTo>
                                <a:pt x="4871" y="220"/>
                              </a:lnTo>
                              <a:lnTo>
                                <a:pt x="4871" y="220"/>
                              </a:lnTo>
                              <a:lnTo>
                                <a:pt x="4862" y="200"/>
                              </a:lnTo>
                              <a:lnTo>
                                <a:pt x="4863" y="200"/>
                              </a:lnTo>
                              <a:lnTo>
                                <a:pt x="4853" y="180"/>
                              </a:lnTo>
                              <a:lnTo>
                                <a:pt x="4843" y="180"/>
                              </a:lnTo>
                              <a:lnTo>
                                <a:pt x="4833" y="160"/>
                              </a:lnTo>
                              <a:lnTo>
                                <a:pt x="4833" y="160"/>
                              </a:lnTo>
                              <a:lnTo>
                                <a:pt x="4821" y="140"/>
                              </a:lnTo>
                              <a:lnTo>
                                <a:pt x="4845" y="140"/>
                              </a:lnTo>
                              <a:lnTo>
                                <a:pt x="4856" y="160"/>
                              </a:lnTo>
                              <a:lnTo>
                                <a:pt x="4866" y="180"/>
                              </a:lnTo>
                              <a:lnTo>
                                <a:pt x="4876" y="200"/>
                              </a:lnTo>
                              <a:lnTo>
                                <a:pt x="4884" y="220"/>
                              </a:lnTo>
                              <a:lnTo>
                                <a:pt x="4892" y="240"/>
                              </a:lnTo>
                              <a:lnTo>
                                <a:pt x="4900" y="260"/>
                              </a:lnTo>
                              <a:close/>
                              <a:moveTo>
                                <a:pt x="32" y="280"/>
                              </a:moveTo>
                              <a:lnTo>
                                <a:pt x="15" y="280"/>
                              </a:lnTo>
                              <a:lnTo>
                                <a:pt x="17" y="260"/>
                              </a:lnTo>
                              <a:lnTo>
                                <a:pt x="24" y="240"/>
                              </a:lnTo>
                              <a:lnTo>
                                <a:pt x="45" y="240"/>
                              </a:lnTo>
                              <a:lnTo>
                                <a:pt x="38" y="260"/>
                              </a:lnTo>
                              <a:lnTo>
                                <a:pt x="38" y="260"/>
                              </a:lnTo>
                              <a:lnTo>
                                <a:pt x="32" y="280"/>
                              </a:lnTo>
                              <a:close/>
                              <a:moveTo>
                                <a:pt x="4908" y="280"/>
                              </a:moveTo>
                              <a:lnTo>
                                <a:pt x="4891" y="280"/>
                              </a:lnTo>
                              <a:lnTo>
                                <a:pt x="4885" y="260"/>
                              </a:lnTo>
                              <a:lnTo>
                                <a:pt x="4906" y="260"/>
                              </a:lnTo>
                              <a:lnTo>
                                <a:pt x="4908" y="280"/>
                              </a:lnTo>
                              <a:close/>
                              <a:moveTo>
                                <a:pt x="26" y="300"/>
                              </a:moveTo>
                              <a:lnTo>
                                <a:pt x="10" y="300"/>
                              </a:lnTo>
                              <a:lnTo>
                                <a:pt x="12" y="280"/>
                              </a:lnTo>
                              <a:lnTo>
                                <a:pt x="29" y="280"/>
                              </a:lnTo>
                              <a:lnTo>
                                <a:pt x="26" y="300"/>
                              </a:lnTo>
                              <a:close/>
                              <a:moveTo>
                                <a:pt x="4913" y="300"/>
                              </a:moveTo>
                              <a:lnTo>
                                <a:pt x="4897" y="300"/>
                              </a:lnTo>
                              <a:lnTo>
                                <a:pt x="4894" y="280"/>
                              </a:lnTo>
                              <a:lnTo>
                                <a:pt x="4911" y="280"/>
                              </a:lnTo>
                              <a:lnTo>
                                <a:pt x="4913" y="300"/>
                              </a:lnTo>
                              <a:close/>
                              <a:moveTo>
                                <a:pt x="20" y="320"/>
                              </a:moveTo>
                              <a:lnTo>
                                <a:pt x="6" y="320"/>
                              </a:lnTo>
                              <a:lnTo>
                                <a:pt x="8" y="300"/>
                              </a:lnTo>
                              <a:lnTo>
                                <a:pt x="22" y="300"/>
                              </a:lnTo>
                              <a:lnTo>
                                <a:pt x="20" y="320"/>
                              </a:lnTo>
                              <a:close/>
                              <a:moveTo>
                                <a:pt x="4917" y="320"/>
                              </a:moveTo>
                              <a:lnTo>
                                <a:pt x="4903" y="320"/>
                              </a:lnTo>
                              <a:lnTo>
                                <a:pt x="4901" y="300"/>
                              </a:lnTo>
                              <a:lnTo>
                                <a:pt x="4915" y="300"/>
                              </a:lnTo>
                              <a:lnTo>
                                <a:pt x="4917" y="320"/>
                              </a:lnTo>
                              <a:close/>
                              <a:moveTo>
                                <a:pt x="18" y="340"/>
                              </a:moveTo>
                              <a:lnTo>
                                <a:pt x="3" y="340"/>
                              </a:lnTo>
                              <a:lnTo>
                                <a:pt x="4" y="320"/>
                              </a:lnTo>
                              <a:lnTo>
                                <a:pt x="19" y="320"/>
                              </a:lnTo>
                              <a:lnTo>
                                <a:pt x="18" y="340"/>
                              </a:lnTo>
                              <a:close/>
                              <a:moveTo>
                                <a:pt x="4920" y="340"/>
                              </a:moveTo>
                              <a:lnTo>
                                <a:pt x="4905" y="340"/>
                              </a:lnTo>
                              <a:lnTo>
                                <a:pt x="4904" y="320"/>
                              </a:lnTo>
                              <a:lnTo>
                                <a:pt x="4919" y="320"/>
                              </a:lnTo>
                              <a:lnTo>
                                <a:pt x="4920" y="340"/>
                              </a:lnTo>
                              <a:close/>
                              <a:moveTo>
                                <a:pt x="16" y="360"/>
                              </a:moveTo>
                              <a:lnTo>
                                <a:pt x="1" y="360"/>
                              </a:lnTo>
                              <a:lnTo>
                                <a:pt x="2" y="340"/>
                              </a:lnTo>
                              <a:lnTo>
                                <a:pt x="16" y="340"/>
                              </a:lnTo>
                              <a:lnTo>
                                <a:pt x="16" y="360"/>
                              </a:lnTo>
                              <a:close/>
                              <a:moveTo>
                                <a:pt x="4922" y="360"/>
                              </a:moveTo>
                              <a:lnTo>
                                <a:pt x="4907" y="360"/>
                              </a:lnTo>
                              <a:lnTo>
                                <a:pt x="4907" y="340"/>
                              </a:lnTo>
                              <a:lnTo>
                                <a:pt x="4921" y="340"/>
                              </a:lnTo>
                              <a:lnTo>
                                <a:pt x="4922" y="360"/>
                              </a:lnTo>
                              <a:close/>
                              <a:moveTo>
                                <a:pt x="15" y="380"/>
                              </a:moveTo>
                              <a:lnTo>
                                <a:pt x="0" y="380"/>
                              </a:lnTo>
                              <a:lnTo>
                                <a:pt x="0" y="360"/>
                              </a:lnTo>
                              <a:lnTo>
                                <a:pt x="15" y="360"/>
                              </a:lnTo>
                              <a:lnTo>
                                <a:pt x="15" y="380"/>
                              </a:lnTo>
                              <a:close/>
                              <a:moveTo>
                                <a:pt x="4923" y="380"/>
                              </a:moveTo>
                              <a:lnTo>
                                <a:pt x="4908" y="380"/>
                              </a:lnTo>
                              <a:lnTo>
                                <a:pt x="4908" y="360"/>
                              </a:lnTo>
                              <a:lnTo>
                                <a:pt x="4923" y="360"/>
                              </a:lnTo>
                              <a:lnTo>
                                <a:pt x="4923" y="380"/>
                              </a:lnTo>
                              <a:close/>
                              <a:moveTo>
                                <a:pt x="15" y="3120"/>
                              </a:moveTo>
                              <a:lnTo>
                                <a:pt x="0" y="3120"/>
                              </a:lnTo>
                              <a:lnTo>
                                <a:pt x="0" y="380"/>
                              </a:lnTo>
                              <a:lnTo>
                                <a:pt x="15" y="380"/>
                              </a:lnTo>
                              <a:lnTo>
                                <a:pt x="15" y="3120"/>
                              </a:lnTo>
                              <a:close/>
                              <a:moveTo>
                                <a:pt x="4924" y="3120"/>
                              </a:moveTo>
                              <a:lnTo>
                                <a:pt x="4909" y="3120"/>
                              </a:lnTo>
                              <a:lnTo>
                                <a:pt x="4909" y="380"/>
                              </a:lnTo>
                              <a:lnTo>
                                <a:pt x="4924" y="380"/>
                              </a:lnTo>
                              <a:lnTo>
                                <a:pt x="4924" y="3120"/>
                              </a:lnTo>
                              <a:close/>
                              <a:moveTo>
                                <a:pt x="15" y="3140"/>
                              </a:moveTo>
                              <a:lnTo>
                                <a:pt x="0" y="3140"/>
                              </a:lnTo>
                              <a:lnTo>
                                <a:pt x="0" y="3120"/>
                              </a:lnTo>
                              <a:lnTo>
                                <a:pt x="15" y="3120"/>
                              </a:lnTo>
                              <a:lnTo>
                                <a:pt x="15" y="3140"/>
                              </a:lnTo>
                              <a:close/>
                              <a:moveTo>
                                <a:pt x="4923" y="3140"/>
                              </a:moveTo>
                              <a:lnTo>
                                <a:pt x="4908" y="3140"/>
                              </a:lnTo>
                              <a:lnTo>
                                <a:pt x="4908" y="3120"/>
                              </a:lnTo>
                              <a:lnTo>
                                <a:pt x="4923" y="3120"/>
                              </a:lnTo>
                              <a:lnTo>
                                <a:pt x="4923" y="3140"/>
                              </a:lnTo>
                              <a:close/>
                              <a:moveTo>
                                <a:pt x="16" y="3160"/>
                              </a:moveTo>
                              <a:lnTo>
                                <a:pt x="2" y="3160"/>
                              </a:lnTo>
                              <a:lnTo>
                                <a:pt x="1" y="3140"/>
                              </a:lnTo>
                              <a:lnTo>
                                <a:pt x="16" y="3140"/>
                              </a:lnTo>
                              <a:lnTo>
                                <a:pt x="16" y="3160"/>
                              </a:lnTo>
                              <a:close/>
                              <a:moveTo>
                                <a:pt x="4921" y="3160"/>
                              </a:moveTo>
                              <a:lnTo>
                                <a:pt x="4907" y="3160"/>
                              </a:lnTo>
                              <a:lnTo>
                                <a:pt x="4907" y="3140"/>
                              </a:lnTo>
                              <a:lnTo>
                                <a:pt x="4922" y="3140"/>
                              </a:lnTo>
                              <a:lnTo>
                                <a:pt x="4921" y="3160"/>
                              </a:lnTo>
                              <a:close/>
                              <a:moveTo>
                                <a:pt x="19" y="3180"/>
                              </a:moveTo>
                              <a:lnTo>
                                <a:pt x="4" y="3180"/>
                              </a:lnTo>
                              <a:lnTo>
                                <a:pt x="3" y="3160"/>
                              </a:lnTo>
                              <a:lnTo>
                                <a:pt x="18" y="3160"/>
                              </a:lnTo>
                              <a:lnTo>
                                <a:pt x="19" y="3180"/>
                              </a:lnTo>
                              <a:close/>
                              <a:moveTo>
                                <a:pt x="4919" y="3180"/>
                              </a:moveTo>
                              <a:lnTo>
                                <a:pt x="4904" y="3180"/>
                              </a:lnTo>
                              <a:lnTo>
                                <a:pt x="4905" y="3160"/>
                              </a:lnTo>
                              <a:lnTo>
                                <a:pt x="4920" y="3160"/>
                              </a:lnTo>
                              <a:lnTo>
                                <a:pt x="4919" y="3180"/>
                              </a:lnTo>
                              <a:close/>
                              <a:moveTo>
                                <a:pt x="22" y="3200"/>
                              </a:moveTo>
                              <a:lnTo>
                                <a:pt x="8" y="3200"/>
                              </a:lnTo>
                              <a:lnTo>
                                <a:pt x="6" y="3180"/>
                              </a:lnTo>
                              <a:lnTo>
                                <a:pt x="20" y="3180"/>
                              </a:lnTo>
                              <a:lnTo>
                                <a:pt x="22" y="3200"/>
                              </a:lnTo>
                              <a:close/>
                              <a:moveTo>
                                <a:pt x="4915" y="3200"/>
                              </a:moveTo>
                              <a:lnTo>
                                <a:pt x="4901" y="3200"/>
                              </a:lnTo>
                              <a:lnTo>
                                <a:pt x="4903" y="3180"/>
                              </a:lnTo>
                              <a:lnTo>
                                <a:pt x="4917" y="3180"/>
                              </a:lnTo>
                              <a:lnTo>
                                <a:pt x="4915" y="3200"/>
                              </a:lnTo>
                              <a:close/>
                              <a:moveTo>
                                <a:pt x="29" y="3220"/>
                              </a:moveTo>
                              <a:lnTo>
                                <a:pt x="12" y="3220"/>
                              </a:lnTo>
                              <a:lnTo>
                                <a:pt x="10" y="3200"/>
                              </a:lnTo>
                              <a:lnTo>
                                <a:pt x="26" y="3200"/>
                              </a:lnTo>
                              <a:lnTo>
                                <a:pt x="29" y="3220"/>
                              </a:lnTo>
                              <a:close/>
                              <a:moveTo>
                                <a:pt x="4911" y="3220"/>
                              </a:moveTo>
                              <a:lnTo>
                                <a:pt x="4894" y="3220"/>
                              </a:lnTo>
                              <a:lnTo>
                                <a:pt x="4897" y="3200"/>
                              </a:lnTo>
                              <a:lnTo>
                                <a:pt x="4913" y="3200"/>
                              </a:lnTo>
                              <a:lnTo>
                                <a:pt x="4911" y="3220"/>
                              </a:lnTo>
                              <a:close/>
                              <a:moveTo>
                                <a:pt x="45" y="3260"/>
                              </a:moveTo>
                              <a:lnTo>
                                <a:pt x="24" y="3260"/>
                              </a:lnTo>
                              <a:lnTo>
                                <a:pt x="17" y="3240"/>
                              </a:lnTo>
                              <a:lnTo>
                                <a:pt x="15" y="3220"/>
                              </a:lnTo>
                              <a:lnTo>
                                <a:pt x="32" y="3220"/>
                              </a:lnTo>
                              <a:lnTo>
                                <a:pt x="38" y="3240"/>
                              </a:lnTo>
                              <a:lnTo>
                                <a:pt x="38" y="3240"/>
                              </a:lnTo>
                              <a:lnTo>
                                <a:pt x="45" y="3260"/>
                              </a:lnTo>
                              <a:close/>
                              <a:moveTo>
                                <a:pt x="4899" y="3260"/>
                              </a:moveTo>
                              <a:lnTo>
                                <a:pt x="4878" y="3260"/>
                              </a:lnTo>
                              <a:lnTo>
                                <a:pt x="4885" y="3240"/>
                              </a:lnTo>
                              <a:lnTo>
                                <a:pt x="4885" y="3240"/>
                              </a:lnTo>
                              <a:lnTo>
                                <a:pt x="4891" y="3220"/>
                              </a:lnTo>
                              <a:lnTo>
                                <a:pt x="4908" y="3220"/>
                              </a:lnTo>
                              <a:lnTo>
                                <a:pt x="4906" y="3240"/>
                              </a:lnTo>
                              <a:lnTo>
                                <a:pt x="4899" y="3260"/>
                              </a:lnTo>
                              <a:close/>
                              <a:moveTo>
                                <a:pt x="102" y="3360"/>
                              </a:moveTo>
                              <a:lnTo>
                                <a:pt x="78" y="3360"/>
                              </a:lnTo>
                              <a:lnTo>
                                <a:pt x="67" y="3340"/>
                              </a:lnTo>
                              <a:lnTo>
                                <a:pt x="57" y="3320"/>
                              </a:lnTo>
                              <a:lnTo>
                                <a:pt x="47" y="3300"/>
                              </a:lnTo>
                              <a:lnTo>
                                <a:pt x="39" y="3280"/>
                              </a:lnTo>
                              <a:lnTo>
                                <a:pt x="31" y="3260"/>
                              </a:lnTo>
                              <a:lnTo>
                                <a:pt x="44" y="3260"/>
                              </a:lnTo>
                              <a:lnTo>
                                <a:pt x="52" y="3280"/>
                              </a:lnTo>
                              <a:lnTo>
                                <a:pt x="52" y="3280"/>
                              </a:lnTo>
                              <a:lnTo>
                                <a:pt x="61" y="3300"/>
                              </a:lnTo>
                              <a:lnTo>
                                <a:pt x="60" y="3300"/>
                              </a:lnTo>
                              <a:lnTo>
                                <a:pt x="70" y="3320"/>
                              </a:lnTo>
                              <a:lnTo>
                                <a:pt x="80" y="3320"/>
                              </a:lnTo>
                              <a:lnTo>
                                <a:pt x="90" y="3340"/>
                              </a:lnTo>
                              <a:lnTo>
                                <a:pt x="90" y="3340"/>
                              </a:lnTo>
                              <a:lnTo>
                                <a:pt x="102" y="3360"/>
                              </a:lnTo>
                              <a:close/>
                              <a:moveTo>
                                <a:pt x="4845" y="3360"/>
                              </a:moveTo>
                              <a:lnTo>
                                <a:pt x="4821" y="3360"/>
                              </a:lnTo>
                              <a:lnTo>
                                <a:pt x="4833" y="3340"/>
                              </a:lnTo>
                              <a:lnTo>
                                <a:pt x="4833" y="3340"/>
                              </a:lnTo>
                              <a:lnTo>
                                <a:pt x="4843" y="3320"/>
                              </a:lnTo>
                              <a:lnTo>
                                <a:pt x="4853" y="3320"/>
                              </a:lnTo>
                              <a:lnTo>
                                <a:pt x="4863" y="3300"/>
                              </a:lnTo>
                              <a:lnTo>
                                <a:pt x="4862" y="3300"/>
                              </a:lnTo>
                              <a:lnTo>
                                <a:pt x="4871" y="3280"/>
                              </a:lnTo>
                              <a:lnTo>
                                <a:pt x="4871" y="3280"/>
                              </a:lnTo>
                              <a:lnTo>
                                <a:pt x="4879" y="3260"/>
                              </a:lnTo>
                              <a:lnTo>
                                <a:pt x="4892" y="3260"/>
                              </a:lnTo>
                              <a:lnTo>
                                <a:pt x="4884" y="3280"/>
                              </a:lnTo>
                              <a:lnTo>
                                <a:pt x="4876" y="3300"/>
                              </a:lnTo>
                              <a:lnTo>
                                <a:pt x="4866" y="3320"/>
                              </a:lnTo>
                              <a:lnTo>
                                <a:pt x="4856" y="3340"/>
                              </a:lnTo>
                              <a:lnTo>
                                <a:pt x="4845" y="3360"/>
                              </a:lnTo>
                              <a:close/>
                              <a:moveTo>
                                <a:pt x="140" y="3400"/>
                              </a:moveTo>
                              <a:lnTo>
                                <a:pt x="115" y="3400"/>
                              </a:lnTo>
                              <a:lnTo>
                                <a:pt x="102" y="3380"/>
                              </a:lnTo>
                              <a:lnTo>
                                <a:pt x="90" y="3360"/>
                              </a:lnTo>
                              <a:lnTo>
                                <a:pt x="101" y="3360"/>
                              </a:lnTo>
                              <a:lnTo>
                                <a:pt x="114" y="3380"/>
                              </a:lnTo>
                              <a:lnTo>
                                <a:pt x="126" y="3380"/>
                              </a:lnTo>
                              <a:lnTo>
                                <a:pt x="140" y="3400"/>
                              </a:lnTo>
                              <a:close/>
                              <a:moveTo>
                                <a:pt x="4807" y="3400"/>
                              </a:moveTo>
                              <a:lnTo>
                                <a:pt x="4783" y="3400"/>
                              </a:lnTo>
                              <a:lnTo>
                                <a:pt x="4797" y="3380"/>
                              </a:lnTo>
                              <a:lnTo>
                                <a:pt x="4809" y="3380"/>
                              </a:lnTo>
                              <a:lnTo>
                                <a:pt x="4822" y="3360"/>
                              </a:lnTo>
                              <a:lnTo>
                                <a:pt x="4833" y="3360"/>
                              </a:lnTo>
                              <a:lnTo>
                                <a:pt x="4820" y="3380"/>
                              </a:lnTo>
                              <a:lnTo>
                                <a:pt x="4807" y="3400"/>
                              </a:lnTo>
                              <a:close/>
                              <a:moveTo>
                                <a:pt x="183" y="3440"/>
                              </a:moveTo>
                              <a:lnTo>
                                <a:pt x="159" y="3440"/>
                              </a:lnTo>
                              <a:lnTo>
                                <a:pt x="144" y="3420"/>
                              </a:lnTo>
                              <a:lnTo>
                                <a:pt x="129" y="3400"/>
                              </a:lnTo>
                              <a:lnTo>
                                <a:pt x="153" y="3400"/>
                              </a:lnTo>
                              <a:lnTo>
                                <a:pt x="168" y="3420"/>
                              </a:lnTo>
                              <a:lnTo>
                                <a:pt x="168" y="3420"/>
                              </a:lnTo>
                              <a:lnTo>
                                <a:pt x="183" y="3440"/>
                              </a:lnTo>
                              <a:close/>
                              <a:moveTo>
                                <a:pt x="4764" y="3440"/>
                              </a:moveTo>
                              <a:lnTo>
                                <a:pt x="4740" y="3440"/>
                              </a:lnTo>
                              <a:lnTo>
                                <a:pt x="4755" y="3420"/>
                              </a:lnTo>
                              <a:lnTo>
                                <a:pt x="4755" y="3420"/>
                              </a:lnTo>
                              <a:lnTo>
                                <a:pt x="4770" y="3400"/>
                              </a:lnTo>
                              <a:lnTo>
                                <a:pt x="4794" y="3400"/>
                              </a:lnTo>
                              <a:lnTo>
                                <a:pt x="4779" y="3420"/>
                              </a:lnTo>
                              <a:lnTo>
                                <a:pt x="4764" y="3440"/>
                              </a:lnTo>
                              <a:close/>
                              <a:moveTo>
                                <a:pt x="214" y="3460"/>
                              </a:moveTo>
                              <a:lnTo>
                                <a:pt x="190" y="3460"/>
                              </a:lnTo>
                              <a:lnTo>
                                <a:pt x="174" y="3440"/>
                              </a:lnTo>
                              <a:lnTo>
                                <a:pt x="198" y="3440"/>
                              </a:lnTo>
                              <a:lnTo>
                                <a:pt x="214" y="3460"/>
                              </a:lnTo>
                              <a:close/>
                              <a:moveTo>
                                <a:pt x="231" y="3460"/>
                              </a:moveTo>
                              <a:lnTo>
                                <a:pt x="214" y="3460"/>
                              </a:lnTo>
                              <a:lnTo>
                                <a:pt x="214" y="3440"/>
                              </a:lnTo>
                              <a:lnTo>
                                <a:pt x="231" y="3460"/>
                              </a:lnTo>
                              <a:close/>
                              <a:moveTo>
                                <a:pt x="4709" y="3460"/>
                              </a:moveTo>
                              <a:lnTo>
                                <a:pt x="4692" y="3460"/>
                              </a:lnTo>
                              <a:lnTo>
                                <a:pt x="4709" y="3440"/>
                              </a:lnTo>
                              <a:lnTo>
                                <a:pt x="4709" y="3460"/>
                              </a:lnTo>
                              <a:close/>
                              <a:moveTo>
                                <a:pt x="4732" y="3460"/>
                              </a:moveTo>
                              <a:lnTo>
                                <a:pt x="4709" y="3460"/>
                              </a:lnTo>
                              <a:lnTo>
                                <a:pt x="4725" y="3440"/>
                              </a:lnTo>
                              <a:lnTo>
                                <a:pt x="4749" y="3440"/>
                              </a:lnTo>
                              <a:lnTo>
                                <a:pt x="4732" y="3460"/>
                              </a:lnTo>
                              <a:close/>
                              <a:moveTo>
                                <a:pt x="265" y="3480"/>
                              </a:moveTo>
                              <a:lnTo>
                                <a:pt x="224" y="3480"/>
                              </a:lnTo>
                              <a:lnTo>
                                <a:pt x="207" y="3460"/>
                              </a:lnTo>
                              <a:lnTo>
                                <a:pt x="247" y="3460"/>
                              </a:lnTo>
                              <a:lnTo>
                                <a:pt x="265" y="3480"/>
                              </a:lnTo>
                              <a:close/>
                              <a:moveTo>
                                <a:pt x="4699" y="3480"/>
                              </a:moveTo>
                              <a:lnTo>
                                <a:pt x="4658" y="3480"/>
                              </a:lnTo>
                              <a:lnTo>
                                <a:pt x="4676" y="3460"/>
                              </a:lnTo>
                              <a:lnTo>
                                <a:pt x="4716" y="3460"/>
                              </a:lnTo>
                              <a:lnTo>
                                <a:pt x="4699" y="3480"/>
                              </a:lnTo>
                              <a:close/>
                              <a:moveTo>
                                <a:pt x="328" y="3500"/>
                              </a:moveTo>
                              <a:lnTo>
                                <a:pt x="278" y="3500"/>
                              </a:lnTo>
                              <a:lnTo>
                                <a:pt x="259" y="3480"/>
                              </a:lnTo>
                              <a:lnTo>
                                <a:pt x="319" y="3480"/>
                              </a:lnTo>
                              <a:lnTo>
                                <a:pt x="328" y="3500"/>
                              </a:lnTo>
                              <a:close/>
                              <a:moveTo>
                                <a:pt x="4645" y="3500"/>
                              </a:moveTo>
                              <a:lnTo>
                                <a:pt x="4595" y="3500"/>
                              </a:lnTo>
                              <a:lnTo>
                                <a:pt x="4604" y="3480"/>
                              </a:lnTo>
                              <a:lnTo>
                                <a:pt x="4663" y="3480"/>
                              </a:lnTo>
                              <a:lnTo>
                                <a:pt x="4645" y="3500"/>
                              </a:lnTo>
                              <a:close/>
                              <a:moveTo>
                                <a:pt x="4548" y="3520"/>
                              </a:moveTo>
                              <a:lnTo>
                                <a:pt x="376" y="3520"/>
                              </a:lnTo>
                              <a:lnTo>
                                <a:pt x="365" y="3500"/>
                              </a:lnTo>
                              <a:lnTo>
                                <a:pt x="4557" y="3500"/>
                              </a:lnTo>
                              <a:lnTo>
                                <a:pt x="4548" y="3520"/>
                              </a:lnTo>
                              <a:close/>
                            </a:path>
                          </a:pathLst>
                        </a:custGeom>
                        <a:solidFill>
                          <a:srgbClr val="000000"/>
                        </a:solidFill>
                        <a:ln>
                          <a:noFill/>
                        </a:ln>
                      </wps:spPr>
                      <wps:bodyPr upright="1"/>
                    </wps:wsp>
                  </a:graphicData>
                </a:graphic>
              </wp:anchor>
            </w:drawing>
          </mc:Choice>
          <mc:Fallback>
            <w:pict>
              <v:shape id="任意多边形 5" o:spid="_x0000_s1026" o:spt="100" style="position:absolute;left:0pt;margin-left:305.15pt;margin-top:18.35pt;height:176pt;width:246.2pt;mso-position-horizontal-relative:page;z-index:251714560;mso-width-relative:page;mso-height-relative:page;" fillcolor="#000000" filled="t" stroked="f" coordsize="4924,3520" o:gfxdata="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" path="m328,20l260,20,278,0,338,0,328,20xm4664,20l4595,20,4585,0,4645,0,4664,20xm247,40l207,40,224,20,265,20,247,40xm4716,40l4676,40,4658,20,4699,20,4716,40xm214,60l174,60,191,40,231,40,214,60xm4749,60l4709,60,4692,40,4733,40,4749,60xm153,100l130,100,144,80,159,60,198,60,183,80,168,80,153,100xm4794,100l4770,100,4755,80,4740,80,4725,60,4764,60,4779,80,4794,100xm101,140l90,140,103,120,116,100,140,100,126,120,114,120,101,140xm4833,140l4822,140,4809,120,4797,120,4783,100,4808,100,4821,120,4833,140xm113,140l114,120,126,120,113,140xm4810,140l4797,120,4809,120,4810,140xm44,240l31,240,39,220,47,200,57,180,67,160,78,140,102,140,90,160,90,160,80,180,70,180,60,200,61,200,52,220,52,220,44,240xm4900,260l4885,260,4878,240,4879,240,4871,220,4871,220,4862,200,4863,200,4853,180,4843,180,4833,160,4833,160,4821,140,4845,140,4856,160,4866,180,4876,200,4884,220,4892,240,4900,260xm32,280l15,280,17,260,24,240,45,240,38,260,38,260,32,280xm4908,280l4891,280,4885,260,4906,260,4908,280xm26,300l10,300,12,280,29,280,26,300xm4913,300l4897,300,4894,280,4911,280,4913,300xm20,320l6,320,8,300,22,300,20,320xm4917,320l4903,320,4901,300,4915,300,4917,320xm18,340l3,340,4,320,19,320,18,340xm4920,340l4905,340,4904,320,4919,320,4920,340xm16,360l1,360,2,340,16,340,16,360xm4922,360l4907,360,4907,340,4921,340,4922,360xm15,380l0,380,0,360,15,360,15,380xm4923,380l4908,380,4908,360,4923,360,4923,380xm15,3120l0,3120,0,380,15,380,15,3120xm4924,3120l4909,3120,4909,380,4924,380,4924,3120xm15,3140l0,3140,0,3120,15,3120,15,3140xm4923,3140l4908,3140,4908,3120,4923,3120,4923,3140xm16,3160l2,3160,1,3140,16,3140,16,3160xm4921,3160l4907,3160,4907,3140,4922,3140,4921,3160xm19,3180l4,3180,3,3160,18,3160,19,3180xm4919,3180l4904,3180,4905,3160,4920,3160,4919,3180xm22,3200l8,3200,6,3180,20,3180,22,3200xm4915,3200l4901,3200,4903,3180,4917,3180,4915,3200xm29,3220l12,3220,10,3200,26,3200,29,3220xm4911,3220l4894,3220,4897,3200,4913,3200,4911,3220xm45,3260l24,3260,17,3240,15,3220,32,3220,38,3240,38,3240,45,3260xm4899,3260l4878,3260,4885,3240,4885,3240,4891,3220,4908,3220,4906,3240,4899,3260xm102,3360l78,3360,67,3340,57,3320,47,3300,39,3280,31,3260,44,3260,52,3280,52,3280,61,3300,60,3300,70,3320,80,3320,90,3340,90,3340,102,3360xm4845,3360l4821,3360,4833,3340,4833,3340,4843,3320,4853,3320,4863,3300,4862,3300,4871,3280,4871,3280,4879,3260,4892,3260,4884,3280,4876,3300,4866,3320,4856,3340,4845,3360xm140,3400l115,3400,102,3380,90,3360,101,3360,114,3380,126,3380,140,3400xm4807,3400l4783,3400,4797,3380,4809,3380,4822,3360,4833,3360,4820,3380,4807,3400xm183,3440l159,3440,144,3420,129,3400,153,3400,168,3420,168,3420,183,3440xm4764,3440l4740,3440,4755,3420,4755,3420,4770,3400,4794,3400,4779,3420,4764,3440xm214,3460l190,3460,174,3440,198,3440,214,3460xm231,3460l214,3460,214,3440,231,3460xm4709,3460l4692,3460,4709,3440,4709,3460xm4732,3460l4709,3460,4725,3440,4749,3440,4732,3460xm265,3480l224,3480,207,3460,247,3460,265,3480xm4699,3480l4658,3480,4676,3460,4716,3460,4699,3480xm328,3500l278,3500,259,3480,319,3480,328,3500xm4645,3500l4595,3500,4604,3480,4663,3480,4645,3500xm4548,3520l376,3520,365,3500,4557,3500,4548,3520xe">
                <v:fill on="t" focussize="0,0"/>
                <v:stroke on="f"/>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page">
                  <wp:posOffset>583565</wp:posOffset>
                </wp:positionH>
                <wp:positionV relativeFrom="paragraph">
                  <wp:posOffset>255905</wp:posOffset>
                </wp:positionV>
                <wp:extent cx="3126740" cy="2235200"/>
                <wp:effectExtent l="0" t="0" r="12700" b="5080"/>
                <wp:wrapNone/>
                <wp:docPr id="1" name="任意多边形 5"/>
                <wp:cNvGraphicFramePr/>
                <a:graphic xmlns:a="http://schemas.openxmlformats.org/drawingml/2006/main">
                  <a:graphicData uri="http://schemas.microsoft.com/office/word/2010/wordprocessingShape">
                    <wps:wsp>
                      <wps:cNvSpPr/>
                      <wps:spPr>
                        <a:xfrm>
                          <a:off x="0" y="0"/>
                          <a:ext cx="3126740" cy="2235200"/>
                        </a:xfrm>
                        <a:custGeom>
                          <a:avLst/>
                          <a:gdLst/>
                          <a:ahLst/>
                          <a:cxnLst/>
                          <a:pathLst>
                            <a:path w="4924" h="3520">
                              <a:moveTo>
                                <a:pt x="328" y="20"/>
                              </a:moveTo>
                              <a:lnTo>
                                <a:pt x="260" y="20"/>
                              </a:lnTo>
                              <a:lnTo>
                                <a:pt x="278" y="0"/>
                              </a:lnTo>
                              <a:lnTo>
                                <a:pt x="338" y="0"/>
                              </a:lnTo>
                              <a:lnTo>
                                <a:pt x="328" y="20"/>
                              </a:lnTo>
                              <a:close/>
                              <a:moveTo>
                                <a:pt x="4664" y="20"/>
                              </a:moveTo>
                              <a:lnTo>
                                <a:pt x="4595" y="20"/>
                              </a:lnTo>
                              <a:lnTo>
                                <a:pt x="4585" y="0"/>
                              </a:lnTo>
                              <a:lnTo>
                                <a:pt x="4645" y="0"/>
                              </a:lnTo>
                              <a:lnTo>
                                <a:pt x="4664" y="20"/>
                              </a:lnTo>
                              <a:close/>
                              <a:moveTo>
                                <a:pt x="247" y="40"/>
                              </a:moveTo>
                              <a:lnTo>
                                <a:pt x="207" y="40"/>
                              </a:lnTo>
                              <a:lnTo>
                                <a:pt x="224" y="20"/>
                              </a:lnTo>
                              <a:lnTo>
                                <a:pt x="265" y="20"/>
                              </a:lnTo>
                              <a:lnTo>
                                <a:pt x="247" y="40"/>
                              </a:lnTo>
                              <a:close/>
                              <a:moveTo>
                                <a:pt x="4716" y="40"/>
                              </a:moveTo>
                              <a:lnTo>
                                <a:pt x="4676" y="40"/>
                              </a:lnTo>
                              <a:lnTo>
                                <a:pt x="4658" y="20"/>
                              </a:lnTo>
                              <a:lnTo>
                                <a:pt x="4699" y="20"/>
                              </a:lnTo>
                              <a:lnTo>
                                <a:pt x="4716" y="40"/>
                              </a:lnTo>
                              <a:close/>
                              <a:moveTo>
                                <a:pt x="214" y="60"/>
                              </a:moveTo>
                              <a:lnTo>
                                <a:pt x="174" y="60"/>
                              </a:lnTo>
                              <a:lnTo>
                                <a:pt x="191" y="40"/>
                              </a:lnTo>
                              <a:lnTo>
                                <a:pt x="231" y="40"/>
                              </a:lnTo>
                              <a:lnTo>
                                <a:pt x="214" y="60"/>
                              </a:lnTo>
                              <a:close/>
                              <a:moveTo>
                                <a:pt x="4749" y="60"/>
                              </a:moveTo>
                              <a:lnTo>
                                <a:pt x="4709" y="60"/>
                              </a:lnTo>
                              <a:lnTo>
                                <a:pt x="4692" y="40"/>
                              </a:lnTo>
                              <a:lnTo>
                                <a:pt x="4733" y="40"/>
                              </a:lnTo>
                              <a:lnTo>
                                <a:pt x="4749" y="60"/>
                              </a:lnTo>
                              <a:close/>
                              <a:moveTo>
                                <a:pt x="153" y="100"/>
                              </a:moveTo>
                              <a:lnTo>
                                <a:pt x="130" y="100"/>
                              </a:lnTo>
                              <a:lnTo>
                                <a:pt x="144" y="80"/>
                              </a:lnTo>
                              <a:lnTo>
                                <a:pt x="159" y="60"/>
                              </a:lnTo>
                              <a:lnTo>
                                <a:pt x="198" y="60"/>
                              </a:lnTo>
                              <a:lnTo>
                                <a:pt x="183" y="80"/>
                              </a:lnTo>
                              <a:lnTo>
                                <a:pt x="168" y="80"/>
                              </a:lnTo>
                              <a:lnTo>
                                <a:pt x="153" y="100"/>
                              </a:lnTo>
                              <a:close/>
                              <a:moveTo>
                                <a:pt x="4794" y="100"/>
                              </a:moveTo>
                              <a:lnTo>
                                <a:pt x="4770" y="100"/>
                              </a:lnTo>
                              <a:lnTo>
                                <a:pt x="4755" y="80"/>
                              </a:lnTo>
                              <a:lnTo>
                                <a:pt x="4740" y="80"/>
                              </a:lnTo>
                              <a:lnTo>
                                <a:pt x="4725" y="60"/>
                              </a:lnTo>
                              <a:lnTo>
                                <a:pt x="4764" y="60"/>
                              </a:lnTo>
                              <a:lnTo>
                                <a:pt x="4779" y="80"/>
                              </a:lnTo>
                              <a:lnTo>
                                <a:pt x="4794" y="100"/>
                              </a:lnTo>
                              <a:close/>
                              <a:moveTo>
                                <a:pt x="101" y="140"/>
                              </a:moveTo>
                              <a:lnTo>
                                <a:pt x="90" y="140"/>
                              </a:lnTo>
                              <a:lnTo>
                                <a:pt x="103" y="120"/>
                              </a:lnTo>
                              <a:lnTo>
                                <a:pt x="116" y="100"/>
                              </a:lnTo>
                              <a:lnTo>
                                <a:pt x="140" y="100"/>
                              </a:lnTo>
                              <a:lnTo>
                                <a:pt x="126" y="120"/>
                              </a:lnTo>
                              <a:lnTo>
                                <a:pt x="114" y="120"/>
                              </a:lnTo>
                              <a:lnTo>
                                <a:pt x="101" y="140"/>
                              </a:lnTo>
                              <a:close/>
                              <a:moveTo>
                                <a:pt x="4833" y="140"/>
                              </a:moveTo>
                              <a:lnTo>
                                <a:pt x="4822" y="140"/>
                              </a:lnTo>
                              <a:lnTo>
                                <a:pt x="4809" y="120"/>
                              </a:lnTo>
                              <a:lnTo>
                                <a:pt x="4797" y="120"/>
                              </a:lnTo>
                              <a:lnTo>
                                <a:pt x="4783" y="100"/>
                              </a:lnTo>
                              <a:lnTo>
                                <a:pt x="4808" y="100"/>
                              </a:lnTo>
                              <a:lnTo>
                                <a:pt x="4821" y="120"/>
                              </a:lnTo>
                              <a:lnTo>
                                <a:pt x="4833" y="140"/>
                              </a:lnTo>
                              <a:close/>
                              <a:moveTo>
                                <a:pt x="113" y="140"/>
                              </a:moveTo>
                              <a:lnTo>
                                <a:pt x="114" y="120"/>
                              </a:lnTo>
                              <a:lnTo>
                                <a:pt x="126" y="120"/>
                              </a:lnTo>
                              <a:lnTo>
                                <a:pt x="113" y="140"/>
                              </a:lnTo>
                              <a:close/>
                              <a:moveTo>
                                <a:pt x="4810" y="140"/>
                              </a:moveTo>
                              <a:lnTo>
                                <a:pt x="4797" y="120"/>
                              </a:lnTo>
                              <a:lnTo>
                                <a:pt x="4809" y="120"/>
                              </a:lnTo>
                              <a:lnTo>
                                <a:pt x="4810" y="140"/>
                              </a:lnTo>
                              <a:close/>
                              <a:moveTo>
                                <a:pt x="44" y="240"/>
                              </a:moveTo>
                              <a:lnTo>
                                <a:pt x="31" y="240"/>
                              </a:lnTo>
                              <a:lnTo>
                                <a:pt x="39" y="220"/>
                              </a:lnTo>
                              <a:lnTo>
                                <a:pt x="47" y="200"/>
                              </a:lnTo>
                              <a:lnTo>
                                <a:pt x="57" y="180"/>
                              </a:lnTo>
                              <a:lnTo>
                                <a:pt x="67" y="160"/>
                              </a:lnTo>
                              <a:lnTo>
                                <a:pt x="78" y="140"/>
                              </a:lnTo>
                              <a:lnTo>
                                <a:pt x="102" y="140"/>
                              </a:lnTo>
                              <a:lnTo>
                                <a:pt x="90" y="160"/>
                              </a:lnTo>
                              <a:lnTo>
                                <a:pt x="90" y="160"/>
                              </a:lnTo>
                              <a:lnTo>
                                <a:pt x="80" y="180"/>
                              </a:lnTo>
                              <a:lnTo>
                                <a:pt x="70" y="180"/>
                              </a:lnTo>
                              <a:lnTo>
                                <a:pt x="60" y="200"/>
                              </a:lnTo>
                              <a:lnTo>
                                <a:pt x="61" y="200"/>
                              </a:lnTo>
                              <a:lnTo>
                                <a:pt x="52" y="220"/>
                              </a:lnTo>
                              <a:lnTo>
                                <a:pt x="52" y="220"/>
                              </a:lnTo>
                              <a:lnTo>
                                <a:pt x="44" y="240"/>
                              </a:lnTo>
                              <a:close/>
                              <a:moveTo>
                                <a:pt x="4900" y="260"/>
                              </a:moveTo>
                              <a:lnTo>
                                <a:pt x="4885" y="260"/>
                              </a:lnTo>
                              <a:lnTo>
                                <a:pt x="4878" y="240"/>
                              </a:lnTo>
                              <a:lnTo>
                                <a:pt x="4879" y="240"/>
                              </a:lnTo>
                              <a:lnTo>
                                <a:pt x="4871" y="220"/>
                              </a:lnTo>
                              <a:lnTo>
                                <a:pt x="4871" y="220"/>
                              </a:lnTo>
                              <a:lnTo>
                                <a:pt x="4862" y="200"/>
                              </a:lnTo>
                              <a:lnTo>
                                <a:pt x="4863" y="200"/>
                              </a:lnTo>
                              <a:lnTo>
                                <a:pt x="4853" y="180"/>
                              </a:lnTo>
                              <a:lnTo>
                                <a:pt x="4843" y="180"/>
                              </a:lnTo>
                              <a:lnTo>
                                <a:pt x="4833" y="160"/>
                              </a:lnTo>
                              <a:lnTo>
                                <a:pt x="4833" y="160"/>
                              </a:lnTo>
                              <a:lnTo>
                                <a:pt x="4821" y="140"/>
                              </a:lnTo>
                              <a:lnTo>
                                <a:pt x="4845" y="140"/>
                              </a:lnTo>
                              <a:lnTo>
                                <a:pt x="4856" y="160"/>
                              </a:lnTo>
                              <a:lnTo>
                                <a:pt x="4866" y="180"/>
                              </a:lnTo>
                              <a:lnTo>
                                <a:pt x="4876" y="200"/>
                              </a:lnTo>
                              <a:lnTo>
                                <a:pt x="4884" y="220"/>
                              </a:lnTo>
                              <a:lnTo>
                                <a:pt x="4892" y="240"/>
                              </a:lnTo>
                              <a:lnTo>
                                <a:pt x="4900" y="260"/>
                              </a:lnTo>
                              <a:close/>
                              <a:moveTo>
                                <a:pt x="32" y="280"/>
                              </a:moveTo>
                              <a:lnTo>
                                <a:pt x="15" y="280"/>
                              </a:lnTo>
                              <a:lnTo>
                                <a:pt x="17" y="260"/>
                              </a:lnTo>
                              <a:lnTo>
                                <a:pt x="24" y="240"/>
                              </a:lnTo>
                              <a:lnTo>
                                <a:pt x="45" y="240"/>
                              </a:lnTo>
                              <a:lnTo>
                                <a:pt x="38" y="260"/>
                              </a:lnTo>
                              <a:lnTo>
                                <a:pt x="38" y="260"/>
                              </a:lnTo>
                              <a:lnTo>
                                <a:pt x="32" y="280"/>
                              </a:lnTo>
                              <a:close/>
                              <a:moveTo>
                                <a:pt x="4908" y="280"/>
                              </a:moveTo>
                              <a:lnTo>
                                <a:pt x="4891" y="280"/>
                              </a:lnTo>
                              <a:lnTo>
                                <a:pt x="4885" y="260"/>
                              </a:lnTo>
                              <a:lnTo>
                                <a:pt x="4906" y="260"/>
                              </a:lnTo>
                              <a:lnTo>
                                <a:pt x="4908" y="280"/>
                              </a:lnTo>
                              <a:close/>
                              <a:moveTo>
                                <a:pt x="26" y="300"/>
                              </a:moveTo>
                              <a:lnTo>
                                <a:pt x="10" y="300"/>
                              </a:lnTo>
                              <a:lnTo>
                                <a:pt x="12" y="280"/>
                              </a:lnTo>
                              <a:lnTo>
                                <a:pt x="29" y="280"/>
                              </a:lnTo>
                              <a:lnTo>
                                <a:pt x="26" y="300"/>
                              </a:lnTo>
                              <a:close/>
                              <a:moveTo>
                                <a:pt x="4913" y="300"/>
                              </a:moveTo>
                              <a:lnTo>
                                <a:pt x="4897" y="300"/>
                              </a:lnTo>
                              <a:lnTo>
                                <a:pt x="4894" y="280"/>
                              </a:lnTo>
                              <a:lnTo>
                                <a:pt x="4911" y="280"/>
                              </a:lnTo>
                              <a:lnTo>
                                <a:pt x="4913" y="300"/>
                              </a:lnTo>
                              <a:close/>
                              <a:moveTo>
                                <a:pt x="20" y="320"/>
                              </a:moveTo>
                              <a:lnTo>
                                <a:pt x="6" y="320"/>
                              </a:lnTo>
                              <a:lnTo>
                                <a:pt x="8" y="300"/>
                              </a:lnTo>
                              <a:lnTo>
                                <a:pt x="22" y="300"/>
                              </a:lnTo>
                              <a:lnTo>
                                <a:pt x="20" y="320"/>
                              </a:lnTo>
                              <a:close/>
                              <a:moveTo>
                                <a:pt x="4917" y="320"/>
                              </a:moveTo>
                              <a:lnTo>
                                <a:pt x="4903" y="320"/>
                              </a:lnTo>
                              <a:lnTo>
                                <a:pt x="4901" y="300"/>
                              </a:lnTo>
                              <a:lnTo>
                                <a:pt x="4915" y="300"/>
                              </a:lnTo>
                              <a:lnTo>
                                <a:pt x="4917" y="320"/>
                              </a:lnTo>
                              <a:close/>
                              <a:moveTo>
                                <a:pt x="18" y="340"/>
                              </a:moveTo>
                              <a:lnTo>
                                <a:pt x="3" y="340"/>
                              </a:lnTo>
                              <a:lnTo>
                                <a:pt x="4" y="320"/>
                              </a:lnTo>
                              <a:lnTo>
                                <a:pt x="19" y="320"/>
                              </a:lnTo>
                              <a:lnTo>
                                <a:pt x="18" y="340"/>
                              </a:lnTo>
                              <a:close/>
                              <a:moveTo>
                                <a:pt x="4920" y="340"/>
                              </a:moveTo>
                              <a:lnTo>
                                <a:pt x="4905" y="340"/>
                              </a:lnTo>
                              <a:lnTo>
                                <a:pt x="4904" y="320"/>
                              </a:lnTo>
                              <a:lnTo>
                                <a:pt x="4919" y="320"/>
                              </a:lnTo>
                              <a:lnTo>
                                <a:pt x="4920" y="340"/>
                              </a:lnTo>
                              <a:close/>
                              <a:moveTo>
                                <a:pt x="16" y="360"/>
                              </a:moveTo>
                              <a:lnTo>
                                <a:pt x="1" y="360"/>
                              </a:lnTo>
                              <a:lnTo>
                                <a:pt x="2" y="340"/>
                              </a:lnTo>
                              <a:lnTo>
                                <a:pt x="16" y="340"/>
                              </a:lnTo>
                              <a:lnTo>
                                <a:pt x="16" y="360"/>
                              </a:lnTo>
                              <a:close/>
                              <a:moveTo>
                                <a:pt x="4922" y="360"/>
                              </a:moveTo>
                              <a:lnTo>
                                <a:pt x="4907" y="360"/>
                              </a:lnTo>
                              <a:lnTo>
                                <a:pt x="4907" y="340"/>
                              </a:lnTo>
                              <a:lnTo>
                                <a:pt x="4921" y="340"/>
                              </a:lnTo>
                              <a:lnTo>
                                <a:pt x="4922" y="360"/>
                              </a:lnTo>
                              <a:close/>
                              <a:moveTo>
                                <a:pt x="15" y="380"/>
                              </a:moveTo>
                              <a:lnTo>
                                <a:pt x="0" y="380"/>
                              </a:lnTo>
                              <a:lnTo>
                                <a:pt x="0" y="360"/>
                              </a:lnTo>
                              <a:lnTo>
                                <a:pt x="15" y="360"/>
                              </a:lnTo>
                              <a:lnTo>
                                <a:pt x="15" y="380"/>
                              </a:lnTo>
                              <a:close/>
                              <a:moveTo>
                                <a:pt x="4923" y="380"/>
                              </a:moveTo>
                              <a:lnTo>
                                <a:pt x="4908" y="380"/>
                              </a:lnTo>
                              <a:lnTo>
                                <a:pt x="4908" y="360"/>
                              </a:lnTo>
                              <a:lnTo>
                                <a:pt x="4923" y="360"/>
                              </a:lnTo>
                              <a:lnTo>
                                <a:pt x="4923" y="380"/>
                              </a:lnTo>
                              <a:close/>
                              <a:moveTo>
                                <a:pt x="15" y="3120"/>
                              </a:moveTo>
                              <a:lnTo>
                                <a:pt x="0" y="3120"/>
                              </a:lnTo>
                              <a:lnTo>
                                <a:pt x="0" y="380"/>
                              </a:lnTo>
                              <a:lnTo>
                                <a:pt x="15" y="380"/>
                              </a:lnTo>
                              <a:lnTo>
                                <a:pt x="15" y="3120"/>
                              </a:lnTo>
                              <a:close/>
                              <a:moveTo>
                                <a:pt x="4924" y="3120"/>
                              </a:moveTo>
                              <a:lnTo>
                                <a:pt x="4909" y="3120"/>
                              </a:lnTo>
                              <a:lnTo>
                                <a:pt x="4909" y="380"/>
                              </a:lnTo>
                              <a:lnTo>
                                <a:pt x="4924" y="380"/>
                              </a:lnTo>
                              <a:lnTo>
                                <a:pt x="4924" y="3120"/>
                              </a:lnTo>
                              <a:close/>
                              <a:moveTo>
                                <a:pt x="15" y="3140"/>
                              </a:moveTo>
                              <a:lnTo>
                                <a:pt x="0" y="3140"/>
                              </a:lnTo>
                              <a:lnTo>
                                <a:pt x="0" y="3120"/>
                              </a:lnTo>
                              <a:lnTo>
                                <a:pt x="15" y="3120"/>
                              </a:lnTo>
                              <a:lnTo>
                                <a:pt x="15" y="3140"/>
                              </a:lnTo>
                              <a:close/>
                              <a:moveTo>
                                <a:pt x="4923" y="3140"/>
                              </a:moveTo>
                              <a:lnTo>
                                <a:pt x="4908" y="3140"/>
                              </a:lnTo>
                              <a:lnTo>
                                <a:pt x="4908" y="3120"/>
                              </a:lnTo>
                              <a:lnTo>
                                <a:pt x="4923" y="3120"/>
                              </a:lnTo>
                              <a:lnTo>
                                <a:pt x="4923" y="3140"/>
                              </a:lnTo>
                              <a:close/>
                              <a:moveTo>
                                <a:pt x="16" y="3160"/>
                              </a:moveTo>
                              <a:lnTo>
                                <a:pt x="2" y="3160"/>
                              </a:lnTo>
                              <a:lnTo>
                                <a:pt x="1" y="3140"/>
                              </a:lnTo>
                              <a:lnTo>
                                <a:pt x="16" y="3140"/>
                              </a:lnTo>
                              <a:lnTo>
                                <a:pt x="16" y="3160"/>
                              </a:lnTo>
                              <a:close/>
                              <a:moveTo>
                                <a:pt x="4921" y="3160"/>
                              </a:moveTo>
                              <a:lnTo>
                                <a:pt x="4907" y="3160"/>
                              </a:lnTo>
                              <a:lnTo>
                                <a:pt x="4907" y="3140"/>
                              </a:lnTo>
                              <a:lnTo>
                                <a:pt x="4922" y="3140"/>
                              </a:lnTo>
                              <a:lnTo>
                                <a:pt x="4921" y="3160"/>
                              </a:lnTo>
                              <a:close/>
                              <a:moveTo>
                                <a:pt x="19" y="3180"/>
                              </a:moveTo>
                              <a:lnTo>
                                <a:pt x="4" y="3180"/>
                              </a:lnTo>
                              <a:lnTo>
                                <a:pt x="3" y="3160"/>
                              </a:lnTo>
                              <a:lnTo>
                                <a:pt x="18" y="3160"/>
                              </a:lnTo>
                              <a:lnTo>
                                <a:pt x="19" y="3180"/>
                              </a:lnTo>
                              <a:close/>
                              <a:moveTo>
                                <a:pt x="4919" y="3180"/>
                              </a:moveTo>
                              <a:lnTo>
                                <a:pt x="4904" y="3180"/>
                              </a:lnTo>
                              <a:lnTo>
                                <a:pt x="4905" y="3160"/>
                              </a:lnTo>
                              <a:lnTo>
                                <a:pt x="4920" y="3160"/>
                              </a:lnTo>
                              <a:lnTo>
                                <a:pt x="4919" y="3180"/>
                              </a:lnTo>
                              <a:close/>
                              <a:moveTo>
                                <a:pt x="22" y="3200"/>
                              </a:moveTo>
                              <a:lnTo>
                                <a:pt x="8" y="3200"/>
                              </a:lnTo>
                              <a:lnTo>
                                <a:pt x="6" y="3180"/>
                              </a:lnTo>
                              <a:lnTo>
                                <a:pt x="20" y="3180"/>
                              </a:lnTo>
                              <a:lnTo>
                                <a:pt x="22" y="3200"/>
                              </a:lnTo>
                              <a:close/>
                              <a:moveTo>
                                <a:pt x="4915" y="3200"/>
                              </a:moveTo>
                              <a:lnTo>
                                <a:pt x="4901" y="3200"/>
                              </a:lnTo>
                              <a:lnTo>
                                <a:pt x="4903" y="3180"/>
                              </a:lnTo>
                              <a:lnTo>
                                <a:pt x="4917" y="3180"/>
                              </a:lnTo>
                              <a:lnTo>
                                <a:pt x="4915" y="3200"/>
                              </a:lnTo>
                              <a:close/>
                              <a:moveTo>
                                <a:pt x="29" y="3220"/>
                              </a:moveTo>
                              <a:lnTo>
                                <a:pt x="12" y="3220"/>
                              </a:lnTo>
                              <a:lnTo>
                                <a:pt x="10" y="3200"/>
                              </a:lnTo>
                              <a:lnTo>
                                <a:pt x="26" y="3200"/>
                              </a:lnTo>
                              <a:lnTo>
                                <a:pt x="29" y="3220"/>
                              </a:lnTo>
                              <a:close/>
                              <a:moveTo>
                                <a:pt x="4911" y="3220"/>
                              </a:moveTo>
                              <a:lnTo>
                                <a:pt x="4894" y="3220"/>
                              </a:lnTo>
                              <a:lnTo>
                                <a:pt x="4897" y="3200"/>
                              </a:lnTo>
                              <a:lnTo>
                                <a:pt x="4913" y="3200"/>
                              </a:lnTo>
                              <a:lnTo>
                                <a:pt x="4911" y="3220"/>
                              </a:lnTo>
                              <a:close/>
                              <a:moveTo>
                                <a:pt x="45" y="3260"/>
                              </a:moveTo>
                              <a:lnTo>
                                <a:pt x="24" y="3260"/>
                              </a:lnTo>
                              <a:lnTo>
                                <a:pt x="17" y="3240"/>
                              </a:lnTo>
                              <a:lnTo>
                                <a:pt x="15" y="3220"/>
                              </a:lnTo>
                              <a:lnTo>
                                <a:pt x="32" y="3220"/>
                              </a:lnTo>
                              <a:lnTo>
                                <a:pt x="38" y="3240"/>
                              </a:lnTo>
                              <a:lnTo>
                                <a:pt x="38" y="3240"/>
                              </a:lnTo>
                              <a:lnTo>
                                <a:pt x="45" y="3260"/>
                              </a:lnTo>
                              <a:close/>
                              <a:moveTo>
                                <a:pt x="4899" y="3260"/>
                              </a:moveTo>
                              <a:lnTo>
                                <a:pt x="4878" y="3260"/>
                              </a:lnTo>
                              <a:lnTo>
                                <a:pt x="4885" y="3240"/>
                              </a:lnTo>
                              <a:lnTo>
                                <a:pt x="4885" y="3240"/>
                              </a:lnTo>
                              <a:lnTo>
                                <a:pt x="4891" y="3220"/>
                              </a:lnTo>
                              <a:lnTo>
                                <a:pt x="4908" y="3220"/>
                              </a:lnTo>
                              <a:lnTo>
                                <a:pt x="4906" y="3240"/>
                              </a:lnTo>
                              <a:lnTo>
                                <a:pt x="4899" y="3260"/>
                              </a:lnTo>
                              <a:close/>
                              <a:moveTo>
                                <a:pt x="102" y="3360"/>
                              </a:moveTo>
                              <a:lnTo>
                                <a:pt x="78" y="3360"/>
                              </a:lnTo>
                              <a:lnTo>
                                <a:pt x="67" y="3340"/>
                              </a:lnTo>
                              <a:lnTo>
                                <a:pt x="57" y="3320"/>
                              </a:lnTo>
                              <a:lnTo>
                                <a:pt x="47" y="3300"/>
                              </a:lnTo>
                              <a:lnTo>
                                <a:pt x="39" y="3280"/>
                              </a:lnTo>
                              <a:lnTo>
                                <a:pt x="31" y="3260"/>
                              </a:lnTo>
                              <a:lnTo>
                                <a:pt x="44" y="3260"/>
                              </a:lnTo>
                              <a:lnTo>
                                <a:pt x="52" y="3280"/>
                              </a:lnTo>
                              <a:lnTo>
                                <a:pt x="52" y="3280"/>
                              </a:lnTo>
                              <a:lnTo>
                                <a:pt x="61" y="3300"/>
                              </a:lnTo>
                              <a:lnTo>
                                <a:pt x="60" y="3300"/>
                              </a:lnTo>
                              <a:lnTo>
                                <a:pt x="70" y="3320"/>
                              </a:lnTo>
                              <a:lnTo>
                                <a:pt x="80" y="3320"/>
                              </a:lnTo>
                              <a:lnTo>
                                <a:pt x="90" y="3340"/>
                              </a:lnTo>
                              <a:lnTo>
                                <a:pt x="90" y="3340"/>
                              </a:lnTo>
                              <a:lnTo>
                                <a:pt x="102" y="3360"/>
                              </a:lnTo>
                              <a:close/>
                              <a:moveTo>
                                <a:pt x="4845" y="3360"/>
                              </a:moveTo>
                              <a:lnTo>
                                <a:pt x="4821" y="3360"/>
                              </a:lnTo>
                              <a:lnTo>
                                <a:pt x="4833" y="3340"/>
                              </a:lnTo>
                              <a:lnTo>
                                <a:pt x="4833" y="3340"/>
                              </a:lnTo>
                              <a:lnTo>
                                <a:pt x="4843" y="3320"/>
                              </a:lnTo>
                              <a:lnTo>
                                <a:pt x="4853" y="3320"/>
                              </a:lnTo>
                              <a:lnTo>
                                <a:pt x="4863" y="3300"/>
                              </a:lnTo>
                              <a:lnTo>
                                <a:pt x="4862" y="3300"/>
                              </a:lnTo>
                              <a:lnTo>
                                <a:pt x="4871" y="3280"/>
                              </a:lnTo>
                              <a:lnTo>
                                <a:pt x="4871" y="3280"/>
                              </a:lnTo>
                              <a:lnTo>
                                <a:pt x="4879" y="3260"/>
                              </a:lnTo>
                              <a:lnTo>
                                <a:pt x="4892" y="3260"/>
                              </a:lnTo>
                              <a:lnTo>
                                <a:pt x="4884" y="3280"/>
                              </a:lnTo>
                              <a:lnTo>
                                <a:pt x="4876" y="3300"/>
                              </a:lnTo>
                              <a:lnTo>
                                <a:pt x="4866" y="3320"/>
                              </a:lnTo>
                              <a:lnTo>
                                <a:pt x="4856" y="3340"/>
                              </a:lnTo>
                              <a:lnTo>
                                <a:pt x="4845" y="3360"/>
                              </a:lnTo>
                              <a:close/>
                              <a:moveTo>
                                <a:pt x="140" y="3400"/>
                              </a:moveTo>
                              <a:lnTo>
                                <a:pt x="115" y="3400"/>
                              </a:lnTo>
                              <a:lnTo>
                                <a:pt x="102" y="3380"/>
                              </a:lnTo>
                              <a:lnTo>
                                <a:pt x="90" y="3360"/>
                              </a:lnTo>
                              <a:lnTo>
                                <a:pt x="101" y="3360"/>
                              </a:lnTo>
                              <a:lnTo>
                                <a:pt x="114" y="3380"/>
                              </a:lnTo>
                              <a:lnTo>
                                <a:pt x="126" y="3380"/>
                              </a:lnTo>
                              <a:lnTo>
                                <a:pt x="140" y="3400"/>
                              </a:lnTo>
                              <a:close/>
                              <a:moveTo>
                                <a:pt x="4807" y="3400"/>
                              </a:moveTo>
                              <a:lnTo>
                                <a:pt x="4783" y="3400"/>
                              </a:lnTo>
                              <a:lnTo>
                                <a:pt x="4797" y="3380"/>
                              </a:lnTo>
                              <a:lnTo>
                                <a:pt x="4809" y="3380"/>
                              </a:lnTo>
                              <a:lnTo>
                                <a:pt x="4822" y="3360"/>
                              </a:lnTo>
                              <a:lnTo>
                                <a:pt x="4833" y="3360"/>
                              </a:lnTo>
                              <a:lnTo>
                                <a:pt x="4820" y="3380"/>
                              </a:lnTo>
                              <a:lnTo>
                                <a:pt x="4807" y="3400"/>
                              </a:lnTo>
                              <a:close/>
                              <a:moveTo>
                                <a:pt x="183" y="3440"/>
                              </a:moveTo>
                              <a:lnTo>
                                <a:pt x="159" y="3440"/>
                              </a:lnTo>
                              <a:lnTo>
                                <a:pt x="144" y="3420"/>
                              </a:lnTo>
                              <a:lnTo>
                                <a:pt x="129" y="3400"/>
                              </a:lnTo>
                              <a:lnTo>
                                <a:pt x="153" y="3400"/>
                              </a:lnTo>
                              <a:lnTo>
                                <a:pt x="168" y="3420"/>
                              </a:lnTo>
                              <a:lnTo>
                                <a:pt x="168" y="3420"/>
                              </a:lnTo>
                              <a:lnTo>
                                <a:pt x="183" y="3440"/>
                              </a:lnTo>
                              <a:close/>
                              <a:moveTo>
                                <a:pt x="4764" y="3440"/>
                              </a:moveTo>
                              <a:lnTo>
                                <a:pt x="4740" y="3440"/>
                              </a:lnTo>
                              <a:lnTo>
                                <a:pt x="4755" y="3420"/>
                              </a:lnTo>
                              <a:lnTo>
                                <a:pt x="4755" y="3420"/>
                              </a:lnTo>
                              <a:lnTo>
                                <a:pt x="4770" y="3400"/>
                              </a:lnTo>
                              <a:lnTo>
                                <a:pt x="4794" y="3400"/>
                              </a:lnTo>
                              <a:lnTo>
                                <a:pt x="4779" y="3420"/>
                              </a:lnTo>
                              <a:lnTo>
                                <a:pt x="4764" y="3440"/>
                              </a:lnTo>
                              <a:close/>
                              <a:moveTo>
                                <a:pt x="214" y="3460"/>
                              </a:moveTo>
                              <a:lnTo>
                                <a:pt x="190" y="3460"/>
                              </a:lnTo>
                              <a:lnTo>
                                <a:pt x="174" y="3440"/>
                              </a:lnTo>
                              <a:lnTo>
                                <a:pt x="198" y="3440"/>
                              </a:lnTo>
                              <a:lnTo>
                                <a:pt x="214" y="3460"/>
                              </a:lnTo>
                              <a:close/>
                              <a:moveTo>
                                <a:pt x="231" y="3460"/>
                              </a:moveTo>
                              <a:lnTo>
                                <a:pt x="214" y="3460"/>
                              </a:lnTo>
                              <a:lnTo>
                                <a:pt x="214" y="3440"/>
                              </a:lnTo>
                              <a:lnTo>
                                <a:pt x="231" y="3460"/>
                              </a:lnTo>
                              <a:close/>
                              <a:moveTo>
                                <a:pt x="4709" y="3460"/>
                              </a:moveTo>
                              <a:lnTo>
                                <a:pt x="4692" y="3460"/>
                              </a:lnTo>
                              <a:lnTo>
                                <a:pt x="4709" y="3440"/>
                              </a:lnTo>
                              <a:lnTo>
                                <a:pt x="4709" y="3460"/>
                              </a:lnTo>
                              <a:close/>
                              <a:moveTo>
                                <a:pt x="4732" y="3460"/>
                              </a:moveTo>
                              <a:lnTo>
                                <a:pt x="4709" y="3460"/>
                              </a:lnTo>
                              <a:lnTo>
                                <a:pt x="4725" y="3440"/>
                              </a:lnTo>
                              <a:lnTo>
                                <a:pt x="4749" y="3440"/>
                              </a:lnTo>
                              <a:lnTo>
                                <a:pt x="4732" y="3460"/>
                              </a:lnTo>
                              <a:close/>
                              <a:moveTo>
                                <a:pt x="265" y="3480"/>
                              </a:moveTo>
                              <a:lnTo>
                                <a:pt x="224" y="3480"/>
                              </a:lnTo>
                              <a:lnTo>
                                <a:pt x="207" y="3460"/>
                              </a:lnTo>
                              <a:lnTo>
                                <a:pt x="247" y="3460"/>
                              </a:lnTo>
                              <a:lnTo>
                                <a:pt x="265" y="3480"/>
                              </a:lnTo>
                              <a:close/>
                              <a:moveTo>
                                <a:pt x="4699" y="3480"/>
                              </a:moveTo>
                              <a:lnTo>
                                <a:pt x="4658" y="3480"/>
                              </a:lnTo>
                              <a:lnTo>
                                <a:pt x="4676" y="3460"/>
                              </a:lnTo>
                              <a:lnTo>
                                <a:pt x="4716" y="3460"/>
                              </a:lnTo>
                              <a:lnTo>
                                <a:pt x="4699" y="3480"/>
                              </a:lnTo>
                              <a:close/>
                              <a:moveTo>
                                <a:pt x="328" y="3500"/>
                              </a:moveTo>
                              <a:lnTo>
                                <a:pt x="278" y="3500"/>
                              </a:lnTo>
                              <a:lnTo>
                                <a:pt x="259" y="3480"/>
                              </a:lnTo>
                              <a:lnTo>
                                <a:pt x="319" y="3480"/>
                              </a:lnTo>
                              <a:lnTo>
                                <a:pt x="328" y="3500"/>
                              </a:lnTo>
                              <a:close/>
                              <a:moveTo>
                                <a:pt x="4645" y="3500"/>
                              </a:moveTo>
                              <a:lnTo>
                                <a:pt x="4595" y="3500"/>
                              </a:lnTo>
                              <a:lnTo>
                                <a:pt x="4604" y="3480"/>
                              </a:lnTo>
                              <a:lnTo>
                                <a:pt x="4663" y="3480"/>
                              </a:lnTo>
                              <a:lnTo>
                                <a:pt x="4645" y="3500"/>
                              </a:lnTo>
                              <a:close/>
                              <a:moveTo>
                                <a:pt x="4548" y="3520"/>
                              </a:moveTo>
                              <a:lnTo>
                                <a:pt x="376" y="3520"/>
                              </a:lnTo>
                              <a:lnTo>
                                <a:pt x="365" y="3500"/>
                              </a:lnTo>
                              <a:lnTo>
                                <a:pt x="4557" y="3500"/>
                              </a:lnTo>
                              <a:lnTo>
                                <a:pt x="4548" y="3520"/>
                              </a:lnTo>
                              <a:close/>
                            </a:path>
                          </a:pathLst>
                        </a:custGeom>
                        <a:solidFill>
                          <a:srgbClr val="000000"/>
                        </a:solidFill>
                        <a:ln>
                          <a:noFill/>
                        </a:ln>
                      </wps:spPr>
                      <wps:bodyPr upright="1"/>
                    </wps:wsp>
                  </a:graphicData>
                </a:graphic>
              </wp:anchor>
            </w:drawing>
          </mc:Choice>
          <mc:Fallback>
            <w:pict>
              <v:shape id="任意多边形 5" o:spid="_x0000_s1026" o:spt="100" style="position:absolute;left:0pt;margin-left:45.95pt;margin-top:20.15pt;height:176pt;width:246.2pt;mso-position-horizontal-relative:page;z-index:251685888;mso-width-relative:page;mso-height-relative:page;" fillcolor="#000000" filled="t" stroked="f" coordsize="4924,3520" o:gfxdata="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" path="m328,20l260,20,278,0,338,0,328,20xm4664,20l4595,20,4585,0,4645,0,4664,20xm247,40l207,40,224,20,265,20,247,40xm4716,40l4676,40,4658,20,4699,20,4716,40xm214,60l174,60,191,40,231,40,214,60xm4749,60l4709,60,4692,40,4733,40,4749,60xm153,100l130,100,144,80,159,60,198,60,183,80,168,80,153,100xm4794,100l4770,100,4755,80,4740,80,4725,60,4764,60,4779,80,4794,100xm101,140l90,140,103,120,116,100,140,100,126,120,114,120,101,140xm4833,140l4822,140,4809,120,4797,120,4783,100,4808,100,4821,120,4833,140xm113,140l114,120,126,120,113,140xm4810,140l4797,120,4809,120,4810,140xm44,240l31,240,39,220,47,200,57,180,67,160,78,140,102,140,90,160,90,160,80,180,70,180,60,200,61,200,52,220,52,220,44,240xm4900,260l4885,260,4878,240,4879,240,4871,220,4871,220,4862,200,4863,200,4853,180,4843,180,4833,160,4833,160,4821,140,4845,140,4856,160,4866,180,4876,200,4884,220,4892,240,4900,260xm32,280l15,280,17,260,24,240,45,240,38,260,38,260,32,280xm4908,280l4891,280,4885,260,4906,260,4908,280xm26,300l10,300,12,280,29,280,26,300xm4913,300l4897,300,4894,280,4911,280,4913,300xm20,320l6,320,8,300,22,300,20,320xm4917,320l4903,320,4901,300,4915,300,4917,320xm18,340l3,340,4,320,19,320,18,340xm4920,340l4905,340,4904,320,4919,320,4920,340xm16,360l1,360,2,340,16,340,16,360xm4922,360l4907,360,4907,340,4921,340,4922,360xm15,380l0,380,0,360,15,360,15,380xm4923,380l4908,380,4908,360,4923,360,4923,380xm15,3120l0,3120,0,380,15,380,15,3120xm4924,3120l4909,3120,4909,380,4924,380,4924,3120xm15,3140l0,3140,0,3120,15,3120,15,3140xm4923,3140l4908,3140,4908,3120,4923,3120,4923,3140xm16,3160l2,3160,1,3140,16,3140,16,3160xm4921,3160l4907,3160,4907,3140,4922,3140,4921,3160xm19,3180l4,3180,3,3160,18,3160,19,3180xm4919,3180l4904,3180,4905,3160,4920,3160,4919,3180xm22,3200l8,3200,6,3180,20,3180,22,3200xm4915,3200l4901,3200,4903,3180,4917,3180,4915,3200xm29,3220l12,3220,10,3200,26,3200,29,3220xm4911,3220l4894,3220,4897,3200,4913,3200,4911,3220xm45,3260l24,3260,17,3240,15,3220,32,3220,38,3240,38,3240,45,3260xm4899,3260l4878,3260,4885,3240,4885,3240,4891,3220,4908,3220,4906,3240,4899,3260xm102,3360l78,3360,67,3340,57,3320,47,3300,39,3280,31,3260,44,3260,52,3280,52,3280,61,3300,60,3300,70,3320,80,3320,90,3340,90,3340,102,3360xm4845,3360l4821,3360,4833,3340,4833,3340,4843,3320,4853,3320,4863,3300,4862,3300,4871,3280,4871,3280,4879,3260,4892,3260,4884,3280,4876,3300,4866,3320,4856,3340,4845,3360xm140,3400l115,3400,102,3380,90,3360,101,3360,114,3380,126,3380,140,3400xm4807,3400l4783,3400,4797,3380,4809,3380,4822,3360,4833,3360,4820,3380,4807,3400xm183,3440l159,3440,144,3420,129,3400,153,3400,168,3420,168,3420,183,3440xm4764,3440l4740,3440,4755,3420,4755,3420,4770,3400,4794,3400,4779,3420,4764,3440xm214,3460l190,3460,174,3440,198,3440,214,3460xm231,3460l214,3460,214,3440,231,3460xm4709,3460l4692,3460,4709,3440,4709,3460xm4732,3460l4709,3460,4725,3440,4749,3440,4732,3460xm265,3480l224,3480,207,3460,247,3460,265,3480xm4699,3480l4658,3480,4676,3460,4716,3460,4699,3480xm328,3500l278,3500,259,3480,319,3480,328,3500xm4645,3500l4595,3500,4604,3480,4663,3480,4645,3500xm4548,3520l376,3520,365,3500,4557,3500,4548,3520xe">
                <v:fill on="t" focussize="0,0"/>
                <v:stroke on="f"/>
                <v:imagedata o:title=""/>
                <o:lock v:ext="edit" aspectratio="f"/>
              </v:shape>
            </w:pict>
          </mc:Fallback>
        </mc:AlternateContent>
      </w:r>
      <w:r>
        <w:rPr>
          <w:rFonts w:hint="eastAsia" w:asciiTheme="minorEastAsia" w:hAnsiTheme="minorEastAsia" w:eastAsiaTheme="minorEastAsia" w:cstheme="minorEastAsia"/>
          <w:b/>
          <w:bCs/>
          <w:sz w:val="24"/>
          <w:szCs w:val="24"/>
          <w:u w:val="none"/>
          <w:lang w:val="en-US" w:eastAsia="zh-CN"/>
        </w:rPr>
        <w:t>法定代表人身份证明复印件：</w:t>
      </w:r>
    </w:p>
    <w:p/>
    <w:p/>
    <w:p/>
    <w:p/>
    <w:p/>
    <w:p>
      <w:pPr>
        <w:ind w:left="7880" w:leftChars="0" w:firstLine="0" w:firstLineChars="0"/>
        <w:jc w:val="center"/>
        <w:rPr>
          <w:rFonts w:hint="eastAsia"/>
          <w:lang w:val="en-US" w:eastAsia="zh-CN"/>
        </w:rPr>
      </w:pPr>
      <w:r>
        <w:rPr>
          <w:rFonts w:hint="eastAsia"/>
          <w:lang w:val="en-US" w:eastAsia="zh-CN"/>
        </w:rPr>
        <w:t xml:space="preserve">         </w:t>
      </w:r>
    </w:p>
    <w:p>
      <w:pPr>
        <w:pStyle w:val="2"/>
        <w:ind w:left="0" w:leftChars="0" w:firstLine="0" w:firstLineChars="0"/>
        <w:rPr>
          <w:rFonts w:hint="eastAsia"/>
          <w:lang w:val="en-US" w:eastAsia="zh-CN"/>
        </w:rPr>
      </w:pPr>
    </w:p>
    <w:p>
      <w:pPr>
        <w:pStyle w:val="2"/>
        <w:spacing w:line="360" w:lineRule="auto"/>
        <w:ind w:left="0" w:leftChars="0" w:right="-53" w:rightChars="-24"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注：此法定代表人身份证明须另提交一份，与法定代表人授权书、投标函、保证金交纳证明装入同一单独密封袋，于开标前接受检查。</w:t>
      </w:r>
    </w:p>
    <w:p>
      <w:pPr>
        <w:pStyle w:val="2"/>
        <w:rPr>
          <w:rFonts w:hint="eastAsia"/>
          <w:lang w:val="en-US" w:eastAsia="zh-CN"/>
        </w:rPr>
      </w:pPr>
      <w:r>
        <w:rPr>
          <w:rFonts w:hint="eastAsia"/>
          <w:lang w:val="en-US" w:eastAsia="zh-CN"/>
        </w:rPr>
        <w:br w:type="page"/>
      </w:r>
    </w:p>
    <w:p>
      <w:pPr>
        <w:pStyle w:val="2"/>
        <w:ind w:left="0" w:leftChars="0" w:firstLine="0" w:firstLineChars="0"/>
        <w:jc w:val="center"/>
        <w:rPr>
          <w:rFonts w:hint="eastAsia" w:asciiTheme="minorEastAsia" w:hAnsiTheme="minorEastAsia" w:eastAsiaTheme="minorEastAsia" w:cstheme="minorEastAsia"/>
          <w:b/>
          <w:bCs/>
          <w:sz w:val="32"/>
          <w:szCs w:val="40"/>
          <w:lang w:val="en-US" w:eastAsia="zh-CN"/>
        </w:rPr>
      </w:pPr>
      <w:r>
        <w:rPr>
          <w:rFonts w:hint="eastAsia" w:asciiTheme="minorEastAsia" w:hAnsiTheme="minorEastAsia" w:eastAsiaTheme="minorEastAsia" w:cstheme="minorEastAsia"/>
          <w:b/>
          <w:bCs/>
          <w:sz w:val="32"/>
          <w:szCs w:val="40"/>
          <w:lang w:val="en-US" w:eastAsia="zh-CN"/>
        </w:rPr>
        <w:t>三、法定代表人授权委托书</w:t>
      </w:r>
    </w:p>
    <w:p>
      <w:pPr>
        <w:pStyle w:val="2"/>
        <w:spacing w:line="360" w:lineRule="auto"/>
        <w:ind w:left="0" w:leftChars="0" w:firstLine="0" w:firstLine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致：甘肃国泰国际招标有限公司</w:t>
      </w:r>
    </w:p>
    <w:p>
      <w:pPr>
        <w:pStyle w:val="2"/>
        <w:spacing w:line="360" w:lineRule="auto"/>
        <w:ind w:left="0"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本授权书声明：注册于</w:t>
      </w:r>
      <w:r>
        <w:rPr>
          <w:rFonts w:hint="eastAsia" w:asciiTheme="minorEastAsia" w:hAnsiTheme="minorEastAsia" w:eastAsiaTheme="minorEastAsia" w:cstheme="minorEastAsia"/>
          <w:sz w:val="24"/>
          <w:szCs w:val="24"/>
          <w:u w:val="single"/>
          <w:lang w:val="en-US" w:eastAsia="zh-CN"/>
        </w:rPr>
        <w:t>（国家或地区）</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u w:val="single"/>
          <w:lang w:val="en-US" w:eastAsia="zh-CN"/>
        </w:rPr>
        <w:t>（供应商名称）</w:t>
      </w:r>
      <w:r>
        <w:rPr>
          <w:rFonts w:hint="eastAsia" w:asciiTheme="minorEastAsia" w:hAnsiTheme="minorEastAsia" w:eastAsiaTheme="minorEastAsia" w:cstheme="minorEastAsia"/>
          <w:sz w:val="24"/>
          <w:szCs w:val="24"/>
          <w:lang w:val="en-US" w:eastAsia="zh-CN"/>
        </w:rPr>
        <w:t>的在下面签字的</w:t>
      </w:r>
      <w:r>
        <w:rPr>
          <w:rFonts w:hint="eastAsia" w:asciiTheme="minorEastAsia" w:hAnsiTheme="minorEastAsia" w:eastAsiaTheme="minorEastAsia" w:cstheme="minorEastAsia"/>
          <w:sz w:val="24"/>
          <w:szCs w:val="24"/>
          <w:u w:val="single"/>
          <w:lang w:val="en-US" w:eastAsia="zh-CN"/>
        </w:rPr>
        <w:t>（法定代表人姓名、职务）</w:t>
      </w:r>
      <w:r>
        <w:rPr>
          <w:rFonts w:hint="eastAsia" w:asciiTheme="minorEastAsia" w:hAnsiTheme="minorEastAsia" w:eastAsiaTheme="minorEastAsia" w:cstheme="minorEastAsia"/>
          <w:sz w:val="24"/>
          <w:szCs w:val="24"/>
          <w:lang w:val="en-US" w:eastAsia="zh-CN"/>
        </w:rPr>
        <w:t>代表本公司授权在下面签字的</w:t>
      </w:r>
      <w:r>
        <w:rPr>
          <w:rFonts w:hint="eastAsia" w:asciiTheme="minorEastAsia" w:hAnsiTheme="minorEastAsia" w:eastAsiaTheme="minorEastAsia" w:cstheme="minorEastAsia"/>
          <w:sz w:val="24"/>
          <w:szCs w:val="24"/>
          <w:u w:val="single"/>
          <w:lang w:val="en-US" w:eastAsia="zh-CN"/>
        </w:rPr>
        <w:t>（被授权人的姓名、职务）</w:t>
      </w:r>
      <w:r>
        <w:rPr>
          <w:rFonts w:hint="eastAsia" w:asciiTheme="minorEastAsia" w:hAnsiTheme="minorEastAsia" w:eastAsiaTheme="minorEastAsia" w:cstheme="minorEastAsia"/>
          <w:sz w:val="24"/>
          <w:szCs w:val="24"/>
          <w:lang w:val="en-US" w:eastAsia="zh-CN"/>
        </w:rPr>
        <w:t xml:space="preserve">为本公司的法定代表人，就〔项目编号为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〕的《招标文件》中张掖市中级人民法院综合审判大楼弱电改造项目的招标和合同执行，以我方的名义处理一切与之有关的事宜。</w:t>
      </w:r>
    </w:p>
    <w:p>
      <w:pPr>
        <w:pStyle w:val="2"/>
        <w:spacing w:line="360" w:lineRule="auto"/>
        <w:ind w:left="0" w:leftChars="0"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本授权书于</w:t>
      </w:r>
      <w:r>
        <w:rPr>
          <w:rFonts w:hint="eastAsia" w:asciiTheme="minorEastAsia" w:hAnsiTheme="minorEastAsia" w:eastAsiaTheme="minorEastAsia" w:cstheme="minorEastAsia"/>
          <w:sz w:val="24"/>
          <w:szCs w:val="24"/>
          <w:u w:val="single"/>
          <w:lang w:val="en-US" w:eastAsia="zh-CN"/>
        </w:rPr>
        <w:t xml:space="preserve">   年   月   日</w:t>
      </w:r>
      <w:r>
        <w:rPr>
          <w:rFonts w:hint="eastAsia" w:asciiTheme="minorEastAsia" w:hAnsiTheme="minorEastAsia" w:eastAsiaTheme="minorEastAsia" w:cstheme="minorEastAsia"/>
          <w:sz w:val="24"/>
          <w:szCs w:val="24"/>
          <w:lang w:val="en-US" w:eastAsia="zh-CN"/>
        </w:rPr>
        <w:t>签字生效，特此声明。</w:t>
      </w:r>
    </w:p>
    <w:p>
      <w:pPr>
        <w:pStyle w:val="2"/>
        <w:spacing w:line="360" w:lineRule="auto"/>
        <w:ind w:left="0" w:leftChars="0"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供应商（盖章）：</w:t>
      </w:r>
    </w:p>
    <w:p>
      <w:pPr>
        <w:pStyle w:val="2"/>
        <w:spacing w:line="360" w:lineRule="auto"/>
        <w:ind w:left="0" w:leftChars="0"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地址：</w:t>
      </w:r>
    </w:p>
    <w:p>
      <w:pPr>
        <w:pStyle w:val="2"/>
        <w:spacing w:line="360" w:lineRule="auto"/>
        <w:ind w:left="0" w:leftChars="0"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法定代表人（签名或盖章）：</w:t>
      </w:r>
    </w:p>
    <w:p>
      <w:pPr>
        <w:pStyle w:val="2"/>
        <w:spacing w:line="360" w:lineRule="auto"/>
        <w:ind w:left="0" w:leftChars="0"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职务：</w:t>
      </w:r>
    </w:p>
    <w:p>
      <w:pPr>
        <w:pStyle w:val="2"/>
        <w:spacing w:line="360" w:lineRule="auto"/>
        <w:ind w:left="0" w:leftChars="0"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被授权人（签名或盖章）：</w:t>
      </w:r>
    </w:p>
    <w:p>
      <w:pPr>
        <w:pStyle w:val="2"/>
        <w:spacing w:line="360" w:lineRule="auto"/>
        <w:ind w:left="0" w:leftChars="0"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职务：</w:t>
      </w:r>
    </w:p>
    <w:p>
      <w:pPr>
        <w:pStyle w:val="2"/>
        <w:spacing w:line="360" w:lineRule="auto"/>
        <w:ind w:left="0" w:leftChars="0" w:firstLine="0" w:firstLine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被授权人身份证明复印件：</w:t>
      </w:r>
    </w:p>
    <w:p>
      <w:pPr>
        <w:pStyle w:val="2"/>
        <w:spacing w:line="360" w:lineRule="auto"/>
        <w:ind w:left="0" w:leftChars="0" w:firstLine="0" w:firstLineChars="0"/>
        <w:rPr>
          <w:rFonts w:hint="eastAsia" w:asciiTheme="minorEastAsia" w:hAnsiTheme="minorEastAsia" w:eastAsiaTheme="minorEastAsia" w:cstheme="minorEastAsia"/>
          <w:b/>
          <w:bCs/>
          <w:sz w:val="24"/>
          <w:szCs w:val="24"/>
          <w:lang w:val="en-US" w:eastAsia="zh-CN"/>
        </w:rPr>
      </w:pPr>
      <w:r>
        <mc:AlternateContent>
          <mc:Choice Requires="wps">
            <w:drawing>
              <wp:anchor distT="0" distB="0" distL="114300" distR="114300" simplePos="0" relativeHeight="251829248" behindDoc="0" locked="0" layoutInCell="1" allowOverlap="1">
                <wp:simplePos x="0" y="0"/>
                <wp:positionH relativeFrom="page">
                  <wp:posOffset>644525</wp:posOffset>
                </wp:positionH>
                <wp:positionV relativeFrom="paragraph">
                  <wp:posOffset>176530</wp:posOffset>
                </wp:positionV>
                <wp:extent cx="3126740" cy="2235200"/>
                <wp:effectExtent l="0" t="0" r="12700" b="5080"/>
                <wp:wrapNone/>
                <wp:docPr id="3" name="任意多边形 5"/>
                <wp:cNvGraphicFramePr/>
                <a:graphic xmlns:a="http://schemas.openxmlformats.org/drawingml/2006/main">
                  <a:graphicData uri="http://schemas.microsoft.com/office/word/2010/wordprocessingShape">
                    <wps:wsp>
                      <wps:cNvSpPr/>
                      <wps:spPr>
                        <a:xfrm>
                          <a:off x="0" y="0"/>
                          <a:ext cx="3126740" cy="2235200"/>
                        </a:xfrm>
                        <a:custGeom>
                          <a:avLst/>
                          <a:gdLst/>
                          <a:ahLst/>
                          <a:cxnLst/>
                          <a:pathLst>
                            <a:path w="4924" h="3520">
                              <a:moveTo>
                                <a:pt x="328" y="20"/>
                              </a:moveTo>
                              <a:lnTo>
                                <a:pt x="260" y="20"/>
                              </a:lnTo>
                              <a:lnTo>
                                <a:pt x="278" y="0"/>
                              </a:lnTo>
                              <a:lnTo>
                                <a:pt x="338" y="0"/>
                              </a:lnTo>
                              <a:lnTo>
                                <a:pt x="328" y="20"/>
                              </a:lnTo>
                              <a:close/>
                              <a:moveTo>
                                <a:pt x="4664" y="20"/>
                              </a:moveTo>
                              <a:lnTo>
                                <a:pt x="4595" y="20"/>
                              </a:lnTo>
                              <a:lnTo>
                                <a:pt x="4585" y="0"/>
                              </a:lnTo>
                              <a:lnTo>
                                <a:pt x="4645" y="0"/>
                              </a:lnTo>
                              <a:lnTo>
                                <a:pt x="4664" y="20"/>
                              </a:lnTo>
                              <a:close/>
                              <a:moveTo>
                                <a:pt x="247" y="40"/>
                              </a:moveTo>
                              <a:lnTo>
                                <a:pt x="207" y="40"/>
                              </a:lnTo>
                              <a:lnTo>
                                <a:pt x="224" y="20"/>
                              </a:lnTo>
                              <a:lnTo>
                                <a:pt x="265" y="20"/>
                              </a:lnTo>
                              <a:lnTo>
                                <a:pt x="247" y="40"/>
                              </a:lnTo>
                              <a:close/>
                              <a:moveTo>
                                <a:pt x="4716" y="40"/>
                              </a:moveTo>
                              <a:lnTo>
                                <a:pt x="4676" y="40"/>
                              </a:lnTo>
                              <a:lnTo>
                                <a:pt x="4658" y="20"/>
                              </a:lnTo>
                              <a:lnTo>
                                <a:pt x="4699" y="20"/>
                              </a:lnTo>
                              <a:lnTo>
                                <a:pt x="4716" y="40"/>
                              </a:lnTo>
                              <a:close/>
                              <a:moveTo>
                                <a:pt x="214" y="60"/>
                              </a:moveTo>
                              <a:lnTo>
                                <a:pt x="174" y="60"/>
                              </a:lnTo>
                              <a:lnTo>
                                <a:pt x="191" y="40"/>
                              </a:lnTo>
                              <a:lnTo>
                                <a:pt x="231" y="40"/>
                              </a:lnTo>
                              <a:lnTo>
                                <a:pt x="214" y="60"/>
                              </a:lnTo>
                              <a:close/>
                              <a:moveTo>
                                <a:pt x="4749" y="60"/>
                              </a:moveTo>
                              <a:lnTo>
                                <a:pt x="4709" y="60"/>
                              </a:lnTo>
                              <a:lnTo>
                                <a:pt x="4692" y="40"/>
                              </a:lnTo>
                              <a:lnTo>
                                <a:pt x="4733" y="40"/>
                              </a:lnTo>
                              <a:lnTo>
                                <a:pt x="4749" y="60"/>
                              </a:lnTo>
                              <a:close/>
                              <a:moveTo>
                                <a:pt x="153" y="100"/>
                              </a:moveTo>
                              <a:lnTo>
                                <a:pt x="130" y="100"/>
                              </a:lnTo>
                              <a:lnTo>
                                <a:pt x="144" y="80"/>
                              </a:lnTo>
                              <a:lnTo>
                                <a:pt x="159" y="60"/>
                              </a:lnTo>
                              <a:lnTo>
                                <a:pt x="198" y="60"/>
                              </a:lnTo>
                              <a:lnTo>
                                <a:pt x="183" y="80"/>
                              </a:lnTo>
                              <a:lnTo>
                                <a:pt x="168" y="80"/>
                              </a:lnTo>
                              <a:lnTo>
                                <a:pt x="153" y="100"/>
                              </a:lnTo>
                              <a:close/>
                              <a:moveTo>
                                <a:pt x="4794" y="100"/>
                              </a:moveTo>
                              <a:lnTo>
                                <a:pt x="4770" y="100"/>
                              </a:lnTo>
                              <a:lnTo>
                                <a:pt x="4755" y="80"/>
                              </a:lnTo>
                              <a:lnTo>
                                <a:pt x="4740" y="80"/>
                              </a:lnTo>
                              <a:lnTo>
                                <a:pt x="4725" y="60"/>
                              </a:lnTo>
                              <a:lnTo>
                                <a:pt x="4764" y="60"/>
                              </a:lnTo>
                              <a:lnTo>
                                <a:pt x="4779" y="80"/>
                              </a:lnTo>
                              <a:lnTo>
                                <a:pt x="4794" y="100"/>
                              </a:lnTo>
                              <a:close/>
                              <a:moveTo>
                                <a:pt x="101" y="140"/>
                              </a:moveTo>
                              <a:lnTo>
                                <a:pt x="90" y="140"/>
                              </a:lnTo>
                              <a:lnTo>
                                <a:pt x="103" y="120"/>
                              </a:lnTo>
                              <a:lnTo>
                                <a:pt x="116" y="100"/>
                              </a:lnTo>
                              <a:lnTo>
                                <a:pt x="140" y="100"/>
                              </a:lnTo>
                              <a:lnTo>
                                <a:pt x="126" y="120"/>
                              </a:lnTo>
                              <a:lnTo>
                                <a:pt x="114" y="120"/>
                              </a:lnTo>
                              <a:lnTo>
                                <a:pt x="101" y="140"/>
                              </a:lnTo>
                              <a:close/>
                              <a:moveTo>
                                <a:pt x="4833" y="140"/>
                              </a:moveTo>
                              <a:lnTo>
                                <a:pt x="4822" y="140"/>
                              </a:lnTo>
                              <a:lnTo>
                                <a:pt x="4809" y="120"/>
                              </a:lnTo>
                              <a:lnTo>
                                <a:pt x="4797" y="120"/>
                              </a:lnTo>
                              <a:lnTo>
                                <a:pt x="4783" y="100"/>
                              </a:lnTo>
                              <a:lnTo>
                                <a:pt x="4808" y="100"/>
                              </a:lnTo>
                              <a:lnTo>
                                <a:pt x="4821" y="120"/>
                              </a:lnTo>
                              <a:lnTo>
                                <a:pt x="4833" y="140"/>
                              </a:lnTo>
                              <a:close/>
                              <a:moveTo>
                                <a:pt x="113" y="140"/>
                              </a:moveTo>
                              <a:lnTo>
                                <a:pt x="114" y="120"/>
                              </a:lnTo>
                              <a:lnTo>
                                <a:pt x="126" y="120"/>
                              </a:lnTo>
                              <a:lnTo>
                                <a:pt x="113" y="140"/>
                              </a:lnTo>
                              <a:close/>
                              <a:moveTo>
                                <a:pt x="4810" y="140"/>
                              </a:moveTo>
                              <a:lnTo>
                                <a:pt x="4797" y="120"/>
                              </a:lnTo>
                              <a:lnTo>
                                <a:pt x="4809" y="120"/>
                              </a:lnTo>
                              <a:lnTo>
                                <a:pt x="4810" y="140"/>
                              </a:lnTo>
                              <a:close/>
                              <a:moveTo>
                                <a:pt x="44" y="240"/>
                              </a:moveTo>
                              <a:lnTo>
                                <a:pt x="31" y="240"/>
                              </a:lnTo>
                              <a:lnTo>
                                <a:pt x="39" y="220"/>
                              </a:lnTo>
                              <a:lnTo>
                                <a:pt x="47" y="200"/>
                              </a:lnTo>
                              <a:lnTo>
                                <a:pt x="57" y="180"/>
                              </a:lnTo>
                              <a:lnTo>
                                <a:pt x="67" y="160"/>
                              </a:lnTo>
                              <a:lnTo>
                                <a:pt x="78" y="140"/>
                              </a:lnTo>
                              <a:lnTo>
                                <a:pt x="102" y="140"/>
                              </a:lnTo>
                              <a:lnTo>
                                <a:pt x="90" y="160"/>
                              </a:lnTo>
                              <a:lnTo>
                                <a:pt x="90" y="160"/>
                              </a:lnTo>
                              <a:lnTo>
                                <a:pt x="80" y="180"/>
                              </a:lnTo>
                              <a:lnTo>
                                <a:pt x="70" y="180"/>
                              </a:lnTo>
                              <a:lnTo>
                                <a:pt x="60" y="200"/>
                              </a:lnTo>
                              <a:lnTo>
                                <a:pt x="61" y="200"/>
                              </a:lnTo>
                              <a:lnTo>
                                <a:pt x="52" y="220"/>
                              </a:lnTo>
                              <a:lnTo>
                                <a:pt x="52" y="220"/>
                              </a:lnTo>
                              <a:lnTo>
                                <a:pt x="44" y="240"/>
                              </a:lnTo>
                              <a:close/>
                              <a:moveTo>
                                <a:pt x="4900" y="260"/>
                              </a:moveTo>
                              <a:lnTo>
                                <a:pt x="4885" y="260"/>
                              </a:lnTo>
                              <a:lnTo>
                                <a:pt x="4878" y="240"/>
                              </a:lnTo>
                              <a:lnTo>
                                <a:pt x="4879" y="240"/>
                              </a:lnTo>
                              <a:lnTo>
                                <a:pt x="4871" y="220"/>
                              </a:lnTo>
                              <a:lnTo>
                                <a:pt x="4871" y="220"/>
                              </a:lnTo>
                              <a:lnTo>
                                <a:pt x="4862" y="200"/>
                              </a:lnTo>
                              <a:lnTo>
                                <a:pt x="4863" y="200"/>
                              </a:lnTo>
                              <a:lnTo>
                                <a:pt x="4853" y="180"/>
                              </a:lnTo>
                              <a:lnTo>
                                <a:pt x="4843" y="180"/>
                              </a:lnTo>
                              <a:lnTo>
                                <a:pt x="4833" y="160"/>
                              </a:lnTo>
                              <a:lnTo>
                                <a:pt x="4833" y="160"/>
                              </a:lnTo>
                              <a:lnTo>
                                <a:pt x="4821" y="140"/>
                              </a:lnTo>
                              <a:lnTo>
                                <a:pt x="4845" y="140"/>
                              </a:lnTo>
                              <a:lnTo>
                                <a:pt x="4856" y="160"/>
                              </a:lnTo>
                              <a:lnTo>
                                <a:pt x="4866" y="180"/>
                              </a:lnTo>
                              <a:lnTo>
                                <a:pt x="4876" y="200"/>
                              </a:lnTo>
                              <a:lnTo>
                                <a:pt x="4884" y="220"/>
                              </a:lnTo>
                              <a:lnTo>
                                <a:pt x="4892" y="240"/>
                              </a:lnTo>
                              <a:lnTo>
                                <a:pt x="4900" y="260"/>
                              </a:lnTo>
                              <a:close/>
                              <a:moveTo>
                                <a:pt x="32" y="280"/>
                              </a:moveTo>
                              <a:lnTo>
                                <a:pt x="15" y="280"/>
                              </a:lnTo>
                              <a:lnTo>
                                <a:pt x="17" y="260"/>
                              </a:lnTo>
                              <a:lnTo>
                                <a:pt x="24" y="240"/>
                              </a:lnTo>
                              <a:lnTo>
                                <a:pt x="45" y="240"/>
                              </a:lnTo>
                              <a:lnTo>
                                <a:pt x="38" y="260"/>
                              </a:lnTo>
                              <a:lnTo>
                                <a:pt x="38" y="260"/>
                              </a:lnTo>
                              <a:lnTo>
                                <a:pt x="32" y="280"/>
                              </a:lnTo>
                              <a:close/>
                              <a:moveTo>
                                <a:pt x="4908" y="280"/>
                              </a:moveTo>
                              <a:lnTo>
                                <a:pt x="4891" y="280"/>
                              </a:lnTo>
                              <a:lnTo>
                                <a:pt x="4885" y="260"/>
                              </a:lnTo>
                              <a:lnTo>
                                <a:pt x="4906" y="260"/>
                              </a:lnTo>
                              <a:lnTo>
                                <a:pt x="4908" y="280"/>
                              </a:lnTo>
                              <a:close/>
                              <a:moveTo>
                                <a:pt x="26" y="300"/>
                              </a:moveTo>
                              <a:lnTo>
                                <a:pt x="10" y="300"/>
                              </a:lnTo>
                              <a:lnTo>
                                <a:pt x="12" y="280"/>
                              </a:lnTo>
                              <a:lnTo>
                                <a:pt x="29" y="280"/>
                              </a:lnTo>
                              <a:lnTo>
                                <a:pt x="26" y="300"/>
                              </a:lnTo>
                              <a:close/>
                              <a:moveTo>
                                <a:pt x="4913" y="300"/>
                              </a:moveTo>
                              <a:lnTo>
                                <a:pt x="4897" y="300"/>
                              </a:lnTo>
                              <a:lnTo>
                                <a:pt x="4894" y="280"/>
                              </a:lnTo>
                              <a:lnTo>
                                <a:pt x="4911" y="280"/>
                              </a:lnTo>
                              <a:lnTo>
                                <a:pt x="4913" y="300"/>
                              </a:lnTo>
                              <a:close/>
                              <a:moveTo>
                                <a:pt x="20" y="320"/>
                              </a:moveTo>
                              <a:lnTo>
                                <a:pt x="6" y="320"/>
                              </a:lnTo>
                              <a:lnTo>
                                <a:pt x="8" y="300"/>
                              </a:lnTo>
                              <a:lnTo>
                                <a:pt x="22" y="300"/>
                              </a:lnTo>
                              <a:lnTo>
                                <a:pt x="20" y="320"/>
                              </a:lnTo>
                              <a:close/>
                              <a:moveTo>
                                <a:pt x="4917" y="320"/>
                              </a:moveTo>
                              <a:lnTo>
                                <a:pt x="4903" y="320"/>
                              </a:lnTo>
                              <a:lnTo>
                                <a:pt x="4901" y="300"/>
                              </a:lnTo>
                              <a:lnTo>
                                <a:pt x="4915" y="300"/>
                              </a:lnTo>
                              <a:lnTo>
                                <a:pt x="4917" y="320"/>
                              </a:lnTo>
                              <a:close/>
                              <a:moveTo>
                                <a:pt x="18" y="340"/>
                              </a:moveTo>
                              <a:lnTo>
                                <a:pt x="3" y="340"/>
                              </a:lnTo>
                              <a:lnTo>
                                <a:pt x="4" y="320"/>
                              </a:lnTo>
                              <a:lnTo>
                                <a:pt x="19" y="320"/>
                              </a:lnTo>
                              <a:lnTo>
                                <a:pt x="18" y="340"/>
                              </a:lnTo>
                              <a:close/>
                              <a:moveTo>
                                <a:pt x="4920" y="340"/>
                              </a:moveTo>
                              <a:lnTo>
                                <a:pt x="4905" y="340"/>
                              </a:lnTo>
                              <a:lnTo>
                                <a:pt x="4904" y="320"/>
                              </a:lnTo>
                              <a:lnTo>
                                <a:pt x="4919" y="320"/>
                              </a:lnTo>
                              <a:lnTo>
                                <a:pt x="4920" y="340"/>
                              </a:lnTo>
                              <a:close/>
                              <a:moveTo>
                                <a:pt x="16" y="360"/>
                              </a:moveTo>
                              <a:lnTo>
                                <a:pt x="1" y="360"/>
                              </a:lnTo>
                              <a:lnTo>
                                <a:pt x="2" y="340"/>
                              </a:lnTo>
                              <a:lnTo>
                                <a:pt x="16" y="340"/>
                              </a:lnTo>
                              <a:lnTo>
                                <a:pt x="16" y="360"/>
                              </a:lnTo>
                              <a:close/>
                              <a:moveTo>
                                <a:pt x="4922" y="360"/>
                              </a:moveTo>
                              <a:lnTo>
                                <a:pt x="4907" y="360"/>
                              </a:lnTo>
                              <a:lnTo>
                                <a:pt x="4907" y="340"/>
                              </a:lnTo>
                              <a:lnTo>
                                <a:pt x="4921" y="340"/>
                              </a:lnTo>
                              <a:lnTo>
                                <a:pt x="4922" y="360"/>
                              </a:lnTo>
                              <a:close/>
                              <a:moveTo>
                                <a:pt x="15" y="380"/>
                              </a:moveTo>
                              <a:lnTo>
                                <a:pt x="0" y="380"/>
                              </a:lnTo>
                              <a:lnTo>
                                <a:pt x="0" y="360"/>
                              </a:lnTo>
                              <a:lnTo>
                                <a:pt x="15" y="360"/>
                              </a:lnTo>
                              <a:lnTo>
                                <a:pt x="15" y="380"/>
                              </a:lnTo>
                              <a:close/>
                              <a:moveTo>
                                <a:pt x="4923" y="380"/>
                              </a:moveTo>
                              <a:lnTo>
                                <a:pt x="4908" y="380"/>
                              </a:lnTo>
                              <a:lnTo>
                                <a:pt x="4908" y="360"/>
                              </a:lnTo>
                              <a:lnTo>
                                <a:pt x="4923" y="360"/>
                              </a:lnTo>
                              <a:lnTo>
                                <a:pt x="4923" y="380"/>
                              </a:lnTo>
                              <a:close/>
                              <a:moveTo>
                                <a:pt x="15" y="3120"/>
                              </a:moveTo>
                              <a:lnTo>
                                <a:pt x="0" y="3120"/>
                              </a:lnTo>
                              <a:lnTo>
                                <a:pt x="0" y="380"/>
                              </a:lnTo>
                              <a:lnTo>
                                <a:pt x="15" y="380"/>
                              </a:lnTo>
                              <a:lnTo>
                                <a:pt x="15" y="3120"/>
                              </a:lnTo>
                              <a:close/>
                              <a:moveTo>
                                <a:pt x="4924" y="3120"/>
                              </a:moveTo>
                              <a:lnTo>
                                <a:pt x="4909" y="3120"/>
                              </a:lnTo>
                              <a:lnTo>
                                <a:pt x="4909" y="380"/>
                              </a:lnTo>
                              <a:lnTo>
                                <a:pt x="4924" y="380"/>
                              </a:lnTo>
                              <a:lnTo>
                                <a:pt x="4924" y="3120"/>
                              </a:lnTo>
                              <a:close/>
                              <a:moveTo>
                                <a:pt x="15" y="3140"/>
                              </a:moveTo>
                              <a:lnTo>
                                <a:pt x="0" y="3140"/>
                              </a:lnTo>
                              <a:lnTo>
                                <a:pt x="0" y="3120"/>
                              </a:lnTo>
                              <a:lnTo>
                                <a:pt x="15" y="3120"/>
                              </a:lnTo>
                              <a:lnTo>
                                <a:pt x="15" y="3140"/>
                              </a:lnTo>
                              <a:close/>
                              <a:moveTo>
                                <a:pt x="4923" y="3140"/>
                              </a:moveTo>
                              <a:lnTo>
                                <a:pt x="4908" y="3140"/>
                              </a:lnTo>
                              <a:lnTo>
                                <a:pt x="4908" y="3120"/>
                              </a:lnTo>
                              <a:lnTo>
                                <a:pt x="4923" y="3120"/>
                              </a:lnTo>
                              <a:lnTo>
                                <a:pt x="4923" y="3140"/>
                              </a:lnTo>
                              <a:close/>
                              <a:moveTo>
                                <a:pt x="16" y="3160"/>
                              </a:moveTo>
                              <a:lnTo>
                                <a:pt x="2" y="3160"/>
                              </a:lnTo>
                              <a:lnTo>
                                <a:pt x="1" y="3140"/>
                              </a:lnTo>
                              <a:lnTo>
                                <a:pt x="16" y="3140"/>
                              </a:lnTo>
                              <a:lnTo>
                                <a:pt x="16" y="3160"/>
                              </a:lnTo>
                              <a:close/>
                              <a:moveTo>
                                <a:pt x="4921" y="3160"/>
                              </a:moveTo>
                              <a:lnTo>
                                <a:pt x="4907" y="3160"/>
                              </a:lnTo>
                              <a:lnTo>
                                <a:pt x="4907" y="3140"/>
                              </a:lnTo>
                              <a:lnTo>
                                <a:pt x="4922" y="3140"/>
                              </a:lnTo>
                              <a:lnTo>
                                <a:pt x="4921" y="3160"/>
                              </a:lnTo>
                              <a:close/>
                              <a:moveTo>
                                <a:pt x="19" y="3180"/>
                              </a:moveTo>
                              <a:lnTo>
                                <a:pt x="4" y="3180"/>
                              </a:lnTo>
                              <a:lnTo>
                                <a:pt x="3" y="3160"/>
                              </a:lnTo>
                              <a:lnTo>
                                <a:pt x="18" y="3160"/>
                              </a:lnTo>
                              <a:lnTo>
                                <a:pt x="19" y="3180"/>
                              </a:lnTo>
                              <a:close/>
                              <a:moveTo>
                                <a:pt x="4919" y="3180"/>
                              </a:moveTo>
                              <a:lnTo>
                                <a:pt x="4904" y="3180"/>
                              </a:lnTo>
                              <a:lnTo>
                                <a:pt x="4905" y="3160"/>
                              </a:lnTo>
                              <a:lnTo>
                                <a:pt x="4920" y="3160"/>
                              </a:lnTo>
                              <a:lnTo>
                                <a:pt x="4919" y="3180"/>
                              </a:lnTo>
                              <a:close/>
                              <a:moveTo>
                                <a:pt x="22" y="3200"/>
                              </a:moveTo>
                              <a:lnTo>
                                <a:pt x="8" y="3200"/>
                              </a:lnTo>
                              <a:lnTo>
                                <a:pt x="6" y="3180"/>
                              </a:lnTo>
                              <a:lnTo>
                                <a:pt x="20" y="3180"/>
                              </a:lnTo>
                              <a:lnTo>
                                <a:pt x="22" y="3200"/>
                              </a:lnTo>
                              <a:close/>
                              <a:moveTo>
                                <a:pt x="4915" y="3200"/>
                              </a:moveTo>
                              <a:lnTo>
                                <a:pt x="4901" y="3200"/>
                              </a:lnTo>
                              <a:lnTo>
                                <a:pt x="4903" y="3180"/>
                              </a:lnTo>
                              <a:lnTo>
                                <a:pt x="4917" y="3180"/>
                              </a:lnTo>
                              <a:lnTo>
                                <a:pt x="4915" y="3200"/>
                              </a:lnTo>
                              <a:close/>
                              <a:moveTo>
                                <a:pt x="29" y="3220"/>
                              </a:moveTo>
                              <a:lnTo>
                                <a:pt x="12" y="3220"/>
                              </a:lnTo>
                              <a:lnTo>
                                <a:pt x="10" y="3200"/>
                              </a:lnTo>
                              <a:lnTo>
                                <a:pt x="26" y="3200"/>
                              </a:lnTo>
                              <a:lnTo>
                                <a:pt x="29" y="3220"/>
                              </a:lnTo>
                              <a:close/>
                              <a:moveTo>
                                <a:pt x="4911" y="3220"/>
                              </a:moveTo>
                              <a:lnTo>
                                <a:pt x="4894" y="3220"/>
                              </a:lnTo>
                              <a:lnTo>
                                <a:pt x="4897" y="3200"/>
                              </a:lnTo>
                              <a:lnTo>
                                <a:pt x="4913" y="3200"/>
                              </a:lnTo>
                              <a:lnTo>
                                <a:pt x="4911" y="3220"/>
                              </a:lnTo>
                              <a:close/>
                              <a:moveTo>
                                <a:pt x="45" y="3260"/>
                              </a:moveTo>
                              <a:lnTo>
                                <a:pt x="24" y="3260"/>
                              </a:lnTo>
                              <a:lnTo>
                                <a:pt x="17" y="3240"/>
                              </a:lnTo>
                              <a:lnTo>
                                <a:pt x="15" y="3220"/>
                              </a:lnTo>
                              <a:lnTo>
                                <a:pt x="32" y="3220"/>
                              </a:lnTo>
                              <a:lnTo>
                                <a:pt x="38" y="3240"/>
                              </a:lnTo>
                              <a:lnTo>
                                <a:pt x="38" y="3240"/>
                              </a:lnTo>
                              <a:lnTo>
                                <a:pt x="45" y="3260"/>
                              </a:lnTo>
                              <a:close/>
                              <a:moveTo>
                                <a:pt x="4899" y="3260"/>
                              </a:moveTo>
                              <a:lnTo>
                                <a:pt x="4878" y="3260"/>
                              </a:lnTo>
                              <a:lnTo>
                                <a:pt x="4885" y="3240"/>
                              </a:lnTo>
                              <a:lnTo>
                                <a:pt x="4885" y="3240"/>
                              </a:lnTo>
                              <a:lnTo>
                                <a:pt x="4891" y="3220"/>
                              </a:lnTo>
                              <a:lnTo>
                                <a:pt x="4908" y="3220"/>
                              </a:lnTo>
                              <a:lnTo>
                                <a:pt x="4906" y="3240"/>
                              </a:lnTo>
                              <a:lnTo>
                                <a:pt x="4899" y="3260"/>
                              </a:lnTo>
                              <a:close/>
                              <a:moveTo>
                                <a:pt x="102" y="3360"/>
                              </a:moveTo>
                              <a:lnTo>
                                <a:pt x="78" y="3360"/>
                              </a:lnTo>
                              <a:lnTo>
                                <a:pt x="67" y="3340"/>
                              </a:lnTo>
                              <a:lnTo>
                                <a:pt x="57" y="3320"/>
                              </a:lnTo>
                              <a:lnTo>
                                <a:pt x="47" y="3300"/>
                              </a:lnTo>
                              <a:lnTo>
                                <a:pt x="39" y="3280"/>
                              </a:lnTo>
                              <a:lnTo>
                                <a:pt x="31" y="3260"/>
                              </a:lnTo>
                              <a:lnTo>
                                <a:pt x="44" y="3260"/>
                              </a:lnTo>
                              <a:lnTo>
                                <a:pt x="52" y="3280"/>
                              </a:lnTo>
                              <a:lnTo>
                                <a:pt x="52" y="3280"/>
                              </a:lnTo>
                              <a:lnTo>
                                <a:pt x="61" y="3300"/>
                              </a:lnTo>
                              <a:lnTo>
                                <a:pt x="60" y="3300"/>
                              </a:lnTo>
                              <a:lnTo>
                                <a:pt x="70" y="3320"/>
                              </a:lnTo>
                              <a:lnTo>
                                <a:pt x="80" y="3320"/>
                              </a:lnTo>
                              <a:lnTo>
                                <a:pt x="90" y="3340"/>
                              </a:lnTo>
                              <a:lnTo>
                                <a:pt x="90" y="3340"/>
                              </a:lnTo>
                              <a:lnTo>
                                <a:pt x="102" y="3360"/>
                              </a:lnTo>
                              <a:close/>
                              <a:moveTo>
                                <a:pt x="4845" y="3360"/>
                              </a:moveTo>
                              <a:lnTo>
                                <a:pt x="4821" y="3360"/>
                              </a:lnTo>
                              <a:lnTo>
                                <a:pt x="4833" y="3340"/>
                              </a:lnTo>
                              <a:lnTo>
                                <a:pt x="4833" y="3340"/>
                              </a:lnTo>
                              <a:lnTo>
                                <a:pt x="4843" y="3320"/>
                              </a:lnTo>
                              <a:lnTo>
                                <a:pt x="4853" y="3320"/>
                              </a:lnTo>
                              <a:lnTo>
                                <a:pt x="4863" y="3300"/>
                              </a:lnTo>
                              <a:lnTo>
                                <a:pt x="4862" y="3300"/>
                              </a:lnTo>
                              <a:lnTo>
                                <a:pt x="4871" y="3280"/>
                              </a:lnTo>
                              <a:lnTo>
                                <a:pt x="4871" y="3280"/>
                              </a:lnTo>
                              <a:lnTo>
                                <a:pt x="4879" y="3260"/>
                              </a:lnTo>
                              <a:lnTo>
                                <a:pt x="4892" y="3260"/>
                              </a:lnTo>
                              <a:lnTo>
                                <a:pt x="4884" y="3280"/>
                              </a:lnTo>
                              <a:lnTo>
                                <a:pt x="4876" y="3300"/>
                              </a:lnTo>
                              <a:lnTo>
                                <a:pt x="4866" y="3320"/>
                              </a:lnTo>
                              <a:lnTo>
                                <a:pt x="4856" y="3340"/>
                              </a:lnTo>
                              <a:lnTo>
                                <a:pt x="4845" y="3360"/>
                              </a:lnTo>
                              <a:close/>
                              <a:moveTo>
                                <a:pt x="140" y="3400"/>
                              </a:moveTo>
                              <a:lnTo>
                                <a:pt x="115" y="3400"/>
                              </a:lnTo>
                              <a:lnTo>
                                <a:pt x="102" y="3380"/>
                              </a:lnTo>
                              <a:lnTo>
                                <a:pt x="90" y="3360"/>
                              </a:lnTo>
                              <a:lnTo>
                                <a:pt x="101" y="3360"/>
                              </a:lnTo>
                              <a:lnTo>
                                <a:pt x="114" y="3380"/>
                              </a:lnTo>
                              <a:lnTo>
                                <a:pt x="126" y="3380"/>
                              </a:lnTo>
                              <a:lnTo>
                                <a:pt x="140" y="3400"/>
                              </a:lnTo>
                              <a:close/>
                              <a:moveTo>
                                <a:pt x="4807" y="3400"/>
                              </a:moveTo>
                              <a:lnTo>
                                <a:pt x="4783" y="3400"/>
                              </a:lnTo>
                              <a:lnTo>
                                <a:pt x="4797" y="3380"/>
                              </a:lnTo>
                              <a:lnTo>
                                <a:pt x="4809" y="3380"/>
                              </a:lnTo>
                              <a:lnTo>
                                <a:pt x="4822" y="3360"/>
                              </a:lnTo>
                              <a:lnTo>
                                <a:pt x="4833" y="3360"/>
                              </a:lnTo>
                              <a:lnTo>
                                <a:pt x="4820" y="3380"/>
                              </a:lnTo>
                              <a:lnTo>
                                <a:pt x="4807" y="3400"/>
                              </a:lnTo>
                              <a:close/>
                              <a:moveTo>
                                <a:pt x="183" y="3440"/>
                              </a:moveTo>
                              <a:lnTo>
                                <a:pt x="159" y="3440"/>
                              </a:lnTo>
                              <a:lnTo>
                                <a:pt x="144" y="3420"/>
                              </a:lnTo>
                              <a:lnTo>
                                <a:pt x="129" y="3400"/>
                              </a:lnTo>
                              <a:lnTo>
                                <a:pt x="153" y="3400"/>
                              </a:lnTo>
                              <a:lnTo>
                                <a:pt x="168" y="3420"/>
                              </a:lnTo>
                              <a:lnTo>
                                <a:pt x="168" y="3420"/>
                              </a:lnTo>
                              <a:lnTo>
                                <a:pt x="183" y="3440"/>
                              </a:lnTo>
                              <a:close/>
                              <a:moveTo>
                                <a:pt x="4764" y="3440"/>
                              </a:moveTo>
                              <a:lnTo>
                                <a:pt x="4740" y="3440"/>
                              </a:lnTo>
                              <a:lnTo>
                                <a:pt x="4755" y="3420"/>
                              </a:lnTo>
                              <a:lnTo>
                                <a:pt x="4755" y="3420"/>
                              </a:lnTo>
                              <a:lnTo>
                                <a:pt x="4770" y="3400"/>
                              </a:lnTo>
                              <a:lnTo>
                                <a:pt x="4794" y="3400"/>
                              </a:lnTo>
                              <a:lnTo>
                                <a:pt x="4779" y="3420"/>
                              </a:lnTo>
                              <a:lnTo>
                                <a:pt x="4764" y="3440"/>
                              </a:lnTo>
                              <a:close/>
                              <a:moveTo>
                                <a:pt x="214" y="3460"/>
                              </a:moveTo>
                              <a:lnTo>
                                <a:pt x="190" y="3460"/>
                              </a:lnTo>
                              <a:lnTo>
                                <a:pt x="174" y="3440"/>
                              </a:lnTo>
                              <a:lnTo>
                                <a:pt x="198" y="3440"/>
                              </a:lnTo>
                              <a:lnTo>
                                <a:pt x="214" y="3460"/>
                              </a:lnTo>
                              <a:close/>
                              <a:moveTo>
                                <a:pt x="231" y="3460"/>
                              </a:moveTo>
                              <a:lnTo>
                                <a:pt x="214" y="3460"/>
                              </a:lnTo>
                              <a:lnTo>
                                <a:pt x="214" y="3440"/>
                              </a:lnTo>
                              <a:lnTo>
                                <a:pt x="231" y="3460"/>
                              </a:lnTo>
                              <a:close/>
                              <a:moveTo>
                                <a:pt x="4709" y="3460"/>
                              </a:moveTo>
                              <a:lnTo>
                                <a:pt x="4692" y="3460"/>
                              </a:lnTo>
                              <a:lnTo>
                                <a:pt x="4709" y="3440"/>
                              </a:lnTo>
                              <a:lnTo>
                                <a:pt x="4709" y="3460"/>
                              </a:lnTo>
                              <a:close/>
                              <a:moveTo>
                                <a:pt x="4732" y="3460"/>
                              </a:moveTo>
                              <a:lnTo>
                                <a:pt x="4709" y="3460"/>
                              </a:lnTo>
                              <a:lnTo>
                                <a:pt x="4725" y="3440"/>
                              </a:lnTo>
                              <a:lnTo>
                                <a:pt x="4749" y="3440"/>
                              </a:lnTo>
                              <a:lnTo>
                                <a:pt x="4732" y="3460"/>
                              </a:lnTo>
                              <a:close/>
                              <a:moveTo>
                                <a:pt x="265" y="3480"/>
                              </a:moveTo>
                              <a:lnTo>
                                <a:pt x="224" y="3480"/>
                              </a:lnTo>
                              <a:lnTo>
                                <a:pt x="207" y="3460"/>
                              </a:lnTo>
                              <a:lnTo>
                                <a:pt x="247" y="3460"/>
                              </a:lnTo>
                              <a:lnTo>
                                <a:pt x="265" y="3480"/>
                              </a:lnTo>
                              <a:close/>
                              <a:moveTo>
                                <a:pt x="4699" y="3480"/>
                              </a:moveTo>
                              <a:lnTo>
                                <a:pt x="4658" y="3480"/>
                              </a:lnTo>
                              <a:lnTo>
                                <a:pt x="4676" y="3460"/>
                              </a:lnTo>
                              <a:lnTo>
                                <a:pt x="4716" y="3460"/>
                              </a:lnTo>
                              <a:lnTo>
                                <a:pt x="4699" y="3480"/>
                              </a:lnTo>
                              <a:close/>
                              <a:moveTo>
                                <a:pt x="328" y="3500"/>
                              </a:moveTo>
                              <a:lnTo>
                                <a:pt x="278" y="3500"/>
                              </a:lnTo>
                              <a:lnTo>
                                <a:pt x="259" y="3480"/>
                              </a:lnTo>
                              <a:lnTo>
                                <a:pt x="319" y="3480"/>
                              </a:lnTo>
                              <a:lnTo>
                                <a:pt x="328" y="3500"/>
                              </a:lnTo>
                              <a:close/>
                              <a:moveTo>
                                <a:pt x="4645" y="3500"/>
                              </a:moveTo>
                              <a:lnTo>
                                <a:pt x="4595" y="3500"/>
                              </a:lnTo>
                              <a:lnTo>
                                <a:pt x="4604" y="3480"/>
                              </a:lnTo>
                              <a:lnTo>
                                <a:pt x="4663" y="3480"/>
                              </a:lnTo>
                              <a:lnTo>
                                <a:pt x="4645" y="3500"/>
                              </a:lnTo>
                              <a:close/>
                              <a:moveTo>
                                <a:pt x="4548" y="3520"/>
                              </a:moveTo>
                              <a:lnTo>
                                <a:pt x="376" y="3520"/>
                              </a:lnTo>
                              <a:lnTo>
                                <a:pt x="365" y="3500"/>
                              </a:lnTo>
                              <a:lnTo>
                                <a:pt x="4557" y="3500"/>
                              </a:lnTo>
                              <a:lnTo>
                                <a:pt x="4548" y="3520"/>
                              </a:lnTo>
                              <a:close/>
                            </a:path>
                          </a:pathLst>
                        </a:custGeom>
                        <a:solidFill>
                          <a:srgbClr val="000000"/>
                        </a:solidFill>
                        <a:ln>
                          <a:noFill/>
                        </a:ln>
                      </wps:spPr>
                      <wps:bodyPr upright="1"/>
                    </wps:wsp>
                  </a:graphicData>
                </a:graphic>
              </wp:anchor>
            </w:drawing>
          </mc:Choice>
          <mc:Fallback>
            <w:pict>
              <v:shape id="任意多边形 5" o:spid="_x0000_s1026" o:spt="100" style="position:absolute;left:0pt;margin-left:50.75pt;margin-top:13.9pt;height:176pt;width:246.2pt;mso-position-horizontal-relative:page;z-index:251829248;mso-width-relative:page;mso-height-relative:page;" fillcolor="#000000" filled="t" stroked="f" coordsize="4924,3520" o:gfxdata="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" path="m328,20l260,20,278,0,338,0,328,20xm4664,20l4595,20,4585,0,4645,0,4664,20xm247,40l207,40,224,20,265,20,247,40xm4716,40l4676,40,4658,20,4699,20,4716,40xm214,60l174,60,191,40,231,40,214,60xm4749,60l4709,60,4692,40,4733,40,4749,60xm153,100l130,100,144,80,159,60,198,60,183,80,168,80,153,100xm4794,100l4770,100,4755,80,4740,80,4725,60,4764,60,4779,80,4794,100xm101,140l90,140,103,120,116,100,140,100,126,120,114,120,101,140xm4833,140l4822,140,4809,120,4797,120,4783,100,4808,100,4821,120,4833,140xm113,140l114,120,126,120,113,140xm4810,140l4797,120,4809,120,4810,140xm44,240l31,240,39,220,47,200,57,180,67,160,78,140,102,140,90,160,90,160,80,180,70,180,60,200,61,200,52,220,52,220,44,240xm4900,260l4885,260,4878,240,4879,240,4871,220,4871,220,4862,200,4863,200,4853,180,4843,180,4833,160,4833,160,4821,140,4845,140,4856,160,4866,180,4876,200,4884,220,4892,240,4900,260xm32,280l15,280,17,260,24,240,45,240,38,260,38,260,32,280xm4908,280l4891,280,4885,260,4906,260,4908,280xm26,300l10,300,12,280,29,280,26,300xm4913,300l4897,300,4894,280,4911,280,4913,300xm20,320l6,320,8,300,22,300,20,320xm4917,320l4903,320,4901,300,4915,300,4917,320xm18,340l3,340,4,320,19,320,18,340xm4920,340l4905,340,4904,320,4919,320,4920,340xm16,360l1,360,2,340,16,340,16,360xm4922,360l4907,360,4907,340,4921,340,4922,360xm15,380l0,380,0,360,15,360,15,380xm4923,380l4908,380,4908,360,4923,360,4923,380xm15,3120l0,3120,0,380,15,380,15,3120xm4924,3120l4909,3120,4909,380,4924,380,4924,3120xm15,3140l0,3140,0,3120,15,3120,15,3140xm4923,3140l4908,3140,4908,3120,4923,3120,4923,3140xm16,3160l2,3160,1,3140,16,3140,16,3160xm4921,3160l4907,3160,4907,3140,4922,3140,4921,3160xm19,3180l4,3180,3,3160,18,3160,19,3180xm4919,3180l4904,3180,4905,3160,4920,3160,4919,3180xm22,3200l8,3200,6,3180,20,3180,22,3200xm4915,3200l4901,3200,4903,3180,4917,3180,4915,3200xm29,3220l12,3220,10,3200,26,3200,29,3220xm4911,3220l4894,3220,4897,3200,4913,3200,4911,3220xm45,3260l24,3260,17,3240,15,3220,32,3220,38,3240,38,3240,45,3260xm4899,3260l4878,3260,4885,3240,4885,3240,4891,3220,4908,3220,4906,3240,4899,3260xm102,3360l78,3360,67,3340,57,3320,47,3300,39,3280,31,3260,44,3260,52,3280,52,3280,61,3300,60,3300,70,3320,80,3320,90,3340,90,3340,102,3360xm4845,3360l4821,3360,4833,3340,4833,3340,4843,3320,4853,3320,4863,3300,4862,3300,4871,3280,4871,3280,4879,3260,4892,3260,4884,3280,4876,3300,4866,3320,4856,3340,4845,3360xm140,3400l115,3400,102,3380,90,3360,101,3360,114,3380,126,3380,140,3400xm4807,3400l4783,3400,4797,3380,4809,3380,4822,3360,4833,3360,4820,3380,4807,3400xm183,3440l159,3440,144,3420,129,3400,153,3400,168,3420,168,3420,183,3440xm4764,3440l4740,3440,4755,3420,4755,3420,4770,3400,4794,3400,4779,3420,4764,3440xm214,3460l190,3460,174,3440,198,3440,214,3460xm231,3460l214,3460,214,3440,231,3460xm4709,3460l4692,3460,4709,3440,4709,3460xm4732,3460l4709,3460,4725,3440,4749,3440,4732,3460xm265,3480l224,3480,207,3460,247,3460,265,3480xm4699,3480l4658,3480,4676,3460,4716,3460,4699,3480xm328,3500l278,3500,259,3480,319,3480,328,3500xm4645,3500l4595,3500,4604,3480,4663,3480,4645,3500xm4548,3520l376,3520,365,3500,4557,3500,4548,3520xe">
                <v:fill on="t" focussize="0,0"/>
                <v:stroke on="f"/>
                <v:imagedata o:title=""/>
                <o:lock v:ext="edit" aspectratio="f"/>
              </v:shape>
            </w:pict>
          </mc:Fallback>
        </mc:AlternateContent>
      </w:r>
      <w:r>
        <mc:AlternateContent>
          <mc:Choice Requires="wps">
            <w:drawing>
              <wp:anchor distT="0" distB="0" distL="114300" distR="114300" simplePos="0" relativeHeight="251771904" behindDoc="0" locked="0" layoutInCell="1" allowOverlap="1">
                <wp:simplePos x="0" y="0"/>
                <wp:positionH relativeFrom="page">
                  <wp:posOffset>3867785</wp:posOffset>
                </wp:positionH>
                <wp:positionV relativeFrom="paragraph">
                  <wp:posOffset>184150</wp:posOffset>
                </wp:positionV>
                <wp:extent cx="3126740" cy="2235200"/>
                <wp:effectExtent l="0" t="0" r="12700" b="5080"/>
                <wp:wrapNone/>
                <wp:docPr id="2" name="任意多边形 5"/>
                <wp:cNvGraphicFramePr/>
                <a:graphic xmlns:a="http://schemas.openxmlformats.org/drawingml/2006/main">
                  <a:graphicData uri="http://schemas.microsoft.com/office/word/2010/wordprocessingShape">
                    <wps:wsp>
                      <wps:cNvSpPr/>
                      <wps:spPr>
                        <a:xfrm>
                          <a:off x="0" y="0"/>
                          <a:ext cx="3126740" cy="2235200"/>
                        </a:xfrm>
                        <a:custGeom>
                          <a:avLst/>
                          <a:gdLst/>
                          <a:ahLst/>
                          <a:cxnLst/>
                          <a:pathLst>
                            <a:path w="4924" h="3520">
                              <a:moveTo>
                                <a:pt x="328" y="20"/>
                              </a:moveTo>
                              <a:lnTo>
                                <a:pt x="260" y="20"/>
                              </a:lnTo>
                              <a:lnTo>
                                <a:pt x="278" y="0"/>
                              </a:lnTo>
                              <a:lnTo>
                                <a:pt x="338" y="0"/>
                              </a:lnTo>
                              <a:lnTo>
                                <a:pt x="328" y="20"/>
                              </a:lnTo>
                              <a:close/>
                              <a:moveTo>
                                <a:pt x="4664" y="20"/>
                              </a:moveTo>
                              <a:lnTo>
                                <a:pt x="4595" y="20"/>
                              </a:lnTo>
                              <a:lnTo>
                                <a:pt x="4585" y="0"/>
                              </a:lnTo>
                              <a:lnTo>
                                <a:pt x="4645" y="0"/>
                              </a:lnTo>
                              <a:lnTo>
                                <a:pt x="4664" y="20"/>
                              </a:lnTo>
                              <a:close/>
                              <a:moveTo>
                                <a:pt x="247" y="40"/>
                              </a:moveTo>
                              <a:lnTo>
                                <a:pt x="207" y="40"/>
                              </a:lnTo>
                              <a:lnTo>
                                <a:pt x="224" y="20"/>
                              </a:lnTo>
                              <a:lnTo>
                                <a:pt x="265" y="20"/>
                              </a:lnTo>
                              <a:lnTo>
                                <a:pt x="247" y="40"/>
                              </a:lnTo>
                              <a:close/>
                              <a:moveTo>
                                <a:pt x="4716" y="40"/>
                              </a:moveTo>
                              <a:lnTo>
                                <a:pt x="4676" y="40"/>
                              </a:lnTo>
                              <a:lnTo>
                                <a:pt x="4658" y="20"/>
                              </a:lnTo>
                              <a:lnTo>
                                <a:pt x="4699" y="20"/>
                              </a:lnTo>
                              <a:lnTo>
                                <a:pt x="4716" y="40"/>
                              </a:lnTo>
                              <a:close/>
                              <a:moveTo>
                                <a:pt x="214" y="60"/>
                              </a:moveTo>
                              <a:lnTo>
                                <a:pt x="174" y="60"/>
                              </a:lnTo>
                              <a:lnTo>
                                <a:pt x="191" y="40"/>
                              </a:lnTo>
                              <a:lnTo>
                                <a:pt x="231" y="40"/>
                              </a:lnTo>
                              <a:lnTo>
                                <a:pt x="214" y="60"/>
                              </a:lnTo>
                              <a:close/>
                              <a:moveTo>
                                <a:pt x="4749" y="60"/>
                              </a:moveTo>
                              <a:lnTo>
                                <a:pt x="4709" y="60"/>
                              </a:lnTo>
                              <a:lnTo>
                                <a:pt x="4692" y="40"/>
                              </a:lnTo>
                              <a:lnTo>
                                <a:pt x="4733" y="40"/>
                              </a:lnTo>
                              <a:lnTo>
                                <a:pt x="4749" y="60"/>
                              </a:lnTo>
                              <a:close/>
                              <a:moveTo>
                                <a:pt x="153" y="100"/>
                              </a:moveTo>
                              <a:lnTo>
                                <a:pt x="130" y="100"/>
                              </a:lnTo>
                              <a:lnTo>
                                <a:pt x="144" y="80"/>
                              </a:lnTo>
                              <a:lnTo>
                                <a:pt x="159" y="60"/>
                              </a:lnTo>
                              <a:lnTo>
                                <a:pt x="198" y="60"/>
                              </a:lnTo>
                              <a:lnTo>
                                <a:pt x="183" y="80"/>
                              </a:lnTo>
                              <a:lnTo>
                                <a:pt x="168" y="80"/>
                              </a:lnTo>
                              <a:lnTo>
                                <a:pt x="153" y="100"/>
                              </a:lnTo>
                              <a:close/>
                              <a:moveTo>
                                <a:pt x="4794" y="100"/>
                              </a:moveTo>
                              <a:lnTo>
                                <a:pt x="4770" y="100"/>
                              </a:lnTo>
                              <a:lnTo>
                                <a:pt x="4755" y="80"/>
                              </a:lnTo>
                              <a:lnTo>
                                <a:pt x="4740" y="80"/>
                              </a:lnTo>
                              <a:lnTo>
                                <a:pt x="4725" y="60"/>
                              </a:lnTo>
                              <a:lnTo>
                                <a:pt x="4764" y="60"/>
                              </a:lnTo>
                              <a:lnTo>
                                <a:pt x="4779" y="80"/>
                              </a:lnTo>
                              <a:lnTo>
                                <a:pt x="4794" y="100"/>
                              </a:lnTo>
                              <a:close/>
                              <a:moveTo>
                                <a:pt x="101" y="140"/>
                              </a:moveTo>
                              <a:lnTo>
                                <a:pt x="90" y="140"/>
                              </a:lnTo>
                              <a:lnTo>
                                <a:pt x="103" y="120"/>
                              </a:lnTo>
                              <a:lnTo>
                                <a:pt x="116" y="100"/>
                              </a:lnTo>
                              <a:lnTo>
                                <a:pt x="140" y="100"/>
                              </a:lnTo>
                              <a:lnTo>
                                <a:pt x="126" y="120"/>
                              </a:lnTo>
                              <a:lnTo>
                                <a:pt x="114" y="120"/>
                              </a:lnTo>
                              <a:lnTo>
                                <a:pt x="101" y="140"/>
                              </a:lnTo>
                              <a:close/>
                              <a:moveTo>
                                <a:pt x="4833" y="140"/>
                              </a:moveTo>
                              <a:lnTo>
                                <a:pt x="4822" y="140"/>
                              </a:lnTo>
                              <a:lnTo>
                                <a:pt x="4809" y="120"/>
                              </a:lnTo>
                              <a:lnTo>
                                <a:pt x="4797" y="120"/>
                              </a:lnTo>
                              <a:lnTo>
                                <a:pt x="4783" y="100"/>
                              </a:lnTo>
                              <a:lnTo>
                                <a:pt x="4808" y="100"/>
                              </a:lnTo>
                              <a:lnTo>
                                <a:pt x="4821" y="120"/>
                              </a:lnTo>
                              <a:lnTo>
                                <a:pt x="4833" y="140"/>
                              </a:lnTo>
                              <a:close/>
                              <a:moveTo>
                                <a:pt x="113" y="140"/>
                              </a:moveTo>
                              <a:lnTo>
                                <a:pt x="114" y="120"/>
                              </a:lnTo>
                              <a:lnTo>
                                <a:pt x="126" y="120"/>
                              </a:lnTo>
                              <a:lnTo>
                                <a:pt x="113" y="140"/>
                              </a:lnTo>
                              <a:close/>
                              <a:moveTo>
                                <a:pt x="4810" y="140"/>
                              </a:moveTo>
                              <a:lnTo>
                                <a:pt x="4797" y="120"/>
                              </a:lnTo>
                              <a:lnTo>
                                <a:pt x="4809" y="120"/>
                              </a:lnTo>
                              <a:lnTo>
                                <a:pt x="4810" y="140"/>
                              </a:lnTo>
                              <a:close/>
                              <a:moveTo>
                                <a:pt x="44" y="240"/>
                              </a:moveTo>
                              <a:lnTo>
                                <a:pt x="31" y="240"/>
                              </a:lnTo>
                              <a:lnTo>
                                <a:pt x="39" y="220"/>
                              </a:lnTo>
                              <a:lnTo>
                                <a:pt x="47" y="200"/>
                              </a:lnTo>
                              <a:lnTo>
                                <a:pt x="57" y="180"/>
                              </a:lnTo>
                              <a:lnTo>
                                <a:pt x="67" y="160"/>
                              </a:lnTo>
                              <a:lnTo>
                                <a:pt x="78" y="140"/>
                              </a:lnTo>
                              <a:lnTo>
                                <a:pt x="102" y="140"/>
                              </a:lnTo>
                              <a:lnTo>
                                <a:pt x="90" y="160"/>
                              </a:lnTo>
                              <a:lnTo>
                                <a:pt x="90" y="160"/>
                              </a:lnTo>
                              <a:lnTo>
                                <a:pt x="80" y="180"/>
                              </a:lnTo>
                              <a:lnTo>
                                <a:pt x="70" y="180"/>
                              </a:lnTo>
                              <a:lnTo>
                                <a:pt x="60" y="200"/>
                              </a:lnTo>
                              <a:lnTo>
                                <a:pt x="61" y="200"/>
                              </a:lnTo>
                              <a:lnTo>
                                <a:pt x="52" y="220"/>
                              </a:lnTo>
                              <a:lnTo>
                                <a:pt x="52" y="220"/>
                              </a:lnTo>
                              <a:lnTo>
                                <a:pt x="44" y="240"/>
                              </a:lnTo>
                              <a:close/>
                              <a:moveTo>
                                <a:pt x="4900" y="260"/>
                              </a:moveTo>
                              <a:lnTo>
                                <a:pt x="4885" y="260"/>
                              </a:lnTo>
                              <a:lnTo>
                                <a:pt x="4878" y="240"/>
                              </a:lnTo>
                              <a:lnTo>
                                <a:pt x="4879" y="240"/>
                              </a:lnTo>
                              <a:lnTo>
                                <a:pt x="4871" y="220"/>
                              </a:lnTo>
                              <a:lnTo>
                                <a:pt x="4871" y="220"/>
                              </a:lnTo>
                              <a:lnTo>
                                <a:pt x="4862" y="200"/>
                              </a:lnTo>
                              <a:lnTo>
                                <a:pt x="4863" y="200"/>
                              </a:lnTo>
                              <a:lnTo>
                                <a:pt x="4853" y="180"/>
                              </a:lnTo>
                              <a:lnTo>
                                <a:pt x="4843" y="180"/>
                              </a:lnTo>
                              <a:lnTo>
                                <a:pt x="4833" y="160"/>
                              </a:lnTo>
                              <a:lnTo>
                                <a:pt x="4833" y="160"/>
                              </a:lnTo>
                              <a:lnTo>
                                <a:pt x="4821" y="140"/>
                              </a:lnTo>
                              <a:lnTo>
                                <a:pt x="4845" y="140"/>
                              </a:lnTo>
                              <a:lnTo>
                                <a:pt x="4856" y="160"/>
                              </a:lnTo>
                              <a:lnTo>
                                <a:pt x="4866" y="180"/>
                              </a:lnTo>
                              <a:lnTo>
                                <a:pt x="4876" y="200"/>
                              </a:lnTo>
                              <a:lnTo>
                                <a:pt x="4884" y="220"/>
                              </a:lnTo>
                              <a:lnTo>
                                <a:pt x="4892" y="240"/>
                              </a:lnTo>
                              <a:lnTo>
                                <a:pt x="4900" y="260"/>
                              </a:lnTo>
                              <a:close/>
                              <a:moveTo>
                                <a:pt x="32" y="280"/>
                              </a:moveTo>
                              <a:lnTo>
                                <a:pt x="15" y="280"/>
                              </a:lnTo>
                              <a:lnTo>
                                <a:pt x="17" y="260"/>
                              </a:lnTo>
                              <a:lnTo>
                                <a:pt x="24" y="240"/>
                              </a:lnTo>
                              <a:lnTo>
                                <a:pt x="45" y="240"/>
                              </a:lnTo>
                              <a:lnTo>
                                <a:pt x="38" y="260"/>
                              </a:lnTo>
                              <a:lnTo>
                                <a:pt x="38" y="260"/>
                              </a:lnTo>
                              <a:lnTo>
                                <a:pt x="32" y="280"/>
                              </a:lnTo>
                              <a:close/>
                              <a:moveTo>
                                <a:pt x="4908" y="280"/>
                              </a:moveTo>
                              <a:lnTo>
                                <a:pt x="4891" y="280"/>
                              </a:lnTo>
                              <a:lnTo>
                                <a:pt x="4885" y="260"/>
                              </a:lnTo>
                              <a:lnTo>
                                <a:pt x="4906" y="260"/>
                              </a:lnTo>
                              <a:lnTo>
                                <a:pt x="4908" y="280"/>
                              </a:lnTo>
                              <a:close/>
                              <a:moveTo>
                                <a:pt x="26" y="300"/>
                              </a:moveTo>
                              <a:lnTo>
                                <a:pt x="10" y="300"/>
                              </a:lnTo>
                              <a:lnTo>
                                <a:pt x="12" y="280"/>
                              </a:lnTo>
                              <a:lnTo>
                                <a:pt x="29" y="280"/>
                              </a:lnTo>
                              <a:lnTo>
                                <a:pt x="26" y="300"/>
                              </a:lnTo>
                              <a:close/>
                              <a:moveTo>
                                <a:pt x="4913" y="300"/>
                              </a:moveTo>
                              <a:lnTo>
                                <a:pt x="4897" y="300"/>
                              </a:lnTo>
                              <a:lnTo>
                                <a:pt x="4894" y="280"/>
                              </a:lnTo>
                              <a:lnTo>
                                <a:pt x="4911" y="280"/>
                              </a:lnTo>
                              <a:lnTo>
                                <a:pt x="4913" y="300"/>
                              </a:lnTo>
                              <a:close/>
                              <a:moveTo>
                                <a:pt x="20" y="320"/>
                              </a:moveTo>
                              <a:lnTo>
                                <a:pt x="6" y="320"/>
                              </a:lnTo>
                              <a:lnTo>
                                <a:pt x="8" y="300"/>
                              </a:lnTo>
                              <a:lnTo>
                                <a:pt x="22" y="300"/>
                              </a:lnTo>
                              <a:lnTo>
                                <a:pt x="20" y="320"/>
                              </a:lnTo>
                              <a:close/>
                              <a:moveTo>
                                <a:pt x="4917" y="320"/>
                              </a:moveTo>
                              <a:lnTo>
                                <a:pt x="4903" y="320"/>
                              </a:lnTo>
                              <a:lnTo>
                                <a:pt x="4901" y="300"/>
                              </a:lnTo>
                              <a:lnTo>
                                <a:pt x="4915" y="300"/>
                              </a:lnTo>
                              <a:lnTo>
                                <a:pt x="4917" y="320"/>
                              </a:lnTo>
                              <a:close/>
                              <a:moveTo>
                                <a:pt x="18" y="340"/>
                              </a:moveTo>
                              <a:lnTo>
                                <a:pt x="3" y="340"/>
                              </a:lnTo>
                              <a:lnTo>
                                <a:pt x="4" y="320"/>
                              </a:lnTo>
                              <a:lnTo>
                                <a:pt x="19" y="320"/>
                              </a:lnTo>
                              <a:lnTo>
                                <a:pt x="18" y="340"/>
                              </a:lnTo>
                              <a:close/>
                              <a:moveTo>
                                <a:pt x="4920" y="340"/>
                              </a:moveTo>
                              <a:lnTo>
                                <a:pt x="4905" y="340"/>
                              </a:lnTo>
                              <a:lnTo>
                                <a:pt x="4904" y="320"/>
                              </a:lnTo>
                              <a:lnTo>
                                <a:pt x="4919" y="320"/>
                              </a:lnTo>
                              <a:lnTo>
                                <a:pt x="4920" y="340"/>
                              </a:lnTo>
                              <a:close/>
                              <a:moveTo>
                                <a:pt x="16" y="360"/>
                              </a:moveTo>
                              <a:lnTo>
                                <a:pt x="1" y="360"/>
                              </a:lnTo>
                              <a:lnTo>
                                <a:pt x="2" y="340"/>
                              </a:lnTo>
                              <a:lnTo>
                                <a:pt x="16" y="340"/>
                              </a:lnTo>
                              <a:lnTo>
                                <a:pt x="16" y="360"/>
                              </a:lnTo>
                              <a:close/>
                              <a:moveTo>
                                <a:pt x="4922" y="360"/>
                              </a:moveTo>
                              <a:lnTo>
                                <a:pt x="4907" y="360"/>
                              </a:lnTo>
                              <a:lnTo>
                                <a:pt x="4907" y="340"/>
                              </a:lnTo>
                              <a:lnTo>
                                <a:pt x="4921" y="340"/>
                              </a:lnTo>
                              <a:lnTo>
                                <a:pt x="4922" y="360"/>
                              </a:lnTo>
                              <a:close/>
                              <a:moveTo>
                                <a:pt x="15" y="380"/>
                              </a:moveTo>
                              <a:lnTo>
                                <a:pt x="0" y="380"/>
                              </a:lnTo>
                              <a:lnTo>
                                <a:pt x="0" y="360"/>
                              </a:lnTo>
                              <a:lnTo>
                                <a:pt x="15" y="360"/>
                              </a:lnTo>
                              <a:lnTo>
                                <a:pt x="15" y="380"/>
                              </a:lnTo>
                              <a:close/>
                              <a:moveTo>
                                <a:pt x="4923" y="380"/>
                              </a:moveTo>
                              <a:lnTo>
                                <a:pt x="4908" y="380"/>
                              </a:lnTo>
                              <a:lnTo>
                                <a:pt x="4908" y="360"/>
                              </a:lnTo>
                              <a:lnTo>
                                <a:pt x="4923" y="360"/>
                              </a:lnTo>
                              <a:lnTo>
                                <a:pt x="4923" y="380"/>
                              </a:lnTo>
                              <a:close/>
                              <a:moveTo>
                                <a:pt x="15" y="3120"/>
                              </a:moveTo>
                              <a:lnTo>
                                <a:pt x="0" y="3120"/>
                              </a:lnTo>
                              <a:lnTo>
                                <a:pt x="0" y="380"/>
                              </a:lnTo>
                              <a:lnTo>
                                <a:pt x="15" y="380"/>
                              </a:lnTo>
                              <a:lnTo>
                                <a:pt x="15" y="3120"/>
                              </a:lnTo>
                              <a:close/>
                              <a:moveTo>
                                <a:pt x="4924" y="3120"/>
                              </a:moveTo>
                              <a:lnTo>
                                <a:pt x="4909" y="3120"/>
                              </a:lnTo>
                              <a:lnTo>
                                <a:pt x="4909" y="380"/>
                              </a:lnTo>
                              <a:lnTo>
                                <a:pt x="4924" y="380"/>
                              </a:lnTo>
                              <a:lnTo>
                                <a:pt x="4924" y="3120"/>
                              </a:lnTo>
                              <a:close/>
                              <a:moveTo>
                                <a:pt x="15" y="3140"/>
                              </a:moveTo>
                              <a:lnTo>
                                <a:pt x="0" y="3140"/>
                              </a:lnTo>
                              <a:lnTo>
                                <a:pt x="0" y="3120"/>
                              </a:lnTo>
                              <a:lnTo>
                                <a:pt x="15" y="3120"/>
                              </a:lnTo>
                              <a:lnTo>
                                <a:pt x="15" y="3140"/>
                              </a:lnTo>
                              <a:close/>
                              <a:moveTo>
                                <a:pt x="4923" y="3140"/>
                              </a:moveTo>
                              <a:lnTo>
                                <a:pt x="4908" y="3140"/>
                              </a:lnTo>
                              <a:lnTo>
                                <a:pt x="4908" y="3120"/>
                              </a:lnTo>
                              <a:lnTo>
                                <a:pt x="4923" y="3120"/>
                              </a:lnTo>
                              <a:lnTo>
                                <a:pt x="4923" y="3140"/>
                              </a:lnTo>
                              <a:close/>
                              <a:moveTo>
                                <a:pt x="16" y="3160"/>
                              </a:moveTo>
                              <a:lnTo>
                                <a:pt x="2" y="3160"/>
                              </a:lnTo>
                              <a:lnTo>
                                <a:pt x="1" y="3140"/>
                              </a:lnTo>
                              <a:lnTo>
                                <a:pt x="16" y="3140"/>
                              </a:lnTo>
                              <a:lnTo>
                                <a:pt x="16" y="3160"/>
                              </a:lnTo>
                              <a:close/>
                              <a:moveTo>
                                <a:pt x="4921" y="3160"/>
                              </a:moveTo>
                              <a:lnTo>
                                <a:pt x="4907" y="3160"/>
                              </a:lnTo>
                              <a:lnTo>
                                <a:pt x="4907" y="3140"/>
                              </a:lnTo>
                              <a:lnTo>
                                <a:pt x="4922" y="3140"/>
                              </a:lnTo>
                              <a:lnTo>
                                <a:pt x="4921" y="3160"/>
                              </a:lnTo>
                              <a:close/>
                              <a:moveTo>
                                <a:pt x="19" y="3180"/>
                              </a:moveTo>
                              <a:lnTo>
                                <a:pt x="4" y="3180"/>
                              </a:lnTo>
                              <a:lnTo>
                                <a:pt x="3" y="3160"/>
                              </a:lnTo>
                              <a:lnTo>
                                <a:pt x="18" y="3160"/>
                              </a:lnTo>
                              <a:lnTo>
                                <a:pt x="19" y="3180"/>
                              </a:lnTo>
                              <a:close/>
                              <a:moveTo>
                                <a:pt x="4919" y="3180"/>
                              </a:moveTo>
                              <a:lnTo>
                                <a:pt x="4904" y="3180"/>
                              </a:lnTo>
                              <a:lnTo>
                                <a:pt x="4905" y="3160"/>
                              </a:lnTo>
                              <a:lnTo>
                                <a:pt x="4920" y="3160"/>
                              </a:lnTo>
                              <a:lnTo>
                                <a:pt x="4919" y="3180"/>
                              </a:lnTo>
                              <a:close/>
                              <a:moveTo>
                                <a:pt x="22" y="3200"/>
                              </a:moveTo>
                              <a:lnTo>
                                <a:pt x="8" y="3200"/>
                              </a:lnTo>
                              <a:lnTo>
                                <a:pt x="6" y="3180"/>
                              </a:lnTo>
                              <a:lnTo>
                                <a:pt x="20" y="3180"/>
                              </a:lnTo>
                              <a:lnTo>
                                <a:pt x="22" y="3200"/>
                              </a:lnTo>
                              <a:close/>
                              <a:moveTo>
                                <a:pt x="4915" y="3200"/>
                              </a:moveTo>
                              <a:lnTo>
                                <a:pt x="4901" y="3200"/>
                              </a:lnTo>
                              <a:lnTo>
                                <a:pt x="4903" y="3180"/>
                              </a:lnTo>
                              <a:lnTo>
                                <a:pt x="4917" y="3180"/>
                              </a:lnTo>
                              <a:lnTo>
                                <a:pt x="4915" y="3200"/>
                              </a:lnTo>
                              <a:close/>
                              <a:moveTo>
                                <a:pt x="29" y="3220"/>
                              </a:moveTo>
                              <a:lnTo>
                                <a:pt x="12" y="3220"/>
                              </a:lnTo>
                              <a:lnTo>
                                <a:pt x="10" y="3200"/>
                              </a:lnTo>
                              <a:lnTo>
                                <a:pt x="26" y="3200"/>
                              </a:lnTo>
                              <a:lnTo>
                                <a:pt x="29" y="3220"/>
                              </a:lnTo>
                              <a:close/>
                              <a:moveTo>
                                <a:pt x="4911" y="3220"/>
                              </a:moveTo>
                              <a:lnTo>
                                <a:pt x="4894" y="3220"/>
                              </a:lnTo>
                              <a:lnTo>
                                <a:pt x="4897" y="3200"/>
                              </a:lnTo>
                              <a:lnTo>
                                <a:pt x="4913" y="3200"/>
                              </a:lnTo>
                              <a:lnTo>
                                <a:pt x="4911" y="3220"/>
                              </a:lnTo>
                              <a:close/>
                              <a:moveTo>
                                <a:pt x="45" y="3260"/>
                              </a:moveTo>
                              <a:lnTo>
                                <a:pt x="24" y="3260"/>
                              </a:lnTo>
                              <a:lnTo>
                                <a:pt x="17" y="3240"/>
                              </a:lnTo>
                              <a:lnTo>
                                <a:pt x="15" y="3220"/>
                              </a:lnTo>
                              <a:lnTo>
                                <a:pt x="32" y="3220"/>
                              </a:lnTo>
                              <a:lnTo>
                                <a:pt x="38" y="3240"/>
                              </a:lnTo>
                              <a:lnTo>
                                <a:pt x="38" y="3240"/>
                              </a:lnTo>
                              <a:lnTo>
                                <a:pt x="45" y="3260"/>
                              </a:lnTo>
                              <a:close/>
                              <a:moveTo>
                                <a:pt x="4899" y="3260"/>
                              </a:moveTo>
                              <a:lnTo>
                                <a:pt x="4878" y="3260"/>
                              </a:lnTo>
                              <a:lnTo>
                                <a:pt x="4885" y="3240"/>
                              </a:lnTo>
                              <a:lnTo>
                                <a:pt x="4885" y="3240"/>
                              </a:lnTo>
                              <a:lnTo>
                                <a:pt x="4891" y="3220"/>
                              </a:lnTo>
                              <a:lnTo>
                                <a:pt x="4908" y="3220"/>
                              </a:lnTo>
                              <a:lnTo>
                                <a:pt x="4906" y="3240"/>
                              </a:lnTo>
                              <a:lnTo>
                                <a:pt x="4899" y="3260"/>
                              </a:lnTo>
                              <a:close/>
                              <a:moveTo>
                                <a:pt x="102" y="3360"/>
                              </a:moveTo>
                              <a:lnTo>
                                <a:pt x="78" y="3360"/>
                              </a:lnTo>
                              <a:lnTo>
                                <a:pt x="67" y="3340"/>
                              </a:lnTo>
                              <a:lnTo>
                                <a:pt x="57" y="3320"/>
                              </a:lnTo>
                              <a:lnTo>
                                <a:pt x="47" y="3300"/>
                              </a:lnTo>
                              <a:lnTo>
                                <a:pt x="39" y="3280"/>
                              </a:lnTo>
                              <a:lnTo>
                                <a:pt x="31" y="3260"/>
                              </a:lnTo>
                              <a:lnTo>
                                <a:pt x="44" y="3260"/>
                              </a:lnTo>
                              <a:lnTo>
                                <a:pt x="52" y="3280"/>
                              </a:lnTo>
                              <a:lnTo>
                                <a:pt x="52" y="3280"/>
                              </a:lnTo>
                              <a:lnTo>
                                <a:pt x="61" y="3300"/>
                              </a:lnTo>
                              <a:lnTo>
                                <a:pt x="60" y="3300"/>
                              </a:lnTo>
                              <a:lnTo>
                                <a:pt x="70" y="3320"/>
                              </a:lnTo>
                              <a:lnTo>
                                <a:pt x="80" y="3320"/>
                              </a:lnTo>
                              <a:lnTo>
                                <a:pt x="90" y="3340"/>
                              </a:lnTo>
                              <a:lnTo>
                                <a:pt x="90" y="3340"/>
                              </a:lnTo>
                              <a:lnTo>
                                <a:pt x="102" y="3360"/>
                              </a:lnTo>
                              <a:close/>
                              <a:moveTo>
                                <a:pt x="4845" y="3360"/>
                              </a:moveTo>
                              <a:lnTo>
                                <a:pt x="4821" y="3360"/>
                              </a:lnTo>
                              <a:lnTo>
                                <a:pt x="4833" y="3340"/>
                              </a:lnTo>
                              <a:lnTo>
                                <a:pt x="4833" y="3340"/>
                              </a:lnTo>
                              <a:lnTo>
                                <a:pt x="4843" y="3320"/>
                              </a:lnTo>
                              <a:lnTo>
                                <a:pt x="4853" y="3320"/>
                              </a:lnTo>
                              <a:lnTo>
                                <a:pt x="4863" y="3300"/>
                              </a:lnTo>
                              <a:lnTo>
                                <a:pt x="4862" y="3300"/>
                              </a:lnTo>
                              <a:lnTo>
                                <a:pt x="4871" y="3280"/>
                              </a:lnTo>
                              <a:lnTo>
                                <a:pt x="4871" y="3280"/>
                              </a:lnTo>
                              <a:lnTo>
                                <a:pt x="4879" y="3260"/>
                              </a:lnTo>
                              <a:lnTo>
                                <a:pt x="4892" y="3260"/>
                              </a:lnTo>
                              <a:lnTo>
                                <a:pt x="4884" y="3280"/>
                              </a:lnTo>
                              <a:lnTo>
                                <a:pt x="4876" y="3300"/>
                              </a:lnTo>
                              <a:lnTo>
                                <a:pt x="4866" y="3320"/>
                              </a:lnTo>
                              <a:lnTo>
                                <a:pt x="4856" y="3340"/>
                              </a:lnTo>
                              <a:lnTo>
                                <a:pt x="4845" y="3360"/>
                              </a:lnTo>
                              <a:close/>
                              <a:moveTo>
                                <a:pt x="140" y="3400"/>
                              </a:moveTo>
                              <a:lnTo>
                                <a:pt x="115" y="3400"/>
                              </a:lnTo>
                              <a:lnTo>
                                <a:pt x="102" y="3380"/>
                              </a:lnTo>
                              <a:lnTo>
                                <a:pt x="90" y="3360"/>
                              </a:lnTo>
                              <a:lnTo>
                                <a:pt x="101" y="3360"/>
                              </a:lnTo>
                              <a:lnTo>
                                <a:pt x="114" y="3380"/>
                              </a:lnTo>
                              <a:lnTo>
                                <a:pt x="126" y="3380"/>
                              </a:lnTo>
                              <a:lnTo>
                                <a:pt x="140" y="3400"/>
                              </a:lnTo>
                              <a:close/>
                              <a:moveTo>
                                <a:pt x="4807" y="3400"/>
                              </a:moveTo>
                              <a:lnTo>
                                <a:pt x="4783" y="3400"/>
                              </a:lnTo>
                              <a:lnTo>
                                <a:pt x="4797" y="3380"/>
                              </a:lnTo>
                              <a:lnTo>
                                <a:pt x="4809" y="3380"/>
                              </a:lnTo>
                              <a:lnTo>
                                <a:pt x="4822" y="3360"/>
                              </a:lnTo>
                              <a:lnTo>
                                <a:pt x="4833" y="3360"/>
                              </a:lnTo>
                              <a:lnTo>
                                <a:pt x="4820" y="3380"/>
                              </a:lnTo>
                              <a:lnTo>
                                <a:pt x="4807" y="3400"/>
                              </a:lnTo>
                              <a:close/>
                              <a:moveTo>
                                <a:pt x="183" y="3440"/>
                              </a:moveTo>
                              <a:lnTo>
                                <a:pt x="159" y="3440"/>
                              </a:lnTo>
                              <a:lnTo>
                                <a:pt x="144" y="3420"/>
                              </a:lnTo>
                              <a:lnTo>
                                <a:pt x="129" y="3400"/>
                              </a:lnTo>
                              <a:lnTo>
                                <a:pt x="153" y="3400"/>
                              </a:lnTo>
                              <a:lnTo>
                                <a:pt x="168" y="3420"/>
                              </a:lnTo>
                              <a:lnTo>
                                <a:pt x="168" y="3420"/>
                              </a:lnTo>
                              <a:lnTo>
                                <a:pt x="183" y="3440"/>
                              </a:lnTo>
                              <a:close/>
                              <a:moveTo>
                                <a:pt x="4764" y="3440"/>
                              </a:moveTo>
                              <a:lnTo>
                                <a:pt x="4740" y="3440"/>
                              </a:lnTo>
                              <a:lnTo>
                                <a:pt x="4755" y="3420"/>
                              </a:lnTo>
                              <a:lnTo>
                                <a:pt x="4755" y="3420"/>
                              </a:lnTo>
                              <a:lnTo>
                                <a:pt x="4770" y="3400"/>
                              </a:lnTo>
                              <a:lnTo>
                                <a:pt x="4794" y="3400"/>
                              </a:lnTo>
                              <a:lnTo>
                                <a:pt x="4779" y="3420"/>
                              </a:lnTo>
                              <a:lnTo>
                                <a:pt x="4764" y="3440"/>
                              </a:lnTo>
                              <a:close/>
                              <a:moveTo>
                                <a:pt x="214" y="3460"/>
                              </a:moveTo>
                              <a:lnTo>
                                <a:pt x="190" y="3460"/>
                              </a:lnTo>
                              <a:lnTo>
                                <a:pt x="174" y="3440"/>
                              </a:lnTo>
                              <a:lnTo>
                                <a:pt x="198" y="3440"/>
                              </a:lnTo>
                              <a:lnTo>
                                <a:pt x="214" y="3460"/>
                              </a:lnTo>
                              <a:close/>
                              <a:moveTo>
                                <a:pt x="231" y="3460"/>
                              </a:moveTo>
                              <a:lnTo>
                                <a:pt x="214" y="3460"/>
                              </a:lnTo>
                              <a:lnTo>
                                <a:pt x="214" y="3440"/>
                              </a:lnTo>
                              <a:lnTo>
                                <a:pt x="231" y="3460"/>
                              </a:lnTo>
                              <a:close/>
                              <a:moveTo>
                                <a:pt x="4709" y="3460"/>
                              </a:moveTo>
                              <a:lnTo>
                                <a:pt x="4692" y="3460"/>
                              </a:lnTo>
                              <a:lnTo>
                                <a:pt x="4709" y="3440"/>
                              </a:lnTo>
                              <a:lnTo>
                                <a:pt x="4709" y="3460"/>
                              </a:lnTo>
                              <a:close/>
                              <a:moveTo>
                                <a:pt x="4732" y="3460"/>
                              </a:moveTo>
                              <a:lnTo>
                                <a:pt x="4709" y="3460"/>
                              </a:lnTo>
                              <a:lnTo>
                                <a:pt x="4725" y="3440"/>
                              </a:lnTo>
                              <a:lnTo>
                                <a:pt x="4749" y="3440"/>
                              </a:lnTo>
                              <a:lnTo>
                                <a:pt x="4732" y="3460"/>
                              </a:lnTo>
                              <a:close/>
                              <a:moveTo>
                                <a:pt x="265" y="3480"/>
                              </a:moveTo>
                              <a:lnTo>
                                <a:pt x="224" y="3480"/>
                              </a:lnTo>
                              <a:lnTo>
                                <a:pt x="207" y="3460"/>
                              </a:lnTo>
                              <a:lnTo>
                                <a:pt x="247" y="3460"/>
                              </a:lnTo>
                              <a:lnTo>
                                <a:pt x="265" y="3480"/>
                              </a:lnTo>
                              <a:close/>
                              <a:moveTo>
                                <a:pt x="4699" y="3480"/>
                              </a:moveTo>
                              <a:lnTo>
                                <a:pt x="4658" y="3480"/>
                              </a:lnTo>
                              <a:lnTo>
                                <a:pt x="4676" y="3460"/>
                              </a:lnTo>
                              <a:lnTo>
                                <a:pt x="4716" y="3460"/>
                              </a:lnTo>
                              <a:lnTo>
                                <a:pt x="4699" y="3480"/>
                              </a:lnTo>
                              <a:close/>
                              <a:moveTo>
                                <a:pt x="328" y="3500"/>
                              </a:moveTo>
                              <a:lnTo>
                                <a:pt x="278" y="3500"/>
                              </a:lnTo>
                              <a:lnTo>
                                <a:pt x="259" y="3480"/>
                              </a:lnTo>
                              <a:lnTo>
                                <a:pt x="319" y="3480"/>
                              </a:lnTo>
                              <a:lnTo>
                                <a:pt x="328" y="3500"/>
                              </a:lnTo>
                              <a:close/>
                              <a:moveTo>
                                <a:pt x="4645" y="3500"/>
                              </a:moveTo>
                              <a:lnTo>
                                <a:pt x="4595" y="3500"/>
                              </a:lnTo>
                              <a:lnTo>
                                <a:pt x="4604" y="3480"/>
                              </a:lnTo>
                              <a:lnTo>
                                <a:pt x="4663" y="3480"/>
                              </a:lnTo>
                              <a:lnTo>
                                <a:pt x="4645" y="3500"/>
                              </a:lnTo>
                              <a:close/>
                              <a:moveTo>
                                <a:pt x="4548" y="3520"/>
                              </a:moveTo>
                              <a:lnTo>
                                <a:pt x="376" y="3520"/>
                              </a:lnTo>
                              <a:lnTo>
                                <a:pt x="365" y="3500"/>
                              </a:lnTo>
                              <a:lnTo>
                                <a:pt x="4557" y="3500"/>
                              </a:lnTo>
                              <a:lnTo>
                                <a:pt x="4548" y="3520"/>
                              </a:lnTo>
                              <a:close/>
                            </a:path>
                          </a:pathLst>
                        </a:custGeom>
                        <a:solidFill>
                          <a:srgbClr val="000000"/>
                        </a:solidFill>
                        <a:ln>
                          <a:noFill/>
                        </a:ln>
                      </wps:spPr>
                      <wps:bodyPr upright="1"/>
                    </wps:wsp>
                  </a:graphicData>
                </a:graphic>
              </wp:anchor>
            </w:drawing>
          </mc:Choice>
          <mc:Fallback>
            <w:pict>
              <v:shape id="任意多边形 5" o:spid="_x0000_s1026" o:spt="100" style="position:absolute;left:0pt;margin-left:304.55pt;margin-top:14.5pt;height:176pt;width:246.2pt;mso-position-horizontal-relative:page;z-index:251771904;mso-width-relative:page;mso-height-relative:page;" fillcolor="#000000" filled="t" stroked="f" coordsize="4924,3520" o:gfxdata="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" path="m328,20l260,20,278,0,338,0,328,20xm4664,20l4595,20,4585,0,4645,0,4664,20xm247,40l207,40,224,20,265,20,247,40xm4716,40l4676,40,4658,20,4699,20,4716,40xm214,60l174,60,191,40,231,40,214,60xm4749,60l4709,60,4692,40,4733,40,4749,60xm153,100l130,100,144,80,159,60,198,60,183,80,168,80,153,100xm4794,100l4770,100,4755,80,4740,80,4725,60,4764,60,4779,80,4794,100xm101,140l90,140,103,120,116,100,140,100,126,120,114,120,101,140xm4833,140l4822,140,4809,120,4797,120,4783,100,4808,100,4821,120,4833,140xm113,140l114,120,126,120,113,140xm4810,140l4797,120,4809,120,4810,140xm44,240l31,240,39,220,47,200,57,180,67,160,78,140,102,140,90,160,90,160,80,180,70,180,60,200,61,200,52,220,52,220,44,240xm4900,260l4885,260,4878,240,4879,240,4871,220,4871,220,4862,200,4863,200,4853,180,4843,180,4833,160,4833,160,4821,140,4845,140,4856,160,4866,180,4876,200,4884,220,4892,240,4900,260xm32,280l15,280,17,260,24,240,45,240,38,260,38,260,32,280xm4908,280l4891,280,4885,260,4906,260,4908,280xm26,300l10,300,12,280,29,280,26,300xm4913,300l4897,300,4894,280,4911,280,4913,300xm20,320l6,320,8,300,22,300,20,320xm4917,320l4903,320,4901,300,4915,300,4917,320xm18,340l3,340,4,320,19,320,18,340xm4920,340l4905,340,4904,320,4919,320,4920,340xm16,360l1,360,2,340,16,340,16,360xm4922,360l4907,360,4907,340,4921,340,4922,360xm15,380l0,380,0,360,15,360,15,380xm4923,380l4908,380,4908,360,4923,360,4923,380xm15,3120l0,3120,0,380,15,380,15,3120xm4924,3120l4909,3120,4909,380,4924,380,4924,3120xm15,3140l0,3140,0,3120,15,3120,15,3140xm4923,3140l4908,3140,4908,3120,4923,3120,4923,3140xm16,3160l2,3160,1,3140,16,3140,16,3160xm4921,3160l4907,3160,4907,3140,4922,3140,4921,3160xm19,3180l4,3180,3,3160,18,3160,19,3180xm4919,3180l4904,3180,4905,3160,4920,3160,4919,3180xm22,3200l8,3200,6,3180,20,3180,22,3200xm4915,3200l4901,3200,4903,3180,4917,3180,4915,3200xm29,3220l12,3220,10,3200,26,3200,29,3220xm4911,3220l4894,3220,4897,3200,4913,3200,4911,3220xm45,3260l24,3260,17,3240,15,3220,32,3220,38,3240,38,3240,45,3260xm4899,3260l4878,3260,4885,3240,4885,3240,4891,3220,4908,3220,4906,3240,4899,3260xm102,3360l78,3360,67,3340,57,3320,47,3300,39,3280,31,3260,44,3260,52,3280,52,3280,61,3300,60,3300,70,3320,80,3320,90,3340,90,3340,102,3360xm4845,3360l4821,3360,4833,3340,4833,3340,4843,3320,4853,3320,4863,3300,4862,3300,4871,3280,4871,3280,4879,3260,4892,3260,4884,3280,4876,3300,4866,3320,4856,3340,4845,3360xm140,3400l115,3400,102,3380,90,3360,101,3360,114,3380,126,3380,140,3400xm4807,3400l4783,3400,4797,3380,4809,3380,4822,3360,4833,3360,4820,3380,4807,3400xm183,3440l159,3440,144,3420,129,3400,153,3400,168,3420,168,3420,183,3440xm4764,3440l4740,3440,4755,3420,4755,3420,4770,3400,4794,3400,4779,3420,4764,3440xm214,3460l190,3460,174,3440,198,3440,214,3460xm231,3460l214,3460,214,3440,231,3460xm4709,3460l4692,3460,4709,3440,4709,3460xm4732,3460l4709,3460,4725,3440,4749,3440,4732,3460xm265,3480l224,3480,207,3460,247,3460,265,3480xm4699,3480l4658,3480,4676,3460,4716,3460,4699,3480xm328,3500l278,3500,259,3480,319,3480,328,3500xm4645,3500l4595,3500,4604,3480,4663,3480,4645,3500xm4548,3520l376,3520,365,3500,4557,3500,4548,3520xe">
                <v:fill on="t" focussize="0,0"/>
                <v:stroke on="f"/>
                <v:imagedata o:title=""/>
                <o:lock v:ext="edit" aspectratio="f"/>
              </v:shape>
            </w:pict>
          </mc:Fallback>
        </mc:AlternateContent>
      </w:r>
    </w:p>
    <w:p>
      <w:pPr>
        <w:pStyle w:val="2"/>
        <w:spacing w:line="360" w:lineRule="auto"/>
        <w:ind w:left="0" w:leftChars="0" w:firstLine="482" w:firstLineChars="200"/>
        <w:rPr>
          <w:rFonts w:hint="eastAsia" w:asciiTheme="minorEastAsia" w:hAnsiTheme="minorEastAsia" w:eastAsiaTheme="minorEastAsia" w:cstheme="minorEastAsia"/>
          <w:b/>
          <w:bCs/>
          <w:sz w:val="24"/>
          <w:szCs w:val="24"/>
          <w:lang w:val="en-US" w:eastAsia="zh-CN"/>
        </w:rPr>
      </w:pPr>
    </w:p>
    <w:p>
      <w:pPr>
        <w:pStyle w:val="2"/>
        <w:spacing w:line="360" w:lineRule="auto"/>
        <w:ind w:left="0" w:leftChars="0" w:firstLine="482" w:firstLineChars="200"/>
        <w:rPr>
          <w:rFonts w:hint="eastAsia" w:asciiTheme="minorEastAsia" w:hAnsiTheme="minorEastAsia" w:eastAsiaTheme="minorEastAsia" w:cstheme="minorEastAsia"/>
          <w:b/>
          <w:bCs/>
          <w:sz w:val="24"/>
          <w:szCs w:val="24"/>
          <w:lang w:val="en-US" w:eastAsia="zh-CN"/>
        </w:rPr>
      </w:pPr>
    </w:p>
    <w:p>
      <w:pPr>
        <w:pStyle w:val="2"/>
        <w:spacing w:line="360" w:lineRule="auto"/>
        <w:ind w:left="0" w:leftChars="0" w:firstLine="482" w:firstLineChars="200"/>
        <w:rPr>
          <w:rFonts w:hint="eastAsia" w:asciiTheme="minorEastAsia" w:hAnsiTheme="minorEastAsia" w:eastAsiaTheme="minorEastAsia" w:cstheme="minorEastAsia"/>
          <w:b/>
          <w:bCs/>
          <w:sz w:val="24"/>
          <w:szCs w:val="24"/>
          <w:lang w:val="en-US" w:eastAsia="zh-CN"/>
        </w:rPr>
      </w:pPr>
    </w:p>
    <w:p>
      <w:pPr>
        <w:pStyle w:val="2"/>
        <w:spacing w:line="360" w:lineRule="auto"/>
        <w:ind w:left="0" w:leftChars="0" w:firstLine="482" w:firstLineChars="200"/>
        <w:rPr>
          <w:rFonts w:hint="eastAsia" w:asciiTheme="minorEastAsia" w:hAnsiTheme="minorEastAsia" w:eastAsiaTheme="minorEastAsia" w:cstheme="minorEastAsia"/>
          <w:b/>
          <w:bCs/>
          <w:sz w:val="24"/>
          <w:szCs w:val="24"/>
          <w:lang w:val="en-US" w:eastAsia="zh-CN"/>
        </w:rPr>
      </w:pPr>
    </w:p>
    <w:p>
      <w:pPr>
        <w:pStyle w:val="2"/>
        <w:spacing w:line="360" w:lineRule="auto"/>
        <w:ind w:left="0" w:leftChars="0" w:firstLine="482" w:firstLineChars="200"/>
        <w:rPr>
          <w:rFonts w:hint="eastAsia" w:asciiTheme="minorEastAsia" w:hAnsiTheme="minorEastAsia" w:eastAsiaTheme="minorEastAsia" w:cstheme="minorEastAsia"/>
          <w:b/>
          <w:bCs/>
          <w:sz w:val="24"/>
          <w:szCs w:val="24"/>
          <w:lang w:val="en-US" w:eastAsia="zh-CN"/>
        </w:rPr>
      </w:pPr>
    </w:p>
    <w:p>
      <w:pPr>
        <w:pStyle w:val="2"/>
        <w:spacing w:line="360" w:lineRule="auto"/>
        <w:ind w:left="0" w:leftChars="0" w:firstLine="482" w:firstLineChars="200"/>
        <w:rPr>
          <w:rFonts w:hint="eastAsia" w:asciiTheme="minorEastAsia" w:hAnsiTheme="minorEastAsia" w:eastAsiaTheme="minorEastAsia" w:cstheme="minorEastAsia"/>
          <w:b/>
          <w:bCs/>
          <w:sz w:val="24"/>
          <w:szCs w:val="24"/>
          <w:lang w:val="en-US" w:eastAsia="zh-CN"/>
        </w:rPr>
      </w:pPr>
    </w:p>
    <w:p>
      <w:pPr>
        <w:pStyle w:val="2"/>
        <w:spacing w:line="360" w:lineRule="auto"/>
        <w:ind w:left="0" w:leftChars="0"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注：法定代表人与被授权人身份证（复印件）需附在《投标文件》中。同时，被授权人需携带身份证原件至开标现场。</w:t>
      </w:r>
    </w:p>
    <w:p>
      <w:pPr>
        <w:pStyle w:val="2"/>
        <w:spacing w:line="360" w:lineRule="auto"/>
        <w:ind w:left="0" w:leftChars="0"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pStyle w:val="2"/>
        <w:numPr>
          <w:ilvl w:val="0"/>
          <w:numId w:val="0"/>
        </w:numPr>
        <w:spacing w:line="360" w:lineRule="auto"/>
        <w:ind w:leftChars="0"/>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四、保证金交纳证明</w:t>
      </w:r>
    </w:p>
    <w:tbl>
      <w:tblPr>
        <w:tblStyle w:val="15"/>
        <w:tblW w:w="8412"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068"/>
        <w:gridCol w:w="2616"/>
        <w:gridCol w:w="1560"/>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80" w:type="dxa"/>
            <w:gridSpan w:val="2"/>
          </w:tcPr>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项目编号</w:t>
            </w:r>
          </w:p>
        </w:tc>
        <w:tc>
          <w:tcPr>
            <w:tcW w:w="6732" w:type="dxa"/>
            <w:gridSpan w:val="3"/>
          </w:tcPr>
          <w:p>
            <w:pPr>
              <w:pStyle w:val="2"/>
              <w:spacing w:line="360" w:lineRule="auto"/>
              <w:ind w:left="0" w:leftChars="0" w:firstLine="0" w:firstLineChars="0"/>
              <w:jc w:val="both"/>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ZJYZC2019GK-157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80" w:type="dxa"/>
            <w:gridSpan w:val="2"/>
          </w:tcPr>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项目名称</w:t>
            </w:r>
          </w:p>
        </w:tc>
        <w:tc>
          <w:tcPr>
            <w:tcW w:w="6732" w:type="dxa"/>
            <w:gridSpan w:val="3"/>
          </w:tcPr>
          <w:p>
            <w:pPr>
              <w:pStyle w:val="2"/>
              <w:spacing w:line="360" w:lineRule="auto"/>
              <w:ind w:left="0" w:leftChars="0" w:firstLine="0" w:firstLineChars="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张掖市中级人民法院综合审判大楼弱电改造项目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gridSpan w:val="2"/>
          </w:tcPr>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单位名称</w:t>
            </w:r>
          </w:p>
        </w:tc>
        <w:tc>
          <w:tcPr>
            <w:tcW w:w="6732" w:type="dxa"/>
            <w:gridSpan w:val="3"/>
          </w:tcPr>
          <w:p>
            <w:pPr>
              <w:pStyle w:val="2"/>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restart"/>
            <w:textDirection w:val="tbRlV"/>
            <w:vAlign w:val="center"/>
          </w:tcPr>
          <w:p>
            <w:pPr>
              <w:pStyle w:val="2"/>
              <w:spacing w:line="360" w:lineRule="auto"/>
              <w:ind w:left="113" w:leftChars="0" w:right="113" w:firstLine="0" w:firstLineChars="0"/>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付款人</w:t>
            </w:r>
          </w:p>
        </w:tc>
        <w:tc>
          <w:tcPr>
            <w:tcW w:w="1068" w:type="dxa"/>
          </w:tcPr>
          <w:p>
            <w:pPr>
              <w:pStyle w:val="2"/>
              <w:spacing w:line="360" w:lineRule="auto"/>
              <w:ind w:left="0" w:leftChars="0" w:firstLine="0" w:firstLineChars="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户名</w:t>
            </w:r>
          </w:p>
        </w:tc>
        <w:tc>
          <w:tcPr>
            <w:tcW w:w="6732" w:type="dxa"/>
            <w:gridSpan w:val="3"/>
          </w:tcPr>
          <w:p>
            <w:pPr>
              <w:pStyle w:val="2"/>
              <w:spacing w:line="360" w:lineRule="auto"/>
              <w:ind w:left="0" w:leftChars="0" w:firstLine="0" w:firstLineChars="0"/>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12" w:type="dxa"/>
            <w:vMerge w:val="continue"/>
          </w:tcPr>
          <w:p>
            <w:pPr>
              <w:pStyle w:val="2"/>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068" w:type="dxa"/>
            <w:vAlign w:val="top"/>
          </w:tcPr>
          <w:p>
            <w:pPr>
              <w:pStyle w:val="2"/>
              <w:spacing w:line="360" w:lineRule="auto"/>
              <w:ind w:left="0" w:leftChars="0" w:firstLine="0" w:firstLineChars="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账号</w:t>
            </w:r>
          </w:p>
        </w:tc>
        <w:tc>
          <w:tcPr>
            <w:tcW w:w="6732" w:type="dxa"/>
            <w:gridSpan w:val="3"/>
          </w:tcPr>
          <w:p>
            <w:pPr>
              <w:pStyle w:val="2"/>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Pr>
          <w:p>
            <w:pPr>
              <w:pStyle w:val="2"/>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068" w:type="dxa"/>
          </w:tcPr>
          <w:p>
            <w:pPr>
              <w:pStyle w:val="2"/>
              <w:spacing w:line="360" w:lineRule="auto"/>
              <w:ind w:left="0" w:leftChars="0" w:firstLine="0" w:firstLineChars="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开户行</w:t>
            </w:r>
          </w:p>
        </w:tc>
        <w:tc>
          <w:tcPr>
            <w:tcW w:w="6732" w:type="dxa"/>
            <w:gridSpan w:val="3"/>
          </w:tcPr>
          <w:p>
            <w:pPr>
              <w:pStyle w:val="2"/>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gridSpan w:val="2"/>
            <w:vAlign w:val="center"/>
          </w:tcPr>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保证金金额</w:t>
            </w:r>
          </w:p>
        </w:tc>
        <w:tc>
          <w:tcPr>
            <w:tcW w:w="6732" w:type="dxa"/>
            <w:gridSpan w:val="3"/>
          </w:tcPr>
          <w:p>
            <w:pPr>
              <w:pStyle w:val="2"/>
              <w:spacing w:line="360" w:lineRule="auto"/>
              <w:ind w:left="0" w:leftChars="0" w:firstLine="482" w:firstLineChars="20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人民币</w:t>
            </w:r>
            <w:r>
              <w:rPr>
                <w:rFonts w:hint="eastAsia" w:asciiTheme="minorEastAsia" w:hAnsiTheme="minorEastAsia" w:eastAsiaTheme="minorEastAsia" w:cstheme="minorEastAsia"/>
                <w:b/>
                <w:bCs/>
                <w:sz w:val="24"/>
                <w:szCs w:val="24"/>
                <w:u w:val="single"/>
                <w:vertAlign w:val="baseline"/>
                <w:lang w:val="en-US" w:eastAsia="zh-CN"/>
              </w:rPr>
              <w:t xml:space="preserve">       </w:t>
            </w:r>
            <w:r>
              <w:rPr>
                <w:rFonts w:hint="eastAsia" w:asciiTheme="minorEastAsia" w:hAnsiTheme="minorEastAsia" w:eastAsiaTheme="minorEastAsia" w:cstheme="minorEastAsia"/>
                <w:b/>
                <w:bCs/>
                <w:sz w:val="24"/>
                <w:szCs w:val="24"/>
                <w:vertAlign w:val="baseline"/>
                <w:lang w:val="en-US" w:eastAsia="zh-CN"/>
              </w:rPr>
              <w:t>元整（小写￥</w:t>
            </w:r>
            <w:r>
              <w:rPr>
                <w:rFonts w:hint="eastAsia" w:asciiTheme="minorEastAsia" w:hAnsiTheme="minorEastAsia" w:eastAsiaTheme="minorEastAsia" w:cstheme="minorEastAsia"/>
                <w:b/>
                <w:bCs/>
                <w:sz w:val="24"/>
                <w:szCs w:val="24"/>
                <w:u w:val="single"/>
                <w:vertAlign w:val="baseline"/>
                <w:lang w:val="en-US" w:eastAsia="zh-CN"/>
              </w:rPr>
              <w:t xml:space="preserve">       .00</w:t>
            </w:r>
            <w:r>
              <w:rPr>
                <w:rFonts w:hint="eastAsia" w:asciiTheme="minorEastAsia" w:hAnsiTheme="minorEastAsia" w:eastAsiaTheme="minorEastAsia" w:cstheme="minorEastAsia"/>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gridSpan w:val="2"/>
            <w:vAlign w:val="center"/>
          </w:tcPr>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联系人</w:t>
            </w:r>
          </w:p>
        </w:tc>
        <w:tc>
          <w:tcPr>
            <w:tcW w:w="2616" w:type="dxa"/>
            <w:vAlign w:val="center"/>
          </w:tcPr>
          <w:p>
            <w:pPr>
              <w:pStyle w:val="2"/>
              <w:spacing w:line="360" w:lineRule="auto"/>
              <w:jc w:val="center"/>
              <w:rPr>
                <w:rFonts w:hint="eastAsia" w:asciiTheme="minorEastAsia" w:hAnsiTheme="minorEastAsia" w:eastAsiaTheme="minorEastAsia" w:cstheme="minorEastAsia"/>
                <w:b/>
                <w:bCs/>
                <w:sz w:val="24"/>
                <w:szCs w:val="24"/>
                <w:vertAlign w:val="baseline"/>
                <w:lang w:val="en-US" w:eastAsia="zh-CN"/>
              </w:rPr>
            </w:pPr>
          </w:p>
        </w:tc>
        <w:tc>
          <w:tcPr>
            <w:tcW w:w="1560" w:type="dxa"/>
            <w:vAlign w:val="center"/>
          </w:tcPr>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联系电话</w:t>
            </w:r>
          </w:p>
        </w:tc>
        <w:tc>
          <w:tcPr>
            <w:tcW w:w="2556" w:type="dxa"/>
            <w:vAlign w:val="center"/>
          </w:tcPr>
          <w:p>
            <w:pPr>
              <w:pStyle w:val="2"/>
              <w:spacing w:line="360" w:lineRule="auto"/>
              <w:jc w:val="center"/>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4" w:hRule="atLeast"/>
        </w:trPr>
        <w:tc>
          <w:tcPr>
            <w:tcW w:w="8412" w:type="dxa"/>
            <w:gridSpan w:val="5"/>
            <w:vAlign w:val="center"/>
          </w:tcPr>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保证金缴纳凭据复印件粘贴处（加盖骑缝公章）</w:t>
            </w:r>
          </w:p>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p>
          <w:p>
            <w:pPr>
              <w:pStyle w:val="2"/>
              <w:spacing w:line="360" w:lineRule="auto"/>
              <w:ind w:left="0" w:leftChars="0" w:firstLine="0" w:firstLineChars="0"/>
              <w:jc w:val="center"/>
              <w:rPr>
                <w:rFonts w:hint="eastAsia" w:asciiTheme="minorEastAsia" w:hAnsiTheme="minorEastAsia" w:eastAsiaTheme="minorEastAsia" w:cstheme="minorEastAsia"/>
                <w:b/>
                <w:bCs/>
                <w:sz w:val="24"/>
                <w:szCs w:val="24"/>
                <w:vertAlign w:val="baseline"/>
                <w:lang w:val="en-US" w:eastAsia="zh-CN"/>
              </w:rPr>
            </w:pPr>
          </w:p>
          <w:p>
            <w:pPr>
              <w:pStyle w:val="2"/>
              <w:spacing w:line="360" w:lineRule="auto"/>
              <w:ind w:left="0" w:leftChars="0" w:firstLine="0" w:firstLineChars="0"/>
              <w:jc w:val="both"/>
              <w:rPr>
                <w:rFonts w:hint="eastAsia" w:asciiTheme="minorEastAsia" w:hAnsiTheme="minorEastAsia" w:eastAsiaTheme="minorEastAsia" w:cstheme="minorEastAsia"/>
                <w:b/>
                <w:bCs/>
                <w:sz w:val="24"/>
                <w:szCs w:val="24"/>
                <w:vertAlign w:val="baseline"/>
                <w:lang w:val="en-US" w:eastAsia="zh-CN"/>
              </w:rPr>
            </w:pPr>
          </w:p>
        </w:tc>
      </w:tr>
    </w:tbl>
    <w:p>
      <w:pPr>
        <w:pStyle w:val="2"/>
        <w:numPr>
          <w:ilvl w:val="0"/>
          <w:numId w:val="0"/>
        </w:numPr>
        <w:spacing w:line="360" w:lineRule="auto"/>
        <w:ind w:left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特别说明：</w:t>
      </w:r>
    </w:p>
    <w:p>
      <w:pPr>
        <w:pStyle w:val="2"/>
        <w:numPr>
          <w:ilvl w:val="0"/>
          <w:numId w:val="0"/>
        </w:numPr>
        <w:spacing w:line="360" w:lineRule="auto"/>
        <w:ind w:leftChars="0" w:firstLine="241" w:firstLineChars="1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1．付款人名称必须和投标单位名称完全一致，否则将视为无效保证金；</w:t>
      </w:r>
    </w:p>
    <w:p>
      <w:pPr>
        <w:pStyle w:val="2"/>
        <w:numPr>
          <w:ilvl w:val="0"/>
          <w:numId w:val="0"/>
        </w:numPr>
        <w:spacing w:line="360" w:lineRule="auto"/>
        <w:ind w:leftChars="0" w:firstLine="241" w:firstLineChars="1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2．此证明作为保证金交纳和退付的唯一凭据，若因供应商提供的财务信息有误而导致保证金无法退付，招标代理机构不负任何责任。</w:t>
      </w:r>
    </w:p>
    <w:p>
      <w:pPr>
        <w:pStyle w:val="2"/>
        <w:numPr>
          <w:ilvl w:val="0"/>
          <w:numId w:val="0"/>
        </w:numPr>
        <w:spacing w:line="360" w:lineRule="auto"/>
        <w:jc w:val="both"/>
        <w:rPr>
          <w:rFonts w:hint="eastAsia" w:asciiTheme="minorEastAsia" w:hAnsiTheme="minorEastAsia" w:eastAsiaTheme="minorEastAsia" w:cstheme="minorEastAsia"/>
          <w:b/>
          <w:bCs/>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bCs/>
          <w:sz w:val="24"/>
          <w:szCs w:val="24"/>
          <w:lang w:val="en-US" w:eastAsia="zh-CN"/>
        </w:rPr>
        <w:tab/>
      </w:r>
      <w:r>
        <w:rPr>
          <w:rFonts w:hint="eastAsia" w:asciiTheme="minorEastAsia" w:hAnsiTheme="minorEastAsia" w:eastAsiaTheme="minorEastAsia" w:cstheme="minorEastAsia"/>
          <w:b/>
          <w:bCs/>
          <w:sz w:val="24"/>
          <w:szCs w:val="24"/>
          <w:lang w:val="en-US" w:eastAsia="zh-CN"/>
        </w:rPr>
        <w:tab/>
      </w:r>
    </w:p>
    <w:p>
      <w:pPr>
        <w:keepNext w:val="0"/>
        <w:keepLines w:val="0"/>
        <w:widowControl/>
        <w:suppressLineNumbers w:val="0"/>
        <w:tabs>
          <w:tab w:val="center" w:pos="7039"/>
        </w:tabs>
        <w:jc w:val="center"/>
        <w:rPr>
          <w:rFonts w:hint="eastAsia" w:ascii="宋体" w:hAnsi="宋体" w:eastAsia="宋体" w:cs="宋体"/>
          <w:b/>
          <w:color w:val="000000"/>
          <w:kern w:val="0"/>
          <w:sz w:val="30"/>
          <w:szCs w:val="30"/>
          <w:lang w:val="en-US" w:eastAsia="zh-CN" w:bidi="ar"/>
        </w:rPr>
      </w:pPr>
      <w:r>
        <w:rPr>
          <w:rFonts w:hint="eastAsia" w:ascii="宋体" w:hAnsi="宋体" w:eastAsia="宋体" w:cs="宋体"/>
          <w:b/>
          <w:color w:val="000000"/>
          <w:kern w:val="0"/>
          <w:sz w:val="30"/>
          <w:szCs w:val="30"/>
          <w:lang w:val="en-US" w:eastAsia="zh-CN" w:bidi="ar"/>
        </w:rPr>
        <w:t>五、报价一览表</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项目名称：</w:t>
      </w:r>
      <w:r>
        <w:rPr>
          <w:rFonts w:hint="eastAsia" w:ascii="宋体" w:hAnsi="宋体" w:eastAsia="宋体" w:cs="宋体"/>
          <w:sz w:val="24"/>
          <w:szCs w:val="24"/>
          <w:lang w:val="en-US" w:eastAsia="zh-CN"/>
        </w:rPr>
        <w:t>张掖市中级人民法院综合审判大楼弱电改造项目</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项目编号：</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Theme="minorEastAsia" w:hAnsiTheme="minorEastAsia" w:eastAsiaTheme="minorEastAsia" w:cstheme="minorEastAsia"/>
          <w:b w:val="0"/>
          <w:bCs w:val="0"/>
          <w:sz w:val="24"/>
          <w:szCs w:val="24"/>
          <w:lang w:val="en-US" w:eastAsia="zh-CN"/>
        </w:rPr>
        <w:t>供应商名称：</w:t>
      </w:r>
      <w:r>
        <w:rPr>
          <w:rFonts w:hint="eastAsia" w:asciiTheme="minorEastAsia" w:hAnsiTheme="minorEastAsia" w:eastAsiaTheme="minorEastAsia" w:cstheme="minorEastAsia"/>
          <w:b w:val="0"/>
          <w:bCs w:val="0"/>
          <w:sz w:val="24"/>
          <w:szCs w:val="24"/>
          <w:u w:val="single"/>
          <w:lang w:val="en-US" w:eastAsia="zh-CN"/>
        </w:rPr>
        <w:t xml:space="preserve">                                  （加盖公章）</w:t>
      </w:r>
      <w:r>
        <w:rPr>
          <w:rFonts w:hint="eastAsia" w:asciiTheme="minorEastAsia" w:hAnsiTheme="minorEastAsia" w:eastAsiaTheme="minorEastAsia" w:cstheme="minorEastAsia"/>
          <w:b w:val="0"/>
          <w:bCs w:val="0"/>
          <w:sz w:val="24"/>
          <w:szCs w:val="24"/>
          <w:u w:val="none"/>
          <w:lang w:val="en-US" w:eastAsia="zh-CN"/>
        </w:rPr>
        <w:t xml:space="preserve">     </w:t>
      </w:r>
      <w:r>
        <w:rPr>
          <w:rFonts w:hint="eastAsia" w:asciiTheme="minorEastAsia" w:hAnsiTheme="minorEastAsia" w:eastAsiaTheme="minorEastAsia" w:cstheme="minorEastAsia"/>
          <w:b/>
          <w:bCs/>
          <w:sz w:val="24"/>
          <w:szCs w:val="24"/>
          <w:u w:val="none"/>
          <w:lang w:val="en-US" w:eastAsia="zh-CN"/>
        </w:rPr>
        <w:t xml:space="preserve">                      </w:t>
      </w:r>
      <w:r>
        <w:rPr>
          <w:rFonts w:hint="eastAsia" w:ascii="宋体" w:hAnsi="宋体" w:eastAsia="宋体" w:cs="宋体"/>
          <w:color w:val="000000"/>
          <w:kern w:val="0"/>
          <w:sz w:val="24"/>
          <w:szCs w:val="24"/>
          <w:lang w:val="en-US" w:eastAsia="zh-CN" w:bidi="ar"/>
        </w:rPr>
        <w:t xml:space="preserve">价格单位：人民币/元 </w:t>
      </w:r>
    </w:p>
    <w:tbl>
      <w:tblPr>
        <w:tblStyle w:val="15"/>
        <w:tblW w:w="13475"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3482"/>
        <w:gridCol w:w="3813"/>
        <w:gridCol w:w="2888"/>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501" w:type="dxa"/>
            <w:gridSpan w:val="2"/>
            <w:vAlign w:val="center"/>
          </w:tcPr>
          <w:p>
            <w:pPr>
              <w:jc w:val="center"/>
              <w:rPr>
                <w:rFonts w:hint="eastAsia"/>
                <w:b/>
                <w:bCs/>
                <w:lang w:eastAsia="zh-CN"/>
              </w:rPr>
            </w:pPr>
            <w:r>
              <w:rPr>
                <w:rFonts w:hint="eastAsia"/>
                <w:b/>
                <w:bCs/>
                <w:lang w:eastAsia="zh-CN"/>
              </w:rPr>
              <w:t>项目名称</w:t>
            </w:r>
          </w:p>
        </w:tc>
        <w:tc>
          <w:tcPr>
            <w:tcW w:w="3813" w:type="dxa"/>
            <w:vAlign w:val="center"/>
          </w:tcPr>
          <w:p>
            <w:pPr>
              <w:jc w:val="center"/>
              <w:rPr>
                <w:rFonts w:hint="eastAsia"/>
                <w:b/>
                <w:bCs/>
                <w:lang w:eastAsia="zh-CN"/>
              </w:rPr>
            </w:pPr>
            <w:r>
              <w:rPr>
                <w:rFonts w:hint="eastAsia"/>
                <w:b/>
                <w:bCs/>
                <w:lang w:eastAsia="zh-CN"/>
              </w:rPr>
              <w:t>投标总价</w:t>
            </w:r>
          </w:p>
        </w:tc>
        <w:tc>
          <w:tcPr>
            <w:tcW w:w="2888" w:type="dxa"/>
            <w:vAlign w:val="center"/>
          </w:tcPr>
          <w:p>
            <w:pPr>
              <w:jc w:val="center"/>
              <w:rPr>
                <w:rFonts w:hint="eastAsia"/>
                <w:b/>
                <w:bCs/>
                <w:lang w:eastAsia="zh-CN"/>
              </w:rPr>
            </w:pPr>
            <w:r>
              <w:rPr>
                <w:rFonts w:hint="eastAsia"/>
                <w:b/>
                <w:bCs/>
                <w:lang w:val="en-US" w:eastAsia="zh-CN"/>
              </w:rPr>
              <w:t>工期</w:t>
            </w:r>
          </w:p>
        </w:tc>
        <w:tc>
          <w:tcPr>
            <w:tcW w:w="1273" w:type="dxa"/>
            <w:vAlign w:val="center"/>
          </w:tcPr>
          <w:p>
            <w:pPr>
              <w:jc w:val="center"/>
              <w:rPr>
                <w:rFonts w:hint="eastAsia"/>
                <w:b/>
                <w:bCs/>
                <w:lang w:eastAsia="zh-CN"/>
              </w:rPr>
            </w:pPr>
            <w:r>
              <w:rPr>
                <w:rFonts w:hint="eastAsia"/>
                <w:b/>
                <w:bCs/>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501" w:type="dxa"/>
            <w:gridSpan w:val="2"/>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381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2888"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127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501" w:type="dxa"/>
            <w:gridSpan w:val="2"/>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381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2888"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127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501" w:type="dxa"/>
            <w:gridSpan w:val="2"/>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381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2888"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127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501" w:type="dxa"/>
            <w:gridSpan w:val="2"/>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381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2888"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127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19" w:type="dxa"/>
            <w:vAlign w:val="top"/>
          </w:tcPr>
          <w:p>
            <w:pPr>
              <w:jc w:val="center"/>
              <w:rPr>
                <w:rFonts w:hint="eastAsia" w:eastAsia="宋体"/>
                <w:b/>
                <w:bCs/>
                <w:lang w:eastAsia="zh-CN"/>
              </w:rPr>
            </w:pPr>
            <w:r>
              <w:rPr>
                <w:rFonts w:hint="eastAsia" w:eastAsia="宋体"/>
                <w:b/>
                <w:bCs/>
                <w:lang w:eastAsia="zh-CN"/>
              </w:rPr>
              <w:t>总报价</w:t>
            </w:r>
          </w:p>
        </w:tc>
        <w:tc>
          <w:tcPr>
            <w:tcW w:w="11456" w:type="dxa"/>
            <w:gridSpan w:val="4"/>
            <w:vAlign w:val="top"/>
          </w:tcPr>
          <w:p>
            <w:pPr>
              <w:jc w:val="both"/>
              <w:rPr>
                <w:rFonts w:hint="default" w:eastAsia="宋体"/>
                <w:b/>
                <w:bCs/>
                <w:lang w:val="en-US" w:eastAsia="zh-CN"/>
              </w:rPr>
            </w:pPr>
            <w:r>
              <w:rPr>
                <w:rFonts w:hint="eastAsia" w:eastAsia="宋体"/>
                <w:b/>
                <w:bCs/>
                <w:lang w:val="en-US" w:eastAsia="zh-CN"/>
              </w:rPr>
              <w:t xml:space="preserve">  大写：                                           小写：</w:t>
            </w: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 xml:space="preserve">                      法定代表人或授权代表（签字或盖章）： </w:t>
      </w: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 xml:space="preserve">         日期：    年    月    日 </w:t>
      </w:r>
    </w:p>
    <w:p>
      <w:pPr>
        <w:keepNext w:val="0"/>
        <w:keepLines w:val="0"/>
        <w:widowControl/>
        <w:suppressLineNumbers w:val="0"/>
        <w:jc w:val="center"/>
      </w:pPr>
      <w:r>
        <w:rPr>
          <w:rFonts w:hint="eastAsia" w:ascii="宋体" w:hAnsi="宋体" w:eastAsia="宋体" w:cs="宋体"/>
          <w:b/>
          <w:color w:val="000000"/>
          <w:kern w:val="0"/>
          <w:sz w:val="24"/>
          <w:szCs w:val="24"/>
          <w:lang w:val="en-US" w:eastAsia="zh-CN" w:bidi="ar"/>
        </w:rPr>
        <w:t>注： 此开标信应按“供应商须知”的规定密封标记密封单独提交。此表每一包一份，单独分开递交。</w:t>
      </w:r>
    </w:p>
    <w:p>
      <w:pPr>
        <w:pStyle w:val="2"/>
        <w:numPr>
          <w:ilvl w:val="0"/>
          <w:numId w:val="0"/>
        </w:numPr>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widowControl/>
        <w:suppressLineNumbers w:val="0"/>
        <w:spacing w:line="240" w:lineRule="auto"/>
        <w:jc w:val="center"/>
        <w:rPr>
          <w:rFonts w:hint="eastAsia" w:ascii="宋体" w:hAnsi="宋体" w:eastAsia="宋体" w:cs="宋体"/>
          <w:b/>
          <w:color w:val="000000"/>
          <w:kern w:val="0"/>
          <w:sz w:val="30"/>
          <w:szCs w:val="30"/>
          <w:lang w:val="en-US" w:eastAsia="zh-CN" w:bidi="ar"/>
        </w:rPr>
      </w:pPr>
      <w:r>
        <w:rPr>
          <w:rFonts w:hint="eastAsia" w:ascii="宋体" w:hAnsi="宋体" w:eastAsia="宋体" w:cs="宋体"/>
          <w:b/>
          <w:color w:val="000000"/>
          <w:kern w:val="0"/>
          <w:sz w:val="30"/>
          <w:szCs w:val="30"/>
          <w:lang w:val="en-US" w:eastAsia="zh-CN" w:bidi="ar"/>
        </w:rPr>
        <w:t>六、报价明细表（后附造价文件）</w:t>
      </w:r>
    </w:p>
    <w:p>
      <w:pPr>
        <w:jc w:val="center"/>
        <w:rPr>
          <w:rFonts w:hint="eastAsia"/>
          <w:b/>
          <w:bCs/>
          <w:sz w:val="24"/>
          <w:szCs w:val="24"/>
          <w:lang w:val="en-US" w:eastAsia="zh-CN"/>
        </w:rPr>
      </w:pPr>
      <w:r>
        <w:rPr>
          <w:rFonts w:hint="eastAsia"/>
          <w:b/>
          <w:bCs/>
          <w:sz w:val="24"/>
          <w:szCs w:val="24"/>
          <w:lang w:val="en-US" w:eastAsia="zh-CN"/>
        </w:rPr>
        <w:t>（一）报价明细表</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项目名称：</w:t>
      </w:r>
      <w:r>
        <w:rPr>
          <w:rFonts w:hint="eastAsia" w:ascii="宋体" w:hAnsi="宋体" w:eastAsia="宋体" w:cs="宋体"/>
          <w:sz w:val="24"/>
          <w:szCs w:val="24"/>
          <w:lang w:val="en-US" w:eastAsia="zh-CN"/>
        </w:rPr>
        <w:t>张掖市中级人民法院综合审判大楼弱电改造项目</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项目编号：</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Theme="minorEastAsia" w:hAnsiTheme="minorEastAsia" w:eastAsiaTheme="minorEastAsia" w:cstheme="minorEastAsia"/>
          <w:b w:val="0"/>
          <w:bCs w:val="0"/>
          <w:sz w:val="24"/>
          <w:szCs w:val="24"/>
          <w:lang w:val="en-US" w:eastAsia="zh-CN"/>
        </w:rPr>
        <w:t>供应商名称：</w:t>
      </w:r>
      <w:r>
        <w:rPr>
          <w:rFonts w:hint="eastAsia" w:asciiTheme="minorEastAsia" w:hAnsiTheme="minorEastAsia" w:eastAsiaTheme="minorEastAsia" w:cstheme="minorEastAsia"/>
          <w:b w:val="0"/>
          <w:bCs w:val="0"/>
          <w:sz w:val="24"/>
          <w:szCs w:val="24"/>
          <w:u w:val="single"/>
          <w:lang w:val="en-US" w:eastAsia="zh-CN"/>
        </w:rPr>
        <w:t xml:space="preserve">                                  （加盖公章）</w:t>
      </w:r>
      <w:r>
        <w:rPr>
          <w:rFonts w:hint="eastAsia" w:asciiTheme="minorEastAsia" w:hAnsiTheme="minorEastAsia" w:eastAsiaTheme="minorEastAsia" w:cstheme="minorEastAsia"/>
          <w:b w:val="0"/>
          <w:bCs w:val="0"/>
          <w:sz w:val="24"/>
          <w:szCs w:val="24"/>
          <w:u w:val="none"/>
          <w:lang w:val="en-US" w:eastAsia="zh-CN"/>
        </w:rPr>
        <w:t xml:space="preserve">     </w:t>
      </w:r>
      <w:r>
        <w:rPr>
          <w:rFonts w:hint="eastAsia" w:asciiTheme="minorEastAsia" w:hAnsiTheme="minorEastAsia" w:eastAsiaTheme="minorEastAsia" w:cstheme="minorEastAsia"/>
          <w:b/>
          <w:bCs/>
          <w:sz w:val="24"/>
          <w:szCs w:val="24"/>
          <w:u w:val="none"/>
          <w:lang w:val="en-US" w:eastAsia="zh-CN"/>
        </w:rPr>
        <w:t xml:space="preserve">                      </w:t>
      </w:r>
      <w:r>
        <w:rPr>
          <w:rFonts w:hint="eastAsia" w:ascii="宋体" w:hAnsi="宋体" w:eastAsia="宋体" w:cs="宋体"/>
          <w:color w:val="000000"/>
          <w:kern w:val="0"/>
          <w:sz w:val="24"/>
          <w:szCs w:val="24"/>
          <w:lang w:val="en-US" w:eastAsia="zh-CN" w:bidi="ar"/>
        </w:rPr>
        <w:t xml:space="preserve">价格单位：人民币/元 </w:t>
      </w:r>
    </w:p>
    <w:tbl>
      <w:tblPr>
        <w:tblStyle w:val="15"/>
        <w:tblW w:w="13475"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163"/>
        <w:gridCol w:w="2250"/>
        <w:gridCol w:w="2175"/>
        <w:gridCol w:w="1575"/>
        <w:gridCol w:w="1875"/>
        <w:gridCol w:w="132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82" w:type="dxa"/>
            <w:gridSpan w:val="2"/>
            <w:vAlign w:val="center"/>
          </w:tcPr>
          <w:p>
            <w:pPr>
              <w:jc w:val="center"/>
              <w:rPr>
                <w:rFonts w:hint="eastAsia" w:ascii="宋体" w:hAnsi="宋体" w:eastAsia="宋体" w:cs="宋体"/>
                <w:b/>
                <w:bCs/>
                <w:lang w:eastAsia="zh-CN"/>
              </w:rPr>
            </w:pPr>
            <w:r>
              <w:rPr>
                <w:rFonts w:hint="eastAsia" w:ascii="宋体" w:hAnsi="宋体" w:eastAsia="宋体" w:cs="宋体"/>
                <w:b/>
                <w:bCs/>
                <w:lang w:eastAsia="zh-CN"/>
              </w:rPr>
              <w:t>项目名称</w:t>
            </w:r>
          </w:p>
        </w:tc>
        <w:tc>
          <w:tcPr>
            <w:tcW w:w="2250" w:type="dxa"/>
            <w:vAlign w:val="center"/>
          </w:tcPr>
          <w:p>
            <w:pPr>
              <w:jc w:val="center"/>
              <w:rPr>
                <w:rFonts w:hint="eastAsia" w:ascii="宋体" w:hAnsi="宋体" w:eastAsia="宋体" w:cs="宋体"/>
                <w:b/>
                <w:bCs/>
                <w:lang w:eastAsia="zh-CN"/>
              </w:rPr>
            </w:pPr>
            <w:r>
              <w:rPr>
                <w:rFonts w:hint="eastAsia" w:ascii="宋体" w:hAnsi="宋体" w:eastAsia="宋体" w:cs="宋体"/>
                <w:b/>
                <w:bCs/>
                <w:lang w:eastAsia="zh-CN"/>
              </w:rPr>
              <w:t>分项名称</w:t>
            </w:r>
          </w:p>
        </w:tc>
        <w:tc>
          <w:tcPr>
            <w:tcW w:w="2175" w:type="dxa"/>
            <w:vAlign w:val="center"/>
          </w:tcPr>
          <w:p>
            <w:pPr>
              <w:jc w:val="center"/>
              <w:rPr>
                <w:rFonts w:hint="eastAsia" w:ascii="宋体" w:hAnsi="宋体" w:eastAsia="宋体" w:cs="宋体"/>
                <w:b/>
                <w:bCs/>
                <w:lang w:eastAsia="zh-CN"/>
              </w:rPr>
            </w:pPr>
            <w:r>
              <w:rPr>
                <w:rFonts w:hint="eastAsia" w:ascii="宋体" w:hAnsi="宋体" w:eastAsia="宋体" w:cs="宋体"/>
                <w:b/>
                <w:bCs/>
                <w:lang w:eastAsia="zh-CN"/>
              </w:rPr>
              <w:t>投标单价</w:t>
            </w:r>
          </w:p>
        </w:tc>
        <w:tc>
          <w:tcPr>
            <w:tcW w:w="1575" w:type="dxa"/>
            <w:vAlign w:val="center"/>
          </w:tcPr>
          <w:p>
            <w:pPr>
              <w:jc w:val="center"/>
              <w:rPr>
                <w:rFonts w:hint="eastAsia" w:ascii="宋体" w:hAnsi="宋体" w:eastAsia="宋体" w:cs="宋体"/>
                <w:b/>
                <w:bCs/>
                <w:lang w:eastAsia="zh-CN"/>
              </w:rPr>
            </w:pPr>
            <w:r>
              <w:rPr>
                <w:rFonts w:hint="eastAsia" w:ascii="宋体" w:hAnsi="宋体" w:eastAsia="宋体" w:cs="宋体"/>
                <w:b/>
                <w:bCs/>
                <w:lang w:eastAsia="zh-CN"/>
              </w:rPr>
              <w:t>数量</w:t>
            </w:r>
          </w:p>
        </w:tc>
        <w:tc>
          <w:tcPr>
            <w:tcW w:w="1875" w:type="dxa"/>
            <w:vAlign w:val="center"/>
          </w:tcPr>
          <w:p>
            <w:pPr>
              <w:jc w:val="center"/>
              <w:rPr>
                <w:rFonts w:hint="eastAsia" w:ascii="宋体" w:hAnsi="宋体" w:eastAsia="宋体" w:cs="宋体"/>
                <w:b/>
                <w:bCs/>
                <w:lang w:eastAsia="zh-CN"/>
              </w:rPr>
            </w:pPr>
            <w:r>
              <w:rPr>
                <w:rFonts w:hint="eastAsia" w:ascii="宋体" w:hAnsi="宋体" w:eastAsia="宋体" w:cs="宋体"/>
                <w:b/>
                <w:bCs/>
                <w:lang w:eastAsia="zh-CN"/>
              </w:rPr>
              <w:t>投标总价</w:t>
            </w:r>
          </w:p>
        </w:tc>
        <w:tc>
          <w:tcPr>
            <w:tcW w:w="1325" w:type="dxa"/>
            <w:vAlign w:val="center"/>
          </w:tcPr>
          <w:p>
            <w:pPr>
              <w:jc w:val="center"/>
              <w:rPr>
                <w:rFonts w:hint="eastAsia" w:ascii="宋体" w:hAnsi="宋体" w:eastAsia="宋体" w:cs="宋体"/>
                <w:b/>
                <w:bCs/>
                <w:lang w:eastAsia="zh-CN"/>
              </w:rPr>
            </w:pPr>
            <w:r>
              <w:rPr>
                <w:rFonts w:hint="eastAsia" w:ascii="宋体" w:hAnsi="宋体" w:eastAsia="宋体" w:cs="宋体"/>
                <w:b/>
                <w:bCs/>
                <w:lang w:val="en-US" w:eastAsia="zh-CN"/>
              </w:rPr>
              <w:t>工期</w:t>
            </w:r>
          </w:p>
        </w:tc>
        <w:tc>
          <w:tcPr>
            <w:tcW w:w="2093" w:type="dxa"/>
            <w:vAlign w:val="center"/>
          </w:tcPr>
          <w:p>
            <w:pPr>
              <w:jc w:val="center"/>
              <w:rPr>
                <w:rFonts w:hint="eastAsia" w:ascii="宋体" w:hAnsi="宋体" w:eastAsia="宋体" w:cs="宋体"/>
                <w:b/>
                <w:bCs/>
                <w:lang w:eastAsia="zh-CN"/>
              </w:rPr>
            </w:pPr>
            <w:r>
              <w:rPr>
                <w:rFonts w:hint="eastAsia" w:ascii="宋体" w:hAnsi="宋体" w:eastAsia="宋体" w:cs="宋体"/>
                <w:b/>
                <w:bCs/>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057" w:type="dxa"/>
            <w:gridSpan w:val="6"/>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1325"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209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057" w:type="dxa"/>
            <w:gridSpan w:val="6"/>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1325"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209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057" w:type="dxa"/>
            <w:gridSpan w:val="6"/>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1325"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209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057" w:type="dxa"/>
            <w:gridSpan w:val="6"/>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1325"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c>
          <w:tcPr>
            <w:tcW w:w="2093" w:type="dxa"/>
            <w:vAlign w:val="top"/>
          </w:tcPr>
          <w:p>
            <w:pPr>
              <w:pStyle w:val="12"/>
              <w:keepNext w:val="0"/>
              <w:keepLines w:val="0"/>
              <w:pageBreakBefore w:val="0"/>
              <w:widowControl w:val="0"/>
              <w:kinsoku/>
              <w:wordWrap/>
              <w:overflowPunct/>
              <w:topLinePunct w:val="0"/>
              <w:autoSpaceDE/>
              <w:autoSpaceDN/>
              <w:bidi w:val="0"/>
              <w:adjustRightInd/>
              <w:snapToGrid/>
              <w:spacing w:line="240" w:lineRule="atLeast"/>
              <w:ind w:right="958"/>
              <w:jc w:val="both"/>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19" w:type="dxa"/>
            <w:vAlign w:val="top"/>
          </w:tcPr>
          <w:p>
            <w:pPr>
              <w:jc w:val="center"/>
              <w:rPr>
                <w:rFonts w:hint="eastAsia" w:eastAsia="宋体"/>
                <w:b/>
                <w:bCs/>
                <w:lang w:eastAsia="zh-CN"/>
              </w:rPr>
            </w:pPr>
            <w:r>
              <w:rPr>
                <w:rFonts w:hint="eastAsia" w:eastAsia="宋体"/>
                <w:b/>
                <w:bCs/>
                <w:lang w:eastAsia="zh-CN"/>
              </w:rPr>
              <w:t>总报价</w:t>
            </w:r>
          </w:p>
        </w:tc>
        <w:tc>
          <w:tcPr>
            <w:tcW w:w="11456" w:type="dxa"/>
            <w:gridSpan w:val="7"/>
            <w:vAlign w:val="top"/>
          </w:tcPr>
          <w:p>
            <w:pPr>
              <w:jc w:val="both"/>
              <w:rPr>
                <w:rFonts w:hint="default" w:eastAsia="宋体"/>
                <w:b/>
                <w:bCs/>
                <w:lang w:val="en-US" w:eastAsia="zh-CN"/>
              </w:rPr>
            </w:pPr>
            <w:r>
              <w:rPr>
                <w:rFonts w:hint="eastAsia" w:eastAsia="宋体"/>
                <w:b/>
                <w:bCs/>
                <w:lang w:val="en-US" w:eastAsia="zh-CN"/>
              </w:rPr>
              <w:t xml:space="preserve">  大写：                                           小写：</w:t>
            </w: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 xml:space="preserve">                      法定代表人或授权代表（签字或盖章）： </w:t>
      </w: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 xml:space="preserve">         日期：    年    月    日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备注：供应商须将招标文件详细技术参数中所有项逐一列明单价，否则视为未响应《招标文件》要求，后果由供应商承担。</w:t>
      </w:r>
    </w:p>
    <w:p>
      <w:pPr>
        <w:pStyle w:val="2"/>
        <w:numPr>
          <w:ilvl w:val="0"/>
          <w:numId w:val="0"/>
        </w:numPr>
        <w:spacing w:line="360" w:lineRule="auto"/>
        <w:jc w:val="both"/>
        <w:rPr>
          <w:rFonts w:hint="eastAsia" w:asciiTheme="minorEastAsia" w:hAnsiTheme="minorEastAsia" w:eastAsiaTheme="minorEastAsia" w:cstheme="minorEastAsia"/>
          <w:b/>
          <w:bCs/>
          <w:sz w:val="24"/>
          <w:szCs w:val="24"/>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2"/>
        <w:numPr>
          <w:ilvl w:val="0"/>
          <w:numId w:val="0"/>
        </w:numPr>
        <w:spacing w:line="360" w:lineRule="auto"/>
        <w:jc w:val="both"/>
        <w:rPr>
          <w:rFonts w:hint="eastAsia" w:asciiTheme="minorEastAsia" w:hAnsiTheme="minorEastAsia" w:eastAsiaTheme="minorEastAsia" w:cstheme="minorEastAsia"/>
          <w:b/>
          <w:bCs/>
          <w:sz w:val="24"/>
          <w:szCs w:val="24"/>
          <w:lang w:val="en-US" w:eastAsia="zh-CN"/>
        </w:rPr>
      </w:pPr>
    </w:p>
    <w:p>
      <w:pPr>
        <w:pStyle w:val="2"/>
        <w:numPr>
          <w:ilvl w:val="0"/>
          <w:numId w:val="0"/>
        </w:numPr>
        <w:spacing w:line="360" w:lineRule="auto"/>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七、商务、技术偏离表</w:t>
      </w:r>
    </w:p>
    <w:p>
      <w:pPr>
        <w:pStyle w:val="2"/>
        <w:numPr>
          <w:ilvl w:val="0"/>
          <w:numId w:val="0"/>
        </w:numPr>
        <w:spacing w:line="360" w:lineRule="auto"/>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商务偏离表</w:t>
      </w:r>
    </w:p>
    <w:p>
      <w:pPr>
        <w:pStyle w:val="2"/>
        <w:numPr>
          <w:ilvl w:val="0"/>
          <w:numId w:val="0"/>
        </w:numPr>
        <w:spacing w:line="360" w:lineRule="auto"/>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〔说明〕</w:t>
      </w:r>
      <w:r>
        <w:rPr>
          <w:rFonts w:hint="eastAsia" w:asciiTheme="minorEastAsia" w:hAnsiTheme="minorEastAsia" w:eastAsiaTheme="minorEastAsia" w:cstheme="minorEastAsia"/>
          <w:b w:val="0"/>
          <w:bCs w:val="0"/>
          <w:sz w:val="24"/>
          <w:szCs w:val="24"/>
          <w:lang w:val="en-US" w:eastAsia="zh-CN"/>
        </w:rPr>
        <w:t>供应商应根据其能够提供的工程质量，对照招标文件除“第四部分：技术参数要求”外的要求予以说明。有差异的，则在差异表中写明实际响应的具体内容</w:t>
      </w:r>
      <w:r>
        <w:rPr>
          <w:rFonts w:hint="eastAsia" w:asciiTheme="minorEastAsia" w:hAnsiTheme="minorEastAsia" w:eastAsiaTheme="minorEastAsia" w:cstheme="minorEastAsia"/>
          <w:b/>
          <w:bCs/>
          <w:sz w:val="24"/>
          <w:szCs w:val="24"/>
          <w:lang w:val="en-US" w:eastAsia="zh-CN"/>
        </w:rPr>
        <w:t>。</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供应商名称：                              项目编号：</w:t>
      </w:r>
    </w:p>
    <w:tbl>
      <w:tblPr>
        <w:tblStyle w:val="15"/>
        <w:tblW w:w="9120"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772"/>
        <w:gridCol w:w="2640"/>
        <w:gridCol w:w="1368"/>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序号</w:t>
            </w:r>
          </w:p>
        </w:tc>
        <w:tc>
          <w:tcPr>
            <w:tcW w:w="2772"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招标文件要求</w:t>
            </w:r>
          </w:p>
        </w:tc>
        <w:tc>
          <w:tcPr>
            <w:tcW w:w="2640"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招标文件内容</w:t>
            </w:r>
          </w:p>
        </w:tc>
        <w:tc>
          <w:tcPr>
            <w:tcW w:w="1368"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偏离情况</w:t>
            </w:r>
          </w:p>
        </w:tc>
        <w:tc>
          <w:tcPr>
            <w:tcW w:w="1296"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bl>
    <w:p>
      <w:pPr>
        <w:pStyle w:val="2"/>
        <w:numPr>
          <w:ilvl w:val="0"/>
          <w:numId w:val="0"/>
        </w:numPr>
        <w:spacing w:line="360" w:lineRule="auto"/>
        <w:ind w:firstLine="2880" w:firstLineChars="1200"/>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2880" w:firstLineChars="1200"/>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2880" w:firstLineChars="1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供应商名称：（单位盖章）</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法定代表人或授权代表（签字或加盖个人名章）：</w:t>
      </w:r>
    </w:p>
    <w:p>
      <w:pPr>
        <w:pStyle w:val="2"/>
        <w:numPr>
          <w:ilvl w:val="0"/>
          <w:numId w:val="0"/>
        </w:numPr>
        <w:spacing w:line="360" w:lineRule="auto"/>
        <w:ind w:firstLine="2880" w:firstLineChars="1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日期:</w:t>
      </w:r>
    </w:p>
    <w:p>
      <w:pPr>
        <w:pStyle w:val="2"/>
        <w:numPr>
          <w:ilvl w:val="0"/>
          <w:numId w:val="0"/>
        </w:numPr>
        <w:spacing w:line="360" w:lineRule="auto"/>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pStyle w:val="2"/>
        <w:numPr>
          <w:ilvl w:val="0"/>
          <w:numId w:val="0"/>
        </w:numPr>
        <w:spacing w:line="360" w:lineRule="auto"/>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技术偏离表</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〔说明〕</w:t>
      </w:r>
      <w:r>
        <w:rPr>
          <w:rFonts w:hint="eastAsia" w:asciiTheme="minorEastAsia" w:hAnsiTheme="minorEastAsia" w:eastAsiaTheme="minorEastAsia" w:cstheme="minorEastAsia"/>
          <w:b w:val="0"/>
          <w:bCs w:val="0"/>
          <w:sz w:val="24"/>
          <w:szCs w:val="24"/>
          <w:lang w:val="en-US" w:eastAsia="zh-CN"/>
        </w:rPr>
        <w:t>供应商应按照《招标文件》要求，根据“第四部分：技术参数要求”内容做出全面响应。对响应有差异的，则说明差异的内容。</w:t>
      </w:r>
    </w:p>
    <w:p>
      <w:pPr>
        <w:pStyle w:val="2"/>
        <w:numPr>
          <w:ilvl w:val="0"/>
          <w:numId w:val="0"/>
        </w:numPr>
        <w:spacing w:line="360" w:lineRule="auto"/>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供应商名称：                                       项目编号：</w:t>
      </w:r>
    </w:p>
    <w:tbl>
      <w:tblPr>
        <w:tblStyle w:val="15"/>
        <w:tblW w:w="9120"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772"/>
        <w:gridCol w:w="2640"/>
        <w:gridCol w:w="1368"/>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序号</w:t>
            </w:r>
          </w:p>
        </w:tc>
        <w:tc>
          <w:tcPr>
            <w:tcW w:w="2772"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招标文件要求</w:t>
            </w:r>
          </w:p>
        </w:tc>
        <w:tc>
          <w:tcPr>
            <w:tcW w:w="2640"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招标文件内容</w:t>
            </w:r>
          </w:p>
        </w:tc>
        <w:tc>
          <w:tcPr>
            <w:tcW w:w="1368"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偏离情况</w:t>
            </w:r>
          </w:p>
        </w:tc>
        <w:tc>
          <w:tcPr>
            <w:tcW w:w="1296"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772"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264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68"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296"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bl>
    <w:p>
      <w:pPr>
        <w:pStyle w:val="2"/>
        <w:numPr>
          <w:ilvl w:val="0"/>
          <w:numId w:val="0"/>
        </w:numPr>
        <w:spacing w:line="360" w:lineRule="auto"/>
        <w:ind w:firstLine="482"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注：请对《采购文件》技术参数要求内容逐条响应。投标人提供的产品规格性能偏离表，必须提供相应的技术支持文件,产品规格性能偏离表里面的参数必须和提供相应的技术支持文件内容一致。</w:t>
      </w:r>
    </w:p>
    <w:p>
      <w:pPr>
        <w:pStyle w:val="2"/>
        <w:numPr>
          <w:ilvl w:val="0"/>
          <w:numId w:val="0"/>
        </w:numPr>
        <w:spacing w:line="360" w:lineRule="auto"/>
        <w:ind w:firstLine="482"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不填写此表，评标委员会在评审过程中对分值的漏记、误判均有投标人自行承担。</w:t>
      </w:r>
    </w:p>
    <w:p>
      <w:pPr>
        <w:pStyle w:val="2"/>
        <w:numPr>
          <w:ilvl w:val="0"/>
          <w:numId w:val="0"/>
        </w:numPr>
        <w:spacing w:line="360" w:lineRule="auto"/>
        <w:ind w:firstLine="2880" w:firstLineChars="1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供应商名称：（单位盖章）</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法定代表人或授权代表（签字或加盖个人名章）：</w:t>
      </w:r>
    </w:p>
    <w:p>
      <w:pPr>
        <w:pStyle w:val="2"/>
        <w:numPr>
          <w:ilvl w:val="0"/>
          <w:numId w:val="0"/>
        </w:numPr>
        <w:spacing w:line="360" w:lineRule="auto"/>
        <w:ind w:firstLine="2880" w:firstLineChars="1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日期:</w:t>
      </w:r>
    </w:p>
    <w:p>
      <w:pPr>
        <w:pStyle w:val="2"/>
        <w:numPr>
          <w:ilvl w:val="0"/>
          <w:numId w:val="0"/>
        </w:numPr>
        <w:spacing w:line="360" w:lineRule="auto"/>
        <w:jc w:val="both"/>
        <w:rPr>
          <w:rFonts w:hint="eastAsia" w:asciiTheme="minorEastAsia" w:hAnsiTheme="minorEastAsia" w:eastAsiaTheme="minorEastAsia" w:cstheme="minorEastAsia"/>
          <w:b/>
          <w:bCs/>
          <w:sz w:val="28"/>
          <w:szCs w:val="28"/>
          <w:lang w:val="en-US" w:eastAsia="zh-CN"/>
        </w:rPr>
      </w:pPr>
    </w:p>
    <w:p>
      <w:pPr>
        <w:pStyle w:val="2"/>
        <w:numPr>
          <w:ilvl w:val="0"/>
          <w:numId w:val="4"/>
        </w:numPr>
        <w:spacing w:line="360" w:lineRule="auto"/>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供应商一般情况表</w:t>
      </w:r>
    </w:p>
    <w:tbl>
      <w:tblPr>
        <w:tblStyle w:val="15"/>
        <w:tblW w:w="9430" w:type="dxa"/>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050"/>
        <w:gridCol w:w="1380"/>
        <w:gridCol w:w="810"/>
        <w:gridCol w:w="420"/>
        <w:gridCol w:w="1310"/>
        <w:gridCol w:w="1100"/>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69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投标人名称</w:t>
            </w:r>
          </w:p>
        </w:tc>
        <w:tc>
          <w:tcPr>
            <w:tcW w:w="7740" w:type="dxa"/>
            <w:gridSpan w:val="7"/>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注册地址</w:t>
            </w:r>
          </w:p>
        </w:tc>
        <w:tc>
          <w:tcPr>
            <w:tcW w:w="3660" w:type="dxa"/>
            <w:gridSpan w:val="4"/>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310" w:type="dxa"/>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邮政编码</w:t>
            </w:r>
          </w:p>
        </w:tc>
        <w:tc>
          <w:tcPr>
            <w:tcW w:w="277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690" w:type="dxa"/>
            <w:vMerge w:val="restart"/>
            <w:vAlign w:val="center"/>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联系方式</w:t>
            </w: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联系人</w:t>
            </w:r>
          </w:p>
        </w:tc>
        <w:tc>
          <w:tcPr>
            <w:tcW w:w="2610" w:type="dxa"/>
            <w:gridSpan w:val="3"/>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1310" w:type="dxa"/>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电话</w:t>
            </w:r>
          </w:p>
        </w:tc>
        <w:tc>
          <w:tcPr>
            <w:tcW w:w="277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传真</w:t>
            </w:r>
          </w:p>
        </w:tc>
        <w:tc>
          <w:tcPr>
            <w:tcW w:w="2610" w:type="dxa"/>
            <w:gridSpan w:val="3"/>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1310" w:type="dxa"/>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网址</w:t>
            </w:r>
          </w:p>
        </w:tc>
        <w:tc>
          <w:tcPr>
            <w:tcW w:w="277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法定代表人</w:t>
            </w:r>
          </w:p>
        </w:tc>
        <w:tc>
          <w:tcPr>
            <w:tcW w:w="105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姓名</w:t>
            </w:r>
          </w:p>
        </w:tc>
        <w:tc>
          <w:tcPr>
            <w:tcW w:w="138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230" w:type="dxa"/>
            <w:gridSpan w:val="2"/>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技术职称</w:t>
            </w:r>
          </w:p>
        </w:tc>
        <w:tc>
          <w:tcPr>
            <w:tcW w:w="131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10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电话</w:t>
            </w:r>
          </w:p>
        </w:tc>
        <w:tc>
          <w:tcPr>
            <w:tcW w:w="167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top"/>
          </w:tcPr>
          <w:p>
            <w:pPr>
              <w:pStyle w:val="2"/>
              <w:numPr>
                <w:ilvl w:val="0"/>
                <w:numId w:val="0"/>
              </w:numPr>
              <w:spacing w:line="360" w:lineRule="auto"/>
              <w:ind w:left="0" w:leftChars="0" w:firstLine="0" w:firstLineChars="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技术负责人</w:t>
            </w:r>
          </w:p>
        </w:tc>
        <w:tc>
          <w:tcPr>
            <w:tcW w:w="105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姓名</w:t>
            </w:r>
          </w:p>
        </w:tc>
        <w:tc>
          <w:tcPr>
            <w:tcW w:w="138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230" w:type="dxa"/>
            <w:gridSpan w:val="2"/>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技术职称</w:t>
            </w:r>
          </w:p>
        </w:tc>
        <w:tc>
          <w:tcPr>
            <w:tcW w:w="131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10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电话</w:t>
            </w:r>
          </w:p>
        </w:tc>
        <w:tc>
          <w:tcPr>
            <w:tcW w:w="167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财务负责人</w:t>
            </w:r>
          </w:p>
        </w:tc>
        <w:tc>
          <w:tcPr>
            <w:tcW w:w="105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姓名</w:t>
            </w:r>
          </w:p>
        </w:tc>
        <w:tc>
          <w:tcPr>
            <w:tcW w:w="138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230" w:type="dxa"/>
            <w:gridSpan w:val="2"/>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技术职称</w:t>
            </w:r>
          </w:p>
        </w:tc>
        <w:tc>
          <w:tcPr>
            <w:tcW w:w="131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10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电话</w:t>
            </w:r>
          </w:p>
        </w:tc>
        <w:tc>
          <w:tcPr>
            <w:tcW w:w="167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成立时间</w:t>
            </w:r>
          </w:p>
        </w:tc>
        <w:tc>
          <w:tcPr>
            <w:tcW w:w="2430" w:type="dxa"/>
            <w:gridSpan w:val="2"/>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540" w:type="dxa"/>
            <w:gridSpan w:val="3"/>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员工总人数</w:t>
            </w:r>
          </w:p>
        </w:tc>
        <w:tc>
          <w:tcPr>
            <w:tcW w:w="2770" w:type="dxa"/>
            <w:gridSpan w:val="2"/>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企业资质等级</w:t>
            </w:r>
          </w:p>
        </w:tc>
        <w:tc>
          <w:tcPr>
            <w:tcW w:w="243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810" w:type="dxa"/>
            <w:vMerge w:val="restart"/>
            <w:vAlign w:val="center"/>
          </w:tcPr>
          <w:p>
            <w:pPr>
              <w:pStyle w:val="2"/>
              <w:numPr>
                <w:ilvl w:val="0"/>
                <w:numId w:val="0"/>
              </w:numPr>
              <w:spacing w:line="360" w:lineRule="auto"/>
              <w:ind w:firstLine="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其</w:t>
            </w:r>
          </w:p>
          <w:p>
            <w:pPr>
              <w:pStyle w:val="2"/>
              <w:numPr>
                <w:ilvl w:val="0"/>
                <w:numId w:val="0"/>
              </w:numPr>
              <w:spacing w:line="360" w:lineRule="auto"/>
              <w:ind w:firstLine="0"/>
              <w:jc w:val="center"/>
              <w:rPr>
                <w:rFonts w:hint="eastAsia" w:asciiTheme="minorEastAsia" w:hAnsiTheme="minorEastAsia" w:eastAsiaTheme="minorEastAsia" w:cstheme="minorEastAsia"/>
                <w:b w:val="0"/>
                <w:bCs w:val="0"/>
                <w:sz w:val="24"/>
                <w:szCs w:val="24"/>
                <w:vertAlign w:val="baseline"/>
                <w:lang w:val="en-US" w:eastAsia="zh-CN"/>
              </w:rPr>
            </w:pPr>
          </w:p>
          <w:p>
            <w:pPr>
              <w:pStyle w:val="2"/>
              <w:numPr>
                <w:ilvl w:val="0"/>
                <w:numId w:val="0"/>
              </w:numPr>
              <w:spacing w:line="360" w:lineRule="auto"/>
              <w:ind w:firstLine="0"/>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中</w:t>
            </w:r>
          </w:p>
        </w:tc>
        <w:tc>
          <w:tcPr>
            <w:tcW w:w="1730" w:type="dxa"/>
            <w:gridSpan w:val="2"/>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高级职称人员</w:t>
            </w:r>
          </w:p>
        </w:tc>
        <w:tc>
          <w:tcPr>
            <w:tcW w:w="277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营业执照号</w:t>
            </w:r>
          </w:p>
        </w:tc>
        <w:tc>
          <w:tcPr>
            <w:tcW w:w="243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810" w:type="dxa"/>
            <w:vMerge w:val="continue"/>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1730" w:type="dxa"/>
            <w:gridSpan w:val="2"/>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中级职称人员</w:t>
            </w:r>
          </w:p>
        </w:tc>
        <w:tc>
          <w:tcPr>
            <w:tcW w:w="277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注册资金</w:t>
            </w:r>
          </w:p>
        </w:tc>
        <w:tc>
          <w:tcPr>
            <w:tcW w:w="243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810" w:type="dxa"/>
            <w:vMerge w:val="continue"/>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1730" w:type="dxa"/>
            <w:gridSpan w:val="2"/>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初级职称人员</w:t>
            </w:r>
          </w:p>
        </w:tc>
        <w:tc>
          <w:tcPr>
            <w:tcW w:w="277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开户银行</w:t>
            </w:r>
          </w:p>
        </w:tc>
        <w:tc>
          <w:tcPr>
            <w:tcW w:w="243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810" w:type="dxa"/>
            <w:vMerge w:val="continue"/>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1730" w:type="dxa"/>
            <w:gridSpan w:val="2"/>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技工</w:t>
            </w:r>
          </w:p>
        </w:tc>
        <w:tc>
          <w:tcPr>
            <w:tcW w:w="277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帐   号</w:t>
            </w:r>
          </w:p>
        </w:tc>
        <w:tc>
          <w:tcPr>
            <w:tcW w:w="243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c>
          <w:tcPr>
            <w:tcW w:w="810" w:type="dxa"/>
            <w:vMerge w:val="continue"/>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1730" w:type="dxa"/>
            <w:gridSpan w:val="2"/>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其他</w:t>
            </w:r>
          </w:p>
        </w:tc>
        <w:tc>
          <w:tcPr>
            <w:tcW w:w="2770" w:type="dxa"/>
            <w:gridSpan w:val="2"/>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8" w:hRule="atLeast"/>
        </w:trPr>
        <w:tc>
          <w:tcPr>
            <w:tcW w:w="1690" w:type="dxa"/>
            <w:vAlign w:val="center"/>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经营范围</w:t>
            </w:r>
          </w:p>
        </w:tc>
        <w:tc>
          <w:tcPr>
            <w:tcW w:w="7740" w:type="dxa"/>
            <w:gridSpan w:val="7"/>
          </w:tcPr>
          <w:p>
            <w:pPr>
              <w:pStyle w:val="2"/>
              <w:numPr>
                <w:ilvl w:val="0"/>
                <w:numId w:val="0"/>
              </w:numPr>
              <w:spacing w:line="360" w:lineRule="auto"/>
              <w:jc w:val="both"/>
              <w:rPr>
                <w:rFonts w:hint="eastAsia" w:asciiTheme="minorEastAsia" w:hAnsiTheme="minorEastAsia" w:eastAsiaTheme="minorEastAsia" w:cstheme="minorEastAsia"/>
                <w:b/>
                <w:bCs/>
                <w:sz w:val="24"/>
                <w:szCs w:val="24"/>
                <w:vertAlign w:val="baseline"/>
                <w:lang w:val="en-US" w:eastAsia="zh-CN"/>
              </w:rPr>
            </w:pPr>
          </w:p>
        </w:tc>
      </w:tr>
    </w:tbl>
    <w:p>
      <w:pPr>
        <w:pStyle w:val="2"/>
        <w:numPr>
          <w:ilvl w:val="0"/>
          <w:numId w:val="0"/>
        </w:numPr>
        <w:spacing w:line="360" w:lineRule="auto"/>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br w:type="page"/>
      </w:r>
    </w:p>
    <w:tbl>
      <w:tblPr>
        <w:tblStyle w:val="15"/>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44"/>
        <w:gridCol w:w="2120"/>
        <w:gridCol w:w="1770"/>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985" w:type="dxa"/>
            <w:vMerge w:val="restart"/>
            <w:vAlign w:val="center"/>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三年内有无</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受各级管理</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部门的处分</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或处罚</w:t>
            </w:r>
          </w:p>
        </w:tc>
        <w:tc>
          <w:tcPr>
            <w:tcW w:w="1344"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年份</w:t>
            </w:r>
          </w:p>
        </w:tc>
        <w:tc>
          <w:tcPr>
            <w:tcW w:w="212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处分或处罚记录</w:t>
            </w:r>
          </w:p>
        </w:tc>
        <w:tc>
          <w:tcPr>
            <w:tcW w:w="177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处分单位</w:t>
            </w:r>
          </w:p>
        </w:tc>
        <w:tc>
          <w:tcPr>
            <w:tcW w:w="1619"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5" w:type="dxa"/>
            <w:vMerge w:val="continue"/>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1344"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2017</w:t>
            </w:r>
          </w:p>
        </w:tc>
        <w:tc>
          <w:tcPr>
            <w:tcW w:w="212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770" w:type="dxa"/>
            <w:vAlign w:val="center"/>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619"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985" w:type="dxa"/>
            <w:vMerge w:val="continue"/>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1344"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w:t>
            </w:r>
          </w:p>
        </w:tc>
        <w:tc>
          <w:tcPr>
            <w:tcW w:w="212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77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619"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985" w:type="dxa"/>
            <w:vMerge w:val="continue"/>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1344"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2019</w:t>
            </w:r>
          </w:p>
        </w:tc>
        <w:tc>
          <w:tcPr>
            <w:tcW w:w="212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77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619"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985"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备注</w:t>
            </w:r>
          </w:p>
        </w:tc>
        <w:tc>
          <w:tcPr>
            <w:tcW w:w="6853" w:type="dxa"/>
            <w:gridSpan w:val="4"/>
          </w:tcPr>
          <w:p>
            <w:pPr>
              <w:pStyle w:val="2"/>
              <w:numPr>
                <w:ilvl w:val="0"/>
                <w:numId w:val="0"/>
              </w:numPr>
              <w:spacing w:line="360" w:lineRule="auto"/>
              <w:jc w:val="both"/>
              <w:rPr>
                <w:rFonts w:hint="eastAsia" w:asciiTheme="minorEastAsia" w:hAnsiTheme="minorEastAsia" w:eastAsiaTheme="minorEastAsia" w:cstheme="minorEastAsia"/>
                <w:b w:val="0"/>
                <w:bCs w:val="0"/>
                <w:sz w:val="24"/>
                <w:szCs w:val="24"/>
                <w:vertAlign w:val="baseline"/>
                <w:lang w:val="en-US" w:eastAsia="zh-CN"/>
              </w:rPr>
            </w:pPr>
          </w:p>
        </w:tc>
      </w:tr>
    </w:tbl>
    <w:p>
      <w:pPr>
        <w:pStyle w:val="2"/>
        <w:numPr>
          <w:ilvl w:val="0"/>
          <w:numId w:val="0"/>
        </w:numPr>
        <w:spacing w:line="360" w:lineRule="auto"/>
        <w:ind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兹证明上述声明是真实、正确的，并提供了全部能提供的资料和数据，我们同意遵照贵方要求出示有关证明文件。</w:t>
      </w:r>
    </w:p>
    <w:p>
      <w:pPr>
        <w:pStyle w:val="2"/>
        <w:numPr>
          <w:ilvl w:val="0"/>
          <w:numId w:val="0"/>
        </w:numPr>
        <w:spacing w:line="360" w:lineRule="auto"/>
        <w:ind w:firstLine="480" w:firstLineChars="200"/>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                         （盖章）</w:t>
      </w:r>
    </w:p>
    <w:p>
      <w:pPr>
        <w:pStyle w:val="2"/>
        <w:numPr>
          <w:ilvl w:val="0"/>
          <w:numId w:val="0"/>
        </w:numPr>
        <w:spacing w:line="360" w:lineRule="auto"/>
        <w:ind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授权代表签字：</w:t>
      </w:r>
    </w:p>
    <w:p>
      <w:pPr>
        <w:pStyle w:val="2"/>
        <w:numPr>
          <w:ilvl w:val="0"/>
          <w:numId w:val="0"/>
        </w:numPr>
        <w:spacing w:line="360" w:lineRule="auto"/>
        <w:ind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日期：</w:t>
      </w:r>
    </w:p>
    <w:p>
      <w:pPr>
        <w:pStyle w:val="2"/>
        <w:numPr>
          <w:ilvl w:val="0"/>
          <w:numId w:val="0"/>
        </w:numPr>
        <w:spacing w:line="360" w:lineRule="auto"/>
        <w:ind w:firstLine="482" w:firstLineChars="200"/>
        <w:jc w:val="both"/>
        <w:rPr>
          <w:rFonts w:hint="eastAsia" w:asciiTheme="minorEastAsia" w:hAnsiTheme="minorEastAsia" w:eastAsiaTheme="minorEastAsia" w:cstheme="minorEastAsia"/>
          <w:b/>
          <w:bCs/>
          <w:sz w:val="24"/>
          <w:szCs w:val="24"/>
          <w:lang w:val="en-US" w:eastAsia="zh-CN"/>
        </w:rPr>
      </w:pPr>
    </w:p>
    <w:p>
      <w:pPr>
        <w:pStyle w:val="2"/>
        <w:numPr>
          <w:ilvl w:val="0"/>
          <w:numId w:val="0"/>
        </w:numPr>
        <w:spacing w:line="360" w:lineRule="auto"/>
        <w:jc w:val="both"/>
        <w:rPr>
          <w:rFonts w:hint="eastAsia" w:asciiTheme="minorEastAsia" w:hAnsiTheme="minorEastAsia" w:eastAsiaTheme="minorEastAsia" w:cstheme="minorEastAsia"/>
          <w:b/>
          <w:bCs/>
          <w:sz w:val="24"/>
          <w:szCs w:val="24"/>
          <w:lang w:val="en-US" w:eastAsia="zh-CN"/>
        </w:rPr>
      </w:pPr>
    </w:p>
    <w:p>
      <w:pPr>
        <w:pStyle w:val="2"/>
        <w:numPr>
          <w:ilvl w:val="0"/>
          <w:numId w:val="0"/>
        </w:numPr>
        <w:spacing w:line="360" w:lineRule="auto"/>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后附：</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1）企业简介、经营范围、职工人数、技术人员状况、所需设备等；</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2）营业执照副本、税务登记证、组织机构代码证、开户行许可证、资质证书等（复印件加盖公章）；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3）企业财务状况或资信证明；（复印件加盖公章）；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 企业健全的财务会计制度；（格式自行编写，加盖公章）；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4）企业依法缴纳税收良好记录证明（复印件加盖公章）；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5）企业依法缴纳社会保障资金证明（复印件加盖公章）；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6）其他证明材料（复印件，加盖供应商公章）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br w:type="page"/>
      </w:r>
    </w:p>
    <w:p>
      <w:pPr>
        <w:pStyle w:val="2"/>
        <w:numPr>
          <w:ilvl w:val="0"/>
          <w:numId w:val="4"/>
        </w:numPr>
        <w:spacing w:line="360" w:lineRule="auto"/>
        <w:ind w:left="440" w:leftChars="200" w:firstLine="643" w:firstLineChars="200"/>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供应商近三年类似项目业绩一览表</w:t>
      </w:r>
    </w:p>
    <w:tbl>
      <w:tblPr>
        <w:tblStyle w:val="15"/>
        <w:tblW w:w="9140"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929"/>
        <w:gridCol w:w="1811"/>
        <w:gridCol w:w="1370"/>
        <w:gridCol w:w="150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年份</w:t>
            </w:r>
          </w:p>
        </w:tc>
        <w:tc>
          <w:tcPr>
            <w:tcW w:w="1929"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建设单位</w:t>
            </w:r>
          </w:p>
        </w:tc>
        <w:tc>
          <w:tcPr>
            <w:tcW w:w="1811"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项目名称</w:t>
            </w:r>
          </w:p>
        </w:tc>
        <w:tc>
          <w:tcPr>
            <w:tcW w:w="1370"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完成时间</w:t>
            </w:r>
          </w:p>
        </w:tc>
        <w:tc>
          <w:tcPr>
            <w:tcW w:w="1500"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合同金额</w:t>
            </w:r>
          </w:p>
        </w:tc>
        <w:tc>
          <w:tcPr>
            <w:tcW w:w="1380"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929"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811"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50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8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929"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811"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50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8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929"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811"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50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8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929"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811"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50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8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929"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811"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50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8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929"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811"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50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8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929"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811"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50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8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929"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811"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50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8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929"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811"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50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8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929"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811"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50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38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bl>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w:t>
      </w:r>
    </w:p>
    <w:p>
      <w:pPr>
        <w:pStyle w:val="2"/>
        <w:numPr>
          <w:ilvl w:val="0"/>
          <w:numId w:val="0"/>
        </w:numPr>
        <w:spacing w:line="360" w:lineRule="auto"/>
        <w:ind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1.供应商应如实列出以上情况，如有隐瞒，一经查实将导致其投标申请被拒绝。</w:t>
      </w:r>
    </w:p>
    <w:p>
      <w:pPr>
        <w:pStyle w:val="2"/>
        <w:numPr>
          <w:ilvl w:val="0"/>
          <w:numId w:val="0"/>
        </w:numPr>
        <w:spacing w:line="360" w:lineRule="auto"/>
        <w:ind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2.供应商（仅限于供应商自己实施的）以上业绩需提供有关书面证明材料。“合同金额”需提供合同复印件。在建项目可不填写完成时间，需在备注栏说明情况。</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供应商名称：（单位盖章）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法定代表人或授权代表（签字或盖章）：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日期:</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br w:type="page"/>
      </w:r>
    </w:p>
    <w:p>
      <w:pPr>
        <w:pStyle w:val="2"/>
        <w:numPr>
          <w:ilvl w:val="0"/>
          <w:numId w:val="4"/>
        </w:numPr>
        <w:spacing w:line="360" w:lineRule="auto"/>
        <w:ind w:left="440" w:leftChars="200" w:firstLine="562" w:firstLineChars="200"/>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供应商本项目管理、技术、服务人员情况表</w:t>
      </w:r>
    </w:p>
    <w:tbl>
      <w:tblPr>
        <w:tblStyle w:val="15"/>
        <w:tblW w:w="9350"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130"/>
        <w:gridCol w:w="1110"/>
        <w:gridCol w:w="1410"/>
        <w:gridCol w:w="870"/>
        <w:gridCol w:w="830"/>
        <w:gridCol w:w="112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restart"/>
            <w:vAlign w:val="center"/>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职务</w:t>
            </w:r>
          </w:p>
        </w:tc>
        <w:tc>
          <w:tcPr>
            <w:tcW w:w="1130" w:type="dxa"/>
            <w:vMerge w:val="restart"/>
            <w:vAlign w:val="center"/>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姓名</w:t>
            </w:r>
          </w:p>
        </w:tc>
        <w:tc>
          <w:tcPr>
            <w:tcW w:w="1110" w:type="dxa"/>
            <w:vMerge w:val="restart"/>
            <w:vAlign w:val="center"/>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职称</w:t>
            </w:r>
          </w:p>
        </w:tc>
        <w:tc>
          <w:tcPr>
            <w:tcW w:w="4230" w:type="dxa"/>
            <w:gridSpan w:val="4"/>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执业或执业资格证明</w:t>
            </w:r>
          </w:p>
        </w:tc>
        <w:tc>
          <w:tcPr>
            <w:tcW w:w="1050" w:type="dxa"/>
            <w:vMerge w:val="restart"/>
            <w:vAlign w:val="center"/>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continue"/>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p>
        </w:tc>
        <w:tc>
          <w:tcPr>
            <w:tcW w:w="1130" w:type="dxa"/>
            <w:vMerge w:val="continue"/>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p>
        </w:tc>
        <w:tc>
          <w:tcPr>
            <w:tcW w:w="1110" w:type="dxa"/>
            <w:vMerge w:val="continue"/>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p>
        </w:tc>
        <w:tc>
          <w:tcPr>
            <w:tcW w:w="1410"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证书名称</w:t>
            </w:r>
          </w:p>
        </w:tc>
        <w:tc>
          <w:tcPr>
            <w:tcW w:w="870"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级别</w:t>
            </w:r>
          </w:p>
        </w:tc>
        <w:tc>
          <w:tcPr>
            <w:tcW w:w="830"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证号</w:t>
            </w:r>
          </w:p>
        </w:tc>
        <w:tc>
          <w:tcPr>
            <w:tcW w:w="1120"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专业</w:t>
            </w:r>
          </w:p>
        </w:tc>
        <w:tc>
          <w:tcPr>
            <w:tcW w:w="1050" w:type="dxa"/>
            <w:vMerge w:val="continue"/>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
              <w:numPr>
                <w:ilvl w:val="0"/>
                <w:numId w:val="0"/>
              </w:numPr>
              <w:spacing w:line="360" w:lineRule="auto"/>
              <w:jc w:val="both"/>
              <w:rPr>
                <w:rFonts w:hint="eastAsia" w:asciiTheme="minorEastAsia" w:hAnsiTheme="minorEastAsia" w:eastAsiaTheme="minorEastAsia" w:cstheme="minorEastAsia"/>
                <w:b/>
                <w:bCs/>
                <w:sz w:val="28"/>
                <w:szCs w:val="28"/>
                <w:vertAlign w:val="baseline"/>
                <w:lang w:val="en-US" w:eastAsia="zh-CN"/>
              </w:rPr>
            </w:pPr>
          </w:p>
        </w:tc>
        <w:tc>
          <w:tcPr>
            <w:tcW w:w="1130" w:type="dxa"/>
          </w:tcPr>
          <w:p>
            <w:pPr>
              <w:pStyle w:val="2"/>
              <w:numPr>
                <w:ilvl w:val="0"/>
                <w:numId w:val="0"/>
              </w:numPr>
              <w:spacing w:line="360" w:lineRule="auto"/>
              <w:jc w:val="both"/>
              <w:rPr>
                <w:rFonts w:hint="eastAsia" w:asciiTheme="minorEastAsia" w:hAnsiTheme="minorEastAsia" w:eastAsiaTheme="minorEastAsia" w:cstheme="minorEastAsia"/>
                <w:b/>
                <w:bCs/>
                <w:sz w:val="28"/>
                <w:szCs w:val="28"/>
                <w:vertAlign w:val="baseline"/>
                <w:lang w:val="en-US" w:eastAsia="zh-CN"/>
              </w:rPr>
            </w:pPr>
          </w:p>
        </w:tc>
        <w:tc>
          <w:tcPr>
            <w:tcW w:w="1110" w:type="dxa"/>
          </w:tcPr>
          <w:p>
            <w:pPr>
              <w:pStyle w:val="2"/>
              <w:numPr>
                <w:ilvl w:val="0"/>
                <w:numId w:val="0"/>
              </w:numPr>
              <w:spacing w:line="360" w:lineRule="auto"/>
              <w:jc w:val="both"/>
              <w:rPr>
                <w:rFonts w:hint="eastAsia" w:asciiTheme="minorEastAsia" w:hAnsiTheme="minorEastAsia" w:eastAsiaTheme="minorEastAsia" w:cstheme="minorEastAsia"/>
                <w:b/>
                <w:bCs/>
                <w:sz w:val="28"/>
                <w:szCs w:val="28"/>
                <w:vertAlign w:val="baseline"/>
                <w:lang w:val="en-US" w:eastAsia="zh-CN"/>
              </w:rPr>
            </w:pPr>
          </w:p>
        </w:tc>
        <w:tc>
          <w:tcPr>
            <w:tcW w:w="1410" w:type="dxa"/>
          </w:tcPr>
          <w:p>
            <w:pPr>
              <w:pStyle w:val="2"/>
              <w:numPr>
                <w:ilvl w:val="0"/>
                <w:numId w:val="0"/>
              </w:numPr>
              <w:spacing w:line="360" w:lineRule="auto"/>
              <w:jc w:val="both"/>
              <w:rPr>
                <w:rFonts w:hint="eastAsia" w:asciiTheme="minorEastAsia" w:hAnsiTheme="minorEastAsia" w:eastAsiaTheme="minorEastAsia" w:cstheme="minorEastAsia"/>
                <w:b/>
                <w:bCs/>
                <w:sz w:val="28"/>
                <w:szCs w:val="28"/>
                <w:vertAlign w:val="baseline"/>
                <w:lang w:val="en-US" w:eastAsia="zh-CN"/>
              </w:rPr>
            </w:pPr>
          </w:p>
        </w:tc>
        <w:tc>
          <w:tcPr>
            <w:tcW w:w="870" w:type="dxa"/>
          </w:tcPr>
          <w:p>
            <w:pPr>
              <w:pStyle w:val="2"/>
              <w:numPr>
                <w:ilvl w:val="0"/>
                <w:numId w:val="0"/>
              </w:numPr>
              <w:spacing w:line="360" w:lineRule="auto"/>
              <w:jc w:val="both"/>
              <w:rPr>
                <w:rFonts w:hint="eastAsia" w:asciiTheme="minorEastAsia" w:hAnsiTheme="minorEastAsia" w:eastAsiaTheme="minorEastAsia" w:cstheme="minorEastAsia"/>
                <w:b/>
                <w:bCs/>
                <w:sz w:val="28"/>
                <w:szCs w:val="28"/>
                <w:vertAlign w:val="baseline"/>
                <w:lang w:val="en-US" w:eastAsia="zh-CN"/>
              </w:rPr>
            </w:pPr>
          </w:p>
        </w:tc>
        <w:tc>
          <w:tcPr>
            <w:tcW w:w="830" w:type="dxa"/>
          </w:tcPr>
          <w:p>
            <w:pPr>
              <w:pStyle w:val="2"/>
              <w:numPr>
                <w:ilvl w:val="0"/>
                <w:numId w:val="0"/>
              </w:numPr>
              <w:spacing w:line="360" w:lineRule="auto"/>
              <w:jc w:val="both"/>
              <w:rPr>
                <w:rFonts w:hint="eastAsia" w:asciiTheme="minorEastAsia" w:hAnsiTheme="minorEastAsia" w:eastAsiaTheme="minorEastAsia" w:cstheme="minorEastAsia"/>
                <w:b/>
                <w:bCs/>
                <w:sz w:val="28"/>
                <w:szCs w:val="28"/>
                <w:vertAlign w:val="baseline"/>
                <w:lang w:val="en-US" w:eastAsia="zh-CN"/>
              </w:rPr>
            </w:pPr>
          </w:p>
        </w:tc>
        <w:tc>
          <w:tcPr>
            <w:tcW w:w="1120" w:type="dxa"/>
          </w:tcPr>
          <w:p>
            <w:pPr>
              <w:pStyle w:val="2"/>
              <w:numPr>
                <w:ilvl w:val="0"/>
                <w:numId w:val="0"/>
              </w:numPr>
              <w:spacing w:line="360" w:lineRule="auto"/>
              <w:jc w:val="both"/>
              <w:rPr>
                <w:rFonts w:hint="eastAsia" w:asciiTheme="minorEastAsia" w:hAnsiTheme="minorEastAsia" w:eastAsiaTheme="minorEastAsia" w:cstheme="minorEastAsia"/>
                <w:b/>
                <w:bCs/>
                <w:sz w:val="28"/>
                <w:szCs w:val="28"/>
                <w:vertAlign w:val="baseline"/>
                <w:lang w:val="en-US" w:eastAsia="zh-CN"/>
              </w:rPr>
            </w:pPr>
          </w:p>
        </w:tc>
        <w:tc>
          <w:tcPr>
            <w:tcW w:w="1050" w:type="dxa"/>
          </w:tcPr>
          <w:p>
            <w:pPr>
              <w:pStyle w:val="2"/>
              <w:numPr>
                <w:ilvl w:val="0"/>
                <w:numId w:val="0"/>
              </w:numPr>
              <w:spacing w:line="360" w:lineRule="auto"/>
              <w:jc w:val="both"/>
              <w:rPr>
                <w:rFonts w:hint="eastAsia" w:asciiTheme="minorEastAsia" w:hAnsiTheme="minorEastAsia" w:eastAsiaTheme="minorEastAsia" w:cstheme="minorEastAsia"/>
                <w:b/>
                <w:bCs/>
                <w:sz w:val="28"/>
                <w:szCs w:val="28"/>
                <w:vertAlign w:val="baseline"/>
                <w:lang w:val="en-US" w:eastAsia="zh-CN"/>
              </w:rPr>
            </w:pPr>
          </w:p>
        </w:tc>
      </w:tr>
    </w:tbl>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注：后附上表所有人员执业或职业资格证明（复印件加盖单位公章）。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供应商名称：（单位盖章）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法定代表人或授权代表（签字或盖章）：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日期:</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br w:type="page"/>
      </w:r>
    </w:p>
    <w:p>
      <w:pPr>
        <w:pStyle w:val="2"/>
        <w:numPr>
          <w:ilvl w:val="0"/>
          <w:numId w:val="0"/>
        </w:numPr>
        <w:spacing w:line="360" w:lineRule="auto"/>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十一、其它商务及技术证明材料</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（格式自行设计编写）</w:t>
      </w:r>
    </w:p>
    <w:p>
      <w:pPr>
        <w:pStyle w:val="2"/>
        <w:numPr>
          <w:ilvl w:val="0"/>
          <w:numId w:val="0"/>
        </w:numPr>
        <w:spacing w:line="360" w:lineRule="auto"/>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4"/>
          <w:szCs w:val="24"/>
          <w:lang w:val="en-US" w:eastAsia="zh-CN"/>
        </w:rPr>
        <w:br w:type="page"/>
      </w:r>
      <w:r>
        <w:rPr>
          <w:rFonts w:hint="eastAsia" w:asciiTheme="minorEastAsia" w:hAnsiTheme="minorEastAsia" w:eastAsiaTheme="minorEastAsia" w:cstheme="minorEastAsia"/>
          <w:b/>
          <w:bCs/>
          <w:sz w:val="28"/>
          <w:szCs w:val="28"/>
          <w:lang w:val="en-US" w:eastAsia="zh-CN"/>
        </w:rPr>
        <w:t>十二、无骗取入围和严重违约及重大质量问题声明</w:t>
      </w:r>
    </w:p>
    <w:p>
      <w:pPr>
        <w:pStyle w:val="2"/>
        <w:numPr>
          <w:ilvl w:val="0"/>
          <w:numId w:val="0"/>
        </w:numPr>
        <w:spacing w:line="360" w:lineRule="auto"/>
        <w:ind w:leftChars="400"/>
        <w:jc w:val="both"/>
        <w:rPr>
          <w:rFonts w:hint="eastAsia" w:asciiTheme="minorEastAsia" w:hAnsiTheme="minorEastAsia" w:eastAsiaTheme="minorEastAsia" w:cstheme="minorEastAsia"/>
          <w:b/>
          <w:bCs/>
          <w:sz w:val="28"/>
          <w:szCs w:val="28"/>
          <w:lang w:val="en-US" w:eastAsia="zh-CN"/>
        </w:rPr>
      </w:pPr>
    </w:p>
    <w:p>
      <w:pPr>
        <w:pStyle w:val="2"/>
        <w:numPr>
          <w:ilvl w:val="0"/>
          <w:numId w:val="0"/>
        </w:numPr>
        <w:spacing w:line="360" w:lineRule="auto"/>
        <w:ind w:firstLine="720" w:firstLineChars="3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本公司在最近三年（    年    月-至今）内承揽的工程中，无违法、违规的不良记录，未因申请人违规或违约介入诉讼或仲裁，不存在拖欠工资情况及重大质量问题、重大安全事故，未因申请人违规或违约解除合同。我公司在投标期间没有处于被责令停业、或财产被接管或冻结、或被暂停参加投标活动的处罚阶段。若在本次工程的招标投标的全过程中，被查实我公司提供的资料及上述承诺不属实，或提供的相关资料不属实或不满足资格预审文件的要求，则采购人有权取消我公司的投标及中标资格，且我公司将无条件承担由此给本次招标带来的一切后果。法定代表人或被授权人签字：</w:t>
      </w: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特此承诺。</w:t>
      </w: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240" w:firstLineChars="1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法定代表人或被授权人签字：</w:t>
      </w:r>
    </w:p>
    <w:p>
      <w:pPr>
        <w:pStyle w:val="2"/>
        <w:numPr>
          <w:ilvl w:val="0"/>
          <w:numId w:val="0"/>
        </w:numPr>
        <w:spacing w:line="360" w:lineRule="auto"/>
        <w:ind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职务：</w:t>
      </w:r>
    </w:p>
    <w:p>
      <w:pPr>
        <w:pStyle w:val="2"/>
        <w:numPr>
          <w:ilvl w:val="0"/>
          <w:numId w:val="0"/>
        </w:numPr>
        <w:spacing w:line="360" w:lineRule="auto"/>
        <w:ind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承诺方名称（公章）：</w:t>
      </w:r>
    </w:p>
    <w:p>
      <w:pPr>
        <w:pStyle w:val="2"/>
        <w:numPr>
          <w:ilvl w:val="0"/>
          <w:numId w:val="0"/>
        </w:numPr>
        <w:spacing w:line="360" w:lineRule="auto"/>
        <w:ind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日期：    年    月    日</w:t>
      </w:r>
    </w:p>
    <w:p>
      <w:pPr>
        <w:pStyle w:val="2"/>
        <w:numPr>
          <w:ilvl w:val="0"/>
          <w:numId w:val="0"/>
        </w:numPr>
        <w:spacing w:line="360" w:lineRule="auto"/>
        <w:ind w:firstLine="240" w:firstLineChars="1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br w:type="page"/>
      </w:r>
    </w:p>
    <w:p>
      <w:pPr>
        <w:pStyle w:val="2"/>
        <w:numPr>
          <w:ilvl w:val="0"/>
          <w:numId w:val="5"/>
        </w:numPr>
        <w:spacing w:line="360" w:lineRule="auto"/>
        <w:ind w:firstLine="281" w:firstLineChars="100"/>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质量保证承诺</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甘肃省张掖市中级人民法院：</w:t>
      </w:r>
    </w:p>
    <w:p>
      <w:pPr>
        <w:pStyle w:val="2"/>
        <w:numPr>
          <w:ilvl w:val="0"/>
          <w:numId w:val="0"/>
        </w:numPr>
        <w:spacing w:line="360" w:lineRule="auto"/>
        <w:ind w:left="0" w:leftChars="0" w:right="-273" w:rightChars="-124" w:firstLine="439" w:firstLineChars="183"/>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关于贵方 X 年 X 月 X 日就张掖市中级人民法院综合审判大楼弱电改造项目公开招标（招标文件编号：</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 xml:space="preserve"> ）事宜，我公司作为供应商，作如下保证：保证所有技术参数完全符合采购方要求，完全响应贵方在招标文件中规定的技术参数及售后服务要求，并在规定的时间内交付使用。</w:t>
      </w:r>
    </w:p>
    <w:p>
      <w:pPr>
        <w:pStyle w:val="2"/>
        <w:numPr>
          <w:ilvl w:val="0"/>
          <w:numId w:val="0"/>
        </w:numPr>
        <w:spacing w:line="360" w:lineRule="auto"/>
        <w:ind w:left="0" w:leftChars="0" w:right="-493" w:rightChars="-224" w:firstLine="439" w:firstLineChars="183"/>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若我公司未能履行上述承诺，你单位将有权解除合同，并拒付工程款，以作补偿；</w:t>
      </w:r>
    </w:p>
    <w:p>
      <w:pPr>
        <w:pStyle w:val="2"/>
        <w:numPr>
          <w:ilvl w:val="0"/>
          <w:numId w:val="0"/>
        </w:numPr>
        <w:spacing w:line="360" w:lineRule="auto"/>
        <w:ind w:left="0" w:leftChars="0" w:right="-273" w:rightChars="-124" w:firstLine="439" w:firstLineChars="183"/>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附件：营业执照复印件、授权委托书、法人身份证复印件、联系人身份证复印件并加盖单位印章；</w:t>
      </w:r>
    </w:p>
    <w:p>
      <w:pPr>
        <w:pStyle w:val="2"/>
        <w:numPr>
          <w:ilvl w:val="0"/>
          <w:numId w:val="0"/>
        </w:numPr>
        <w:spacing w:line="360" w:lineRule="auto"/>
        <w:ind w:left="0" w:leftChars="0" w:right="-273" w:rightChars="-124" w:firstLine="439" w:firstLineChars="183"/>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备注：此承诺由承建单位中标后产生法律效益。</w:t>
      </w:r>
    </w:p>
    <w:p>
      <w:pPr>
        <w:pStyle w:val="2"/>
        <w:numPr>
          <w:ilvl w:val="0"/>
          <w:numId w:val="0"/>
        </w:numPr>
        <w:spacing w:line="360" w:lineRule="auto"/>
        <w:ind w:firstLine="240" w:firstLineChars="100"/>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left="0" w:leftChars="0" w:firstLine="4178" w:firstLineChars="1741"/>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承诺单位（盖章）：</w:t>
      </w:r>
    </w:p>
    <w:p>
      <w:pPr>
        <w:pStyle w:val="2"/>
        <w:numPr>
          <w:ilvl w:val="0"/>
          <w:numId w:val="0"/>
        </w:numPr>
        <w:spacing w:line="360" w:lineRule="auto"/>
        <w:ind w:left="0" w:leftChars="0" w:firstLine="4178" w:firstLineChars="1741"/>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联系人：</w:t>
      </w:r>
    </w:p>
    <w:p>
      <w:pPr>
        <w:pStyle w:val="2"/>
        <w:numPr>
          <w:ilvl w:val="0"/>
          <w:numId w:val="0"/>
        </w:numPr>
        <w:spacing w:line="360" w:lineRule="auto"/>
        <w:ind w:left="0" w:leftChars="0" w:firstLine="4178" w:firstLineChars="1741"/>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联系电话：</w:t>
      </w:r>
    </w:p>
    <w:p>
      <w:pPr>
        <w:pStyle w:val="2"/>
        <w:numPr>
          <w:ilvl w:val="0"/>
          <w:numId w:val="0"/>
        </w:numPr>
        <w:spacing w:line="360" w:lineRule="auto"/>
        <w:ind w:left="0" w:leftChars="0" w:firstLine="4178" w:firstLineChars="1741"/>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left="0" w:leftChars="0" w:firstLine="4178" w:firstLineChars="1741"/>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left="0" w:leftChars="0" w:firstLine="5608" w:firstLineChars="2337"/>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年    月    日</w:t>
      </w:r>
    </w:p>
    <w:p>
      <w:pPr>
        <w:pStyle w:val="2"/>
        <w:numPr>
          <w:ilvl w:val="0"/>
          <w:numId w:val="0"/>
        </w:numPr>
        <w:spacing w:line="360" w:lineRule="auto"/>
        <w:ind w:left="0" w:leftChars="0" w:firstLine="5608" w:firstLineChars="2337"/>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br w:type="page"/>
      </w:r>
    </w:p>
    <w:p>
      <w:pPr>
        <w:pStyle w:val="2"/>
        <w:numPr>
          <w:ilvl w:val="0"/>
          <w:numId w:val="0"/>
        </w:numPr>
        <w:spacing w:line="360" w:lineRule="auto"/>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十四、售后服务保证措施承诺</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（自行编写）</w:t>
      </w:r>
    </w:p>
    <w:p>
      <w:pPr>
        <w:pStyle w:val="2"/>
        <w:numPr>
          <w:ilvl w:val="0"/>
          <w:numId w:val="0"/>
        </w:numPr>
        <w:spacing w:line="360" w:lineRule="auto"/>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4"/>
          <w:szCs w:val="24"/>
          <w:lang w:val="en-US" w:eastAsia="zh-CN"/>
        </w:rPr>
        <w:br w:type="page"/>
      </w:r>
      <w:r>
        <w:rPr>
          <w:rFonts w:hint="eastAsia" w:asciiTheme="minorEastAsia" w:hAnsiTheme="minorEastAsia" w:eastAsiaTheme="minorEastAsia" w:cstheme="minorEastAsia"/>
          <w:b/>
          <w:bCs/>
          <w:sz w:val="28"/>
          <w:szCs w:val="28"/>
          <w:lang w:val="en-US" w:eastAsia="zh-CN"/>
        </w:rPr>
        <w:t>十五、未被列入失信记录书面声明</w:t>
      </w:r>
    </w:p>
    <w:p>
      <w:pPr>
        <w:pStyle w:val="2"/>
        <w:numPr>
          <w:ilvl w:val="0"/>
          <w:numId w:val="0"/>
        </w:numPr>
        <w:spacing w:line="360" w:lineRule="auto"/>
        <w:ind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公司声明：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以投标 截 止 日 当 天 在 “ 信 用 中 国 ” 网 站 [www.creditchina.gov.cn] 、 中 国 政 府 采 购 网[www.ccgp.gov.cn]及“信用甘肃”网站[www.gscredit.gov.cn]查询结果为准。</w:t>
      </w:r>
    </w:p>
    <w:p>
      <w:pPr>
        <w:pStyle w:val="2"/>
        <w:numPr>
          <w:ilvl w:val="0"/>
          <w:numId w:val="0"/>
        </w:numPr>
        <w:spacing w:line="360" w:lineRule="auto"/>
        <w:ind w:leftChars="3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(注：后附查询结果）</w:t>
      </w:r>
    </w:p>
    <w:p>
      <w:pPr>
        <w:pStyle w:val="2"/>
        <w:numPr>
          <w:ilvl w:val="0"/>
          <w:numId w:val="0"/>
        </w:numPr>
        <w:spacing w:line="360" w:lineRule="auto"/>
        <w:ind w:leftChars="300"/>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leftChars="300"/>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leftChars="300"/>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2160" w:firstLineChars="9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供应商名称：（单位盖章）</w:t>
      </w:r>
    </w:p>
    <w:p>
      <w:pPr>
        <w:pStyle w:val="2"/>
        <w:numPr>
          <w:ilvl w:val="0"/>
          <w:numId w:val="0"/>
        </w:numPr>
        <w:spacing w:line="360" w:lineRule="auto"/>
        <w:ind w:firstLine="2160" w:firstLineChars="9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法定代表人或授权代表（签字或加盖个人名章）：</w:t>
      </w:r>
    </w:p>
    <w:p>
      <w:pPr>
        <w:pStyle w:val="2"/>
        <w:numPr>
          <w:ilvl w:val="0"/>
          <w:numId w:val="0"/>
        </w:numPr>
        <w:spacing w:line="360" w:lineRule="auto"/>
        <w:ind w:firstLine="2160" w:firstLineChars="9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日期:</w:t>
      </w:r>
    </w:p>
    <w:p>
      <w:pPr>
        <w:pStyle w:val="2"/>
        <w:numPr>
          <w:ilvl w:val="0"/>
          <w:numId w:val="0"/>
        </w:numPr>
        <w:spacing w:line="360" w:lineRule="auto"/>
        <w:ind w:firstLine="2160" w:firstLineChars="9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br w:type="page"/>
      </w:r>
    </w:p>
    <w:p>
      <w:pPr>
        <w:pStyle w:val="2"/>
        <w:numPr>
          <w:ilvl w:val="0"/>
          <w:numId w:val="6"/>
        </w:numPr>
        <w:spacing w:line="360" w:lineRule="auto"/>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虚假应标承担责任声明</w:t>
      </w:r>
    </w:p>
    <w:p>
      <w:pPr>
        <w:pStyle w:val="2"/>
        <w:numPr>
          <w:ilvl w:val="0"/>
          <w:numId w:val="0"/>
        </w:numPr>
        <w:spacing w:line="360" w:lineRule="auto"/>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致:甘肃省张掖市中级人民法院</w:t>
      </w:r>
    </w:p>
    <w:p>
      <w:pPr>
        <w:pStyle w:val="2"/>
        <w:numPr>
          <w:ilvl w:val="0"/>
          <w:numId w:val="0"/>
        </w:numPr>
        <w:spacing w:line="360" w:lineRule="auto"/>
        <w:ind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我公司承诺所提供的投标文件（包括一切技术资料、技术承诺、商务承诺等）均真实有效，若在项目招标过程中（包括开评标、中标公示过程）及履行合同期间（包括验收过程）发现我公司产品（或服务）与投标文件不一致，或发现我公司提供了不真实的投标文件（虚假材料），我公司愿意承担一切法律责任并认可采购人或采购代理机构做出的取消中标人资格、罚没保证金等决定。</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1200" w:firstLineChars="5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特此声明。</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供应商（公章）：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法定地址：</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邮 编：                         授权代表（签字或盖章）：</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电 话：                         传 真：</w:t>
      </w:r>
    </w:p>
    <w:p>
      <w:pPr>
        <w:pStyle w:val="2"/>
        <w:numPr>
          <w:ilvl w:val="0"/>
          <w:numId w:val="0"/>
        </w:numPr>
        <w:spacing w:line="360" w:lineRule="auto"/>
        <w:ind w:firstLine="960" w:firstLineChars="400"/>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5760" w:firstLineChars="2400"/>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5760" w:firstLineChars="24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年 XX 月 XX 日</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br w:type="page"/>
      </w:r>
    </w:p>
    <w:p>
      <w:pPr>
        <w:pStyle w:val="2"/>
        <w:numPr>
          <w:ilvl w:val="0"/>
          <w:numId w:val="0"/>
        </w:numPr>
        <w:spacing w:line="360" w:lineRule="auto"/>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十七、中小企业声明函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本公司郑重声明，根据《政府采购促进中小企业发展暂行办法》（财库[2011]181号）的规定，本公司为______（请填写：中型、小型、微型）企业。即，本公司同时满足以下条件：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本公司对上述声明的真实性负责。如有虚假，将依法承担相应责任。</w:t>
      </w:r>
    </w:p>
    <w:p>
      <w:pPr>
        <w:spacing w:line="360" w:lineRule="auto"/>
        <w:ind w:left="2240" w:hanging="1680" w:hangingChars="700"/>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spacing w:line="360" w:lineRule="auto"/>
        <w:ind w:left="2560" w:hanging="1920" w:hangingChars="800"/>
        <w:rPr>
          <w:rFonts w:hint="eastAsia" w:ascii="宋体" w:hAnsi="宋体" w:eastAsia="宋体" w:cs="宋体"/>
          <w:sz w:val="24"/>
          <w:szCs w:val="24"/>
        </w:rPr>
      </w:pPr>
      <w:r>
        <w:rPr>
          <w:rFonts w:hint="eastAsia" w:ascii="宋体" w:hAnsi="宋体" w:eastAsia="宋体" w:cs="宋体"/>
          <w:sz w:val="24"/>
          <w:szCs w:val="24"/>
        </w:rPr>
        <w:t>日 期：</w:t>
      </w:r>
    </w:p>
    <w:p>
      <w:pPr>
        <w:rPr>
          <w:rFonts w:ascii="仿宋_GB2312" w:eastAsia="仿宋_GB2312"/>
          <w:sz w:val="32"/>
          <w:szCs w:val="32"/>
        </w:rPr>
      </w:pP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left="0" w:leftChars="0" w:firstLine="439" w:firstLineChars="183"/>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1、填写前请认真阅读《工业和信息化部、国家统计局、国家发展和改革委员会、财政部关于印发中小企业划型标准规定的通知》（工信部联企业[2011]300 号）和《财政部工业和信息化部关于印发＜政府采购促进中小企业发展暂行办法＞的通知》(财库[2011]181 号)相关规定。</w:t>
      </w:r>
    </w:p>
    <w:p>
      <w:pPr>
        <w:pStyle w:val="2"/>
        <w:numPr>
          <w:ilvl w:val="0"/>
          <w:numId w:val="0"/>
        </w:numPr>
        <w:spacing w:line="360" w:lineRule="auto"/>
        <w:ind w:left="0" w:leftChars="0" w:firstLine="439" w:firstLineChars="183"/>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2、中小企业部分提供其他中小企业制造货物的应另附说明，并与开标一览表保持一致。</w:t>
      </w:r>
    </w:p>
    <w:p>
      <w:pPr>
        <w:pStyle w:val="2"/>
        <w:numPr>
          <w:ilvl w:val="0"/>
          <w:numId w:val="0"/>
        </w:numPr>
        <w:spacing w:line="360" w:lineRule="auto"/>
        <w:ind w:left="0" w:leftChars="0" w:firstLine="439" w:firstLineChars="183"/>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3、未按上述要求提供、填写的，评审时不予以考虑。</w:t>
      </w:r>
    </w:p>
    <w:p>
      <w:pPr>
        <w:pStyle w:val="2"/>
        <w:numPr>
          <w:ilvl w:val="0"/>
          <w:numId w:val="0"/>
        </w:numPr>
        <w:spacing w:line="360" w:lineRule="auto"/>
        <w:ind w:left="0" w:leftChars="0" w:firstLine="439" w:firstLineChars="183"/>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4、此项须另外提交一份与投标函密封在同一个密封袋内。</w:t>
      </w:r>
    </w:p>
    <w:p>
      <w:pPr>
        <w:pStyle w:val="2"/>
        <w:numPr>
          <w:ilvl w:val="0"/>
          <w:numId w:val="0"/>
        </w:numPr>
        <w:spacing w:line="360" w:lineRule="auto"/>
        <w:ind w:left="0" w:leftChars="0" w:firstLine="439" w:firstLineChars="183"/>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br w:type="page"/>
      </w:r>
    </w:p>
    <w:p>
      <w:pPr>
        <w:pStyle w:val="2"/>
        <w:numPr>
          <w:ilvl w:val="0"/>
          <w:numId w:val="0"/>
        </w:numPr>
        <w:spacing w:line="360" w:lineRule="auto"/>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十八、小微企业价格评审优惠申请及承诺函</w:t>
      </w:r>
    </w:p>
    <w:p>
      <w:pPr>
        <w:pStyle w:val="2"/>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致：甘肃国泰国际招标有限公司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本公司郑重声明，根据《政府采购促进中小企业发展暂行办法》（财库[2011]181号）的 规定，本公司为 （请填写：中型、小型、微型）企业。即本公司同时满足以下条件：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1.根据《工业和信息化部、国家统计局、国家发展和改革委员会、财政部关于印发中小企 业划型标准规定的通知》（工信部联企业[2011]300 号）规定的划分标准，本公司为（请填写：中型、小型、微型）企业。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2.本公司参加单位的项目采购活动提供本企业制造的货物，由本企业承担工程、提供服务，或者提供其他 （请填写：中型、小型、微型）企业制造的货物。本条所称货物不包括使用大型企业注册商标的货物。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本公司对上述声明的真实性负责。如有虚假，将依法承担相应责任。</w:t>
      </w:r>
    </w:p>
    <w:p>
      <w:pPr>
        <w:pStyle w:val="2"/>
        <w:numPr>
          <w:ilvl w:val="0"/>
          <w:numId w:val="0"/>
        </w:numPr>
        <w:spacing w:line="240" w:lineRule="auto"/>
        <w:ind w:firstLine="480" w:firstLineChars="200"/>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240" w:lineRule="auto"/>
        <w:ind w:firstLine="480" w:firstLineChars="2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附件 1：本企业 2018 年度财务审计报告</w:t>
      </w:r>
    </w:p>
    <w:p>
      <w:pPr>
        <w:pStyle w:val="2"/>
        <w:numPr>
          <w:ilvl w:val="0"/>
          <w:numId w:val="0"/>
        </w:numPr>
        <w:spacing w:line="240" w:lineRule="auto"/>
        <w:ind w:firstLine="480" w:firstLineChars="2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附件 2：企业基本情况说明</w:t>
      </w:r>
    </w:p>
    <w:p>
      <w:pPr>
        <w:pStyle w:val="2"/>
        <w:numPr>
          <w:ilvl w:val="0"/>
          <w:numId w:val="0"/>
        </w:numPr>
        <w:spacing w:line="240" w:lineRule="auto"/>
        <w:ind w:firstLine="480" w:firstLineChars="2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附件 3：本企业员工花名册</w:t>
      </w:r>
    </w:p>
    <w:p>
      <w:pPr>
        <w:pStyle w:val="2"/>
        <w:numPr>
          <w:ilvl w:val="0"/>
          <w:numId w:val="0"/>
        </w:numPr>
        <w:spacing w:line="240" w:lineRule="auto"/>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4560" w:firstLineChars="19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申请人：（盖章）</w:t>
      </w:r>
    </w:p>
    <w:p>
      <w:pPr>
        <w:pStyle w:val="2"/>
        <w:numPr>
          <w:ilvl w:val="0"/>
          <w:numId w:val="0"/>
        </w:numPr>
        <w:spacing w:line="360" w:lineRule="auto"/>
        <w:ind w:firstLine="4560" w:firstLineChars="19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承诺人：（法人代表签字）</w:t>
      </w:r>
    </w:p>
    <w:p>
      <w:pPr>
        <w:pStyle w:val="2"/>
        <w:numPr>
          <w:ilvl w:val="0"/>
          <w:numId w:val="0"/>
        </w:numPr>
        <w:spacing w:line="360" w:lineRule="auto"/>
        <w:ind w:firstLine="4560" w:firstLineChars="19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日期 ：   年   月   日</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说明：</w:t>
      </w:r>
    </w:p>
    <w:p>
      <w:pPr>
        <w:pStyle w:val="2"/>
        <w:numPr>
          <w:ilvl w:val="0"/>
          <w:numId w:val="0"/>
        </w:numPr>
        <w:spacing w:line="240" w:lineRule="auto"/>
        <w:ind w:firstLine="480" w:firstLineChars="2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1、填写前请认真阅读《工业和信息化部、国家统计局、国家发展和改革委员会、财政部关于印发中小企业划型标准规定的通知》（工信部联企业[2011]300 号）和《财政部工业和信息化部关于印发＜政府采购促进中小企业发展暂行办法＞的通知》(财库[2011]181 号)相关规定。</w:t>
      </w:r>
    </w:p>
    <w:p>
      <w:pPr>
        <w:pStyle w:val="2"/>
        <w:numPr>
          <w:ilvl w:val="0"/>
          <w:numId w:val="0"/>
        </w:numPr>
        <w:spacing w:line="240" w:lineRule="auto"/>
        <w:ind w:firstLine="480" w:firstLineChars="2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2、中小企业部分提供其他中小企业制造货物的应另附说明，并与投标报价明细表所述生厂商相一致。</w:t>
      </w:r>
    </w:p>
    <w:p>
      <w:pPr>
        <w:pStyle w:val="2"/>
        <w:numPr>
          <w:ilvl w:val="0"/>
          <w:numId w:val="0"/>
        </w:numPr>
        <w:spacing w:line="240" w:lineRule="auto"/>
        <w:ind w:firstLine="480" w:firstLineChars="2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3、小型、微型企业提供中型企业制造的货物的，视同为中型企业，供应商为代理商的须提供生产厂商小微企业认定表。</w:t>
      </w:r>
    </w:p>
    <w:p>
      <w:pPr>
        <w:pStyle w:val="2"/>
        <w:numPr>
          <w:ilvl w:val="0"/>
          <w:numId w:val="0"/>
        </w:numPr>
        <w:spacing w:line="240" w:lineRule="auto"/>
        <w:ind w:firstLine="480" w:firstLineChars="2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4、未按上述要求提供、填写的，评审时不予以考虑。</w:t>
      </w:r>
    </w:p>
    <w:p>
      <w:pPr>
        <w:pStyle w:val="2"/>
        <w:numPr>
          <w:ilvl w:val="0"/>
          <w:numId w:val="0"/>
        </w:numPr>
        <w:spacing w:line="240" w:lineRule="auto"/>
        <w:ind w:firstLine="480" w:firstLineChars="2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注：供应商不属于小微企业的可删除此项。</w:t>
      </w:r>
    </w:p>
    <w:p>
      <w:pPr>
        <w:pStyle w:val="2"/>
        <w:numPr>
          <w:ilvl w:val="0"/>
          <w:numId w:val="0"/>
        </w:numPr>
        <w:spacing w:line="240" w:lineRule="auto"/>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十九、附件</w:t>
      </w:r>
    </w:p>
    <w:p>
      <w:pPr>
        <w:pStyle w:val="2"/>
        <w:numPr>
          <w:ilvl w:val="0"/>
          <w:numId w:val="0"/>
        </w:numPr>
        <w:spacing w:line="360" w:lineRule="auto"/>
        <w:ind w:firstLine="482" w:firstLineChars="200"/>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1.开标一览表及投标函信封格式</w:t>
      </w: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请按以下内容填写开标一览表及投标函信封抬头，并将黑框剪下，贴在开标一览表及投标函信封外面，除非特殊情况，否则请不要更改信封格式:</w:t>
      </w:r>
    </w:p>
    <w:tbl>
      <w:tblPr>
        <w:tblStyle w:val="15"/>
        <w:tblW w:w="910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8" w:hRule="atLeast"/>
        </w:trPr>
        <w:tc>
          <w:tcPr>
            <w:tcW w:w="9109"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开标一览表（唱标用）</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(“开标一览表”)密封信封内装：“开标一览表”，“竞争性磋商响应文件电子版 U 盘”）</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致：甘肃国泰国际招标有限公司</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项目名称：</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采购人：</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招标文件编号：</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供应商：（加盖公章）</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投标日期：</w:t>
            </w:r>
          </w:p>
          <w:p>
            <w:pPr>
              <w:pStyle w:val="2"/>
              <w:numPr>
                <w:ilvl w:val="0"/>
                <w:numId w:val="0"/>
              </w:numPr>
              <w:spacing w:line="360" w:lineRule="auto"/>
              <w:ind w:firstLine="2400" w:firstLineChars="1000"/>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请于×年×月×日×时×分前不得启封</w:t>
            </w:r>
          </w:p>
        </w:tc>
      </w:tr>
    </w:tbl>
    <w:tbl>
      <w:tblPr>
        <w:tblStyle w:val="15"/>
        <w:tblpPr w:leftFromText="180" w:rightFromText="180" w:vertAnchor="text" w:horzAnchor="page" w:tblpX="1457" w:tblpY="462"/>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trPr>
        <w:tc>
          <w:tcPr>
            <w:tcW w:w="9100" w:type="dxa"/>
          </w:tcPr>
          <w:p>
            <w:pPr>
              <w:pStyle w:val="2"/>
              <w:numPr>
                <w:ilvl w:val="0"/>
                <w:numId w:val="0"/>
              </w:num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投标函</w:t>
            </w: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（“投标函”密封信封内装：“投标函”、“法定代表人身份证明”、“法定代表人授权书”、“投标保证金交纳凭证”、“联合体投标协议书”“中小企业声明函”及“小微企业价格评审优惠申请”）</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项目名称：</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采购人：</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招标文件编号：</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供应商：（加盖公章）</w:t>
            </w: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投标日期：</w:t>
            </w:r>
          </w:p>
        </w:tc>
      </w:tr>
    </w:tbl>
    <w:p>
      <w:pPr>
        <w:pStyle w:val="2"/>
        <w:numPr>
          <w:ilvl w:val="0"/>
          <w:numId w:val="0"/>
        </w:numPr>
        <w:spacing w:line="360" w:lineRule="auto"/>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2、《投标文件》密封格式</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center"/>
        <w:outlineLvl w:val="0"/>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2"/>
          <w:szCs w:val="32"/>
          <w:lang w:val="en-US" w:eastAsia="zh-CN"/>
        </w:rPr>
        <w:t xml:space="preserve">    </w:t>
      </w:r>
      <w:bookmarkStart w:id="36" w:name="_Toc24158"/>
      <w:bookmarkStart w:id="37" w:name="_Toc621"/>
      <w:r>
        <w:rPr>
          <w:rFonts w:hint="eastAsia" w:asciiTheme="minorEastAsia" w:hAnsiTheme="minorEastAsia" w:eastAsiaTheme="minorEastAsia" w:cstheme="minorEastAsia"/>
          <w:b/>
          <w:bCs/>
          <w:sz w:val="36"/>
          <w:szCs w:val="36"/>
          <w:lang w:val="en-US" w:eastAsia="zh-CN"/>
        </w:rPr>
        <w:t>项目名称：××××××××××××××</w:t>
      </w:r>
      <w:bookmarkEnd w:id="36"/>
      <w:bookmarkEnd w:id="37"/>
    </w:p>
    <w:p>
      <w:pPr>
        <w:pStyle w:val="2"/>
        <w:numPr>
          <w:ilvl w:val="0"/>
          <w:numId w:val="0"/>
        </w:numPr>
        <w:spacing w:line="360" w:lineRule="auto"/>
        <w:ind w:firstLine="1084" w:firstLineChars="300"/>
        <w:jc w:val="both"/>
        <w:outlineLvl w:val="0"/>
        <w:rPr>
          <w:rFonts w:hint="eastAsia" w:asciiTheme="minorEastAsia" w:hAnsiTheme="minorEastAsia" w:eastAsiaTheme="minorEastAsia" w:cstheme="minorEastAsia"/>
          <w:b/>
          <w:bCs/>
          <w:sz w:val="36"/>
          <w:szCs w:val="36"/>
          <w:lang w:val="en-US" w:eastAsia="zh-CN"/>
        </w:rPr>
      </w:pPr>
      <w:bookmarkStart w:id="38" w:name="_Toc20317"/>
      <w:bookmarkStart w:id="39" w:name="_Toc16016"/>
      <w:r>
        <w:rPr>
          <w:rFonts w:hint="eastAsia" w:asciiTheme="minorEastAsia" w:hAnsiTheme="minorEastAsia" w:eastAsiaTheme="minorEastAsia" w:cstheme="minorEastAsia"/>
          <w:b/>
          <w:bCs/>
          <w:sz w:val="36"/>
          <w:szCs w:val="36"/>
          <w:lang w:val="en-US" w:eastAsia="zh-CN"/>
        </w:rPr>
        <w:t>项目编号：</w:t>
      </w:r>
      <w:bookmarkEnd w:id="38"/>
      <w:bookmarkEnd w:id="39"/>
    </w:p>
    <w:p>
      <w:pPr>
        <w:pStyle w:val="2"/>
        <w:numPr>
          <w:ilvl w:val="0"/>
          <w:numId w:val="0"/>
        </w:numPr>
        <w:spacing w:line="360" w:lineRule="auto"/>
        <w:ind w:firstLine="2560" w:firstLineChars="800"/>
        <w:jc w:val="both"/>
        <w:rPr>
          <w:rFonts w:hint="eastAsia" w:asciiTheme="minorEastAsia" w:hAnsiTheme="minorEastAsia" w:eastAsiaTheme="minorEastAsia" w:cstheme="minorEastAsia"/>
          <w:b w:val="0"/>
          <w:bCs w:val="0"/>
          <w:sz w:val="32"/>
          <w:szCs w:val="32"/>
          <w:lang w:val="en-US" w:eastAsia="zh-CN"/>
        </w:rPr>
      </w:pPr>
    </w:p>
    <w:p>
      <w:pPr>
        <w:pStyle w:val="2"/>
        <w:numPr>
          <w:ilvl w:val="0"/>
          <w:numId w:val="0"/>
        </w:numPr>
        <w:spacing w:line="360" w:lineRule="auto"/>
        <w:ind w:firstLine="2560" w:firstLineChars="800"/>
        <w:jc w:val="both"/>
        <w:rPr>
          <w:rFonts w:hint="eastAsia" w:asciiTheme="minorEastAsia" w:hAnsiTheme="minorEastAsia" w:eastAsiaTheme="minorEastAsia" w:cstheme="minorEastAsia"/>
          <w:b w:val="0"/>
          <w:bCs w:val="0"/>
          <w:sz w:val="32"/>
          <w:szCs w:val="32"/>
          <w:lang w:val="en-US" w:eastAsia="zh-CN"/>
        </w:rPr>
      </w:pPr>
    </w:p>
    <w:p>
      <w:pPr>
        <w:pStyle w:val="2"/>
        <w:numPr>
          <w:ilvl w:val="0"/>
          <w:numId w:val="0"/>
        </w:numPr>
        <w:spacing w:line="360" w:lineRule="auto"/>
        <w:ind w:firstLine="2560" w:firstLineChars="800"/>
        <w:jc w:val="both"/>
        <w:rPr>
          <w:rFonts w:hint="eastAsia" w:asciiTheme="minorEastAsia" w:hAnsiTheme="minorEastAsia" w:eastAsiaTheme="minorEastAsia" w:cstheme="minorEastAsia"/>
          <w:b w:val="0"/>
          <w:bCs w:val="0"/>
          <w:sz w:val="32"/>
          <w:szCs w:val="32"/>
          <w:lang w:val="en-US" w:eastAsia="zh-CN"/>
        </w:rPr>
      </w:pPr>
    </w:p>
    <w:p>
      <w:pPr>
        <w:pStyle w:val="2"/>
        <w:numPr>
          <w:ilvl w:val="0"/>
          <w:numId w:val="0"/>
        </w:numPr>
        <w:spacing w:line="360" w:lineRule="auto"/>
        <w:ind w:firstLine="2560" w:firstLineChars="800"/>
        <w:jc w:val="both"/>
        <w:rPr>
          <w:rFonts w:hint="eastAsia" w:asciiTheme="minorEastAsia" w:hAnsiTheme="minorEastAsia" w:eastAsiaTheme="minorEastAsia" w:cstheme="minorEastAsia"/>
          <w:b w:val="0"/>
          <w:bCs w:val="0"/>
          <w:sz w:val="32"/>
          <w:szCs w:val="32"/>
          <w:lang w:val="en-US" w:eastAsia="zh-CN"/>
        </w:rPr>
      </w:pPr>
    </w:p>
    <w:p>
      <w:pPr>
        <w:pStyle w:val="2"/>
        <w:numPr>
          <w:ilvl w:val="0"/>
          <w:numId w:val="0"/>
        </w:numPr>
        <w:spacing w:line="360" w:lineRule="auto"/>
        <w:jc w:val="center"/>
        <w:rPr>
          <w:rFonts w:hint="eastAsia" w:asciiTheme="minorEastAsia" w:hAnsiTheme="minorEastAsia" w:eastAsiaTheme="minorEastAsia" w:cstheme="minorEastAsia"/>
          <w:b/>
          <w:bCs/>
          <w:sz w:val="96"/>
          <w:szCs w:val="96"/>
          <w:lang w:val="en-US" w:eastAsia="zh-CN"/>
        </w:rPr>
      </w:pPr>
      <w:r>
        <w:rPr>
          <w:rFonts w:hint="eastAsia" w:asciiTheme="minorEastAsia" w:hAnsiTheme="minorEastAsia" w:eastAsiaTheme="minorEastAsia" w:cstheme="minorEastAsia"/>
          <w:b/>
          <w:bCs/>
          <w:sz w:val="96"/>
          <w:szCs w:val="96"/>
          <w:lang w:val="en-US" w:eastAsia="zh-CN"/>
        </w:rPr>
        <w:t>投标文件</w:t>
      </w:r>
    </w:p>
    <w:p>
      <w:pPr>
        <w:pStyle w:val="2"/>
        <w:numPr>
          <w:ilvl w:val="0"/>
          <w:numId w:val="0"/>
        </w:numPr>
        <w:spacing w:line="360" w:lineRule="auto"/>
        <w:ind w:firstLine="960" w:firstLineChars="300"/>
        <w:jc w:val="both"/>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（请于××年×月×日×时×分前不得启封）</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both"/>
        <w:rPr>
          <w:rFonts w:hint="eastAsia" w:asciiTheme="minorEastAsia" w:hAnsiTheme="minorEastAsia" w:eastAsiaTheme="minorEastAsia" w:cstheme="minorEastAsia"/>
          <w:b w:val="0"/>
          <w:bCs w:val="0"/>
          <w:sz w:val="32"/>
          <w:szCs w:val="32"/>
          <w:lang w:val="en-US" w:eastAsia="zh-CN"/>
        </w:rPr>
      </w:pPr>
    </w:p>
    <w:p>
      <w:pPr>
        <w:pStyle w:val="2"/>
        <w:numPr>
          <w:ilvl w:val="0"/>
          <w:numId w:val="0"/>
        </w:numPr>
        <w:spacing w:line="360" w:lineRule="auto"/>
        <w:ind w:firstLine="1280" w:firstLineChars="400"/>
        <w:jc w:val="both"/>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单位名称：×××××××（加盖公章）</w:t>
      </w:r>
    </w:p>
    <w:p>
      <w:pPr>
        <w:pStyle w:val="2"/>
        <w:numPr>
          <w:ilvl w:val="0"/>
          <w:numId w:val="0"/>
        </w:numPr>
        <w:spacing w:line="360" w:lineRule="auto"/>
        <w:ind w:firstLine="1280" w:firstLineChars="400"/>
        <w:jc w:val="both"/>
        <w:rPr>
          <w:rFonts w:hint="eastAsia" w:asciiTheme="minorEastAsia" w:hAnsiTheme="minorEastAsia" w:eastAsiaTheme="minorEastAsia" w:cstheme="minorEastAsia"/>
          <w:b w:val="0"/>
          <w:bCs w:val="0"/>
          <w:sz w:val="32"/>
          <w:szCs w:val="32"/>
          <w:lang w:val="en-US" w:eastAsia="zh-CN"/>
        </w:rPr>
      </w:pPr>
    </w:p>
    <w:p>
      <w:pPr>
        <w:pStyle w:val="2"/>
        <w:numPr>
          <w:ilvl w:val="0"/>
          <w:numId w:val="0"/>
        </w:numPr>
        <w:spacing w:line="360" w:lineRule="auto"/>
        <w:jc w:val="center"/>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开标日期：二〇 X X 年 X 月 XX 日</w:t>
      </w:r>
    </w:p>
    <w:p>
      <w:pPr>
        <w:pStyle w:val="2"/>
        <w:numPr>
          <w:ilvl w:val="0"/>
          <w:numId w:val="0"/>
        </w:numPr>
        <w:spacing w:line="360" w:lineRule="auto"/>
        <w:jc w:val="both"/>
        <w:rPr>
          <w:rFonts w:hint="eastAsia" w:asciiTheme="minorEastAsia" w:hAnsiTheme="minorEastAsia" w:eastAsiaTheme="minorEastAsia" w:cstheme="minorEastAsia"/>
          <w:b/>
          <w:bCs/>
          <w:sz w:val="28"/>
          <w:szCs w:val="28"/>
          <w:lang w:val="en-US" w:eastAsia="zh-CN"/>
        </w:rPr>
      </w:pPr>
      <w:r>
        <w:rPr>
          <w:sz w:val="28"/>
        </w:rPr>
        <mc:AlternateContent>
          <mc:Choice Requires="wps">
            <w:drawing>
              <wp:anchor distT="0" distB="0" distL="114300" distR="114300" simplePos="0" relativeHeight="251830272" behindDoc="0" locked="0" layoutInCell="1" allowOverlap="1">
                <wp:simplePos x="0" y="0"/>
                <wp:positionH relativeFrom="column">
                  <wp:posOffset>3451860</wp:posOffset>
                </wp:positionH>
                <wp:positionV relativeFrom="paragraph">
                  <wp:posOffset>368300</wp:posOffset>
                </wp:positionV>
                <wp:extent cx="2466975" cy="952500"/>
                <wp:effectExtent l="6350" t="6350" r="10795" b="16510"/>
                <wp:wrapNone/>
                <wp:docPr id="6" name="矩形 6"/>
                <wp:cNvGraphicFramePr/>
                <a:graphic xmlns:a="http://schemas.openxmlformats.org/drawingml/2006/main">
                  <a:graphicData uri="http://schemas.microsoft.com/office/word/2010/wordprocessingShape">
                    <wps:wsp>
                      <wps:cNvSpPr/>
                      <wps:spPr>
                        <a:xfrm>
                          <a:off x="5469255" y="1282700"/>
                          <a:ext cx="2466975" cy="9525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b/>
                                <w:bCs/>
                                <w:sz w:val="96"/>
                                <w:szCs w:val="96"/>
                                <w:lang w:val="en-US" w:eastAsia="zh-CN"/>
                              </w:rPr>
                            </w:pPr>
                            <w:r>
                              <w:rPr>
                                <w:rFonts w:hint="eastAsia" w:eastAsia="宋体"/>
                                <w:b/>
                                <w:bCs/>
                                <w:sz w:val="96"/>
                                <w:szCs w:val="96"/>
                                <w:lang w:eastAsia="zh-CN"/>
                              </w:rPr>
                              <w:t>正</w:t>
                            </w:r>
                            <w:r>
                              <w:rPr>
                                <w:rFonts w:hint="eastAsia" w:eastAsia="宋体"/>
                                <w:b/>
                                <w:bCs/>
                                <w:sz w:val="96"/>
                                <w:szCs w:val="96"/>
                                <w:lang w:val="en-US" w:eastAsia="zh-CN"/>
                              </w:rPr>
                              <w:t>/副本</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9pt;height:75pt;width:194.25pt;z-index:251830272;v-text-anchor:middle;mso-width-relative:page;mso-height-relative:page;" fillcolor="#CCE8CF [3201]" filled="t" stroked="t" coordsize="21600,21600" o:gfxdata="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LJhwtoAAAAKAQAADwAAAAAAAAABACAAAAAiAAAAZHJzL2Rvd25yZXYu&#10;eG1sUEsBAhQAFAAAAAgAh07iQEJD4ktrAgAAvQQAAA4AAAAAAAAAAQAgAAAAKQEAAGRycy9lMm9E&#10;b2MueG1sUEsFBgAAAAAGAAYAWQEAAAYGAAAAAA==&#10;">
                <v:fill on="t" focussize="0,0"/>
                <v:stroke weight="1pt" color="#70AD47 [3209]" miterlimit="8" joinstyle="miter"/>
                <v:imagedata o:title=""/>
                <o:lock v:ext="edit" aspectratio="f"/>
                <v:textbox>
                  <w:txbxContent>
                    <w:p>
                      <w:pPr>
                        <w:jc w:val="center"/>
                        <w:rPr>
                          <w:rFonts w:hint="eastAsia" w:eastAsia="宋体"/>
                          <w:b/>
                          <w:bCs/>
                          <w:sz w:val="96"/>
                          <w:szCs w:val="96"/>
                          <w:lang w:val="en-US" w:eastAsia="zh-CN"/>
                        </w:rPr>
                      </w:pPr>
                      <w:r>
                        <w:rPr>
                          <w:rFonts w:hint="eastAsia" w:eastAsia="宋体"/>
                          <w:b/>
                          <w:bCs/>
                          <w:sz w:val="96"/>
                          <w:szCs w:val="96"/>
                          <w:lang w:eastAsia="zh-CN"/>
                        </w:rPr>
                        <w:t>正</w:t>
                      </w:r>
                      <w:r>
                        <w:rPr>
                          <w:rFonts w:hint="eastAsia" w:eastAsia="宋体"/>
                          <w:b/>
                          <w:bCs/>
                          <w:sz w:val="96"/>
                          <w:szCs w:val="96"/>
                          <w:lang w:val="en-US" w:eastAsia="zh-CN"/>
                        </w:rPr>
                        <w:t>/副本</w:t>
                      </w:r>
                    </w:p>
                  </w:txbxContent>
                </v:textbox>
              </v:rect>
            </w:pict>
          </mc:Fallback>
        </mc:AlternateContent>
      </w:r>
      <w:r>
        <w:rPr>
          <w:rFonts w:hint="eastAsia" w:asciiTheme="minorEastAsia" w:hAnsiTheme="minorEastAsia" w:eastAsiaTheme="minorEastAsia" w:cstheme="minorEastAsia"/>
          <w:b/>
          <w:bCs/>
          <w:sz w:val="28"/>
          <w:szCs w:val="28"/>
          <w:lang w:val="en-US" w:eastAsia="zh-CN"/>
        </w:rPr>
        <w:t>3、《投标文件》封面格式</w:t>
      </w:r>
    </w:p>
    <w:p>
      <w:pPr>
        <w:pStyle w:val="2"/>
        <w:numPr>
          <w:ilvl w:val="0"/>
          <w:numId w:val="0"/>
        </w:numPr>
        <w:spacing w:line="360" w:lineRule="auto"/>
        <w:ind w:leftChars="400"/>
        <w:jc w:val="left"/>
        <w:rPr>
          <w:rFonts w:hint="eastAsia" w:asciiTheme="minorEastAsia" w:hAnsiTheme="minorEastAsia" w:eastAsiaTheme="minorEastAsia" w:cstheme="minorEastAsia"/>
          <w:b/>
          <w:bCs/>
          <w:sz w:val="28"/>
          <w:szCs w:val="28"/>
          <w:lang w:val="en-US" w:eastAsia="zh-CN"/>
        </w:rPr>
      </w:pPr>
    </w:p>
    <w:p>
      <w:pPr>
        <w:pStyle w:val="2"/>
        <w:numPr>
          <w:ilvl w:val="0"/>
          <w:numId w:val="0"/>
        </w:numPr>
        <w:spacing w:line="360" w:lineRule="auto"/>
        <w:ind w:leftChars="400"/>
        <w:jc w:val="left"/>
        <w:rPr>
          <w:rFonts w:hint="eastAsia" w:asciiTheme="minorEastAsia" w:hAnsiTheme="minorEastAsia" w:eastAsiaTheme="minorEastAsia" w:cstheme="minorEastAsia"/>
          <w:b/>
          <w:bCs/>
          <w:sz w:val="28"/>
          <w:szCs w:val="28"/>
          <w:lang w:val="en-US" w:eastAsia="zh-CN"/>
        </w:rPr>
      </w:pPr>
    </w:p>
    <w:p>
      <w:pPr>
        <w:pStyle w:val="2"/>
        <w:numPr>
          <w:ilvl w:val="0"/>
          <w:numId w:val="0"/>
        </w:numPr>
        <w:spacing w:line="360" w:lineRule="auto"/>
        <w:ind w:left="0" w:leftChars="0" w:firstLine="1102" w:firstLineChars="305"/>
        <w:jc w:val="left"/>
        <w:rPr>
          <w:rFonts w:hint="eastAsia" w:asciiTheme="minorEastAsia" w:hAnsiTheme="minorEastAsia" w:eastAsiaTheme="minorEastAsia" w:cstheme="minorEastAsia"/>
          <w:b/>
          <w:bCs/>
          <w:sz w:val="36"/>
          <w:szCs w:val="36"/>
          <w:lang w:val="en-US" w:eastAsia="zh-CN"/>
        </w:rPr>
      </w:pPr>
    </w:p>
    <w:p>
      <w:pPr>
        <w:pStyle w:val="2"/>
        <w:numPr>
          <w:ilvl w:val="0"/>
          <w:numId w:val="0"/>
        </w:numPr>
        <w:spacing w:line="360" w:lineRule="auto"/>
        <w:ind w:left="0" w:leftChars="0" w:firstLine="1102" w:firstLineChars="305"/>
        <w:jc w:val="left"/>
        <w:outlineLvl w:val="0"/>
        <w:rPr>
          <w:rFonts w:hint="eastAsia" w:asciiTheme="minorEastAsia" w:hAnsiTheme="minorEastAsia" w:eastAsiaTheme="minorEastAsia" w:cstheme="minorEastAsia"/>
          <w:b/>
          <w:bCs/>
          <w:sz w:val="36"/>
          <w:szCs w:val="36"/>
          <w:lang w:val="en-US" w:eastAsia="zh-CN"/>
        </w:rPr>
      </w:pPr>
      <w:bookmarkStart w:id="40" w:name="_Toc15418"/>
      <w:bookmarkStart w:id="41" w:name="_Toc27012"/>
      <w:r>
        <w:rPr>
          <w:rFonts w:hint="eastAsia" w:asciiTheme="minorEastAsia" w:hAnsiTheme="minorEastAsia" w:eastAsiaTheme="minorEastAsia" w:cstheme="minorEastAsia"/>
          <w:b/>
          <w:bCs/>
          <w:sz w:val="36"/>
          <w:szCs w:val="36"/>
          <w:lang w:val="en-US" w:eastAsia="zh-CN"/>
        </w:rPr>
        <w:t>项目名称：××××××××××××××</w:t>
      </w:r>
      <w:bookmarkEnd w:id="40"/>
      <w:bookmarkEnd w:id="41"/>
    </w:p>
    <w:p>
      <w:pPr>
        <w:pStyle w:val="2"/>
        <w:numPr>
          <w:ilvl w:val="0"/>
          <w:numId w:val="0"/>
        </w:numPr>
        <w:spacing w:line="360" w:lineRule="auto"/>
        <w:ind w:left="0" w:leftChars="0" w:firstLine="1102" w:firstLineChars="305"/>
        <w:jc w:val="left"/>
        <w:outlineLvl w:val="0"/>
        <w:rPr>
          <w:rFonts w:hint="eastAsia" w:asciiTheme="minorEastAsia" w:hAnsiTheme="minorEastAsia" w:eastAsiaTheme="minorEastAsia" w:cstheme="minorEastAsia"/>
          <w:b w:val="0"/>
          <w:bCs w:val="0"/>
          <w:sz w:val="28"/>
          <w:szCs w:val="28"/>
          <w:lang w:val="en-US" w:eastAsia="zh-CN"/>
        </w:rPr>
      </w:pPr>
      <w:bookmarkStart w:id="42" w:name="_Toc13703"/>
      <w:bookmarkStart w:id="43" w:name="_Toc5634"/>
      <w:r>
        <w:rPr>
          <w:rFonts w:hint="eastAsia" w:asciiTheme="minorEastAsia" w:hAnsiTheme="minorEastAsia" w:eastAsiaTheme="minorEastAsia" w:cstheme="minorEastAsia"/>
          <w:b/>
          <w:bCs/>
          <w:sz w:val="36"/>
          <w:szCs w:val="36"/>
          <w:lang w:val="en-US" w:eastAsia="zh-CN"/>
        </w:rPr>
        <w:t>项目编号：</w:t>
      </w:r>
      <w:bookmarkEnd w:id="42"/>
      <w:bookmarkEnd w:id="43"/>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w:t>
      </w:r>
    </w:p>
    <w:p>
      <w:pPr>
        <w:pStyle w:val="2"/>
        <w:numPr>
          <w:ilvl w:val="0"/>
          <w:numId w:val="0"/>
        </w:numPr>
        <w:spacing w:line="360" w:lineRule="auto"/>
        <w:jc w:val="center"/>
        <w:rPr>
          <w:rFonts w:hint="eastAsia" w:asciiTheme="minorEastAsia" w:hAnsiTheme="minorEastAsia" w:eastAsiaTheme="minorEastAsia" w:cstheme="minorEastAsia"/>
          <w:b/>
          <w:bCs/>
          <w:sz w:val="96"/>
          <w:szCs w:val="96"/>
          <w:lang w:val="en-US" w:eastAsia="zh-CN"/>
        </w:rPr>
      </w:pPr>
      <w:r>
        <w:rPr>
          <w:rFonts w:hint="eastAsia" w:asciiTheme="minorEastAsia" w:hAnsiTheme="minorEastAsia" w:eastAsiaTheme="minorEastAsia" w:cstheme="minorEastAsia"/>
          <w:b/>
          <w:bCs/>
          <w:sz w:val="96"/>
          <w:szCs w:val="96"/>
          <w:lang w:val="en-US" w:eastAsia="zh-CN"/>
        </w:rPr>
        <w:t>投标文件</w:t>
      </w:r>
    </w:p>
    <w:p>
      <w:pPr>
        <w:pStyle w:val="2"/>
        <w:numPr>
          <w:ilvl w:val="0"/>
          <w:numId w:val="0"/>
        </w:numPr>
        <w:spacing w:line="360" w:lineRule="auto"/>
        <w:jc w:val="center"/>
        <w:outlineLvl w:val="0"/>
        <w:rPr>
          <w:rFonts w:hint="eastAsia" w:asciiTheme="minorEastAsia" w:hAnsiTheme="minorEastAsia" w:eastAsiaTheme="minorEastAsia" w:cstheme="minorEastAsia"/>
          <w:b w:val="0"/>
          <w:bCs w:val="0"/>
          <w:sz w:val="28"/>
          <w:szCs w:val="28"/>
          <w:lang w:val="en-US" w:eastAsia="zh-CN"/>
        </w:rPr>
      </w:pPr>
      <w:bookmarkStart w:id="44" w:name="_Toc19364"/>
      <w:bookmarkStart w:id="45" w:name="_Toc26148"/>
      <w:r>
        <w:rPr>
          <w:rFonts w:hint="eastAsia" w:asciiTheme="minorEastAsia" w:hAnsiTheme="minorEastAsia" w:eastAsiaTheme="minorEastAsia" w:cstheme="minorEastAsia"/>
          <w:b w:val="0"/>
          <w:bCs w:val="0"/>
          <w:sz w:val="28"/>
          <w:szCs w:val="28"/>
          <w:lang w:val="en-US" w:eastAsia="zh-CN"/>
        </w:rPr>
        <w:t>（商务标和技术标）</w:t>
      </w:r>
      <w:bookmarkEnd w:id="44"/>
      <w:bookmarkEnd w:id="45"/>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jc w:val="left"/>
        <w:rPr>
          <w:rFonts w:hint="eastAsia" w:asciiTheme="minorEastAsia" w:hAnsiTheme="minorEastAsia" w:eastAsiaTheme="minorEastAsia" w:cstheme="minorEastAsia"/>
          <w:b w:val="0"/>
          <w:bCs w:val="0"/>
          <w:sz w:val="24"/>
          <w:szCs w:val="24"/>
          <w:lang w:val="en-US" w:eastAsia="zh-CN"/>
        </w:rPr>
      </w:pPr>
    </w:p>
    <w:p>
      <w:pPr>
        <w:pStyle w:val="2"/>
        <w:numPr>
          <w:ilvl w:val="0"/>
          <w:numId w:val="0"/>
        </w:numPr>
        <w:spacing w:line="360" w:lineRule="auto"/>
        <w:ind w:firstLine="560" w:firstLineChars="200"/>
        <w:jc w:val="center"/>
        <w:outlineLvl w:val="0"/>
        <w:rPr>
          <w:rFonts w:hint="eastAsia" w:asciiTheme="minorEastAsia" w:hAnsiTheme="minorEastAsia" w:eastAsiaTheme="minorEastAsia" w:cstheme="minorEastAsia"/>
          <w:b w:val="0"/>
          <w:bCs w:val="0"/>
          <w:sz w:val="28"/>
          <w:szCs w:val="28"/>
          <w:lang w:val="en-US" w:eastAsia="zh-CN"/>
        </w:rPr>
      </w:pPr>
      <w:bookmarkStart w:id="46" w:name="_Toc32310"/>
      <w:bookmarkStart w:id="47" w:name="_Toc7128"/>
      <w:r>
        <w:rPr>
          <w:rFonts w:hint="eastAsia" w:asciiTheme="minorEastAsia" w:hAnsiTheme="minorEastAsia" w:eastAsiaTheme="minorEastAsia" w:cstheme="minorEastAsia"/>
          <w:b w:val="0"/>
          <w:bCs w:val="0"/>
          <w:sz w:val="28"/>
          <w:szCs w:val="28"/>
          <w:lang w:val="en-US" w:eastAsia="zh-CN"/>
        </w:rPr>
        <w:t>单位名称：×××××××（加盖公章）</w:t>
      </w:r>
      <w:bookmarkEnd w:id="46"/>
      <w:bookmarkEnd w:id="47"/>
    </w:p>
    <w:p>
      <w:pPr>
        <w:pStyle w:val="2"/>
        <w:numPr>
          <w:ilvl w:val="0"/>
          <w:numId w:val="0"/>
        </w:numPr>
        <w:spacing w:line="360" w:lineRule="auto"/>
        <w:ind w:firstLine="560" w:firstLineChars="200"/>
        <w:jc w:val="center"/>
        <w:outlineLvl w:val="0"/>
        <w:rPr>
          <w:rFonts w:hint="eastAsia" w:asciiTheme="minorEastAsia" w:hAnsiTheme="minorEastAsia" w:eastAsiaTheme="minorEastAsia" w:cstheme="minorEastAsia"/>
          <w:b w:val="0"/>
          <w:bCs w:val="0"/>
          <w:sz w:val="28"/>
          <w:szCs w:val="28"/>
          <w:lang w:val="en-US" w:eastAsia="zh-CN"/>
        </w:rPr>
      </w:pPr>
      <w:bookmarkStart w:id="48" w:name="_Toc22257"/>
      <w:bookmarkStart w:id="49" w:name="_Toc21409"/>
      <w:r>
        <w:rPr>
          <w:rFonts w:hint="eastAsia" w:asciiTheme="minorEastAsia" w:hAnsiTheme="minorEastAsia" w:eastAsiaTheme="minorEastAsia" w:cstheme="minorEastAsia"/>
          <w:b w:val="0"/>
          <w:bCs w:val="0"/>
          <w:sz w:val="28"/>
          <w:szCs w:val="28"/>
          <w:lang w:val="en-US" w:eastAsia="zh-CN"/>
        </w:rPr>
        <w:t>法人代表或被授权人代表：×××（签字)</w:t>
      </w:r>
      <w:bookmarkEnd w:id="48"/>
      <w:bookmarkEnd w:id="49"/>
    </w:p>
    <w:p>
      <w:pPr>
        <w:pStyle w:val="2"/>
        <w:numPr>
          <w:ilvl w:val="0"/>
          <w:numId w:val="0"/>
        </w:numPr>
        <w:spacing w:line="360" w:lineRule="auto"/>
        <w:ind w:firstLine="560" w:firstLineChars="200"/>
        <w:jc w:val="center"/>
        <w:outlineLvl w:val="0"/>
        <w:rPr>
          <w:rFonts w:hint="eastAsia" w:asciiTheme="minorEastAsia" w:hAnsiTheme="minorEastAsia" w:eastAsiaTheme="minorEastAsia" w:cstheme="minorEastAsia"/>
          <w:b w:val="0"/>
          <w:bCs w:val="0"/>
          <w:sz w:val="28"/>
          <w:szCs w:val="28"/>
          <w:lang w:val="en-US" w:eastAsia="zh-CN"/>
        </w:rPr>
      </w:pPr>
      <w:bookmarkStart w:id="50" w:name="_Toc19931"/>
      <w:bookmarkStart w:id="51" w:name="_Toc7"/>
      <w:r>
        <w:rPr>
          <w:rFonts w:hint="eastAsia" w:asciiTheme="minorEastAsia" w:hAnsiTheme="minorEastAsia" w:eastAsiaTheme="minorEastAsia" w:cstheme="minorEastAsia"/>
          <w:b w:val="0"/>
          <w:bCs w:val="0"/>
          <w:sz w:val="28"/>
          <w:szCs w:val="28"/>
          <w:lang w:val="en-US" w:eastAsia="zh-CN"/>
        </w:rPr>
        <w:t>开标日期：二〇一 X 年 X 月 XX 日</w:t>
      </w:r>
      <w:bookmarkEnd w:id="50"/>
      <w:bookmarkEnd w:id="51"/>
    </w:p>
    <w:p>
      <w:pPr>
        <w:pStyle w:val="2"/>
        <w:numPr>
          <w:ilvl w:val="0"/>
          <w:numId w:val="0"/>
        </w:numPr>
        <w:spacing w:line="360" w:lineRule="auto"/>
        <w:ind w:firstLine="560" w:firstLineChars="200"/>
        <w:jc w:val="cente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br w:type="page"/>
      </w:r>
    </w:p>
    <w:p>
      <w:pPr>
        <w:pStyle w:val="2"/>
        <w:numPr>
          <w:ilvl w:val="0"/>
          <w:numId w:val="0"/>
        </w:numPr>
        <w:spacing w:line="360" w:lineRule="auto"/>
        <w:jc w:val="both"/>
        <w:outlineLvl w:val="0"/>
        <w:rPr>
          <w:rFonts w:hint="eastAsia" w:asciiTheme="minorEastAsia" w:hAnsiTheme="minorEastAsia" w:eastAsiaTheme="minorEastAsia" w:cstheme="minorEastAsia"/>
          <w:b/>
          <w:bCs/>
          <w:sz w:val="28"/>
          <w:szCs w:val="28"/>
          <w:lang w:val="en-US" w:eastAsia="zh-CN"/>
        </w:rPr>
      </w:pPr>
      <w:bookmarkStart w:id="52" w:name="_Toc11902"/>
      <w:bookmarkStart w:id="53" w:name="_Toc9282"/>
      <w:r>
        <w:rPr>
          <w:rFonts w:hint="eastAsia" w:asciiTheme="minorEastAsia" w:hAnsiTheme="minorEastAsia" w:eastAsiaTheme="minorEastAsia" w:cstheme="minorEastAsia"/>
          <w:b/>
          <w:bCs/>
          <w:sz w:val="28"/>
          <w:szCs w:val="28"/>
          <w:lang w:val="en-US" w:eastAsia="zh-CN"/>
        </w:rPr>
        <w:t>4、资质证件原件档案袋封面样式：</w:t>
      </w:r>
      <w:bookmarkEnd w:id="52"/>
      <w:bookmarkEnd w:id="53"/>
    </w:p>
    <w:p>
      <w:pPr>
        <w:pStyle w:val="2"/>
        <w:numPr>
          <w:ilvl w:val="0"/>
          <w:numId w:val="0"/>
        </w:numPr>
        <w:spacing w:line="360" w:lineRule="auto"/>
        <w:ind w:firstLine="2811" w:firstLineChars="100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供应商资质证件原件递交单</w:t>
      </w:r>
    </w:p>
    <w:tbl>
      <w:tblPr>
        <w:tblStyle w:val="15"/>
        <w:tblW w:w="887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810"/>
        <w:gridCol w:w="1020"/>
        <w:gridCol w:w="1760"/>
        <w:gridCol w:w="557"/>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vAlign w:val="center"/>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供应商名称</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（字体加大以</w:t>
            </w:r>
          </w:p>
          <w:p>
            <w:pPr>
              <w:pStyle w:val="2"/>
              <w:numPr>
                <w:ilvl w:val="0"/>
                <w:numId w:val="0"/>
              </w:numPr>
              <w:spacing w:line="360" w:lineRule="auto"/>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方便辨认）</w:t>
            </w:r>
          </w:p>
        </w:tc>
        <w:tc>
          <w:tcPr>
            <w:tcW w:w="6870" w:type="dxa"/>
            <w:gridSpan w:val="5"/>
          </w:tcPr>
          <w:p>
            <w:pPr>
              <w:pStyle w:val="2"/>
              <w:numPr>
                <w:ilvl w:val="0"/>
                <w:numId w:val="0"/>
              </w:numPr>
              <w:spacing w:line="360" w:lineRule="auto"/>
              <w:jc w:val="both"/>
              <w:rPr>
                <w:rFonts w:hint="eastAsia" w:asciiTheme="minorEastAsia" w:hAnsiTheme="minorEastAsia" w:eastAsiaTheme="minorEastAsia" w:cstheme="minorEastAsia"/>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2"/>
                <w:szCs w:val="22"/>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联系人</w:t>
            </w:r>
          </w:p>
        </w:tc>
        <w:tc>
          <w:tcPr>
            <w:tcW w:w="2830" w:type="dxa"/>
            <w:gridSpan w:val="2"/>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76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电话</w:t>
            </w:r>
          </w:p>
        </w:tc>
        <w:tc>
          <w:tcPr>
            <w:tcW w:w="2280" w:type="dxa"/>
            <w:gridSpan w:val="2"/>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企业资质</w:t>
            </w:r>
          </w:p>
        </w:tc>
        <w:tc>
          <w:tcPr>
            <w:tcW w:w="181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020" w:type="dxa"/>
            <w:vMerge w:val="restart"/>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其</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他</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资</w:t>
            </w:r>
          </w:p>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质</w:t>
            </w:r>
          </w:p>
        </w:tc>
        <w:tc>
          <w:tcPr>
            <w:tcW w:w="1760" w:type="dxa"/>
            <w:vMerge w:val="restart"/>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280" w:type="dxa"/>
            <w:gridSpan w:val="2"/>
            <w:vMerge w:val="restart"/>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营业执照</w:t>
            </w:r>
          </w:p>
        </w:tc>
        <w:tc>
          <w:tcPr>
            <w:tcW w:w="1810" w:type="dxa"/>
          </w:tcPr>
          <w:p>
            <w:pPr>
              <w:pStyle w:val="2"/>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020" w:type="dxa"/>
            <w:vMerge w:val="continue"/>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760" w:type="dxa"/>
            <w:vMerge w:val="continue"/>
          </w:tcPr>
          <w:p>
            <w:pPr>
              <w:pStyle w:val="2"/>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280" w:type="dxa"/>
            <w:gridSpan w:val="2"/>
            <w:vMerge w:val="continue"/>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税务登记证</w:t>
            </w:r>
          </w:p>
        </w:tc>
        <w:tc>
          <w:tcPr>
            <w:tcW w:w="1810" w:type="dxa"/>
          </w:tcPr>
          <w:p>
            <w:pPr>
              <w:pStyle w:val="2"/>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020" w:type="dxa"/>
            <w:vMerge w:val="continue"/>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760" w:type="dxa"/>
            <w:vMerge w:val="continue"/>
          </w:tcPr>
          <w:p>
            <w:pPr>
              <w:pStyle w:val="2"/>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280" w:type="dxa"/>
            <w:gridSpan w:val="2"/>
            <w:vMerge w:val="continue"/>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组织机构代码证</w:t>
            </w:r>
          </w:p>
        </w:tc>
        <w:tc>
          <w:tcPr>
            <w:tcW w:w="1810" w:type="dxa"/>
          </w:tcPr>
          <w:p>
            <w:pPr>
              <w:pStyle w:val="2"/>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020" w:type="dxa"/>
            <w:vMerge w:val="continue"/>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760" w:type="dxa"/>
            <w:vMerge w:val="continue"/>
          </w:tcPr>
          <w:p>
            <w:pPr>
              <w:pStyle w:val="2"/>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280" w:type="dxa"/>
            <w:gridSpan w:val="2"/>
            <w:vMerge w:val="continue"/>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原件数量</w:t>
            </w:r>
          </w:p>
        </w:tc>
        <w:tc>
          <w:tcPr>
            <w:tcW w:w="6870" w:type="dxa"/>
            <w:gridSpan w:val="5"/>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供应商签字</w:t>
            </w:r>
          </w:p>
        </w:tc>
        <w:tc>
          <w:tcPr>
            <w:tcW w:w="2830" w:type="dxa"/>
            <w:gridSpan w:val="2"/>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317" w:type="dxa"/>
            <w:gridSpan w:val="2"/>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接收人签字</w:t>
            </w:r>
          </w:p>
        </w:tc>
        <w:tc>
          <w:tcPr>
            <w:tcW w:w="1723" w:type="dxa"/>
          </w:tcPr>
          <w:p>
            <w:pPr>
              <w:pStyle w:val="2"/>
              <w:numPr>
                <w:ilvl w:val="0"/>
                <w:numId w:val="0"/>
              </w:num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p>
        </w:tc>
      </w:tr>
    </w:tbl>
    <w:p>
      <w:pPr>
        <w:pStyle w:val="2"/>
        <w:numPr>
          <w:ilvl w:val="0"/>
          <w:numId w:val="0"/>
        </w:numPr>
        <w:spacing w:line="360" w:lineRule="auto"/>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说明：</w:t>
      </w:r>
    </w:p>
    <w:p>
      <w:pPr>
        <w:pStyle w:val="2"/>
        <w:numPr>
          <w:ilvl w:val="0"/>
          <w:numId w:val="0"/>
        </w:numPr>
        <w:spacing w:line="360" w:lineRule="auto"/>
        <w:ind w:left="0" w:leftChars="0" w:firstLine="439" w:firstLineChars="183"/>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（1）为了方便交接和开标评标现场对证件的保管，请供应商按照规定的牛皮纸档案袋包装方式提交，否则概不接收；</w:t>
      </w:r>
    </w:p>
    <w:p>
      <w:pPr>
        <w:pStyle w:val="2"/>
        <w:numPr>
          <w:ilvl w:val="0"/>
          <w:numId w:val="0"/>
        </w:numPr>
        <w:spacing w:line="360" w:lineRule="auto"/>
        <w:ind w:left="0" w:leftChars="0" w:firstLine="439" w:firstLineChars="183"/>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（2）原件与投标文件同时提交，供应商、接收人签字确认；</w:t>
      </w:r>
    </w:p>
    <w:p>
      <w:pPr>
        <w:pStyle w:val="2"/>
        <w:numPr>
          <w:ilvl w:val="0"/>
          <w:numId w:val="0"/>
        </w:numPr>
        <w:spacing w:line="360" w:lineRule="auto"/>
        <w:ind w:left="0" w:leftChars="0" w:firstLine="439" w:firstLineChars="183"/>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（3）如供应商认为表格内容不够完善时可自行添加；</w:t>
      </w:r>
    </w:p>
    <w:p>
      <w:pPr>
        <w:pStyle w:val="2"/>
        <w:numPr>
          <w:ilvl w:val="0"/>
          <w:numId w:val="0"/>
        </w:numPr>
        <w:spacing w:line="360" w:lineRule="auto"/>
        <w:ind w:left="0" w:leftChars="0" w:firstLine="439" w:firstLineChars="183"/>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（4）此单粘贴于档案袋封面上且加盖供应商</w:t>
      </w:r>
      <w:bookmarkStart w:id="54" w:name="_GoBack"/>
      <w:bookmarkEnd w:id="54"/>
      <w:r>
        <w:rPr>
          <w:rFonts w:hint="eastAsia" w:asciiTheme="minorEastAsia" w:hAnsiTheme="minorEastAsia" w:eastAsiaTheme="minorEastAsia" w:cstheme="minorEastAsia"/>
          <w:b w:val="0"/>
          <w:bCs w:val="0"/>
          <w:sz w:val="24"/>
          <w:szCs w:val="24"/>
          <w:lang w:val="en-US" w:eastAsia="zh-CN"/>
        </w:rPr>
        <w:t>公章。</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CaQMqsxAIAANYFAAAOAAAA&#10;AAAAAAEAIAAAAB8BAABkcnMvZTJvRG9jLnhtbFBLBQYAAAAABgAGAFkBAABVBg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6DE23"/>
    <w:multiLevelType w:val="singleLevel"/>
    <w:tmpl w:val="A9A6DE23"/>
    <w:lvl w:ilvl="0" w:tentative="0">
      <w:start w:val="1"/>
      <w:numFmt w:val="chineseCounting"/>
      <w:suff w:val="nothing"/>
      <w:lvlText w:val="%1、"/>
      <w:lvlJc w:val="left"/>
      <w:rPr>
        <w:rFonts w:hint="eastAsia"/>
      </w:rPr>
    </w:lvl>
  </w:abstractNum>
  <w:abstractNum w:abstractNumId="1">
    <w:nsid w:val="CBB853AE"/>
    <w:multiLevelType w:val="singleLevel"/>
    <w:tmpl w:val="CBB853AE"/>
    <w:lvl w:ilvl="0" w:tentative="0">
      <w:start w:val="13"/>
      <w:numFmt w:val="chineseCounting"/>
      <w:suff w:val="nothing"/>
      <w:lvlText w:val="%1、"/>
      <w:lvlJc w:val="left"/>
      <w:rPr>
        <w:rFonts w:hint="eastAsia"/>
      </w:rPr>
    </w:lvl>
  </w:abstractNum>
  <w:abstractNum w:abstractNumId="2">
    <w:nsid w:val="D7BF83C8"/>
    <w:multiLevelType w:val="singleLevel"/>
    <w:tmpl w:val="D7BF83C8"/>
    <w:lvl w:ilvl="0" w:tentative="0">
      <w:start w:val="1"/>
      <w:numFmt w:val="chineseCounting"/>
      <w:suff w:val="nothing"/>
      <w:lvlText w:val="%1、"/>
      <w:lvlJc w:val="left"/>
      <w:rPr>
        <w:rFonts w:hint="eastAsia"/>
      </w:rPr>
    </w:lvl>
  </w:abstractNum>
  <w:abstractNum w:abstractNumId="3">
    <w:nsid w:val="E415EB2B"/>
    <w:multiLevelType w:val="singleLevel"/>
    <w:tmpl w:val="E415EB2B"/>
    <w:lvl w:ilvl="0" w:tentative="0">
      <w:start w:val="8"/>
      <w:numFmt w:val="chineseCounting"/>
      <w:suff w:val="nothing"/>
      <w:lvlText w:val="%1、"/>
      <w:lvlJc w:val="left"/>
      <w:rPr>
        <w:rFonts w:hint="eastAsia"/>
      </w:rPr>
    </w:lvl>
  </w:abstractNum>
  <w:abstractNum w:abstractNumId="4">
    <w:nsid w:val="FFF0954E"/>
    <w:multiLevelType w:val="singleLevel"/>
    <w:tmpl w:val="FFF0954E"/>
    <w:lvl w:ilvl="0" w:tentative="0">
      <w:start w:val="1"/>
      <w:numFmt w:val="chineseCounting"/>
      <w:suff w:val="nothing"/>
      <w:lvlText w:val="%1、"/>
      <w:lvlJc w:val="left"/>
      <w:rPr>
        <w:rFonts w:hint="eastAsia"/>
      </w:rPr>
    </w:lvl>
  </w:abstractNum>
  <w:abstractNum w:abstractNumId="5">
    <w:nsid w:val="56E44CAD"/>
    <w:multiLevelType w:val="singleLevel"/>
    <w:tmpl w:val="56E44CAD"/>
    <w:lvl w:ilvl="0" w:tentative="0">
      <w:start w:val="16"/>
      <w:numFmt w:val="chineseCounting"/>
      <w:suff w:val="nothing"/>
      <w:lvlText w:val="%1、"/>
      <w:lvlJc w:val="left"/>
      <w:rPr>
        <w:rFonts w:hint="eastAsia"/>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047D2"/>
    <w:rsid w:val="02062D9B"/>
    <w:rsid w:val="03CA2512"/>
    <w:rsid w:val="0640735B"/>
    <w:rsid w:val="06587F83"/>
    <w:rsid w:val="07905743"/>
    <w:rsid w:val="084B43E6"/>
    <w:rsid w:val="0F255A60"/>
    <w:rsid w:val="0FB4308D"/>
    <w:rsid w:val="13707A7F"/>
    <w:rsid w:val="182A5483"/>
    <w:rsid w:val="1A3757A2"/>
    <w:rsid w:val="1A6C4E31"/>
    <w:rsid w:val="21010F50"/>
    <w:rsid w:val="21770A32"/>
    <w:rsid w:val="21C047D2"/>
    <w:rsid w:val="21DF3F28"/>
    <w:rsid w:val="29382BC1"/>
    <w:rsid w:val="2AC464A5"/>
    <w:rsid w:val="2C013DBD"/>
    <w:rsid w:val="30F6597E"/>
    <w:rsid w:val="31AC74D3"/>
    <w:rsid w:val="31E741D9"/>
    <w:rsid w:val="32050037"/>
    <w:rsid w:val="35D37231"/>
    <w:rsid w:val="3C5030CA"/>
    <w:rsid w:val="3E7125EF"/>
    <w:rsid w:val="3F372CB5"/>
    <w:rsid w:val="40542FD2"/>
    <w:rsid w:val="468037A2"/>
    <w:rsid w:val="495E7F5F"/>
    <w:rsid w:val="4CF61BEE"/>
    <w:rsid w:val="4DEB002F"/>
    <w:rsid w:val="501D466B"/>
    <w:rsid w:val="50F27EFB"/>
    <w:rsid w:val="52B764B0"/>
    <w:rsid w:val="553B145A"/>
    <w:rsid w:val="570E1937"/>
    <w:rsid w:val="58213345"/>
    <w:rsid w:val="59AC5500"/>
    <w:rsid w:val="5AE8083F"/>
    <w:rsid w:val="5B8327B2"/>
    <w:rsid w:val="61AB3909"/>
    <w:rsid w:val="62696417"/>
    <w:rsid w:val="62C41CE2"/>
    <w:rsid w:val="642052F3"/>
    <w:rsid w:val="65DE5FBD"/>
    <w:rsid w:val="65FB21E7"/>
    <w:rsid w:val="68EF47DF"/>
    <w:rsid w:val="69DC7F41"/>
    <w:rsid w:val="6B1C0EDB"/>
    <w:rsid w:val="724E536A"/>
    <w:rsid w:val="76080A92"/>
    <w:rsid w:val="772634CC"/>
    <w:rsid w:val="77D6434F"/>
    <w:rsid w:val="78966E6E"/>
    <w:rsid w:val="796B3840"/>
    <w:rsid w:val="799625B9"/>
    <w:rsid w:val="7B1C794F"/>
    <w:rsid w:val="7BEE0029"/>
    <w:rsid w:val="7CBB4268"/>
    <w:rsid w:val="7F3C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Calibri" w:hAnsi="Calibri" w:eastAsia="Calibri" w:cs="Times New Roman"/>
      <w:sz w:val="22"/>
      <w:szCs w:val="22"/>
      <w:lang w:val="en-US" w:eastAsia="en-US" w:bidi="ar-SA"/>
    </w:rPr>
  </w:style>
  <w:style w:type="paragraph" w:styleId="4">
    <w:name w:val="heading 2"/>
    <w:basedOn w:val="1"/>
    <w:next w:val="1"/>
    <w:qFormat/>
    <w:uiPriority w:val="1"/>
    <w:pPr>
      <w:spacing w:before="58"/>
      <w:ind w:left="537"/>
      <w:jc w:val="center"/>
      <w:outlineLvl w:val="2"/>
    </w:pPr>
    <w:rPr>
      <w:rFonts w:ascii="黑体" w:hAnsi="黑体" w:eastAsia="黑体" w:cs="黑体"/>
      <w:b/>
      <w:bCs/>
      <w:sz w:val="30"/>
      <w:szCs w:val="30"/>
      <w:lang w:val="zh-CN" w:eastAsia="zh-CN" w:bidi="zh-CN"/>
    </w:rPr>
  </w:style>
  <w:style w:type="paragraph" w:styleId="5">
    <w:name w:val="heading 5"/>
    <w:basedOn w:val="1"/>
    <w:next w:val="1"/>
    <w:qFormat/>
    <w:uiPriority w:val="1"/>
    <w:pPr>
      <w:ind w:left="1881"/>
      <w:outlineLvl w:val="5"/>
    </w:pPr>
    <w:rPr>
      <w:rFonts w:ascii="宋体" w:hAnsi="宋体" w:eastAsia="宋体" w:cs="宋体"/>
      <w:b/>
      <w:bCs/>
      <w:sz w:val="24"/>
      <w:szCs w:val="24"/>
      <w:lang w:val="zh-CN" w:eastAsia="zh-CN" w:bidi="zh-CN"/>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before="120"/>
      <w:ind w:firstLine="420" w:firstLineChars="200"/>
    </w:pPr>
    <w:rPr>
      <w:kern w:val="0"/>
      <w:sz w:val="20"/>
      <w:lang w:val="en-US" w:eastAsia="zh-CN"/>
    </w:rPr>
  </w:style>
  <w:style w:type="paragraph" w:styleId="3">
    <w:name w:val="Body Text Indent"/>
    <w:basedOn w:val="1"/>
    <w:qFormat/>
    <w:uiPriority w:val="99"/>
    <w:pPr>
      <w:spacing w:after="120"/>
      <w:ind w:left="420" w:leftChars="200"/>
    </w:pPr>
  </w:style>
  <w:style w:type="paragraph" w:styleId="6">
    <w:name w:val="table of authorities"/>
    <w:basedOn w:val="1"/>
    <w:next w:val="1"/>
    <w:qFormat/>
    <w:uiPriority w:val="0"/>
    <w:pPr>
      <w:keepNext w:val="0"/>
      <w:keepLines w:val="0"/>
      <w:widowControl/>
      <w:suppressLineNumbers w:val="0"/>
      <w:spacing w:before="0" w:beforeAutospacing="0" w:after="0" w:afterAutospacing="0" w:line="425" w:lineRule="atLeast"/>
      <w:ind w:left="420" w:leftChars="200" w:right="0"/>
      <w:jc w:val="both"/>
    </w:pPr>
    <w:rPr>
      <w:rFonts w:hint="default" w:ascii="Calibri" w:hAnsi="Calibri" w:eastAsia="宋体" w:cs="Times New Roman"/>
      <w:color w:val="000000"/>
      <w:kern w:val="0"/>
      <w:sz w:val="21"/>
      <w:szCs w:val="22"/>
      <w:lang w:val="en-US" w:eastAsia="zh-CN" w:bidi="ar"/>
    </w:rPr>
  </w:style>
  <w:style w:type="paragraph" w:styleId="7">
    <w:name w:val="Body Text"/>
    <w:basedOn w:val="1"/>
    <w:qFormat/>
    <w:uiPriority w:val="1"/>
    <w:rPr>
      <w:rFonts w:ascii="PMingLiU" w:hAnsi="PMingLiU" w:eastAsia="PMingLiU" w:cs="PMingLiU"/>
      <w:sz w:val="24"/>
      <w:szCs w:val="24"/>
      <w:lang w:val="zh-CN" w:eastAsia="zh-CN" w:bidi="zh-CN"/>
    </w:rPr>
  </w:style>
  <w:style w:type="paragraph" w:styleId="8">
    <w:name w:val="toc 3"/>
    <w:basedOn w:val="1"/>
    <w:next w:val="1"/>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1"/>
    <w:pPr>
      <w:spacing w:before="316"/>
      <w:ind w:right="961"/>
      <w:jc w:val="right"/>
    </w:pPr>
    <w:rPr>
      <w:rFonts w:ascii="宋体" w:hAnsi="宋体" w:eastAsia="宋体" w:cs="宋体"/>
      <w:b/>
      <w:bCs/>
      <w:i/>
      <w:lang w:val="zh-CN" w:eastAsia="zh-CN" w:bidi="zh-CN"/>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style>
  <w:style w:type="character" w:styleId="18">
    <w:name w:val="FollowedHyperlink"/>
    <w:basedOn w:val="16"/>
    <w:qFormat/>
    <w:uiPriority w:val="0"/>
    <w:rPr>
      <w:color w:val="800080"/>
      <w:u w:val="none"/>
    </w:rPr>
  </w:style>
  <w:style w:type="character" w:styleId="19">
    <w:name w:val="Emphasis"/>
    <w:basedOn w:val="16"/>
    <w:qFormat/>
    <w:uiPriority w:val="0"/>
  </w:style>
  <w:style w:type="character" w:styleId="20">
    <w:name w:val="HTML Definition"/>
    <w:basedOn w:val="16"/>
    <w:qFormat/>
    <w:uiPriority w:val="0"/>
  </w:style>
  <w:style w:type="character" w:styleId="21">
    <w:name w:val="HTML Typewriter"/>
    <w:basedOn w:val="16"/>
    <w:qFormat/>
    <w:uiPriority w:val="0"/>
    <w:rPr>
      <w:rFonts w:hint="default" w:ascii="monospace" w:hAnsi="monospace" w:eastAsia="monospace" w:cs="monospace"/>
      <w:sz w:val="20"/>
    </w:rPr>
  </w:style>
  <w:style w:type="character" w:styleId="22">
    <w:name w:val="HTML Acronym"/>
    <w:basedOn w:val="16"/>
    <w:qFormat/>
    <w:uiPriority w:val="0"/>
  </w:style>
  <w:style w:type="character" w:styleId="23">
    <w:name w:val="HTML Variable"/>
    <w:basedOn w:val="16"/>
    <w:qFormat/>
    <w:uiPriority w:val="0"/>
  </w:style>
  <w:style w:type="character" w:styleId="24">
    <w:name w:val="Hyperlink"/>
    <w:basedOn w:val="16"/>
    <w:qFormat/>
    <w:uiPriority w:val="0"/>
    <w:rPr>
      <w:color w:val="0000FF"/>
      <w:u w:val="none"/>
    </w:rPr>
  </w:style>
  <w:style w:type="character" w:styleId="25">
    <w:name w:val="HTML Code"/>
    <w:basedOn w:val="16"/>
    <w:qFormat/>
    <w:uiPriority w:val="0"/>
    <w:rPr>
      <w:rFonts w:hint="default" w:ascii="monospace" w:hAnsi="monospace" w:eastAsia="monospace" w:cs="monospace"/>
      <w:sz w:val="20"/>
    </w:rPr>
  </w:style>
  <w:style w:type="character" w:styleId="26">
    <w:name w:val="HTML Cite"/>
    <w:basedOn w:val="16"/>
    <w:qFormat/>
    <w:uiPriority w:val="0"/>
  </w:style>
  <w:style w:type="character" w:styleId="27">
    <w:name w:val="HTML Keyboard"/>
    <w:basedOn w:val="16"/>
    <w:qFormat/>
    <w:uiPriority w:val="0"/>
    <w:rPr>
      <w:rFonts w:hint="default" w:ascii="monospace" w:hAnsi="monospace" w:eastAsia="monospace" w:cs="monospace"/>
      <w:sz w:val="20"/>
    </w:rPr>
  </w:style>
  <w:style w:type="character" w:styleId="28">
    <w:name w:val="HTML Sample"/>
    <w:basedOn w:val="16"/>
    <w:qFormat/>
    <w:uiPriority w:val="0"/>
    <w:rPr>
      <w:rFonts w:ascii="monospace" w:hAnsi="monospace" w:eastAsia="monospace" w:cs="monospace"/>
    </w:rPr>
  </w:style>
  <w:style w:type="paragraph" w:customStyle="1" w:styleId="29">
    <w:name w:val="Table Paragraph"/>
    <w:basedOn w:val="1"/>
    <w:qFormat/>
    <w:uiPriority w:val="1"/>
    <w:rPr>
      <w:rFonts w:ascii="PMingLiU" w:hAnsi="PMingLiU" w:eastAsia="PMingLiU" w:cs="PMingLiU"/>
      <w:lang w:val="zh-CN" w:eastAsia="zh-CN" w:bidi="zh-CN"/>
    </w:rPr>
  </w:style>
  <w:style w:type="paragraph" w:customStyle="1" w:styleId="30">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 w:type="paragraph" w:customStyle="1" w:styleId="3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2019-12-20T02:29:00Z</dcterms:created>
  <dc:creator>阿璐</dc:creator>
  <cp:lastModifiedBy>阿璐</cp:lastModifiedBy>
  <cp:lastPrinted>2019-12-23T06:51:00Z</cp:lastPrinted>
  <dcterms:modified xsi:type="dcterms:W3CDTF">2020-01-06T07:26:04Z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