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pStyle w:val="4"/>
        <w:spacing w:before="360" w:after="120"/>
        <w:jc w:val="center"/>
        <w:rPr>
          <w:rFonts w:hint="eastAsia"/>
          <w:sz w:val="48"/>
          <w:szCs w:val="48"/>
        </w:rPr>
      </w:pPr>
      <w:bookmarkStart w:id="0" w:name="_Toc12545369"/>
      <w:bookmarkStart w:id="1" w:name="_Toc31059"/>
      <w:bookmarkStart w:id="2" w:name="_Toc26802642"/>
      <w:bookmarkStart w:id="3" w:name="_Toc24731"/>
      <w:bookmarkStart w:id="4" w:name="_Toc19708"/>
      <w:bookmarkStart w:id="5" w:name="_Toc34034457"/>
      <w:bookmarkStart w:id="6" w:name="_Toc18120"/>
      <w:bookmarkStart w:id="283" w:name="_GoBack"/>
      <w:bookmarkEnd w:id="283"/>
      <w:r>
        <w:drawing>
          <wp:inline distT="0" distB="0" distL="114300" distR="114300">
            <wp:extent cx="5937885" cy="7830185"/>
            <wp:effectExtent l="0" t="0" r="5715" b="184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5937885" cy="7830185"/>
                    </a:xfrm>
                    <a:prstGeom prst="rect">
                      <a:avLst/>
                    </a:prstGeom>
                    <a:noFill/>
                    <a:ln>
                      <a:noFill/>
                    </a:ln>
                  </pic:spPr>
                </pic:pic>
              </a:graphicData>
            </a:graphic>
          </wp:inline>
        </w:drawing>
      </w:r>
    </w:p>
    <w:p>
      <w:pPr>
        <w:pStyle w:val="4"/>
        <w:spacing w:before="360" w:after="120"/>
        <w:jc w:val="center"/>
        <w:rPr>
          <w:rFonts w:hint="eastAsia"/>
          <w:sz w:val="48"/>
          <w:szCs w:val="48"/>
        </w:rPr>
      </w:pPr>
    </w:p>
    <w:p>
      <w:pPr>
        <w:pStyle w:val="4"/>
        <w:spacing w:before="360" w:after="120"/>
        <w:jc w:val="center"/>
        <w:rPr>
          <w:rFonts w:hint="eastAsia"/>
          <w:sz w:val="48"/>
          <w:szCs w:val="48"/>
        </w:rPr>
      </w:pPr>
      <w:r>
        <w:rPr>
          <w:rFonts w:hint="eastAsia"/>
          <w:sz w:val="48"/>
          <w:szCs w:val="48"/>
        </w:rPr>
        <w:t>目  录</w:t>
      </w:r>
      <w:bookmarkEnd w:id="0"/>
      <w:bookmarkEnd w:id="1"/>
      <w:bookmarkEnd w:id="2"/>
      <w:bookmarkEnd w:id="3"/>
      <w:bookmarkEnd w:id="4"/>
      <w:bookmarkEnd w:id="5"/>
      <w:bookmarkEnd w:id="6"/>
    </w:p>
    <w:p>
      <w:pPr>
        <w:pStyle w:val="24"/>
        <w:tabs>
          <w:tab w:val="right" w:leader="dot" w:pos="9563"/>
          <w:tab w:val="clear" w:pos="9344"/>
        </w:tabs>
      </w:pPr>
    </w:p>
    <w:p>
      <w:pPr>
        <w:pStyle w:val="24"/>
        <w:tabs>
          <w:tab w:val="right" w:leader="dot" w:pos="9563"/>
          <w:tab w:val="clear" w:pos="9344"/>
        </w:tabs>
      </w:pP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TOC \o "1-3" \h \z \u</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HYPERLINK \l _Toc18120 </w:instrText>
      </w:r>
      <w:r>
        <w:rPr>
          <w:rFonts w:ascii="宋体" w:hAnsi="宋体" w:cs="宋体"/>
          <w:szCs w:val="21"/>
        </w:rPr>
        <w:fldChar w:fldCharType="separate"/>
      </w:r>
      <w:r>
        <w:rPr>
          <w:rFonts w:hint="eastAsia"/>
          <w:szCs w:val="48"/>
        </w:rPr>
        <w:t>目  录</w:t>
      </w:r>
      <w:r>
        <w:tab/>
      </w:r>
      <w:r>
        <w:fldChar w:fldCharType="begin"/>
      </w:r>
      <w:r>
        <w:instrText xml:space="preserve"> PAGEREF _Toc18120 </w:instrText>
      </w:r>
      <w:r>
        <w:fldChar w:fldCharType="separate"/>
      </w:r>
      <w:r>
        <w:t>- 2 -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_Toc25309 </w:instrText>
      </w:r>
      <w:r>
        <w:rPr>
          <w:rFonts w:ascii="宋体" w:hAnsi="宋体" w:cs="宋体"/>
          <w:szCs w:val="21"/>
        </w:rPr>
        <w:fldChar w:fldCharType="separate"/>
      </w:r>
      <w:r>
        <w:rPr>
          <w:rFonts w:hint="eastAsia"/>
          <w:kern w:val="0"/>
        </w:rPr>
        <w:t>第一章   竞争性谈判采购公告</w:t>
      </w:r>
      <w:r>
        <w:tab/>
      </w:r>
      <w:r>
        <w:fldChar w:fldCharType="begin"/>
      </w:r>
      <w:r>
        <w:instrText xml:space="preserve"> PAGEREF _Toc25309 </w:instrText>
      </w:r>
      <w:r>
        <w:fldChar w:fldCharType="separate"/>
      </w:r>
      <w:r>
        <w:t>- 4 -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_Toc10337 </w:instrText>
      </w:r>
      <w:r>
        <w:rPr>
          <w:rFonts w:ascii="宋体" w:hAnsi="宋体" w:cs="宋体"/>
          <w:szCs w:val="21"/>
        </w:rPr>
        <w:fldChar w:fldCharType="separate"/>
      </w:r>
      <w:r>
        <w:rPr>
          <w:rFonts w:hint="eastAsia"/>
          <w:kern w:val="0"/>
        </w:rPr>
        <w:t>第二章   投标邀请函</w:t>
      </w:r>
      <w:r>
        <w:tab/>
      </w:r>
      <w:r>
        <w:fldChar w:fldCharType="begin"/>
      </w:r>
      <w:r>
        <w:instrText xml:space="preserve"> PAGEREF _Toc10337 </w:instrText>
      </w:r>
      <w:r>
        <w:fldChar w:fldCharType="separate"/>
      </w:r>
      <w:r>
        <w:t>- 4 -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ind w:left="0" w:leftChars="0"/>
        <w:textAlignment w:val="auto"/>
      </w:pPr>
      <w:r>
        <w:rPr>
          <w:rFonts w:ascii="宋体" w:hAnsi="宋体" w:cs="宋体"/>
          <w:szCs w:val="21"/>
        </w:rPr>
        <w:fldChar w:fldCharType="begin"/>
      </w:r>
      <w:r>
        <w:rPr>
          <w:rFonts w:ascii="宋体" w:hAnsi="宋体" w:cs="宋体"/>
          <w:szCs w:val="21"/>
        </w:rPr>
        <w:instrText xml:space="preserve"> HYPERLINK \l _Toc22142 </w:instrText>
      </w:r>
      <w:r>
        <w:rPr>
          <w:rFonts w:ascii="宋体" w:hAnsi="宋体" w:cs="宋体"/>
          <w:szCs w:val="21"/>
        </w:rPr>
        <w:fldChar w:fldCharType="separate"/>
      </w:r>
      <w:r>
        <w:rPr>
          <w:rFonts w:hint="eastAsia"/>
          <w:kern w:val="0"/>
        </w:rPr>
        <w:t xml:space="preserve">第三章  </w:t>
      </w:r>
      <w:r>
        <w:rPr>
          <w:rFonts w:hint="eastAsia"/>
        </w:rPr>
        <w:t>投标须知前附表</w:t>
      </w:r>
      <w:r>
        <w:tab/>
      </w:r>
      <w:r>
        <w:fldChar w:fldCharType="begin"/>
      </w:r>
      <w:r>
        <w:instrText xml:space="preserve"> PAGEREF _Toc22142 </w:instrText>
      </w:r>
      <w:r>
        <w:fldChar w:fldCharType="separate"/>
      </w:r>
      <w:r>
        <w:t>- 10 -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_Toc25058 </w:instrText>
      </w:r>
      <w:r>
        <w:rPr>
          <w:rFonts w:ascii="宋体" w:hAnsi="宋体" w:cs="宋体"/>
          <w:szCs w:val="21"/>
        </w:rPr>
        <w:fldChar w:fldCharType="separate"/>
      </w:r>
      <w:r>
        <w:rPr>
          <w:rFonts w:hint="eastAsia" w:ascii="宋体" w:hAnsi="宋体"/>
          <w:szCs w:val="28"/>
        </w:rPr>
        <w:t>2.1 招标</w:t>
      </w:r>
      <w:r>
        <w:tab/>
      </w:r>
      <w:r>
        <w:fldChar w:fldCharType="begin"/>
      </w:r>
      <w:r>
        <w:instrText xml:space="preserve"> PAGEREF _Toc25058 </w:instrText>
      </w:r>
      <w:r>
        <w:fldChar w:fldCharType="separate"/>
      </w:r>
      <w:r>
        <w:t>- 14 -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_Toc12063 </w:instrText>
      </w:r>
      <w:r>
        <w:rPr>
          <w:rFonts w:ascii="宋体" w:hAnsi="宋体" w:cs="宋体"/>
          <w:szCs w:val="21"/>
        </w:rPr>
        <w:fldChar w:fldCharType="separate"/>
      </w:r>
      <w:r>
        <w:rPr>
          <w:rFonts w:hint="eastAsia" w:ascii="宋体" w:hAnsi="宋体"/>
          <w:szCs w:val="28"/>
        </w:rPr>
        <w:t>2.2 投标</w:t>
      </w:r>
      <w:r>
        <w:tab/>
      </w:r>
      <w:r>
        <w:fldChar w:fldCharType="begin"/>
      </w:r>
      <w:r>
        <w:instrText xml:space="preserve"> PAGEREF _Toc12063 </w:instrText>
      </w:r>
      <w:r>
        <w:fldChar w:fldCharType="separate"/>
      </w:r>
      <w:r>
        <w:t>- 14 -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_Toc10293 </w:instrText>
      </w:r>
      <w:r>
        <w:rPr>
          <w:rFonts w:ascii="宋体" w:hAnsi="宋体" w:cs="宋体"/>
          <w:szCs w:val="21"/>
        </w:rPr>
        <w:fldChar w:fldCharType="separate"/>
      </w:r>
      <w:r>
        <w:rPr>
          <w:rFonts w:hint="eastAsia" w:ascii="宋体" w:hAnsi="宋体"/>
          <w:szCs w:val="28"/>
        </w:rPr>
        <w:t>2.3 开标</w:t>
      </w:r>
      <w:r>
        <w:tab/>
      </w:r>
      <w:r>
        <w:fldChar w:fldCharType="begin"/>
      </w:r>
      <w:r>
        <w:instrText xml:space="preserve"> PAGEREF _Toc10293 </w:instrText>
      </w:r>
      <w:r>
        <w:fldChar w:fldCharType="separate"/>
      </w:r>
      <w:r>
        <w:t>- 19 -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_Toc26697 </w:instrText>
      </w:r>
      <w:r>
        <w:rPr>
          <w:rFonts w:ascii="宋体" w:hAnsi="宋体" w:cs="宋体"/>
          <w:szCs w:val="21"/>
        </w:rPr>
        <w:fldChar w:fldCharType="separate"/>
      </w:r>
      <w:r>
        <w:rPr>
          <w:rFonts w:hint="eastAsia" w:ascii="宋体" w:hAnsi="宋体"/>
          <w:szCs w:val="28"/>
        </w:rPr>
        <w:t>2.4 合同的授予</w:t>
      </w:r>
      <w:r>
        <w:tab/>
      </w:r>
      <w:r>
        <w:fldChar w:fldCharType="begin"/>
      </w:r>
      <w:r>
        <w:instrText xml:space="preserve"> PAGEREF _Toc26697 </w:instrText>
      </w:r>
      <w:r>
        <w:fldChar w:fldCharType="separate"/>
      </w:r>
      <w:r>
        <w:t>- 19 -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_Toc17573 </w:instrText>
      </w:r>
      <w:r>
        <w:rPr>
          <w:rFonts w:ascii="宋体" w:hAnsi="宋体" w:cs="宋体"/>
          <w:szCs w:val="21"/>
        </w:rPr>
        <w:fldChar w:fldCharType="separate"/>
      </w:r>
      <w:r>
        <w:rPr>
          <w:rFonts w:hint="eastAsia"/>
          <w:kern w:val="0"/>
        </w:rPr>
        <w:t>3、澄清和质疑</w:t>
      </w:r>
      <w:r>
        <w:tab/>
      </w:r>
      <w:r>
        <w:fldChar w:fldCharType="begin"/>
      </w:r>
      <w:r>
        <w:instrText xml:space="preserve"> PAGEREF _Toc17573 </w:instrText>
      </w:r>
      <w:r>
        <w:fldChar w:fldCharType="separate"/>
      </w:r>
      <w:r>
        <w:t>- 21 -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_Toc12747 </w:instrText>
      </w:r>
      <w:r>
        <w:rPr>
          <w:rFonts w:ascii="宋体" w:hAnsi="宋体" w:cs="宋体"/>
          <w:szCs w:val="21"/>
        </w:rPr>
        <w:fldChar w:fldCharType="separate"/>
      </w:r>
      <w:r>
        <w:rPr>
          <w:rFonts w:hint="eastAsia" w:ascii="宋体" w:hAnsi="宋体"/>
          <w:szCs w:val="28"/>
        </w:rPr>
        <w:t>3.1综合说明</w:t>
      </w:r>
      <w:r>
        <w:tab/>
      </w:r>
      <w:r>
        <w:fldChar w:fldCharType="begin"/>
      </w:r>
      <w:r>
        <w:instrText xml:space="preserve"> PAGEREF _Toc12747 </w:instrText>
      </w:r>
      <w:r>
        <w:fldChar w:fldCharType="separate"/>
      </w:r>
      <w:r>
        <w:t>- 21 -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_Toc26550 </w:instrText>
      </w:r>
      <w:r>
        <w:rPr>
          <w:rFonts w:ascii="宋体" w:hAnsi="宋体" w:cs="宋体"/>
          <w:szCs w:val="21"/>
        </w:rPr>
        <w:fldChar w:fldCharType="separate"/>
      </w:r>
      <w:r>
        <w:rPr>
          <w:rFonts w:hint="eastAsia" w:ascii="宋体" w:hAnsi="宋体"/>
          <w:szCs w:val="28"/>
        </w:rPr>
        <w:t>3.2对招标文件的澄清和质疑</w:t>
      </w:r>
      <w:r>
        <w:tab/>
      </w:r>
      <w:r>
        <w:fldChar w:fldCharType="begin"/>
      </w:r>
      <w:r>
        <w:instrText xml:space="preserve"> PAGEREF _Toc26550 </w:instrText>
      </w:r>
      <w:r>
        <w:fldChar w:fldCharType="separate"/>
      </w:r>
      <w:r>
        <w:t>- 21 -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_Toc17171 </w:instrText>
      </w:r>
      <w:r>
        <w:rPr>
          <w:rFonts w:ascii="宋体" w:hAnsi="宋体" w:cs="宋体"/>
          <w:szCs w:val="21"/>
        </w:rPr>
        <w:fldChar w:fldCharType="separate"/>
      </w:r>
      <w:r>
        <w:rPr>
          <w:rFonts w:hint="eastAsia" w:ascii="宋体" w:hAnsi="宋体"/>
          <w:szCs w:val="28"/>
        </w:rPr>
        <w:t>3.3对招标过程和拟</w:t>
      </w:r>
      <w:r>
        <w:rPr>
          <w:rFonts w:hint="eastAsia" w:ascii="宋体" w:hAnsi="宋体"/>
          <w:szCs w:val="28"/>
          <w:lang w:eastAsia="zh-CN"/>
        </w:rPr>
        <w:t>成交</w:t>
      </w:r>
      <w:r>
        <w:rPr>
          <w:rFonts w:hint="eastAsia" w:ascii="宋体" w:hAnsi="宋体"/>
          <w:szCs w:val="28"/>
        </w:rPr>
        <w:t>结果的质疑</w:t>
      </w:r>
      <w:r>
        <w:tab/>
      </w:r>
      <w:r>
        <w:fldChar w:fldCharType="begin"/>
      </w:r>
      <w:r>
        <w:instrText xml:space="preserve"> PAGEREF _Toc17171 </w:instrText>
      </w:r>
      <w:r>
        <w:fldChar w:fldCharType="separate"/>
      </w:r>
      <w:r>
        <w:t>- 22 -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_Toc6674 </w:instrText>
      </w:r>
      <w:r>
        <w:rPr>
          <w:rFonts w:ascii="宋体" w:hAnsi="宋体" w:cs="宋体"/>
          <w:szCs w:val="21"/>
        </w:rPr>
        <w:fldChar w:fldCharType="separate"/>
      </w:r>
      <w:r>
        <w:rPr>
          <w:rFonts w:hint="eastAsia" w:ascii="宋体" w:hAnsi="宋体"/>
          <w:szCs w:val="28"/>
        </w:rPr>
        <w:t>3.4澄清或质疑不予受理的情况</w:t>
      </w:r>
      <w:r>
        <w:tab/>
      </w:r>
      <w:r>
        <w:fldChar w:fldCharType="begin"/>
      </w:r>
      <w:r>
        <w:instrText xml:space="preserve"> PAGEREF _Toc6674 </w:instrText>
      </w:r>
      <w:r>
        <w:fldChar w:fldCharType="separate"/>
      </w:r>
      <w:r>
        <w:t>- 23 -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_Toc30846 </w:instrText>
      </w:r>
      <w:r>
        <w:rPr>
          <w:rFonts w:ascii="宋体" w:hAnsi="宋体" w:cs="宋体"/>
          <w:szCs w:val="21"/>
        </w:rPr>
        <w:fldChar w:fldCharType="separate"/>
      </w:r>
      <w:r>
        <w:rPr>
          <w:rFonts w:hint="eastAsia" w:ascii="宋体" w:hAnsi="宋体"/>
          <w:szCs w:val="28"/>
        </w:rPr>
        <w:t>3.5其他</w:t>
      </w:r>
      <w:r>
        <w:tab/>
      </w:r>
      <w:r>
        <w:fldChar w:fldCharType="begin"/>
      </w:r>
      <w:r>
        <w:instrText xml:space="preserve"> PAGEREF _Toc30846 </w:instrText>
      </w:r>
      <w:r>
        <w:fldChar w:fldCharType="separate"/>
      </w:r>
      <w:r>
        <w:t>- 23 -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_Toc5874 </w:instrText>
      </w:r>
      <w:r>
        <w:rPr>
          <w:rFonts w:ascii="宋体" w:hAnsi="宋体" w:cs="宋体"/>
          <w:szCs w:val="21"/>
        </w:rPr>
        <w:fldChar w:fldCharType="separate"/>
      </w:r>
      <w:r>
        <w:rPr>
          <w:rFonts w:hint="eastAsia"/>
          <w:kern w:val="0"/>
        </w:rPr>
        <w:t>4、采购需求</w:t>
      </w:r>
      <w:r>
        <w:tab/>
      </w:r>
      <w:r>
        <w:fldChar w:fldCharType="begin"/>
      </w:r>
      <w:r>
        <w:instrText xml:space="preserve"> PAGEREF _Toc5874 </w:instrText>
      </w:r>
      <w:r>
        <w:fldChar w:fldCharType="separate"/>
      </w:r>
      <w:r>
        <w:t>- 24 -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_Toc8862 </w:instrText>
      </w:r>
      <w:r>
        <w:rPr>
          <w:rFonts w:ascii="宋体" w:hAnsi="宋体" w:cs="宋体"/>
          <w:szCs w:val="21"/>
        </w:rPr>
        <w:fldChar w:fldCharType="separate"/>
      </w:r>
      <w:r>
        <w:rPr>
          <w:rFonts w:hint="eastAsia"/>
          <w:kern w:val="0"/>
        </w:rPr>
        <w:t>5、谈判原则及办法</w:t>
      </w:r>
      <w:r>
        <w:tab/>
      </w:r>
      <w:r>
        <w:fldChar w:fldCharType="begin"/>
      </w:r>
      <w:r>
        <w:instrText xml:space="preserve"> PAGEREF _Toc8862 </w:instrText>
      </w:r>
      <w:r>
        <w:fldChar w:fldCharType="separate"/>
      </w:r>
      <w:r>
        <w:t>- 26 -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_Toc19948 </w:instrText>
      </w:r>
      <w:r>
        <w:rPr>
          <w:rFonts w:ascii="宋体" w:hAnsi="宋体" w:cs="宋体"/>
          <w:szCs w:val="21"/>
        </w:rPr>
        <w:fldChar w:fldCharType="separate"/>
      </w:r>
      <w:r>
        <w:rPr>
          <w:rFonts w:hint="eastAsia" w:ascii="宋体" w:hAnsi="宋体"/>
          <w:szCs w:val="28"/>
        </w:rPr>
        <w:t>5.1 谈判工作中的原则及组织</w:t>
      </w:r>
      <w:r>
        <w:tab/>
      </w:r>
      <w:r>
        <w:fldChar w:fldCharType="begin"/>
      </w:r>
      <w:r>
        <w:instrText xml:space="preserve"> PAGEREF _Toc19948 </w:instrText>
      </w:r>
      <w:r>
        <w:fldChar w:fldCharType="separate"/>
      </w:r>
      <w:r>
        <w:t>- 26 -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_Toc29994 </w:instrText>
      </w:r>
      <w:r>
        <w:rPr>
          <w:rFonts w:ascii="宋体" w:hAnsi="宋体" w:cs="宋体"/>
          <w:szCs w:val="21"/>
        </w:rPr>
        <w:fldChar w:fldCharType="separate"/>
      </w:r>
      <w:r>
        <w:rPr>
          <w:rFonts w:hint="eastAsia" w:ascii="宋体" w:hAnsi="宋体"/>
          <w:szCs w:val="28"/>
        </w:rPr>
        <w:t>5.2 谈判小组的职责</w:t>
      </w:r>
      <w:r>
        <w:tab/>
      </w:r>
      <w:r>
        <w:fldChar w:fldCharType="begin"/>
      </w:r>
      <w:r>
        <w:instrText xml:space="preserve"> PAGEREF _Toc29994 </w:instrText>
      </w:r>
      <w:r>
        <w:fldChar w:fldCharType="separate"/>
      </w:r>
      <w:r>
        <w:t>- 27 -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_Toc10317 </w:instrText>
      </w:r>
      <w:r>
        <w:rPr>
          <w:rFonts w:ascii="宋体" w:hAnsi="宋体" w:cs="宋体"/>
          <w:szCs w:val="21"/>
        </w:rPr>
        <w:fldChar w:fldCharType="separate"/>
      </w:r>
      <w:r>
        <w:rPr>
          <w:rFonts w:hint="eastAsia" w:ascii="宋体" w:hAnsi="宋体"/>
          <w:szCs w:val="28"/>
        </w:rPr>
        <w:t>5.3 谈判内容及标准</w:t>
      </w:r>
      <w:r>
        <w:tab/>
      </w:r>
      <w:r>
        <w:fldChar w:fldCharType="begin"/>
      </w:r>
      <w:r>
        <w:instrText xml:space="preserve"> PAGEREF _Toc10317 </w:instrText>
      </w:r>
      <w:r>
        <w:fldChar w:fldCharType="separate"/>
      </w:r>
      <w:r>
        <w:t>- 27 -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_Toc9934 </w:instrText>
      </w:r>
      <w:r>
        <w:rPr>
          <w:rFonts w:ascii="宋体" w:hAnsi="宋体" w:cs="宋体"/>
          <w:szCs w:val="21"/>
        </w:rPr>
        <w:fldChar w:fldCharType="separate"/>
      </w:r>
      <w:r>
        <w:rPr>
          <w:rFonts w:hint="eastAsia" w:ascii="宋体" w:hAnsi="宋体"/>
          <w:szCs w:val="28"/>
        </w:rPr>
        <w:t>5.4谈判的形式、程序及方法</w:t>
      </w:r>
      <w:r>
        <w:tab/>
      </w:r>
      <w:r>
        <w:fldChar w:fldCharType="begin"/>
      </w:r>
      <w:r>
        <w:instrText xml:space="preserve"> PAGEREF _Toc9934 </w:instrText>
      </w:r>
      <w:r>
        <w:fldChar w:fldCharType="separate"/>
      </w:r>
      <w:r>
        <w:t>- 29 -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_Toc29817 </w:instrText>
      </w:r>
      <w:r>
        <w:rPr>
          <w:rFonts w:ascii="宋体" w:hAnsi="宋体" w:cs="宋体"/>
          <w:szCs w:val="21"/>
        </w:rPr>
        <w:fldChar w:fldCharType="separate"/>
      </w:r>
      <w:r>
        <w:rPr>
          <w:rFonts w:hint="eastAsia" w:ascii="宋体" w:hAnsi="宋体"/>
          <w:szCs w:val="28"/>
        </w:rPr>
        <w:t>5.5 拟成交供应商的确定</w:t>
      </w:r>
      <w:r>
        <w:tab/>
      </w:r>
      <w:r>
        <w:fldChar w:fldCharType="begin"/>
      </w:r>
      <w:r>
        <w:instrText xml:space="preserve"> PAGEREF _Toc29817 </w:instrText>
      </w:r>
      <w:r>
        <w:fldChar w:fldCharType="separate"/>
      </w:r>
      <w:r>
        <w:t>- 31 -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_Toc19525 </w:instrText>
      </w:r>
      <w:r>
        <w:rPr>
          <w:rFonts w:ascii="宋体" w:hAnsi="宋体" w:cs="宋体"/>
          <w:szCs w:val="21"/>
        </w:rPr>
        <w:fldChar w:fldCharType="separate"/>
      </w:r>
      <w:r>
        <w:rPr>
          <w:rFonts w:hint="eastAsia" w:ascii="宋体" w:hAnsi="宋体"/>
          <w:szCs w:val="28"/>
        </w:rPr>
        <w:t>5.6 合同的授予</w:t>
      </w:r>
      <w:r>
        <w:tab/>
      </w:r>
      <w:r>
        <w:fldChar w:fldCharType="begin"/>
      </w:r>
      <w:r>
        <w:instrText xml:space="preserve"> PAGEREF _Toc19525 </w:instrText>
      </w:r>
      <w:r>
        <w:fldChar w:fldCharType="separate"/>
      </w:r>
      <w:r>
        <w:t>- 31 -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_Toc29795 </w:instrText>
      </w:r>
      <w:r>
        <w:rPr>
          <w:rFonts w:ascii="宋体" w:hAnsi="宋体" w:cs="宋体"/>
          <w:szCs w:val="21"/>
        </w:rPr>
        <w:fldChar w:fldCharType="separate"/>
      </w:r>
      <w:r>
        <w:rPr>
          <w:rFonts w:hint="eastAsia" w:ascii="宋体" w:hAnsi="宋体"/>
          <w:szCs w:val="28"/>
        </w:rPr>
        <w:t>5.7 成交未果</w:t>
      </w:r>
      <w:r>
        <w:tab/>
      </w:r>
      <w:r>
        <w:fldChar w:fldCharType="begin"/>
      </w:r>
      <w:r>
        <w:instrText xml:space="preserve"> PAGEREF _Toc29795 </w:instrText>
      </w:r>
      <w:r>
        <w:fldChar w:fldCharType="separate"/>
      </w:r>
      <w:r>
        <w:t>- 32 -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_Toc19924 </w:instrText>
      </w:r>
      <w:r>
        <w:rPr>
          <w:rFonts w:ascii="宋体" w:hAnsi="宋体" w:cs="宋体"/>
          <w:szCs w:val="21"/>
        </w:rPr>
        <w:fldChar w:fldCharType="separate"/>
      </w:r>
      <w:r>
        <w:rPr>
          <w:rFonts w:hint="eastAsia" w:ascii="宋体" w:hAnsi="宋体"/>
          <w:szCs w:val="28"/>
        </w:rPr>
        <w:t>5.8 谈判无效响应</w:t>
      </w:r>
      <w:r>
        <w:tab/>
      </w:r>
      <w:r>
        <w:fldChar w:fldCharType="begin"/>
      </w:r>
      <w:r>
        <w:instrText xml:space="preserve"> PAGEREF _Toc19924 </w:instrText>
      </w:r>
      <w:r>
        <w:fldChar w:fldCharType="separate"/>
      </w:r>
      <w:r>
        <w:t>- 33 -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_Toc29361 </w:instrText>
      </w:r>
      <w:r>
        <w:rPr>
          <w:rFonts w:ascii="宋体" w:hAnsi="宋体" w:cs="宋体"/>
          <w:szCs w:val="21"/>
        </w:rPr>
        <w:fldChar w:fldCharType="separate"/>
      </w:r>
      <w:r>
        <w:rPr>
          <w:rFonts w:hint="eastAsia" w:ascii="宋体" w:hAnsi="宋体"/>
          <w:szCs w:val="28"/>
        </w:rPr>
        <w:t>5.9串通投标情形</w:t>
      </w:r>
      <w:r>
        <w:tab/>
      </w:r>
      <w:r>
        <w:fldChar w:fldCharType="begin"/>
      </w:r>
      <w:r>
        <w:instrText xml:space="preserve"> PAGEREF _Toc29361 </w:instrText>
      </w:r>
      <w:r>
        <w:fldChar w:fldCharType="separate"/>
      </w:r>
      <w:r>
        <w:t>- 34 -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_Toc25145 </w:instrText>
      </w:r>
      <w:r>
        <w:rPr>
          <w:rFonts w:ascii="宋体" w:hAnsi="宋体" w:cs="宋体"/>
          <w:szCs w:val="21"/>
        </w:rPr>
        <w:fldChar w:fldCharType="separate"/>
      </w:r>
      <w:r>
        <w:rPr>
          <w:rFonts w:hint="eastAsia" w:ascii="宋体" w:hAnsi="宋体"/>
          <w:szCs w:val="28"/>
        </w:rPr>
        <w:t>5.10恶意串通投标情形</w:t>
      </w:r>
      <w:r>
        <w:tab/>
      </w:r>
      <w:r>
        <w:fldChar w:fldCharType="begin"/>
      </w:r>
      <w:r>
        <w:instrText xml:space="preserve"> PAGEREF _Toc25145 </w:instrText>
      </w:r>
      <w:r>
        <w:fldChar w:fldCharType="separate"/>
      </w:r>
      <w:r>
        <w:t>- 35 -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_Toc25655 </w:instrText>
      </w:r>
      <w:r>
        <w:rPr>
          <w:rFonts w:ascii="宋体" w:hAnsi="宋体" w:cs="宋体"/>
          <w:szCs w:val="21"/>
        </w:rPr>
        <w:fldChar w:fldCharType="separate"/>
      </w:r>
      <w:r>
        <w:rPr>
          <w:rFonts w:hint="eastAsia"/>
          <w:kern w:val="0"/>
        </w:rPr>
        <w:t>6、合同格式（仅供参考）</w:t>
      </w:r>
      <w:r>
        <w:tab/>
      </w:r>
      <w:r>
        <w:fldChar w:fldCharType="begin"/>
      </w:r>
      <w:r>
        <w:instrText xml:space="preserve"> PAGEREF _Toc25655 </w:instrText>
      </w:r>
      <w:r>
        <w:fldChar w:fldCharType="separate"/>
      </w:r>
      <w:r>
        <w:t>- 37 -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_Toc27564 </w:instrText>
      </w:r>
      <w:r>
        <w:rPr>
          <w:rFonts w:ascii="宋体" w:hAnsi="宋体" w:cs="宋体"/>
          <w:szCs w:val="21"/>
        </w:rPr>
        <w:fldChar w:fldCharType="separate"/>
      </w:r>
      <w:r>
        <w:rPr>
          <w:rFonts w:hint="eastAsia" w:ascii="宋体" w:hAnsi="宋体"/>
          <w:szCs w:val="28"/>
        </w:rPr>
        <w:t>6.1合同封面</w:t>
      </w:r>
      <w:r>
        <w:tab/>
      </w:r>
      <w:r>
        <w:fldChar w:fldCharType="begin"/>
      </w:r>
      <w:r>
        <w:instrText xml:space="preserve"> PAGEREF _Toc27564 </w:instrText>
      </w:r>
      <w:r>
        <w:fldChar w:fldCharType="separate"/>
      </w:r>
      <w:r>
        <w:t>- 37 -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_Toc28530 </w:instrText>
      </w:r>
      <w:r>
        <w:rPr>
          <w:rFonts w:ascii="宋体" w:hAnsi="宋体" w:cs="宋体"/>
          <w:szCs w:val="21"/>
        </w:rPr>
        <w:fldChar w:fldCharType="separate"/>
      </w:r>
      <w:r>
        <w:rPr>
          <w:rFonts w:hint="eastAsia" w:ascii="宋体" w:hAnsi="宋体"/>
          <w:szCs w:val="28"/>
        </w:rPr>
        <w:t>6.2政府采购合同协议书</w:t>
      </w:r>
      <w:r>
        <w:tab/>
      </w:r>
      <w:r>
        <w:fldChar w:fldCharType="begin"/>
      </w:r>
      <w:r>
        <w:instrText xml:space="preserve"> PAGEREF _Toc28530 </w:instrText>
      </w:r>
      <w:r>
        <w:fldChar w:fldCharType="separate"/>
      </w:r>
      <w:r>
        <w:t>- 38 -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_Toc2260 </w:instrText>
      </w:r>
      <w:r>
        <w:rPr>
          <w:rFonts w:ascii="宋体" w:hAnsi="宋体" w:cs="宋体"/>
          <w:szCs w:val="21"/>
        </w:rPr>
        <w:fldChar w:fldCharType="separate"/>
      </w:r>
      <w:r>
        <w:rPr>
          <w:rFonts w:hint="eastAsia" w:ascii="宋体" w:hAnsi="宋体"/>
          <w:szCs w:val="28"/>
        </w:rPr>
        <w:t>6</w:t>
      </w:r>
      <w:r>
        <w:rPr>
          <w:rFonts w:hint="eastAsia" w:ascii="宋体" w:hAnsi="宋体"/>
          <w:szCs w:val="28"/>
          <w:lang w:val="en-US" w:eastAsia="zh-CN"/>
        </w:rPr>
        <w:t>.3</w:t>
      </w:r>
      <w:r>
        <w:rPr>
          <w:rFonts w:hint="eastAsia" w:ascii="宋体" w:hAnsi="宋体"/>
          <w:szCs w:val="28"/>
        </w:rPr>
        <w:t>政府采购合同通用条款</w:t>
      </w:r>
      <w:r>
        <w:tab/>
      </w:r>
      <w:r>
        <w:fldChar w:fldCharType="begin"/>
      </w:r>
      <w:r>
        <w:instrText xml:space="preserve"> PAGEREF _Toc2260 </w:instrText>
      </w:r>
      <w:r>
        <w:fldChar w:fldCharType="separate"/>
      </w:r>
      <w:r>
        <w:t>- 42 -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_Toc21112 </w:instrText>
      </w:r>
      <w:r>
        <w:rPr>
          <w:rFonts w:ascii="宋体" w:hAnsi="宋体" w:cs="宋体"/>
          <w:szCs w:val="21"/>
        </w:rPr>
        <w:fldChar w:fldCharType="separate"/>
      </w:r>
      <w:r>
        <w:rPr>
          <w:rFonts w:hint="eastAsia"/>
          <w:kern w:val="0"/>
        </w:rPr>
        <w:t>7、验收</w:t>
      </w:r>
      <w:r>
        <w:tab/>
      </w:r>
      <w:r>
        <w:fldChar w:fldCharType="begin"/>
      </w:r>
      <w:r>
        <w:instrText xml:space="preserve"> PAGEREF _Toc21112 </w:instrText>
      </w:r>
      <w:r>
        <w:fldChar w:fldCharType="separate"/>
      </w:r>
      <w:r>
        <w:t>- 52 -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textAlignment w:val="auto"/>
      </w:pPr>
      <w:r>
        <w:rPr>
          <w:rFonts w:ascii="宋体" w:hAnsi="宋体" w:cs="宋体"/>
          <w:szCs w:val="21"/>
        </w:rPr>
        <w:fldChar w:fldCharType="begin"/>
      </w:r>
      <w:r>
        <w:rPr>
          <w:rFonts w:ascii="宋体" w:hAnsi="宋体" w:cs="宋体"/>
          <w:szCs w:val="21"/>
        </w:rPr>
        <w:instrText xml:space="preserve"> HYPERLINK \l _Toc27878 </w:instrText>
      </w:r>
      <w:r>
        <w:rPr>
          <w:rFonts w:ascii="宋体" w:hAnsi="宋体" w:cs="宋体"/>
          <w:szCs w:val="21"/>
        </w:rPr>
        <w:fldChar w:fldCharType="separate"/>
      </w:r>
      <w:r>
        <w:rPr>
          <w:rFonts w:hint="eastAsia"/>
          <w:kern w:val="0"/>
        </w:rPr>
        <w:t>8、附件</w:t>
      </w:r>
      <w:r>
        <w:tab/>
      </w:r>
      <w:r>
        <w:fldChar w:fldCharType="begin"/>
      </w:r>
      <w:r>
        <w:instrText xml:space="preserve"> PAGEREF _Toc27878 </w:instrText>
      </w:r>
      <w:r>
        <w:fldChar w:fldCharType="separate"/>
      </w:r>
      <w:r>
        <w:t>- 52 -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_Toc31398 </w:instrText>
      </w:r>
      <w:r>
        <w:rPr>
          <w:rFonts w:ascii="宋体" w:hAnsi="宋体" w:cs="宋体"/>
          <w:szCs w:val="21"/>
        </w:rPr>
        <w:fldChar w:fldCharType="separate"/>
      </w:r>
      <w:r>
        <w:rPr>
          <w:rFonts w:hint="eastAsia" w:ascii="宋体" w:hAnsi="宋体"/>
          <w:szCs w:val="21"/>
        </w:rPr>
        <w:t>投   标   函</w:t>
      </w:r>
      <w:r>
        <w:tab/>
      </w:r>
      <w:r>
        <w:fldChar w:fldCharType="begin"/>
      </w:r>
      <w:r>
        <w:instrText xml:space="preserve"> PAGEREF _Toc31398 </w:instrText>
      </w:r>
      <w:r>
        <w:fldChar w:fldCharType="separate"/>
      </w:r>
      <w:r>
        <w:t>- 53 -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_Toc26489 </w:instrText>
      </w:r>
      <w:r>
        <w:rPr>
          <w:rFonts w:ascii="宋体" w:hAnsi="宋体" w:cs="宋体"/>
          <w:szCs w:val="21"/>
        </w:rPr>
        <w:fldChar w:fldCharType="separate"/>
      </w:r>
      <w:r>
        <w:rPr>
          <w:rFonts w:hint="eastAsia"/>
          <w:szCs w:val="21"/>
        </w:rPr>
        <w:t>法人授权函</w:t>
      </w:r>
      <w:r>
        <w:tab/>
      </w:r>
      <w:r>
        <w:fldChar w:fldCharType="begin"/>
      </w:r>
      <w:r>
        <w:instrText xml:space="preserve"> PAGEREF _Toc26489 </w:instrText>
      </w:r>
      <w:r>
        <w:fldChar w:fldCharType="separate"/>
      </w:r>
      <w:r>
        <w:t>- 54 -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_Toc5944 </w:instrText>
      </w:r>
      <w:r>
        <w:rPr>
          <w:rFonts w:ascii="宋体" w:hAnsi="宋体" w:cs="宋体"/>
          <w:szCs w:val="21"/>
        </w:rPr>
        <w:fldChar w:fldCharType="separate"/>
      </w:r>
      <w:r>
        <w:rPr>
          <w:rFonts w:hint="eastAsia" w:ascii="宋体" w:hAnsi="宋体"/>
          <w:szCs w:val="21"/>
        </w:rPr>
        <w:t>投标报价表</w:t>
      </w:r>
      <w:r>
        <w:tab/>
      </w:r>
      <w:r>
        <w:fldChar w:fldCharType="begin"/>
      </w:r>
      <w:r>
        <w:instrText xml:space="preserve"> PAGEREF _Toc5944 </w:instrText>
      </w:r>
      <w:r>
        <w:fldChar w:fldCharType="separate"/>
      </w:r>
      <w:r>
        <w:t>- 55 -</w:t>
      </w:r>
      <w:r>
        <w:fldChar w:fldCharType="end"/>
      </w:r>
      <w:r>
        <w:rPr>
          <w:rFonts w:ascii="宋体" w:hAnsi="宋体" w:cs="宋体"/>
          <w:szCs w:val="21"/>
        </w:rPr>
        <w:fldChar w:fldCharType="end"/>
      </w:r>
    </w:p>
    <w:p>
      <w:pPr>
        <w:pStyle w:val="24"/>
        <w:pageBreakBefore w:val="0"/>
        <w:widowControl w:val="0"/>
        <w:tabs>
          <w:tab w:val="right" w:leader="dot" w:pos="9355"/>
          <w:tab w:val="clear" w:pos="9344"/>
        </w:tabs>
        <w:kinsoku/>
        <w:wordWrap/>
        <w:overflowPunct/>
        <w:topLinePunct w:val="0"/>
        <w:autoSpaceDE/>
        <w:autoSpaceDN/>
        <w:bidi w:val="0"/>
        <w:adjustRightInd/>
        <w:snapToGrid/>
        <w:spacing w:line="520" w:lineRule="exact"/>
        <w:ind w:firstLine="424" w:firstLineChars="200"/>
        <w:textAlignment w:val="auto"/>
      </w:pPr>
      <w:r>
        <w:rPr>
          <w:rFonts w:ascii="宋体" w:hAnsi="宋体" w:cs="宋体"/>
          <w:szCs w:val="21"/>
        </w:rPr>
        <w:fldChar w:fldCharType="begin"/>
      </w:r>
      <w:r>
        <w:rPr>
          <w:rFonts w:ascii="宋体" w:hAnsi="宋体" w:cs="宋体"/>
          <w:szCs w:val="21"/>
        </w:rPr>
        <w:instrText xml:space="preserve"> HYPERLINK \l _Toc15369 </w:instrText>
      </w:r>
      <w:r>
        <w:rPr>
          <w:rFonts w:ascii="宋体" w:hAnsi="宋体" w:cs="宋体"/>
          <w:szCs w:val="21"/>
        </w:rPr>
        <w:fldChar w:fldCharType="separate"/>
      </w:r>
      <w:r>
        <w:rPr>
          <w:rFonts w:hint="eastAsia"/>
        </w:rPr>
        <w:t>开标一览表</w:t>
      </w:r>
      <w:r>
        <w:tab/>
      </w:r>
      <w:r>
        <w:fldChar w:fldCharType="begin"/>
      </w:r>
      <w:r>
        <w:instrText xml:space="preserve"> PAGEREF _Toc15369 </w:instrText>
      </w:r>
      <w:r>
        <w:fldChar w:fldCharType="separate"/>
      </w:r>
      <w:r>
        <w:t>- 55 -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_Toc11610 </w:instrText>
      </w:r>
      <w:r>
        <w:rPr>
          <w:rFonts w:ascii="宋体" w:hAnsi="宋体" w:cs="宋体"/>
          <w:szCs w:val="21"/>
        </w:rPr>
        <w:fldChar w:fldCharType="separate"/>
      </w:r>
      <w:r>
        <w:rPr>
          <w:rFonts w:hint="eastAsia" w:ascii="宋体" w:hAnsi="宋体"/>
          <w:szCs w:val="21"/>
        </w:rPr>
        <w:t>项目组成人员表</w:t>
      </w:r>
      <w:r>
        <w:tab/>
      </w:r>
      <w:r>
        <w:fldChar w:fldCharType="begin"/>
      </w:r>
      <w:r>
        <w:instrText xml:space="preserve"> PAGEREF _Toc11610 </w:instrText>
      </w:r>
      <w:r>
        <w:fldChar w:fldCharType="separate"/>
      </w:r>
      <w:r>
        <w:t>- 57 -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_Toc20554 </w:instrText>
      </w:r>
      <w:r>
        <w:rPr>
          <w:rFonts w:ascii="宋体" w:hAnsi="宋体" w:cs="宋体"/>
          <w:szCs w:val="21"/>
        </w:rPr>
        <w:fldChar w:fldCharType="separate"/>
      </w:r>
      <w:r>
        <w:rPr>
          <w:rFonts w:hint="eastAsia" w:ascii="宋体" w:hAnsi="宋体"/>
          <w:szCs w:val="21"/>
        </w:rPr>
        <w:t>小微企业价格评审优惠申请及承诺函</w:t>
      </w:r>
      <w:r>
        <w:tab/>
      </w:r>
      <w:r>
        <w:fldChar w:fldCharType="begin"/>
      </w:r>
      <w:r>
        <w:instrText xml:space="preserve"> PAGEREF _Toc20554 </w:instrText>
      </w:r>
      <w:r>
        <w:fldChar w:fldCharType="separate"/>
      </w:r>
      <w:r>
        <w:t>- 58 -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_Toc22264 </w:instrText>
      </w:r>
      <w:r>
        <w:rPr>
          <w:rFonts w:ascii="宋体" w:hAnsi="宋体" w:cs="宋体"/>
          <w:szCs w:val="21"/>
        </w:rPr>
        <w:fldChar w:fldCharType="separate"/>
      </w:r>
      <w:r>
        <w:rPr>
          <w:rFonts w:hint="eastAsia" w:ascii="宋体" w:hAnsi="宋体"/>
          <w:szCs w:val="21"/>
        </w:rPr>
        <w:t>政府采购促进中小企业发展暂行办法</w:t>
      </w:r>
      <w:r>
        <w:tab/>
      </w:r>
      <w:r>
        <w:fldChar w:fldCharType="begin"/>
      </w:r>
      <w:r>
        <w:instrText xml:space="preserve"> PAGEREF _Toc22264 </w:instrText>
      </w:r>
      <w:r>
        <w:fldChar w:fldCharType="separate"/>
      </w:r>
      <w:r>
        <w:t>- 59 -</w:t>
      </w:r>
      <w:r>
        <w:fldChar w:fldCharType="end"/>
      </w:r>
      <w:r>
        <w:rPr>
          <w:rFonts w:ascii="宋体" w:hAnsi="宋体" w:cs="宋体"/>
          <w:szCs w:val="21"/>
        </w:rPr>
        <w:fldChar w:fldCharType="end"/>
      </w:r>
    </w:p>
    <w:p>
      <w:pPr>
        <w:pStyle w:val="26"/>
        <w:pageBreakBefore w:val="0"/>
        <w:widowControl w:val="0"/>
        <w:tabs>
          <w:tab w:val="right" w:leader="dot" w:pos="9355"/>
        </w:tabs>
        <w:kinsoku/>
        <w:wordWrap/>
        <w:overflowPunct/>
        <w:topLinePunct w:val="0"/>
        <w:autoSpaceDE/>
        <w:autoSpaceDN/>
        <w:bidi w:val="0"/>
        <w:adjustRightInd/>
        <w:snapToGrid/>
        <w:spacing w:line="520" w:lineRule="exact"/>
        <w:ind w:left="0" w:leftChars="0" w:firstLine="424" w:firstLineChars="200"/>
        <w:textAlignment w:val="auto"/>
      </w:pPr>
      <w:r>
        <w:rPr>
          <w:rFonts w:ascii="宋体" w:hAnsi="宋体" w:cs="宋体"/>
          <w:szCs w:val="21"/>
        </w:rPr>
        <w:fldChar w:fldCharType="begin"/>
      </w:r>
      <w:r>
        <w:rPr>
          <w:rFonts w:ascii="宋体" w:hAnsi="宋体" w:cs="宋体"/>
          <w:szCs w:val="21"/>
        </w:rPr>
        <w:instrText xml:space="preserve"> HYPERLINK \l _Toc22101 </w:instrText>
      </w:r>
      <w:r>
        <w:rPr>
          <w:rFonts w:ascii="宋体" w:hAnsi="宋体" w:cs="宋体"/>
          <w:szCs w:val="21"/>
        </w:rPr>
        <w:fldChar w:fldCharType="separate"/>
      </w:r>
      <w:r>
        <w:rPr>
          <w:rFonts w:hint="eastAsia" w:ascii="宋体" w:hAnsi="宋体"/>
          <w:szCs w:val="21"/>
        </w:rPr>
        <w:t>供应商信用承诺书</w:t>
      </w:r>
      <w:r>
        <w:tab/>
      </w:r>
      <w:r>
        <w:fldChar w:fldCharType="begin"/>
      </w:r>
      <w:r>
        <w:instrText xml:space="preserve"> PAGEREF _Toc22101 </w:instrText>
      </w:r>
      <w:r>
        <w:fldChar w:fldCharType="separate"/>
      </w:r>
      <w:r>
        <w:t>- 62 -</w:t>
      </w:r>
      <w:r>
        <w:fldChar w:fldCharType="end"/>
      </w:r>
      <w:r>
        <w:rPr>
          <w:rFonts w:ascii="宋体" w:hAnsi="宋体" w:cs="宋体"/>
          <w:szCs w:val="21"/>
        </w:rPr>
        <w:fldChar w:fldCharType="end"/>
      </w:r>
    </w:p>
    <w:p>
      <w:pPr>
        <w:pStyle w:val="4"/>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ascii="宋体" w:hAnsi="宋体" w:cs="宋体"/>
          <w:szCs w:val="21"/>
        </w:rPr>
      </w:pPr>
      <w:r>
        <w:rPr>
          <w:rFonts w:ascii="宋体" w:hAnsi="宋体" w:cs="宋体"/>
          <w:szCs w:val="21"/>
        </w:rPr>
        <w:fldChar w:fldCharType="end"/>
      </w:r>
      <w:bookmarkStart w:id="7" w:name="_Toc26802643"/>
      <w:bookmarkStart w:id="8" w:name="_Toc24831"/>
      <w:bookmarkStart w:id="9" w:name="_Toc25309"/>
    </w:p>
    <w:p>
      <w:pPr>
        <w:pStyle w:val="4"/>
        <w:pageBreakBefore w:val="0"/>
        <w:widowControl w:val="0"/>
        <w:kinsoku/>
        <w:wordWrap/>
        <w:overflowPunct/>
        <w:topLinePunct w:val="0"/>
        <w:autoSpaceDE/>
        <w:autoSpaceDN/>
        <w:bidi w:val="0"/>
        <w:adjustRightInd/>
        <w:snapToGrid/>
        <w:spacing w:before="0" w:after="0" w:line="520" w:lineRule="exact"/>
        <w:ind w:left="0" w:leftChars="0"/>
        <w:jc w:val="center"/>
        <w:textAlignment w:val="auto"/>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4"/>
        <w:pageBreakBefore w:val="0"/>
        <w:widowControl w:val="0"/>
        <w:kinsoku/>
        <w:wordWrap/>
        <w:overflowPunct/>
        <w:topLinePunct w:val="0"/>
        <w:autoSpaceDE/>
        <w:autoSpaceDN/>
        <w:bidi w:val="0"/>
        <w:adjustRightInd/>
        <w:snapToGrid/>
        <w:spacing w:before="0" w:after="0" w:line="520" w:lineRule="exact"/>
        <w:ind w:left="0" w:leftChars="0"/>
        <w:jc w:val="center"/>
        <w:textAlignment w:val="auto"/>
      </w:pPr>
      <w:r>
        <w:rPr>
          <w:rFonts w:hint="eastAsia"/>
          <w:kern w:val="0"/>
          <w:sz w:val="40"/>
        </w:rPr>
        <w:t xml:space="preserve">第一章   </w:t>
      </w:r>
      <w:bookmarkEnd w:id="7"/>
      <w:r>
        <w:rPr>
          <w:rFonts w:hint="eastAsia"/>
          <w:kern w:val="0"/>
          <w:sz w:val="40"/>
        </w:rPr>
        <w:t>竞争性谈判采购公告</w:t>
      </w:r>
      <w:bookmarkEnd w:id="8"/>
      <w:bookmarkEnd w:id="9"/>
      <w:bookmarkStart w:id="10" w:name="_Toc23886"/>
      <w:bookmarkStart w:id="11" w:name="_Toc10337"/>
      <w:bookmarkStart w:id="12" w:name="_Toc26802644"/>
    </w:p>
    <w:p/>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40" w:lineRule="exact"/>
        <w:ind w:left="0" w:leftChars="0" w:firstLine="564" w:firstLineChars="200"/>
        <w:textAlignment w:val="auto"/>
        <w:rPr>
          <w:rFonts w:ascii="仿宋" w:hAnsi="仿宋" w:eastAsia="仿宋"/>
          <w:sz w:val="28"/>
          <w:szCs w:val="28"/>
        </w:rPr>
      </w:pPr>
      <w:r>
        <w:rPr>
          <w:rFonts w:hint="eastAsia" w:ascii="仿宋" w:hAnsi="仿宋" w:eastAsia="仿宋"/>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val="0"/>
        <w:wordWrap/>
        <w:overflowPunct w:val="0"/>
        <w:topLinePunct w:val="0"/>
        <w:autoSpaceDE w:val="0"/>
        <w:autoSpaceDN w:val="0"/>
        <w:bidi w:val="0"/>
        <w:adjustRightInd/>
        <w:snapToGrid/>
        <w:spacing w:line="540" w:lineRule="exact"/>
        <w:ind w:left="0" w:leftChars="0" w:firstLine="608" w:firstLineChars="200"/>
        <w:textAlignment w:val="auto"/>
        <w:rPr>
          <w:rFonts w:ascii="仿宋" w:hAnsi="仿宋" w:eastAsia="仿宋"/>
          <w:spacing w:val="11"/>
          <w:sz w:val="28"/>
          <w:szCs w:val="28"/>
        </w:rPr>
      </w:pPr>
      <w:r>
        <w:rPr>
          <w:rFonts w:hint="eastAsia" w:ascii="仿宋" w:hAnsi="仿宋" w:eastAsia="仿宋"/>
          <w:spacing w:val="11"/>
          <w:sz w:val="28"/>
          <w:szCs w:val="28"/>
          <w:u w:val="single"/>
          <w:lang w:val="en-US" w:eastAsia="zh-CN"/>
        </w:rPr>
        <w:t>镇原县开边镇人民政府</w:t>
      </w:r>
      <w:r>
        <w:rPr>
          <w:rFonts w:hint="eastAsia" w:ascii="仿宋" w:hAnsi="仿宋" w:eastAsia="仿宋"/>
          <w:b w:val="0"/>
          <w:bCs w:val="0"/>
          <w:spacing w:val="11"/>
          <w:kern w:val="2"/>
          <w:sz w:val="28"/>
          <w:szCs w:val="28"/>
          <w:u w:val="single"/>
          <w:lang w:val="en-US" w:eastAsia="zh-CN" w:bidi="ar-SA"/>
        </w:rPr>
        <w:t>2021年农村户厕改造设施购置</w:t>
      </w:r>
      <w:r>
        <w:rPr>
          <w:rFonts w:hint="eastAsia" w:ascii="仿宋" w:hAnsi="仿宋" w:eastAsia="仿宋"/>
          <w:spacing w:val="11"/>
          <w:sz w:val="28"/>
          <w:szCs w:val="28"/>
          <w:u w:val="single"/>
        </w:rPr>
        <w:t>项目</w:t>
      </w:r>
      <w:r>
        <w:rPr>
          <w:rFonts w:hint="eastAsia" w:ascii="仿宋" w:hAnsi="仿宋" w:eastAsia="仿宋"/>
          <w:spacing w:val="11"/>
          <w:sz w:val="28"/>
          <w:szCs w:val="28"/>
        </w:rPr>
        <w:t>的潜在供应商应在</w:t>
      </w:r>
      <w:r>
        <w:rPr>
          <w:rFonts w:hint="eastAsia" w:ascii="仿宋" w:hAnsi="仿宋" w:eastAsia="仿宋"/>
          <w:spacing w:val="11"/>
          <w:sz w:val="28"/>
          <w:szCs w:val="28"/>
          <w:u w:val="single"/>
          <w:lang w:val="en-US" w:eastAsia="zh-CN"/>
        </w:rPr>
        <w:t>镇原县公共资源交易中心电子服务网</w:t>
      </w:r>
      <w:r>
        <w:rPr>
          <w:rFonts w:hint="eastAsia" w:ascii="仿宋" w:hAnsi="仿宋" w:eastAsia="仿宋"/>
          <w:spacing w:val="11"/>
          <w:sz w:val="28"/>
          <w:szCs w:val="28"/>
        </w:rPr>
        <w:t>（http://124.152.185.147:8082/Accounts/Login?ReturnUrl=%2f）免费获取招标文件</w:t>
      </w:r>
      <w:r>
        <w:rPr>
          <w:rFonts w:hint="eastAsia" w:ascii="仿宋" w:hAnsi="仿宋" w:eastAsia="仿宋"/>
          <w:spacing w:val="11"/>
          <w:sz w:val="28"/>
          <w:szCs w:val="28"/>
          <w:lang w:eastAsia="zh-CN"/>
        </w:rPr>
        <w:t>，</w:t>
      </w:r>
      <w:r>
        <w:rPr>
          <w:rFonts w:hint="eastAsia" w:ascii="仿宋" w:hAnsi="仿宋" w:eastAsia="仿宋"/>
          <w:spacing w:val="11"/>
          <w:sz w:val="28"/>
          <w:szCs w:val="28"/>
        </w:rPr>
        <w:t>并于</w:t>
      </w:r>
      <w:r>
        <w:rPr>
          <w:rFonts w:hint="eastAsia" w:ascii="仿宋" w:hAnsi="仿宋" w:eastAsia="仿宋"/>
          <w:spacing w:val="11"/>
          <w:sz w:val="28"/>
          <w:szCs w:val="28"/>
          <w:u w:val="single"/>
        </w:rPr>
        <w:t>202</w:t>
      </w:r>
      <w:r>
        <w:rPr>
          <w:rFonts w:hint="eastAsia" w:ascii="仿宋" w:hAnsi="仿宋" w:eastAsia="仿宋"/>
          <w:spacing w:val="11"/>
          <w:sz w:val="28"/>
          <w:szCs w:val="28"/>
          <w:u w:val="single"/>
          <w:lang w:val="en-US" w:eastAsia="zh-CN"/>
        </w:rPr>
        <w:t>1</w:t>
      </w:r>
      <w:r>
        <w:rPr>
          <w:rFonts w:hint="eastAsia" w:ascii="仿宋" w:hAnsi="仿宋" w:eastAsia="仿宋"/>
          <w:spacing w:val="11"/>
          <w:sz w:val="28"/>
          <w:szCs w:val="28"/>
          <w:u w:val="none"/>
        </w:rPr>
        <w:t>年</w:t>
      </w:r>
      <w:r>
        <w:rPr>
          <w:rFonts w:hint="eastAsia" w:ascii="仿宋" w:hAnsi="仿宋" w:eastAsia="仿宋"/>
          <w:spacing w:val="11"/>
          <w:sz w:val="28"/>
          <w:szCs w:val="28"/>
          <w:u w:val="single"/>
          <w:lang w:val="en-US" w:eastAsia="zh-CN"/>
        </w:rPr>
        <w:t xml:space="preserve"> </w:t>
      </w:r>
      <w:r>
        <w:rPr>
          <w:rFonts w:hint="eastAsia" w:ascii="仿宋" w:hAnsi="仿宋" w:eastAsia="仿宋"/>
          <w:spacing w:val="11"/>
          <w:sz w:val="28"/>
          <w:szCs w:val="28"/>
          <w:u w:val="none"/>
        </w:rPr>
        <w:t>月</w:t>
      </w:r>
      <w:r>
        <w:rPr>
          <w:rFonts w:hint="eastAsia" w:ascii="仿宋" w:hAnsi="仿宋" w:eastAsia="仿宋"/>
          <w:spacing w:val="11"/>
          <w:sz w:val="28"/>
          <w:szCs w:val="28"/>
          <w:u w:val="single"/>
          <w:lang w:val="en-US" w:eastAsia="zh-CN"/>
        </w:rPr>
        <w:t xml:space="preserve">  </w:t>
      </w:r>
      <w:r>
        <w:rPr>
          <w:rFonts w:hint="eastAsia" w:ascii="仿宋" w:hAnsi="仿宋" w:eastAsia="仿宋"/>
          <w:spacing w:val="11"/>
          <w:sz w:val="28"/>
          <w:szCs w:val="28"/>
          <w:u w:val="none"/>
        </w:rPr>
        <w:t>日</w:t>
      </w:r>
      <w:r>
        <w:rPr>
          <w:rFonts w:hint="eastAsia" w:ascii="仿宋" w:hAnsi="仿宋" w:eastAsia="仿宋"/>
          <w:spacing w:val="11"/>
          <w:sz w:val="28"/>
          <w:szCs w:val="28"/>
          <w:u w:val="single"/>
          <w:lang w:val="en-US" w:eastAsia="zh-CN"/>
        </w:rPr>
        <w:t xml:space="preserve">  </w:t>
      </w:r>
      <w:r>
        <w:rPr>
          <w:rFonts w:hint="eastAsia" w:ascii="仿宋" w:hAnsi="仿宋" w:eastAsia="仿宋"/>
          <w:spacing w:val="11"/>
          <w:sz w:val="28"/>
          <w:szCs w:val="28"/>
          <w:u w:val="none"/>
        </w:rPr>
        <w:t>点</w:t>
      </w:r>
      <w:r>
        <w:rPr>
          <w:rFonts w:hint="eastAsia" w:ascii="仿宋" w:hAnsi="仿宋" w:eastAsia="仿宋"/>
          <w:spacing w:val="11"/>
          <w:sz w:val="28"/>
          <w:szCs w:val="28"/>
          <w:u w:val="single"/>
          <w:lang w:val="en-US" w:eastAsia="zh-CN"/>
        </w:rPr>
        <w:t xml:space="preserve"> 0 </w:t>
      </w:r>
      <w:r>
        <w:rPr>
          <w:rFonts w:hint="eastAsia" w:ascii="仿宋" w:hAnsi="仿宋" w:eastAsia="仿宋"/>
          <w:spacing w:val="11"/>
          <w:sz w:val="28"/>
          <w:szCs w:val="28"/>
          <w:u w:val="none"/>
        </w:rPr>
        <w:t>分（</w:t>
      </w:r>
      <w:r>
        <w:rPr>
          <w:rFonts w:hint="eastAsia" w:ascii="仿宋" w:hAnsi="仿宋" w:eastAsia="仿宋"/>
          <w:spacing w:val="11"/>
          <w:sz w:val="28"/>
          <w:szCs w:val="28"/>
        </w:rPr>
        <w:t>北京时间）前递交</w:t>
      </w:r>
      <w:r>
        <w:rPr>
          <w:rFonts w:hint="eastAsia" w:ascii="仿宋" w:hAnsi="仿宋" w:eastAsia="仿宋"/>
          <w:bCs/>
          <w:spacing w:val="11"/>
          <w:sz w:val="28"/>
          <w:szCs w:val="28"/>
        </w:rPr>
        <w:t>响应</w:t>
      </w:r>
      <w:r>
        <w:rPr>
          <w:rFonts w:ascii="仿宋" w:hAnsi="仿宋" w:eastAsia="仿宋"/>
          <w:bCs/>
          <w:spacing w:val="11"/>
          <w:sz w:val="28"/>
          <w:szCs w:val="28"/>
        </w:rPr>
        <w:t>文件</w:t>
      </w:r>
      <w:r>
        <w:rPr>
          <w:rFonts w:hint="eastAsia" w:ascii="仿宋" w:hAnsi="仿宋" w:eastAsia="仿宋"/>
          <w:spacing w:val="11"/>
          <w:sz w:val="28"/>
          <w:szCs w:val="28"/>
        </w:rPr>
        <w:t>。</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rPr>
      </w:pPr>
      <w:r>
        <w:rPr>
          <w:rFonts w:hint="eastAsia" w:ascii="黑体" w:hAnsi="黑体" w:cs="宋体"/>
          <w:b w:val="0"/>
          <w:sz w:val="28"/>
          <w:szCs w:val="28"/>
          <w:lang w:val="en-US"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项目编号：ZYZC2021-0117</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default" w:ascii="仿宋" w:hAnsi="仿宋" w:eastAsia="仿宋"/>
          <w:b w:val="0"/>
          <w:bCs w:val="0"/>
          <w:kern w:val="2"/>
          <w:sz w:val="28"/>
          <w:szCs w:val="28"/>
          <w:lang w:val="en-US" w:eastAsia="zh-CN" w:bidi="ar-SA"/>
        </w:rPr>
      </w:pPr>
      <w:r>
        <w:rPr>
          <w:rFonts w:hint="eastAsia" w:ascii="仿宋" w:hAnsi="仿宋" w:eastAsia="仿宋"/>
          <w:b w:val="0"/>
          <w:bCs w:val="0"/>
          <w:kern w:val="2"/>
          <w:sz w:val="28"/>
          <w:szCs w:val="28"/>
          <w:lang w:val="en-US" w:eastAsia="zh-CN" w:bidi="ar-SA"/>
        </w:rPr>
        <w:t>项目名称：镇原县开边镇人民政府2021年农村户厕改造设施购置项目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b w:val="0"/>
          <w:bCs w:val="0"/>
          <w:kern w:val="2"/>
          <w:sz w:val="28"/>
          <w:szCs w:val="28"/>
          <w:lang w:val="en-US" w:eastAsia="zh-CN" w:bidi="ar-SA"/>
        </w:rPr>
      </w:pPr>
      <w:r>
        <w:rPr>
          <w:rFonts w:hint="eastAsia" w:ascii="仿宋" w:hAnsi="仿宋" w:eastAsia="仿宋"/>
          <w:b w:val="0"/>
          <w:bCs w:val="0"/>
          <w:kern w:val="2"/>
          <w:sz w:val="28"/>
          <w:szCs w:val="28"/>
          <w:lang w:val="en-US" w:eastAsia="zh-CN" w:bidi="ar-SA"/>
        </w:rPr>
        <w:t>预算金额：100(万元)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最高限价：无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采购需求：</w:t>
      </w:r>
      <w:r>
        <w:rPr>
          <w:rFonts w:hint="eastAsia" w:ascii="仿宋" w:hAnsi="仿宋" w:eastAsia="仿宋" w:cs="仿宋"/>
          <w:i w:val="0"/>
          <w:caps w:val="0"/>
          <w:color w:val="000000"/>
          <w:spacing w:val="0"/>
          <w:kern w:val="0"/>
          <w:sz w:val="28"/>
          <w:szCs w:val="28"/>
          <w:lang w:val="en-US" w:eastAsia="zh-CN" w:bidi="ar"/>
        </w:rPr>
        <w:t>拟对镇原县开边镇2021年500户户厕进行改造，改造设施主要材料包括：1.5m</w:t>
      </w:r>
      <w:r>
        <w:rPr>
          <w:rFonts w:hint="eastAsia" w:ascii="仿宋" w:hAnsi="仿宋" w:eastAsia="仿宋" w:cs="仿宋"/>
          <w:i w:val="0"/>
          <w:caps w:val="0"/>
          <w:color w:val="000000"/>
          <w:spacing w:val="0"/>
          <w:kern w:val="0"/>
          <w:sz w:val="28"/>
          <w:szCs w:val="28"/>
          <w:vertAlign w:val="superscript"/>
          <w:lang w:val="en-US" w:eastAsia="zh-CN" w:bidi="ar"/>
        </w:rPr>
        <w:t>3</w:t>
      </w:r>
      <w:r>
        <w:rPr>
          <w:rFonts w:hint="eastAsia" w:ascii="仿宋" w:hAnsi="仿宋" w:eastAsia="仿宋" w:cs="仿宋"/>
          <w:i w:val="0"/>
          <w:caps w:val="0"/>
          <w:color w:val="000000"/>
          <w:spacing w:val="0"/>
          <w:kern w:val="0"/>
          <w:sz w:val="28"/>
          <w:szCs w:val="28"/>
          <w:lang w:val="en-US" w:eastAsia="zh-CN" w:bidi="ar"/>
        </w:rPr>
        <w:t>一体式三格化粪池、坐便器、管材、井盖等</w:t>
      </w:r>
      <w:r>
        <w:rPr>
          <w:rFonts w:hint="eastAsia" w:ascii="仿宋" w:hAnsi="仿宋" w:eastAsia="仿宋"/>
          <w:sz w:val="32"/>
          <w:szCs w:val="32"/>
          <w:lang w:val="en-US" w:eastAsia="zh-CN"/>
        </w:rPr>
        <w:t>。</w:t>
      </w:r>
      <w:r>
        <w:rPr>
          <w:rFonts w:hint="eastAsia" w:ascii="仿宋" w:hAnsi="仿宋" w:eastAsia="仿宋" w:cs="仿宋"/>
          <w:i w:val="0"/>
          <w:caps w:val="0"/>
          <w:color w:val="000000"/>
          <w:spacing w:val="0"/>
          <w:kern w:val="0"/>
          <w:sz w:val="28"/>
          <w:szCs w:val="28"/>
          <w:lang w:val="en-US" w:eastAsia="zh-CN" w:bidi="ar"/>
        </w:rPr>
        <w:t>（具体参数需求详见谈判文件）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合同履行期限：按甲乙双方约定时限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本项目（是/否）接受联合体投标：否</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 xml:space="preserve">二、申请人的资格要求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default" w:ascii="仿宋" w:hAnsi="仿宋" w:eastAsia="仿宋" w:cs="Times New Roman"/>
          <w:sz w:val="28"/>
          <w:szCs w:val="28"/>
          <w:lang w:val="en-US" w:eastAsia="zh-CN"/>
        </w:rPr>
      </w:pPr>
      <w:r>
        <w:rPr>
          <w:rFonts w:hint="default" w:ascii="仿宋" w:hAnsi="仿宋" w:eastAsia="仿宋" w:cs="Times New Roman"/>
          <w:b w:val="0"/>
          <w:bCs w:val="0"/>
          <w:kern w:val="2"/>
          <w:sz w:val="28"/>
          <w:szCs w:val="28"/>
          <w:lang w:val="en-US" w:eastAsia="zh-CN" w:bidi="ar-SA"/>
        </w:rPr>
        <w:t>1.符合《政府采购法》第二十二条要求及《政府采购法实施条例》第十</w:t>
      </w:r>
      <w:r>
        <w:rPr>
          <w:rFonts w:hint="default" w:ascii="仿宋" w:hAnsi="仿宋" w:eastAsia="仿宋" w:cs="Times New Roman"/>
          <w:sz w:val="28"/>
          <w:szCs w:val="28"/>
          <w:lang w:val="en-US" w:eastAsia="zh-CN"/>
        </w:rPr>
        <w:t>七条之规定：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r>
        <w:rPr>
          <w:rFonts w:hint="eastAsia" w:ascii="仿宋" w:hAnsi="仿宋" w:eastAsia="仿宋" w:cs="Times New Roman"/>
          <w:kern w:val="2"/>
          <w:sz w:val="28"/>
          <w:szCs w:val="28"/>
          <w:lang w:val="en-US" w:eastAsia="zh-CN" w:bidi="ar-SA"/>
        </w:rPr>
        <w:t>投标企业必须提供经年检合格的与本项目相关的营业执照、税务登记证（国税、地税）、组织机构代码证（三证合一的企业只需提供统一代码的营业执照原件）及银行开户许可证原件或银行基本户证明，以上证件须提供原件或含有二维码标识的加盖企业公章的复印件，扫描二维码核实真伪，若扫描的二维码与复印件相一致则该复印件视同于原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（2）投标人需提供法定代表人身份证复印件、被授权人身份证原件及法人授权书原件；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投标人需提供2020年度财务审计报告原件（成立不足一年的企业须提供相关证明材料），须提供近六个月（2021年1月至2021年6月）税收缴纳证明材料（完税证明或缴纳凭证,无需纳税的应提供相关证明材料，如完税说明或零申报记录）；须提供近六个月（2021年1月至2021年6月）缴纳社保证明材料（包括税收完税证明和缴费明细。供应商注册时间不满6个月的，应当提供注册时至参加政府采购活动时相应期限内本单位缴纳社会保障资金的清单。依法不需要缴纳社会保障资金的供应商，应当提供相应文件证明）；</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投标人必须提供《庆阳市政府采购供应商诚信承诺书》原件，否则视同自愿放弃投标(注：诚信承诺书由供应商法人代表签字），否则视为无效投标；供应商未承诺的，视同自愿放弃投标（响应）资格；未履行或未全面履行承诺的，依法依规处罚，并记入不良行为记录名单；对本承诺书的承诺内容作出任何改动的将被视为无效投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投标企业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（6）本项目实行资格后审，不接受联合体招标；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1）根据财库【2020】46号文件规定，对于非专门面向中小型企业的采购项目，对小型和微型企业产品的价格给予10%的扣除。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（2）根据财政部发布的《关于政府采购支持监狱企业发展有关问题的通</w:t>
      </w:r>
      <w:r>
        <w:rPr>
          <w:rFonts w:hint="eastAsia" w:ascii="仿宋" w:hAnsi="仿宋" w:eastAsia="仿宋"/>
          <w:kern w:val="2"/>
          <w:sz w:val="28"/>
          <w:szCs w:val="28"/>
          <w:lang w:val="en-US" w:eastAsia="zh-CN" w:bidi="ar-SA"/>
        </w:rPr>
        <w:t>知》规定，本项目对监狱企业产品的价格给予10%的扣除。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kern w:val="2"/>
          <w:sz w:val="28"/>
          <w:szCs w:val="28"/>
          <w:lang w:val="en-US" w:eastAsia="zh-CN" w:bidi="ar-SA"/>
        </w:rPr>
      </w:pPr>
      <w:r>
        <w:rPr>
          <w:rFonts w:hint="eastAsia" w:ascii="仿宋" w:hAnsi="仿宋" w:eastAsia="仿宋"/>
          <w:kern w:val="2"/>
          <w:sz w:val="28"/>
          <w:szCs w:val="28"/>
          <w:lang w:val="en-US" w:eastAsia="zh-CN" w:bidi="ar-SA"/>
        </w:rPr>
        <w:t>（3）根据财政部、民政部、中国残疾人联合会发布的《关于促进残疾人就业政府采购政策的通知》规定，本项目对残疾人福利性单位产品的价格给予10%的扣除，需提供采集人缴纳社保证明及残疾人就业花名。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default" w:ascii="仿宋" w:hAnsi="仿宋" w:eastAsia="仿宋"/>
          <w:kern w:val="2"/>
          <w:sz w:val="28"/>
          <w:szCs w:val="28"/>
          <w:lang w:val="en-US" w:eastAsia="zh-CN" w:bidi="ar-SA"/>
        </w:rPr>
      </w:pPr>
      <w:r>
        <w:rPr>
          <w:rFonts w:hint="default" w:ascii="仿宋" w:hAnsi="仿宋" w:eastAsia="仿宋"/>
          <w:kern w:val="2"/>
          <w:sz w:val="28"/>
          <w:szCs w:val="28"/>
          <w:lang w:val="en-US" w:eastAsia="zh-CN" w:bidi="ar-SA"/>
        </w:rPr>
        <w:t>3.本项目的特定资格要求：</w:t>
      </w:r>
      <w:r>
        <w:rPr>
          <w:rFonts w:hint="eastAsia" w:ascii="仿宋" w:hAnsi="仿宋" w:eastAsia="仿宋"/>
          <w:kern w:val="2"/>
          <w:sz w:val="28"/>
          <w:szCs w:val="28"/>
          <w:lang w:val="en-US" w:eastAsia="zh-CN" w:bidi="ar-SA"/>
        </w:rPr>
        <w:t>无。</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 xml:space="preserve">三、获取采购文件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招标文件获取时间：2021年 月 日至2021年 月 日，每天上午00:00至12:00，下午12:00至23:59（北京时间，法定节假日除外）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招标文件获取地点：镇原县公共资源交易中心电子服务网站</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招标文件获取方式：符合条件的申请人请自行登录镇原县公共资源交易电子服务系统网（http://124.152.185.147:8082/Accounts/Login?ReturnUrl=%2f）“投标单位”模块自行下载。</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首次在镇原县公共资源交易中心参与投标的企业，请自行登录镇原县公共源交易电子服务系统网（http://124.152.185.147:8082/Accounts/Login?ReturnUrl=%2f）“投标单位”模块，自动跳转至甘肃省公共资源交易主体共享平台进行注册，完善相关信息并通过认证后，上传相关资料获取招标文件。已注册成功的投标企业请登录镇原县公共源交易电子服务系统网（http://124.152.185.147:8082/Accounts/Login?ReturnUrl=%2f）“投标单位”模块自行上传相关资料后获取招标文件。注册咨询：0931-4267890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招标文件获取售价：0元</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四、提交投标文件截止时间、开标时间和地点</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截止时间：2021年  月  日  点0分（北京时间）</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地点：镇原县公共资源交易中心第   招标大厅</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五、公告期限</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自本公告发布之日起3个工作日。</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六、其他补充事宜</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投标保证金</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1、保证金金额：壹万贰仟元整（￥12000.00元）</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2、投标保证金缴纳方式（供应商自行选取一种）:</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(1)电汇或银行转账；</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(2)银行保函或银行电子保函；</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(3)投标保函保证保险；</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(4)投标担保；</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3、投标保证金证明材料提交方式及收退</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(1)将电汇或银行转账单、银行保函、投标保证金保险凭证、担保保函等凭证复印件(加盖供应商单位印章)作为投标文件的组成部分。</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(2)供应商以电汇或银行转账方式提交投标保证金的，由交易平台代收代退，要求如下:</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①供应商获取招标文件成功后，交易系统将投标保证金账号信息发送至投标登记时预留手机;也可登录庆阳市公共资源交易网自行查询。</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②供应商必须从基本账户转出且交纳账户名称与供应商投标时使用的名称一致，不得以分公司、办事处或其他机构名义缴纳。</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③投标保证金转止时间：2021年   月   日   时    分（以系统到账时间为准）。</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供应商以银行保函或银行电子保函、投标保函保证保险、投标担保形式提交投标保证金的，由采购人收取核验并按要求退还。供应商对其提供保函、电子保函的真实性、有效性负责，且凭证必须具备以下信息:可作为查询依据的凭证编号、供应商名称、标（包）名称、保证金额(大写、小写)、担保机构印章或电子印章、 担保机构违约受理联系方式；投标保函有效期与投标有效期一致。</w:t>
      </w:r>
    </w:p>
    <w:p>
      <w:pPr>
        <w:pStyle w:val="5"/>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黑体" w:hAnsi="黑体" w:cs="宋体"/>
          <w:b w:val="0"/>
          <w:sz w:val="28"/>
          <w:szCs w:val="28"/>
          <w:lang w:val="en-US" w:eastAsia="zh-CN"/>
        </w:rPr>
      </w:pPr>
      <w:r>
        <w:rPr>
          <w:rFonts w:hint="eastAsia" w:ascii="黑体" w:hAnsi="黑体" w:cs="宋体"/>
          <w:b w:val="0"/>
          <w:sz w:val="28"/>
          <w:szCs w:val="28"/>
          <w:lang w:val="en-US" w:eastAsia="zh-CN"/>
        </w:rPr>
        <w:t>七、对本次招标提出询问，请按以下方式联系。</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1.采购人信息</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名    称：镇原县开边镇人民政府</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地    址：镇原县开边街道</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联系方式：18294080815</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2.采购代理机构信息</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名    称：镇原县公共资源交易中心</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地　  址：镇原县林水大厦四楼</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联系方式：0934-6466551</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3.项目联系方式</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项目联系人：席涛涛</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电　    话：18294080815</w:t>
      </w: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64" w:firstLineChars="200"/>
        <w:textAlignment w:val="auto"/>
        <w:rPr>
          <w:rFonts w:hint="default" w:ascii="仿宋" w:hAnsi="仿宋" w:eastAsia="仿宋"/>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6768" w:firstLineChars="2400"/>
        <w:textAlignment w:val="auto"/>
        <w:rPr>
          <w:rFonts w:hint="eastAsia" w:ascii="仿宋" w:hAnsi="仿宋" w:eastAsia="仿宋"/>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40" w:lineRule="exact"/>
        <w:ind w:left="0" w:leftChars="0" w:firstLine="5922" w:firstLineChars="2100"/>
        <w:textAlignment w:val="auto"/>
        <w:rPr>
          <w:rFonts w:hint="eastAsia" w:ascii="仿宋" w:hAnsi="仿宋" w:eastAsia="仿宋" w:cs="Arial"/>
          <w:color w:val="333333"/>
          <w:kern w:val="0"/>
          <w:sz w:val="32"/>
          <w:szCs w:val="32"/>
        </w:rPr>
      </w:pPr>
      <w:r>
        <w:rPr>
          <w:rFonts w:hint="eastAsia" w:ascii="仿宋" w:hAnsi="仿宋" w:eastAsia="仿宋"/>
          <w:sz w:val="28"/>
          <w:szCs w:val="28"/>
          <w:lang w:val="en-US" w:eastAsia="zh-CN"/>
        </w:rPr>
        <w:t>2021年7月27日</w:t>
      </w:r>
    </w:p>
    <w:p>
      <w:pPr>
        <w:pStyle w:val="28"/>
        <w:ind w:left="0" w:leftChars="0" w:firstLine="0" w:firstLineChars="0"/>
        <w:rPr>
          <w:rFonts w:hint="eastAsia" w:ascii="仿宋" w:hAnsi="仿宋" w:eastAsia="仿宋"/>
          <w:sz w:val="28"/>
          <w:szCs w:val="28"/>
          <w:lang w:val="en-US" w:eastAsia="zh-CN"/>
        </w:rPr>
      </w:pPr>
    </w:p>
    <w:p>
      <w:pPr>
        <w:pStyle w:val="4"/>
        <w:spacing w:before="0" w:after="0"/>
        <w:jc w:val="both"/>
        <w:rPr>
          <w:rFonts w:hint="eastAsia"/>
          <w:kern w:val="0"/>
          <w:sz w:val="40"/>
        </w:rPr>
      </w:pPr>
    </w:p>
    <w:p>
      <w:pPr>
        <w:pStyle w:val="4"/>
        <w:spacing w:before="0" w:after="0"/>
        <w:jc w:val="both"/>
        <w:rPr>
          <w:rFonts w:hint="eastAsia"/>
          <w:kern w:val="0"/>
          <w:sz w:val="40"/>
        </w:rPr>
      </w:pPr>
    </w:p>
    <w:p>
      <w:pPr>
        <w:pStyle w:val="4"/>
        <w:spacing w:before="0" w:after="0"/>
        <w:jc w:val="both"/>
        <w:rPr>
          <w:rFonts w:hint="eastAsia"/>
          <w:kern w:val="0"/>
          <w:sz w:val="40"/>
        </w:rPr>
      </w:pPr>
    </w:p>
    <w:p>
      <w:pPr>
        <w:pStyle w:val="4"/>
        <w:spacing w:before="0" w:after="0"/>
        <w:jc w:val="both"/>
        <w:rPr>
          <w:rFonts w:hint="eastAsia"/>
          <w:kern w:val="0"/>
          <w:sz w:val="40"/>
        </w:rPr>
      </w:pPr>
    </w:p>
    <w:p>
      <w:pPr>
        <w:rPr>
          <w:rFonts w:hint="eastAsia"/>
          <w:kern w:val="0"/>
          <w:sz w:val="40"/>
        </w:rPr>
      </w:pPr>
    </w:p>
    <w:p>
      <w:pPr>
        <w:pStyle w:val="2"/>
        <w:rPr>
          <w:rFonts w:hint="eastAsia"/>
        </w:rPr>
      </w:pPr>
    </w:p>
    <w:p>
      <w:pPr>
        <w:pStyle w:val="28"/>
        <w:rPr>
          <w:rFonts w:hint="eastAsia"/>
        </w:rPr>
      </w:pPr>
    </w:p>
    <w:p>
      <w:pPr>
        <w:pStyle w:val="4"/>
        <w:spacing w:before="0" w:after="0"/>
        <w:jc w:val="center"/>
        <w:rPr>
          <w:rFonts w:hint="eastAsia" w:ascii="宋体" w:hAnsi="宋体"/>
          <w:sz w:val="28"/>
          <w:szCs w:val="28"/>
        </w:rPr>
      </w:pPr>
      <w:r>
        <w:rPr>
          <w:rFonts w:hint="eastAsia"/>
          <w:kern w:val="0"/>
          <w:sz w:val="40"/>
        </w:rPr>
        <w:t>第二章   投标邀请函</w:t>
      </w:r>
      <w:bookmarkEnd w:id="10"/>
      <w:bookmarkEnd w:id="11"/>
    </w:p>
    <w:p>
      <w:pPr>
        <w:spacing w:line="560" w:lineRule="exact"/>
        <w:jc w:val="left"/>
        <w:rPr>
          <w:rFonts w:hint="eastAsia" w:ascii="仿宋" w:hAnsi="仿宋" w:eastAsia="仿宋" w:cs="仿宋"/>
          <w:bCs/>
          <w:sz w:val="28"/>
          <w:szCs w:val="28"/>
        </w:rPr>
      </w:pPr>
      <w:r>
        <w:rPr>
          <w:rFonts w:hint="eastAsia" w:ascii="仿宋" w:hAnsi="仿宋" w:eastAsia="仿宋" w:cs="仿宋"/>
          <w:bCs/>
          <w:sz w:val="28"/>
          <w:szCs w:val="28"/>
        </w:rPr>
        <w:t>各位供应商：</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感谢参与本项目的竞争性谈判采购活动，我中心根据《政府采购法》的有关规定，对本项目进行竞争性谈判采购，欢迎依法在中华人民共和国境内注册及经营，财务独立，运作合法，遵守国家有关法律、法规，具有相应资格，有能力提供货物及服务，并能提供及时完善后期服务保障的投标人前来投标。</w:t>
      </w:r>
    </w:p>
    <w:p>
      <w:pPr>
        <w:numPr>
          <w:ilvl w:val="0"/>
          <w:numId w:val="2"/>
        </w:numPr>
        <w:spacing w:line="560" w:lineRule="exact"/>
        <w:ind w:firstLine="564" w:firstLineChars="200"/>
        <w:rPr>
          <w:rFonts w:hint="eastAsia" w:ascii="仿宋" w:hAnsi="仿宋" w:eastAsia="仿宋"/>
          <w:sz w:val="28"/>
          <w:szCs w:val="28"/>
          <w:lang w:val="en-US" w:eastAsia="zh-CN"/>
        </w:rPr>
      </w:pPr>
      <w:r>
        <w:rPr>
          <w:rFonts w:hint="eastAsia" w:ascii="仿宋" w:hAnsi="仿宋" w:eastAsia="仿宋" w:cs="仿宋"/>
          <w:bCs/>
          <w:sz w:val="28"/>
          <w:szCs w:val="28"/>
        </w:rPr>
        <w:t>竞争性谈判编号：</w:t>
      </w:r>
      <w:r>
        <w:rPr>
          <w:rFonts w:hint="eastAsia" w:ascii="仿宋" w:hAnsi="仿宋" w:eastAsia="仿宋" w:cs="仿宋"/>
          <w:bCs/>
          <w:sz w:val="28"/>
          <w:szCs w:val="28"/>
          <w:lang w:val="en-US" w:eastAsia="zh-CN"/>
        </w:rPr>
        <w:t>ZYZC2021-0117</w:t>
      </w:r>
    </w:p>
    <w:p>
      <w:pPr>
        <w:numPr>
          <w:ilvl w:val="0"/>
          <w:numId w:val="2"/>
        </w:numPr>
        <w:spacing w:line="560" w:lineRule="exact"/>
        <w:ind w:firstLine="564" w:firstLineChars="200"/>
        <w:rPr>
          <w:rFonts w:hint="eastAsia" w:ascii="仿宋" w:hAnsi="仿宋" w:eastAsia="仿宋"/>
          <w:sz w:val="28"/>
          <w:szCs w:val="28"/>
          <w:lang w:val="en-US" w:eastAsia="zh-CN"/>
        </w:rPr>
      </w:pPr>
      <w:r>
        <w:rPr>
          <w:rFonts w:hint="eastAsia" w:ascii="仿宋" w:hAnsi="仿宋" w:eastAsia="仿宋" w:cs="仿宋"/>
          <w:bCs/>
          <w:sz w:val="28"/>
          <w:szCs w:val="28"/>
        </w:rPr>
        <w:t>竞争性谈判内容</w:t>
      </w:r>
      <w:r>
        <w:rPr>
          <w:rFonts w:hint="eastAsia" w:ascii="仿宋" w:hAnsi="仿宋" w:eastAsia="仿宋" w:cs="Times New Roman"/>
          <w:sz w:val="28"/>
          <w:szCs w:val="28"/>
          <w:lang w:val="en-US" w:eastAsia="zh-CN"/>
        </w:rPr>
        <w:t>：</w:t>
      </w:r>
      <w:r>
        <w:rPr>
          <w:rFonts w:hint="eastAsia" w:ascii="仿宋" w:hAnsi="仿宋" w:eastAsia="仿宋" w:cs="仿宋"/>
          <w:i w:val="0"/>
          <w:caps w:val="0"/>
          <w:color w:val="000000"/>
          <w:spacing w:val="0"/>
          <w:kern w:val="0"/>
          <w:sz w:val="28"/>
          <w:szCs w:val="28"/>
          <w:lang w:val="en-US" w:eastAsia="zh-CN" w:bidi="ar"/>
        </w:rPr>
        <w:t>详见公告</w:t>
      </w:r>
      <w:r>
        <w:rPr>
          <w:rFonts w:hint="eastAsia" w:ascii="仿宋" w:hAnsi="仿宋" w:eastAsia="仿宋"/>
          <w:sz w:val="28"/>
          <w:szCs w:val="28"/>
          <w:lang w:val="en-US" w:eastAsia="zh-CN"/>
        </w:rPr>
        <w:t>。</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三、投标人按</w:t>
      </w:r>
      <w:r>
        <w:rPr>
          <w:rFonts w:hint="eastAsia" w:ascii="仿宋" w:hAnsi="仿宋" w:eastAsia="仿宋" w:cs="仿宋"/>
          <w:bCs/>
          <w:sz w:val="28"/>
          <w:szCs w:val="28"/>
          <w:lang w:val="en-US" w:eastAsia="zh-CN"/>
        </w:rPr>
        <w:t>谈判</w:t>
      </w:r>
      <w:r>
        <w:rPr>
          <w:rFonts w:hint="eastAsia" w:ascii="仿宋" w:hAnsi="仿宋" w:eastAsia="仿宋" w:cs="仿宋"/>
          <w:bCs/>
          <w:sz w:val="28"/>
          <w:szCs w:val="28"/>
        </w:rPr>
        <w:t>公告</w:t>
      </w:r>
      <w:r>
        <w:rPr>
          <w:rFonts w:hint="eastAsia" w:ascii="仿宋" w:hAnsi="仿宋" w:eastAsia="仿宋" w:cs="仿宋"/>
          <w:bCs/>
          <w:sz w:val="28"/>
          <w:szCs w:val="28"/>
          <w:lang w:val="en-US" w:eastAsia="zh-CN"/>
        </w:rPr>
        <w:t>规定</w:t>
      </w:r>
      <w:r>
        <w:rPr>
          <w:rFonts w:hint="eastAsia" w:ascii="仿宋" w:hAnsi="仿宋" w:eastAsia="仿宋" w:cs="仿宋"/>
          <w:bCs/>
          <w:sz w:val="28"/>
          <w:szCs w:val="28"/>
        </w:rPr>
        <w:t>获取谈判文件、缴纳竞争性谈判保证金账号，及时缴纳后查询保证金到账情况，在竞争性谈判文件递交截止时间前应主动登录甘肃政府采购网以便及时了解相关竞争性谈判信息和补充信息。如因未主动登录网站而未获取相关信息，对其产生的不利因素由投标人自行承担。</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四、竞争性谈判文件应在竞争性谈判公告规定的递交截止时间之前送达。采购人将拒绝接受在竞争性谈判文件递交截止时间后递交的竞争性谈判文件。</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五、按照竞争性谈判公告规定的时间、地点准时召开竞争性谈判会议，届时将邀请有关部门人员和投标人法定代表人或委托代理人出席仪式。</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镇原县公共资源交易中心 </w:t>
      </w:r>
    </w:p>
    <w:p>
      <w:pPr>
        <w:spacing w:line="560" w:lineRule="exact"/>
        <w:ind w:firstLine="564" w:firstLineChars="200"/>
        <w:rPr>
          <w:rFonts w:hint="eastAsia" w:ascii="仿宋" w:hAnsi="仿宋" w:eastAsia="仿宋" w:cs="仿宋"/>
          <w:bCs/>
          <w:sz w:val="28"/>
          <w:szCs w:val="28"/>
        </w:rPr>
      </w:pPr>
    </w:p>
    <w:p>
      <w:pPr>
        <w:spacing w:line="560" w:lineRule="exact"/>
        <w:ind w:firstLine="564" w:firstLineChars="200"/>
        <w:rPr>
          <w:rFonts w:hint="eastAsia" w:ascii="仿宋" w:hAnsi="仿宋" w:eastAsia="仿宋" w:cs="仿宋"/>
          <w:bCs/>
          <w:sz w:val="28"/>
          <w:szCs w:val="28"/>
        </w:rPr>
      </w:pPr>
      <w:r>
        <w:rPr>
          <w:rFonts w:hint="eastAsia" w:ascii="仿宋" w:hAnsi="仿宋" w:eastAsia="仿宋" w:cs="仿宋"/>
          <w:bCs/>
          <w:sz w:val="28"/>
          <w:szCs w:val="28"/>
        </w:rPr>
        <w:t xml:space="preserve"> </w:t>
      </w:r>
    </w:p>
    <w:p>
      <w:pPr>
        <w:pStyle w:val="4"/>
        <w:spacing w:before="0" w:after="0"/>
        <w:jc w:val="center"/>
        <w:rPr>
          <w:rFonts w:hint="eastAsia"/>
          <w:kern w:val="0"/>
          <w:sz w:val="40"/>
        </w:rPr>
      </w:pPr>
      <w:bookmarkStart w:id="13" w:name="_Toc22486"/>
      <w:bookmarkStart w:id="14" w:name="_Toc22142"/>
      <w:r>
        <w:rPr>
          <w:rFonts w:hint="eastAsia"/>
          <w:kern w:val="0"/>
          <w:sz w:val="40"/>
        </w:rPr>
        <w:t xml:space="preserve">第三章  </w:t>
      </w:r>
      <w:bookmarkEnd w:id="12"/>
      <w:bookmarkStart w:id="15" w:name="_Toc26802650"/>
      <w:r>
        <w:rPr>
          <w:rFonts w:hint="eastAsia"/>
          <w:kern w:val="0"/>
          <w:sz w:val="40"/>
        </w:rPr>
        <w:t>投标须知前附表</w:t>
      </w:r>
      <w:bookmarkEnd w:id="13"/>
      <w:bookmarkEnd w:id="14"/>
    </w:p>
    <w:tbl>
      <w:tblPr>
        <w:tblStyle w:val="29"/>
        <w:tblW w:w="4999"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8800"/>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double" w:color="auto" w:sz="6"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4597" w:type="pct"/>
            <w:tcBorders>
              <w:top w:val="double" w:color="auto" w:sz="6"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jc w:val="center"/>
              <w:textAlignment w:val="auto"/>
              <w:rPr>
                <w:rFonts w:hint="eastAsia" w:ascii="仿宋" w:hAnsi="仿宋" w:eastAsia="仿宋" w:cs="仿宋"/>
                <w:bCs/>
                <w:sz w:val="28"/>
                <w:szCs w:val="28"/>
              </w:rPr>
            </w:pPr>
            <w:r>
              <w:rPr>
                <w:rFonts w:hint="eastAsia" w:ascii="仿宋" w:hAnsi="仿宋" w:eastAsia="仿宋" w:cs="仿宋"/>
                <w:bCs/>
                <w:sz w:val="28"/>
                <w:szCs w:val="28"/>
              </w:rPr>
              <w:t>内   容   规   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项目名称：</w:t>
            </w:r>
            <w:r>
              <w:rPr>
                <w:rFonts w:hint="eastAsia" w:ascii="仿宋" w:hAnsi="仿宋" w:eastAsia="仿宋" w:cs="仿宋"/>
                <w:bCs/>
                <w:sz w:val="28"/>
                <w:szCs w:val="28"/>
                <w:lang w:eastAsia="zh-CN"/>
              </w:rPr>
              <w:t>镇原县开边镇人民政府2021年农村户厕改造设施购置项目</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项目编号：</w:t>
            </w:r>
            <w:r>
              <w:rPr>
                <w:rFonts w:hint="eastAsia" w:ascii="仿宋" w:hAnsi="仿宋" w:eastAsia="仿宋" w:cs="仿宋"/>
                <w:bCs/>
                <w:sz w:val="28"/>
                <w:szCs w:val="28"/>
                <w:lang w:val="en-US" w:eastAsia="zh-CN"/>
              </w:rPr>
              <w:t>见公告</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招标内容：</w:t>
            </w:r>
            <w:r>
              <w:rPr>
                <w:rFonts w:hint="eastAsia" w:ascii="仿宋" w:hAnsi="仿宋" w:eastAsia="仿宋" w:cs="仿宋"/>
                <w:bCs/>
                <w:sz w:val="28"/>
                <w:szCs w:val="28"/>
                <w:lang w:val="en-US" w:eastAsia="zh-CN"/>
              </w:rPr>
              <w:t>见公告</w:t>
            </w:r>
            <w:r>
              <w:rPr>
                <w:rFonts w:hint="eastAsia" w:ascii="仿宋" w:hAnsi="仿宋" w:eastAsia="仿宋" w:cs="仿宋"/>
                <w:bCs/>
                <w:sz w:val="28"/>
                <w:szCs w:val="28"/>
              </w:rPr>
              <w:t>（具体内容详见招标文件采购需求）。</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付款方式：</w:t>
            </w:r>
            <w:r>
              <w:rPr>
                <w:rFonts w:hint="eastAsia" w:ascii="仿宋" w:hAnsi="仿宋" w:eastAsia="仿宋" w:cs="仿宋"/>
                <w:bCs/>
                <w:sz w:val="28"/>
                <w:szCs w:val="28"/>
                <w:lang w:val="en-US" w:eastAsia="zh-CN"/>
              </w:rPr>
              <w:t>按合同约定执行。</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完工期：以采购单位要求时限为准。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2</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采购人信息</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采购单位: </w:t>
            </w:r>
            <w:r>
              <w:rPr>
                <w:rFonts w:hint="eastAsia" w:ascii="仿宋" w:hAnsi="仿宋" w:eastAsia="仿宋" w:cs="仿宋"/>
                <w:bCs/>
                <w:sz w:val="28"/>
                <w:szCs w:val="28"/>
                <w:lang w:eastAsia="zh-CN"/>
              </w:rPr>
              <w:t>镇原县开边镇人民政府</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席涛涛</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ascii="仿宋" w:hAnsi="仿宋" w:eastAsia="仿宋"/>
                <w:sz w:val="28"/>
                <w:szCs w:val="28"/>
                <w:lang w:val="en-US" w:eastAsia="zh-CN"/>
              </w:rPr>
              <w:t>18294080815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3</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51" w:firstLineChars="196"/>
              <w:textAlignment w:val="auto"/>
              <w:rPr>
                <w:rFonts w:hint="eastAsia" w:ascii="仿宋" w:hAnsi="仿宋" w:eastAsia="仿宋" w:cs="仿宋"/>
                <w:bCs/>
                <w:sz w:val="28"/>
                <w:szCs w:val="28"/>
              </w:rPr>
            </w:pPr>
            <w:r>
              <w:rPr>
                <w:rFonts w:hint="eastAsia" w:ascii="仿宋" w:hAnsi="仿宋" w:eastAsia="仿宋" w:cs="仿宋"/>
                <w:bCs/>
                <w:sz w:val="28"/>
                <w:szCs w:val="28"/>
              </w:rPr>
              <w:t>采购机构信息：</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采购机构：镇原县公共资源交易中心</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bCs/>
                <w:sz w:val="28"/>
                <w:szCs w:val="28"/>
              </w:rPr>
              <w:t>单位地址：镇原县林水大厦4楼</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联系人：</w:t>
            </w:r>
            <w:r>
              <w:rPr>
                <w:rFonts w:hint="eastAsia" w:ascii="仿宋" w:hAnsi="仿宋" w:eastAsia="仿宋" w:cs="仿宋"/>
                <w:bCs/>
                <w:sz w:val="28"/>
                <w:szCs w:val="28"/>
                <w:lang w:val="en-US" w:eastAsia="zh-CN"/>
              </w:rPr>
              <w:t>李江</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 xml:space="preserve">联系电话: </w:t>
            </w:r>
            <w:r>
              <w:rPr>
                <w:rFonts w:hint="eastAsia" w:ascii="仿宋" w:hAnsi="仿宋" w:eastAsia="仿宋" w:cs="仿宋"/>
                <w:bCs/>
                <w:sz w:val="28"/>
                <w:szCs w:val="28"/>
                <w:lang w:val="en-US" w:eastAsia="zh-CN"/>
              </w:rPr>
              <w:t>0934-6466551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4</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资金来源：</w:t>
            </w:r>
            <w:r>
              <w:rPr>
                <w:rFonts w:hint="eastAsia" w:ascii="仿宋" w:hAnsi="仿宋" w:eastAsia="仿宋" w:cs="仿宋"/>
                <w:bCs/>
                <w:sz w:val="28"/>
                <w:szCs w:val="28"/>
                <w:lang w:val="en-US" w:eastAsia="zh-CN"/>
              </w:rPr>
              <w:t>财政</w:t>
            </w:r>
            <w:r>
              <w:rPr>
                <w:rFonts w:hint="eastAsia" w:ascii="仿宋" w:hAnsi="仿宋" w:eastAsia="仿宋" w:cs="仿宋"/>
                <w:bCs/>
                <w:sz w:val="28"/>
                <w:szCs w:val="28"/>
              </w:rPr>
              <w:t>资金；</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
                <w:sz w:val="28"/>
                <w:szCs w:val="28"/>
              </w:rPr>
            </w:pPr>
            <w:r>
              <w:rPr>
                <w:rFonts w:hint="eastAsia" w:ascii="仿宋" w:hAnsi="仿宋" w:eastAsia="仿宋" w:cs="仿宋"/>
                <w:bCs/>
                <w:sz w:val="28"/>
                <w:szCs w:val="28"/>
              </w:rPr>
              <w:t>预算价：</w:t>
            </w:r>
            <w:r>
              <w:rPr>
                <w:rFonts w:hint="eastAsia" w:ascii="仿宋" w:hAnsi="仿宋" w:eastAsia="仿宋" w:cs="仿宋"/>
                <w:bCs/>
                <w:sz w:val="28"/>
                <w:szCs w:val="28"/>
                <w:lang w:val="en-US" w:eastAsia="zh-CN"/>
              </w:rPr>
              <w:t>100</w:t>
            </w:r>
            <w:r>
              <w:rPr>
                <w:rFonts w:hint="eastAsia" w:ascii="仿宋" w:hAnsi="仿宋" w:eastAsia="仿宋" w:cs="仿宋"/>
                <w:bCs/>
                <w:sz w:val="28"/>
                <w:szCs w:val="28"/>
              </w:rPr>
              <w:t>万元（</w:t>
            </w:r>
            <w:r>
              <w:rPr>
                <w:rFonts w:hint="eastAsia" w:ascii="仿宋" w:hAnsi="仿宋" w:eastAsia="仿宋" w:cs="仿宋"/>
                <w:bCs/>
                <w:sz w:val="28"/>
                <w:szCs w:val="28"/>
                <w:lang w:val="en-US" w:eastAsia="zh-CN"/>
              </w:rPr>
              <w:t>报价</w:t>
            </w:r>
            <w:r>
              <w:rPr>
                <w:rFonts w:hint="eastAsia" w:ascii="仿宋" w:hAnsi="仿宋" w:eastAsia="仿宋" w:cs="仿宋"/>
                <w:bCs/>
                <w:sz w:val="28"/>
                <w:szCs w:val="28"/>
              </w:rPr>
              <w:t>超出预算视为无效投标）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5</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投标人</w:t>
            </w:r>
            <w:r>
              <w:rPr>
                <w:rFonts w:hint="eastAsia" w:ascii="仿宋" w:hAnsi="仿宋" w:eastAsia="仿宋" w:cs="仿宋"/>
                <w:bCs/>
                <w:sz w:val="28"/>
                <w:szCs w:val="28"/>
                <w:lang w:val="en-US" w:eastAsia="zh-CN"/>
              </w:rPr>
              <w:t>资质</w:t>
            </w:r>
            <w:r>
              <w:rPr>
                <w:rFonts w:hint="eastAsia" w:ascii="仿宋" w:hAnsi="仿宋" w:eastAsia="仿宋" w:cs="仿宋"/>
                <w:bCs/>
                <w:sz w:val="28"/>
                <w:szCs w:val="28"/>
              </w:rPr>
              <w:t>文件要求：</w:t>
            </w:r>
            <w:r>
              <w:rPr>
                <w:rFonts w:hint="eastAsia" w:ascii="仿宋" w:hAnsi="仿宋" w:eastAsia="仿宋" w:cs="仿宋"/>
                <w:bCs/>
                <w:sz w:val="28"/>
                <w:szCs w:val="28"/>
                <w:lang w:val="en-US" w:eastAsia="zh-CN"/>
              </w:rPr>
              <w:t>详见资格性审查表和符合性审查表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6</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投标语言：中文（有关</w:t>
            </w:r>
            <w:r>
              <w:rPr>
                <w:rFonts w:hint="eastAsia" w:ascii="仿宋" w:hAnsi="仿宋" w:eastAsia="仿宋" w:cs="仿宋"/>
                <w:bCs/>
                <w:sz w:val="28"/>
                <w:szCs w:val="28"/>
                <w:lang w:val="en-US" w:eastAsia="zh-CN"/>
              </w:rPr>
              <w:t>设备</w:t>
            </w:r>
            <w:r>
              <w:rPr>
                <w:rFonts w:hint="eastAsia" w:ascii="仿宋" w:hAnsi="仿宋" w:eastAsia="仿宋" w:cs="仿宋"/>
                <w:bCs/>
                <w:sz w:val="28"/>
                <w:szCs w:val="28"/>
              </w:rPr>
              <w:t>专用名词等除外）</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7</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投标有效期：</w:t>
            </w:r>
            <w:r>
              <w:rPr>
                <w:rFonts w:hint="eastAsia" w:ascii="仿宋" w:hAnsi="仿宋" w:eastAsia="仿宋" w:cs="仿宋"/>
                <w:bCs/>
                <w:sz w:val="28"/>
                <w:szCs w:val="28"/>
                <w:lang w:val="en-US" w:eastAsia="zh-CN"/>
              </w:rPr>
              <w:t>60</w:t>
            </w:r>
            <w:r>
              <w:rPr>
                <w:rFonts w:hint="eastAsia" w:ascii="仿宋" w:hAnsi="仿宋" w:eastAsia="仿宋" w:cs="仿宋"/>
                <w:bCs/>
                <w:sz w:val="28"/>
                <w:szCs w:val="28"/>
              </w:rPr>
              <w:t>日历天（从投标截止之日算起）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8</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投标报价货币: 人民币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9</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投标报价范围及说明</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报价：指完成本项目所产生的</w:t>
            </w:r>
            <w:r>
              <w:rPr>
                <w:rFonts w:hint="eastAsia" w:ascii="仿宋" w:hAnsi="仿宋" w:eastAsia="仿宋" w:cs="仿宋"/>
                <w:bCs/>
                <w:sz w:val="28"/>
                <w:szCs w:val="28"/>
                <w:lang w:val="en-US" w:eastAsia="zh-CN"/>
              </w:rPr>
              <w:t>运输</w:t>
            </w:r>
            <w:r>
              <w:rPr>
                <w:rFonts w:hint="eastAsia" w:ascii="仿宋" w:hAnsi="仿宋" w:eastAsia="仿宋" w:cs="仿宋"/>
                <w:bCs/>
                <w:sz w:val="28"/>
                <w:szCs w:val="28"/>
              </w:rPr>
              <w:t>费、</w:t>
            </w:r>
            <w:r>
              <w:rPr>
                <w:rFonts w:hint="eastAsia" w:ascii="仿宋" w:hAnsi="仿宋" w:eastAsia="仿宋" w:cs="仿宋"/>
                <w:bCs/>
                <w:sz w:val="28"/>
                <w:szCs w:val="28"/>
                <w:lang w:val="en-US" w:eastAsia="zh-CN"/>
              </w:rPr>
              <w:t>人工费、</w:t>
            </w:r>
            <w:r>
              <w:rPr>
                <w:rFonts w:hint="eastAsia" w:ascii="仿宋" w:hAnsi="仿宋" w:eastAsia="仿宋" w:cs="仿宋"/>
                <w:bCs/>
                <w:sz w:val="28"/>
                <w:szCs w:val="28"/>
              </w:rPr>
              <w:t>税费、管理费、利润等全部费用。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10</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投标保证金递交说明：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sz w:val="28"/>
                <w:szCs w:val="28"/>
                <w:lang w:val="en-US"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保证金金额：</w:t>
            </w:r>
            <w:r>
              <w:rPr>
                <w:rFonts w:hint="eastAsia" w:ascii="仿宋" w:hAnsi="仿宋" w:eastAsia="仿宋"/>
                <w:sz w:val="28"/>
                <w:szCs w:val="28"/>
                <w:lang w:val="en-US" w:eastAsia="zh-CN"/>
              </w:rPr>
              <w:t>壹万贰仟元整（￥12000.00元）</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2、投标保证金缴纳方式（供应商自行选取一种）:</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(1)电汇或银行转账；</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(2)银行保函或银行电子保函；</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(3)投标保函保证保险；</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(4)投标担保；</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3、投标保证金证明材料提交方式及收退</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(1)将电汇或银行转账单、银行保函、投标保证金保险凭证、担保保函等凭证复印件(加盖供应商单位印章)作为投标文件的组成部分。</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(2)供应商以电汇或银行转账方式提交投标保证金的，由交易平台代收代退，要求如下:</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①供应商获取招标文件成功后，交易系统将投标保证金账号信息发送至投标登记时预留手机;也可登录庆阳市公共资源交易网自行查询。</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②供应商必须从基本账户转出且交纳账户名称与供应商投标时使用的名称一致，不得以分公司、办事处或其他机构名义缴纳。</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val="en-US" w:eastAsia="zh-CN"/>
              </w:rPr>
              <w:t>③投标保证金转止时间：2021年   月   日   时    分（以系统到账时间为准）。</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40" w:lineRule="exact"/>
              <w:ind w:left="0" w:right="0" w:firstLine="564" w:firstLineChars="200"/>
              <w:textAlignment w:val="baseline"/>
              <w:rPr>
                <w:rFonts w:hint="eastAsia" w:ascii="仿宋" w:hAnsi="仿宋" w:eastAsia="仿宋" w:cs="仿宋"/>
                <w:bCs/>
                <w:sz w:val="28"/>
                <w:szCs w:val="28"/>
              </w:rPr>
            </w:pPr>
            <w:r>
              <w:rPr>
                <w:rFonts w:hint="eastAsia" w:ascii="仿宋" w:hAnsi="仿宋" w:eastAsia="仿宋" w:cs="Times New Roman"/>
                <w:kern w:val="2"/>
                <w:sz w:val="28"/>
                <w:szCs w:val="28"/>
                <w:lang w:val="en-US" w:eastAsia="zh-CN"/>
              </w:rPr>
              <w:t>(3)供应商以银行保函或银行电子保函、投标保函保证保险、投标担保形式提交投标保证金的，由采购人收取核验并按要求退还。供应商对其提供保函、电子保函的真实性、有效性负责，且凭证必须具备以下信息:可作为查询依据的凭证编号、供应商名称、标（包）名称、保证金额(大写、小写)、担保机构印章或电子印章、 担保机构违约受理联系方式；投标保函有效期与投标有效期一致。</w:t>
            </w:r>
          </w:p>
          <w:p>
            <w:pPr>
              <w:keepNext w:val="0"/>
              <w:keepLines w:val="0"/>
              <w:pageBreakBefore w:val="0"/>
              <w:widowControl w:val="0"/>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注：投标保证金不转为履约保证金，履约保证金由采购单位和</w:t>
            </w:r>
            <w:r>
              <w:rPr>
                <w:rFonts w:hint="eastAsia" w:ascii="仿宋" w:hAnsi="仿宋" w:eastAsia="仿宋" w:cs="仿宋"/>
                <w:bCs/>
                <w:sz w:val="28"/>
                <w:szCs w:val="28"/>
                <w:lang w:eastAsia="zh-CN"/>
              </w:rPr>
              <w:t>成交</w:t>
            </w:r>
            <w:r>
              <w:rPr>
                <w:rFonts w:hint="eastAsia" w:ascii="仿宋" w:hAnsi="仿宋" w:eastAsia="仿宋" w:cs="仿宋"/>
                <w:bCs/>
                <w:sz w:val="28"/>
                <w:szCs w:val="28"/>
              </w:rPr>
              <w:t>企业自行协商确定。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11</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投标文件的递交</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份数：正本1份,副本2份，电子U盘文件1份（递交不退）</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递交时间：以招标公告要求为准（北京时间，逾期不再受理）</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截止时间：以招标公告要求为准（北京时间）</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递交地点：以招标公告要求为准</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注：为高效快捷唱标，请随投标文件一起递交“开标一览表”（内含： 1、开标报价一览表2、投标文件电子U盘一份。）未按该要求制作分装标书的，其投标文件将被拒绝，对投标人产生的不利因素由其自行承担。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12</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开标时间及地点</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开标时间：以招标公告要求为准（北京时间）</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开标地点：以招标公告要求为准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b/>
                <w:sz w:val="28"/>
                <w:szCs w:val="28"/>
              </w:rPr>
              <w:t>13</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本项目</w:t>
            </w:r>
            <w:r>
              <w:rPr>
                <w:rFonts w:hint="eastAsia" w:ascii="仿宋" w:hAnsi="仿宋" w:eastAsia="仿宋" w:cs="仿宋"/>
                <w:bCs/>
                <w:sz w:val="28"/>
                <w:szCs w:val="28"/>
                <w:lang w:val="en-US" w:eastAsia="zh-CN"/>
              </w:rPr>
              <w:t>投标企业须在镇原县公共资源交易中心电子服务网</w:t>
            </w:r>
            <w:r>
              <w:rPr>
                <w:rFonts w:hint="eastAsia" w:ascii="仿宋" w:hAnsi="仿宋" w:eastAsia="仿宋" w:cs="仿宋"/>
                <w:bCs/>
                <w:sz w:val="28"/>
                <w:szCs w:val="28"/>
              </w:rPr>
              <w:t>（http://124.152.185.147:8082/Accounts/Login?ReturnUrl=%2f）</w:t>
            </w:r>
            <w:r>
              <w:rPr>
                <w:rFonts w:hint="eastAsia" w:ascii="仿宋" w:hAnsi="仿宋" w:eastAsia="仿宋" w:cs="仿宋"/>
                <w:bCs/>
                <w:sz w:val="28"/>
                <w:szCs w:val="28"/>
                <w:lang w:val="en-US" w:eastAsia="zh-CN"/>
              </w:rPr>
              <w:t>注册登录</w:t>
            </w:r>
            <w:r>
              <w:rPr>
                <w:rFonts w:hint="eastAsia" w:ascii="仿宋" w:hAnsi="仿宋" w:eastAsia="仿宋" w:cs="仿宋"/>
                <w:bCs/>
                <w:sz w:val="28"/>
                <w:szCs w:val="28"/>
              </w:rPr>
              <w:t>免费获取招标文件，供应商资格</w:t>
            </w:r>
            <w:r>
              <w:rPr>
                <w:rFonts w:hint="eastAsia" w:ascii="仿宋" w:hAnsi="仿宋" w:eastAsia="仿宋" w:cs="仿宋"/>
                <w:bCs/>
                <w:sz w:val="28"/>
                <w:szCs w:val="28"/>
                <w:lang w:val="en-US" w:eastAsia="zh-CN"/>
              </w:rPr>
              <w:t>性审查</w:t>
            </w:r>
            <w:r>
              <w:rPr>
                <w:rFonts w:hint="eastAsia" w:ascii="仿宋" w:hAnsi="仿宋" w:eastAsia="仿宋" w:cs="仿宋"/>
                <w:bCs/>
                <w:sz w:val="28"/>
                <w:szCs w:val="28"/>
              </w:rPr>
              <w:t>在开标现场由采购单位</w:t>
            </w:r>
            <w:r>
              <w:rPr>
                <w:rFonts w:hint="eastAsia" w:ascii="仿宋" w:hAnsi="仿宋" w:eastAsia="仿宋" w:cs="仿宋"/>
                <w:bCs/>
                <w:sz w:val="28"/>
                <w:szCs w:val="28"/>
                <w:lang w:val="en-US" w:eastAsia="zh-CN"/>
              </w:rPr>
              <w:t>代表</w:t>
            </w:r>
            <w:r>
              <w:rPr>
                <w:rFonts w:hint="eastAsia" w:ascii="仿宋" w:hAnsi="仿宋" w:eastAsia="仿宋" w:cs="仿宋"/>
                <w:bCs/>
                <w:sz w:val="28"/>
                <w:szCs w:val="28"/>
              </w:rPr>
              <w:t>和交易中心项目办理人员共同审核，谈判小组进行符合性审查，</w:t>
            </w:r>
            <w:r>
              <w:rPr>
                <w:rFonts w:hint="eastAsia" w:ascii="仿宋" w:hAnsi="仿宋" w:eastAsia="仿宋" w:cs="仿宋"/>
                <w:bCs/>
                <w:sz w:val="28"/>
                <w:szCs w:val="28"/>
                <w:lang w:val="en-US" w:eastAsia="zh-CN"/>
              </w:rPr>
              <w:t>两项</w:t>
            </w:r>
            <w:r>
              <w:rPr>
                <w:rFonts w:hint="eastAsia" w:ascii="仿宋" w:hAnsi="仿宋" w:eastAsia="仿宋" w:cs="仿宋"/>
                <w:bCs/>
                <w:sz w:val="28"/>
                <w:szCs w:val="28"/>
              </w:rPr>
              <w:t>审</w:t>
            </w:r>
            <w:r>
              <w:rPr>
                <w:rFonts w:hint="eastAsia" w:ascii="仿宋" w:hAnsi="仿宋" w:eastAsia="仿宋" w:cs="仿宋"/>
                <w:bCs/>
                <w:sz w:val="28"/>
                <w:szCs w:val="28"/>
                <w:lang w:val="en-US" w:eastAsia="zh-CN"/>
              </w:rPr>
              <w:t>查均</w:t>
            </w:r>
            <w:r>
              <w:rPr>
                <w:rFonts w:hint="eastAsia" w:ascii="仿宋" w:hAnsi="仿宋" w:eastAsia="仿宋" w:cs="仿宋"/>
                <w:bCs/>
                <w:sz w:val="28"/>
                <w:szCs w:val="28"/>
              </w:rPr>
              <w:t>通过后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满足3家及以上的投标企业</w:t>
            </w:r>
            <w:r>
              <w:rPr>
                <w:rFonts w:hint="eastAsia" w:ascii="仿宋" w:hAnsi="仿宋" w:eastAsia="仿宋" w:cs="仿宋"/>
                <w:bCs/>
                <w:sz w:val="28"/>
                <w:szCs w:val="28"/>
              </w:rPr>
              <w:t>方能进入</w:t>
            </w:r>
            <w:r>
              <w:rPr>
                <w:rFonts w:hint="eastAsia" w:ascii="仿宋" w:hAnsi="仿宋" w:eastAsia="仿宋" w:cs="仿宋"/>
                <w:bCs/>
                <w:sz w:val="28"/>
                <w:szCs w:val="28"/>
                <w:lang w:eastAsia="zh-CN"/>
              </w:rPr>
              <w:t>评审</w:t>
            </w:r>
            <w:r>
              <w:rPr>
                <w:rFonts w:hint="eastAsia" w:ascii="仿宋" w:hAnsi="仿宋" w:eastAsia="仿宋" w:cs="仿宋"/>
                <w:bCs/>
                <w:sz w:val="28"/>
                <w:szCs w:val="28"/>
              </w:rPr>
              <w:t>环节，审核不通过视为无效投标。</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资格审查项目详见资格性审查表。</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符合</w:t>
            </w:r>
            <w:r>
              <w:rPr>
                <w:rFonts w:hint="eastAsia" w:ascii="仿宋" w:hAnsi="仿宋" w:eastAsia="仿宋" w:cs="仿宋"/>
                <w:bCs/>
                <w:sz w:val="28"/>
                <w:szCs w:val="28"/>
              </w:rPr>
              <w:t>审查项目详见</w:t>
            </w:r>
            <w:r>
              <w:rPr>
                <w:rFonts w:hint="eastAsia" w:ascii="仿宋" w:hAnsi="仿宋" w:eastAsia="仿宋" w:cs="仿宋"/>
                <w:bCs/>
                <w:sz w:val="28"/>
                <w:szCs w:val="28"/>
                <w:lang w:val="en-US" w:eastAsia="zh-CN"/>
              </w:rPr>
              <w:t>符合</w:t>
            </w:r>
            <w:r>
              <w:rPr>
                <w:rFonts w:hint="eastAsia" w:ascii="仿宋" w:hAnsi="仿宋" w:eastAsia="仿宋" w:cs="仿宋"/>
                <w:bCs/>
                <w:sz w:val="28"/>
                <w:szCs w:val="28"/>
              </w:rPr>
              <w:t>性审查表。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1</w:t>
            </w:r>
            <w:r>
              <w:rPr>
                <w:rFonts w:hint="eastAsia" w:ascii="仿宋" w:hAnsi="仿宋" w:eastAsia="仿宋" w:cs="仿宋"/>
                <w:b/>
                <w:sz w:val="28"/>
                <w:szCs w:val="28"/>
                <w:lang w:val="en-US" w:eastAsia="zh-CN"/>
              </w:rPr>
              <w:t>4</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招标文件和招标公告有不一致的地方，以招标文件为准。招标文件有前后表述不一致或有产生歧义的地方或其他不明确事项，以我中心的最终解释为准。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02" w:type="pct"/>
            <w:tcBorders>
              <w:top w:val="single" w:color="auto" w:sz="4" w:space="0"/>
              <w:left w:val="doub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1</w:t>
            </w:r>
            <w:r>
              <w:rPr>
                <w:rFonts w:hint="eastAsia" w:ascii="仿宋" w:hAnsi="仿宋" w:eastAsia="仿宋" w:cs="仿宋"/>
                <w:b/>
                <w:sz w:val="28"/>
                <w:szCs w:val="28"/>
                <w:lang w:val="en-US" w:eastAsia="zh-CN"/>
              </w:rPr>
              <w:t>5</w:t>
            </w:r>
          </w:p>
        </w:tc>
        <w:tc>
          <w:tcPr>
            <w:tcW w:w="4597" w:type="pct"/>
            <w:tcBorders>
              <w:top w:val="single" w:color="auto" w:sz="4" w:space="0"/>
              <w:left w:val="single" w:color="auto" w:sz="4" w:space="0"/>
              <w:bottom w:val="single" w:color="auto" w:sz="4" w:space="0"/>
              <w:right w:val="doub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供应商需提交《供应商信用承诺书》作为投标（响应）文件的组成部分，否则视同自愿放弃投标（响应）资格（附件7）。</w:t>
            </w:r>
          </w:p>
        </w:tc>
      </w:tr>
    </w:tbl>
    <w:p>
      <w:pPr>
        <w:pStyle w:val="4"/>
        <w:spacing w:before="0" w:after="0"/>
        <w:jc w:val="center"/>
        <w:rPr>
          <w:rFonts w:hint="eastAsia"/>
          <w:kern w:val="0"/>
          <w:sz w:val="40"/>
        </w:rPr>
      </w:pPr>
      <w:bookmarkStart w:id="16" w:name="_Toc15759"/>
      <w:bookmarkStart w:id="17" w:name="_Toc458439967"/>
      <w:bookmarkStart w:id="18" w:name="_Toc11355"/>
      <w:r>
        <w:rPr>
          <w:rFonts w:hint="eastAsia"/>
          <w:kern w:val="0"/>
          <w:sz w:val="40"/>
        </w:rPr>
        <w:t>1、总  则</w:t>
      </w:r>
      <w:bookmarkEnd w:id="16"/>
      <w:bookmarkEnd w:id="17"/>
      <w:bookmarkEnd w:id="18"/>
    </w:p>
    <w:p>
      <w:pPr>
        <w:pStyle w:val="5"/>
        <w:pageBreakBefore w:val="0"/>
        <w:widowControl w:val="0"/>
        <w:kinsoku/>
        <w:wordWrap/>
        <w:overflowPunct/>
        <w:topLinePunct w:val="0"/>
        <w:autoSpaceDE/>
        <w:autoSpaceDN/>
        <w:bidi w:val="0"/>
        <w:adjustRightInd/>
        <w:snapToGrid/>
        <w:spacing w:before="0" w:after="0" w:line="400" w:lineRule="exact"/>
        <w:ind w:firstLine="564" w:firstLineChars="200"/>
        <w:textAlignment w:val="auto"/>
        <w:rPr>
          <w:rFonts w:ascii="宋体" w:hAnsi="宋体"/>
          <w:sz w:val="28"/>
          <w:szCs w:val="28"/>
        </w:rPr>
      </w:pPr>
      <w:bookmarkStart w:id="19" w:name="_Toc239047294"/>
      <w:bookmarkStart w:id="20" w:name="_Toc24930"/>
      <w:bookmarkStart w:id="21" w:name="_Toc13719"/>
      <w:bookmarkStart w:id="22" w:name="_Toc128372736"/>
      <w:bookmarkStart w:id="23" w:name="_Toc139965332"/>
      <w:bookmarkStart w:id="24" w:name="_Toc128372058"/>
      <w:r>
        <w:rPr>
          <w:rFonts w:hint="eastAsia" w:ascii="宋体" w:hAnsi="宋体"/>
          <w:sz w:val="28"/>
          <w:szCs w:val="28"/>
        </w:rPr>
        <w:t>1.1 招标文件涉及术语的内涵及解释</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2)“采购人”和“需方”是指</w:t>
      </w:r>
      <w:r>
        <w:rPr>
          <w:rFonts w:hint="eastAsia" w:ascii="仿宋" w:hAnsi="仿宋" w:eastAsia="仿宋" w:cs="仿宋"/>
          <w:sz w:val="28"/>
          <w:szCs w:val="28"/>
          <w:u w:val="single"/>
          <w:lang w:eastAsia="zh-CN"/>
        </w:rPr>
        <w:t>镇原县开边镇人民政府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3)“集中代理机构”是指</w:t>
      </w:r>
      <w:r>
        <w:rPr>
          <w:rFonts w:hint="eastAsia" w:ascii="仿宋" w:hAnsi="仿宋" w:eastAsia="仿宋" w:cs="仿宋"/>
          <w:sz w:val="28"/>
          <w:szCs w:val="28"/>
          <w:u w:val="single"/>
        </w:rPr>
        <w:t>镇原县公共资源交易中心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4)“投标人”是指向本次招标人提交投标文件的供应商。</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5)“供应商”是指向采购人提供货物、工程或者服务的法人、其他组织或者自然人。</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6)“招标文件”是指由招标人发出的文本、文件，包括全部章节和附件。</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7)“投标文件”是指投标人根据本招标文件向招标人提交的全部文件。</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8)“采购文件”是指包括采购活动记录、采购预算、招标文件、投标文件、</w:t>
      </w:r>
      <w:r>
        <w:rPr>
          <w:rFonts w:hint="eastAsia" w:ascii="仿宋" w:hAnsi="仿宋" w:eastAsia="仿宋" w:cs="仿宋"/>
          <w:sz w:val="28"/>
          <w:szCs w:val="28"/>
          <w:lang w:eastAsia="zh-CN"/>
        </w:rPr>
        <w:t>评审</w:t>
      </w:r>
      <w:r>
        <w:rPr>
          <w:rFonts w:hint="eastAsia" w:ascii="仿宋" w:hAnsi="仿宋" w:eastAsia="仿宋" w:cs="仿宋"/>
          <w:sz w:val="28"/>
          <w:szCs w:val="28"/>
        </w:rPr>
        <w:t>标准、</w:t>
      </w:r>
      <w:r>
        <w:rPr>
          <w:rFonts w:hint="eastAsia" w:ascii="仿宋" w:hAnsi="仿宋" w:eastAsia="仿宋" w:cs="仿宋"/>
          <w:sz w:val="28"/>
          <w:szCs w:val="28"/>
          <w:lang w:eastAsia="zh-CN"/>
        </w:rPr>
        <w:t>评审</w:t>
      </w:r>
      <w:r>
        <w:rPr>
          <w:rFonts w:hint="eastAsia" w:ascii="仿宋" w:hAnsi="仿宋" w:eastAsia="仿宋" w:cs="仿宋"/>
          <w:sz w:val="28"/>
          <w:szCs w:val="28"/>
        </w:rPr>
        <w:t>报告、定标文件、合同文本、验收证明、质疑答复、投诉处理决定及其他有关文件、资料。</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9)“货物”是指投标人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后根据招标文件和合同的规定须向采购人提供的各种形态和种类的物品，包括原材料、燃料、设备等。</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10)“安装”是指投标人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后按招标文件和合同的规定在项目现场所进行的安装、调试、检验、验收及修补缺陷等内容。供方应对所有现场作业、所有全部安装的完备性、稳定性和安全性负责。</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11)“服务”是指投标人</w:t>
      </w:r>
      <w:r>
        <w:rPr>
          <w:rFonts w:hint="eastAsia" w:ascii="仿宋" w:hAnsi="仿宋" w:eastAsia="仿宋" w:cs="仿宋"/>
          <w:sz w:val="28"/>
          <w:szCs w:val="28"/>
          <w:lang w:eastAsia="zh-CN"/>
        </w:rPr>
        <w:t>成交</w:t>
      </w:r>
      <w:r>
        <w:rPr>
          <w:rFonts w:hint="eastAsia" w:ascii="仿宋" w:hAnsi="仿宋" w:eastAsia="仿宋" w:cs="仿宋"/>
          <w:sz w:val="28"/>
          <w:szCs w:val="28"/>
        </w:rPr>
        <w:t>后根据招标文件和合同的规定承担与供货、安装有关的服务，包括运输、仓储、租赁、保险以及其它的伴随服务，如售后、维修、更换和应承担的其它义务。</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12）“自主创新产品”是指纳入财政部公布的《政府采购自主创新产品目录》(以下简称目录)的货物和服务。目录由财政部会同科技部等有关部门在国家认定的自主创新产品范围内研究制订。</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13)“书面形式”是指任何手写、打印或印刷的各种函件、含传真、电报、电子邮件。</w:t>
      </w:r>
      <w:bookmarkStart w:id="25" w:name="_Toc128372732"/>
      <w:bookmarkStart w:id="26" w:name="_Toc128372054"/>
      <w:bookmarkStart w:id="27" w:name="_Toc139965328"/>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14）进口产品：是指通过中国海关报关验收进入中国境内且产自境外的产品，详见《关于政府采购进口产品管理有关问题的通知》（财库发［2007］119号）。</w:t>
      </w:r>
    </w:p>
    <w:p>
      <w:pPr>
        <w:keepNext w:val="0"/>
        <w:keepLines w:val="0"/>
        <w:pageBreakBefore w:val="0"/>
        <w:widowControl w:val="0"/>
        <w:kinsoku/>
        <w:wordWrap/>
        <w:overflowPunct/>
        <w:topLinePunct w:val="0"/>
        <w:autoSpaceDE/>
        <w:autoSpaceDN/>
        <w:bidi w:val="0"/>
        <w:adjustRightInd/>
        <w:snapToGrid/>
        <w:spacing w:line="400" w:lineRule="exact"/>
        <w:ind w:firstLine="564" w:firstLineChars="200"/>
        <w:textAlignment w:val="auto"/>
        <w:rPr>
          <w:rFonts w:hint="eastAsia"/>
        </w:rPr>
      </w:pPr>
      <w:r>
        <w:rPr>
          <w:rFonts w:hint="eastAsia" w:ascii="仿宋" w:hAnsi="仿宋" w:eastAsia="仿宋" w:cs="仿宋"/>
          <w:sz w:val="28"/>
          <w:szCs w:val="28"/>
        </w:rPr>
        <w:t>15）“进口产品”或“环保产品”是指财政部发布的《节能产品政府采购清单》或者《环境标志产品政府采购清单》的产品。</w:t>
      </w:r>
      <w:bookmarkEnd w:id="25"/>
      <w:bookmarkEnd w:id="26"/>
      <w:bookmarkEnd w:id="27"/>
    </w:p>
    <w:bookmarkEnd w:id="22"/>
    <w:bookmarkEnd w:id="23"/>
    <w:bookmarkEnd w:id="24"/>
    <w:p>
      <w:pPr>
        <w:pStyle w:val="4"/>
        <w:spacing w:before="0" w:after="0"/>
        <w:jc w:val="center"/>
        <w:rPr>
          <w:kern w:val="0"/>
          <w:sz w:val="40"/>
        </w:rPr>
      </w:pPr>
      <w:bookmarkStart w:id="28" w:name="_Toc14366"/>
      <w:bookmarkStart w:id="29" w:name="_Toc14105"/>
      <w:r>
        <w:rPr>
          <w:rFonts w:hint="eastAsia"/>
          <w:kern w:val="0"/>
          <w:sz w:val="40"/>
        </w:rPr>
        <w:t>2、  投标须知</w:t>
      </w:r>
      <w:bookmarkEnd w:id="28"/>
      <w:bookmarkEnd w:id="29"/>
    </w:p>
    <w:p>
      <w:pPr>
        <w:pStyle w:val="5"/>
        <w:pageBreakBefore w:val="0"/>
        <w:widowControl w:val="0"/>
        <w:kinsoku/>
        <w:wordWrap/>
        <w:overflowPunct/>
        <w:topLinePunct w:val="0"/>
        <w:autoSpaceDE/>
        <w:autoSpaceDN/>
        <w:bidi w:val="0"/>
        <w:spacing w:before="0" w:after="0" w:line="560" w:lineRule="exact"/>
        <w:ind w:left="0" w:firstLine="419" w:firstLineChars="149"/>
        <w:textAlignment w:val="auto"/>
        <w:rPr>
          <w:rFonts w:ascii="宋体" w:hAnsi="宋体"/>
          <w:sz w:val="28"/>
          <w:szCs w:val="28"/>
        </w:rPr>
      </w:pPr>
      <w:bookmarkStart w:id="30" w:name="_Toc25058"/>
      <w:bookmarkStart w:id="31" w:name="_Toc369633078"/>
      <w:bookmarkStart w:id="32" w:name="_Toc27070"/>
      <w:r>
        <w:rPr>
          <w:rFonts w:hint="eastAsia" w:ascii="宋体" w:hAnsi="宋体"/>
          <w:sz w:val="28"/>
          <w:szCs w:val="28"/>
        </w:rPr>
        <w:t>2.1 招标</w:t>
      </w:r>
      <w:bookmarkEnd w:id="30"/>
      <w:bookmarkEnd w:id="31"/>
      <w:bookmarkEnd w:id="32"/>
    </w:p>
    <w:p>
      <w:pPr>
        <w:pStyle w:val="6"/>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rPr>
      </w:pPr>
      <w:bookmarkStart w:id="33" w:name="_Toc369633079"/>
      <w:bookmarkStart w:id="34" w:name="_Toc32277"/>
      <w:bookmarkStart w:id="35" w:name="_Toc32452"/>
      <w:r>
        <w:rPr>
          <w:rFonts w:hint="eastAsia" w:ascii="仿宋" w:hAnsi="仿宋" w:eastAsia="仿宋" w:cs="仿宋"/>
          <w:sz w:val="28"/>
          <w:szCs w:val="28"/>
        </w:rPr>
        <w:t>2.1.1 综合说明</w:t>
      </w:r>
      <w:bookmarkEnd w:id="33"/>
      <w:bookmarkEnd w:id="34"/>
      <w:bookmarkEnd w:id="3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本项目按照《中华人民共和国政府采购法》及相关法规，已办理招标申请，并得到招标管理机构批准，现通过招标来择优选定货物服务的供货商。</w:t>
      </w:r>
      <w:bookmarkStart w:id="36" w:name="_Toc128372055"/>
      <w:bookmarkStart w:id="37" w:name="_Toc128372733"/>
      <w:bookmarkStart w:id="38" w:name="_Toc139965329"/>
      <w:r>
        <w:rPr>
          <w:rFonts w:hint="eastAsia" w:ascii="仿宋" w:hAnsi="仿宋" w:eastAsia="仿宋" w:cs="仿宋"/>
          <w:sz w:val="28"/>
          <w:szCs w:val="28"/>
        </w:rPr>
        <w:t>本招标文件包括本文所列内容及按本须知发出的全部和补充资料。投标人应认真阅读本招标文件中所有的事项、格式、条款、技术规范等实质性的条件和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p>
    <w:bookmarkEnd w:id="36"/>
    <w:bookmarkEnd w:id="37"/>
    <w:bookmarkEnd w:id="38"/>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39" w:name="_Toc139965335"/>
      <w:bookmarkStart w:id="40" w:name="_Toc369633080"/>
      <w:bookmarkStart w:id="41" w:name="_Toc128372739"/>
      <w:bookmarkStart w:id="42" w:name="_Toc128372061"/>
      <w:bookmarkStart w:id="43" w:name="_Toc9562"/>
      <w:bookmarkStart w:id="44" w:name="_Toc3801"/>
      <w:r>
        <w:rPr>
          <w:rFonts w:hint="eastAsia" w:ascii="仿宋" w:hAnsi="仿宋" w:eastAsia="仿宋" w:cs="仿宋"/>
          <w:sz w:val="28"/>
          <w:szCs w:val="28"/>
        </w:rPr>
        <w:t>2.1.2 招标文件的修改与补充</w:t>
      </w:r>
      <w:bookmarkEnd w:id="39"/>
      <w:bookmarkEnd w:id="40"/>
      <w:bookmarkEnd w:id="41"/>
      <w:bookmarkEnd w:id="42"/>
      <w:bookmarkEnd w:id="43"/>
      <w:bookmarkEnd w:id="44"/>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投标截止日期3天前，无论出于何种原因，采购人可主动地或在解答投标人提出的问题时对招标文件进行修改。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招标文件的修改将以书面形式或网上公告的形式通知所有</w:t>
      </w:r>
      <w:r>
        <w:rPr>
          <w:rFonts w:hint="eastAsia" w:ascii="仿宋" w:hAnsi="仿宋" w:eastAsia="仿宋" w:cs="仿宋"/>
          <w:sz w:val="28"/>
          <w:szCs w:val="28"/>
          <w:lang w:val="en-US" w:eastAsia="zh-CN"/>
        </w:rPr>
        <w:t>获取</w:t>
      </w:r>
      <w:r>
        <w:rPr>
          <w:rFonts w:hint="eastAsia" w:ascii="仿宋" w:hAnsi="仿宋" w:eastAsia="仿宋" w:cs="仿宋"/>
          <w:sz w:val="28"/>
          <w:szCs w:val="28"/>
        </w:rPr>
        <w:t>招标文件的投标人，并对其具有约束力。投标人在被告知、收到上述公告、通知或答疑书后，应立即向招标人回函确认。未确认情况应当视为对招标文件修改的知晓，也将视为对修改内容接受的默认。对于未在投标文件中对修改内容做实质性响应的，对其产生的不利因素由未确认者自行承担。</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为使投标人准备投标时有充分时间对招标文件的补充或修改内容进行考虑和研究或由于其他原因，招标人可决定是否延长投标文件递交截止时间和开标时间，并将此变更通知上述每一投标人。</w:t>
      </w:r>
    </w:p>
    <w:p>
      <w:pPr>
        <w:pStyle w:val="5"/>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45" w:name="_Toc8924"/>
      <w:bookmarkStart w:id="46" w:name="_Toc369633081"/>
      <w:bookmarkStart w:id="47" w:name="_Toc12063"/>
      <w:r>
        <w:rPr>
          <w:rFonts w:hint="eastAsia" w:ascii="宋体" w:hAnsi="宋体"/>
          <w:sz w:val="28"/>
          <w:szCs w:val="28"/>
        </w:rPr>
        <w:t>2.2 投标</w:t>
      </w:r>
      <w:bookmarkEnd w:id="45"/>
      <w:bookmarkEnd w:id="46"/>
      <w:bookmarkEnd w:id="47"/>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48" w:name="_Toc3761"/>
      <w:bookmarkStart w:id="49" w:name="_Toc369633082"/>
      <w:bookmarkStart w:id="50" w:name="_Toc12243"/>
      <w:r>
        <w:rPr>
          <w:rFonts w:hint="eastAsia" w:ascii="仿宋" w:hAnsi="仿宋" w:eastAsia="仿宋" w:cs="仿宋"/>
          <w:sz w:val="28"/>
          <w:szCs w:val="28"/>
        </w:rPr>
        <w:t>2.2.1投标综合要求及说明</w:t>
      </w:r>
      <w:bookmarkEnd w:id="48"/>
      <w:bookmarkEnd w:id="49"/>
      <w:bookmarkEnd w:id="50"/>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1）投标人投标应按照招标人标书要求投标，且只能一个方案进行投标，否则按无效投标处理；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2）投标人对投标产品技术性能的描述因欠缺或漏报而影响对投标人投标文件的评比，不利后果由投标人承担；</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3）投标人在投标文件中所列出的所有</w:t>
      </w:r>
      <w:r>
        <w:rPr>
          <w:rFonts w:hint="eastAsia" w:ascii="仿宋" w:hAnsi="仿宋" w:eastAsia="仿宋" w:cs="仿宋"/>
          <w:sz w:val="28"/>
          <w:szCs w:val="28"/>
          <w:lang w:val="en-US" w:eastAsia="zh-CN"/>
        </w:rPr>
        <w:t>货物运输</w:t>
      </w:r>
      <w:r>
        <w:rPr>
          <w:rFonts w:hint="eastAsia" w:ascii="仿宋" w:hAnsi="仿宋" w:eastAsia="仿宋" w:cs="仿宋"/>
          <w:sz w:val="28"/>
          <w:szCs w:val="28"/>
        </w:rPr>
        <w:t>等均视为包含在投标项目以内报价；</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4）投标人在本次项目中所提供的货物必须符合国家、行业等相关规定的要求，否则视无效投标；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5）采购人发现具有《政府采购法》第七十七条中第一至五项情形之一的，有权宣布投标程序和结果无效，在涉标的公证性与违法问题的调查或检查中，</w:t>
      </w:r>
      <w:r>
        <w:rPr>
          <w:rFonts w:hint="eastAsia" w:ascii="仿宋" w:hAnsi="仿宋" w:eastAsia="仿宋" w:cs="仿宋"/>
          <w:sz w:val="28"/>
          <w:szCs w:val="28"/>
          <w:lang w:eastAsia="zh-CN"/>
        </w:rPr>
        <w:t>成交</w:t>
      </w:r>
      <w:r>
        <w:rPr>
          <w:rFonts w:hint="eastAsia" w:ascii="仿宋" w:hAnsi="仿宋" w:eastAsia="仿宋" w:cs="仿宋"/>
          <w:sz w:val="28"/>
          <w:szCs w:val="28"/>
        </w:rPr>
        <w:t>供应商如拒绝有关部门的监督检查，视其情节，采购人也有权宣布</w:t>
      </w:r>
      <w:r>
        <w:rPr>
          <w:rFonts w:hint="eastAsia" w:ascii="仿宋" w:hAnsi="仿宋" w:eastAsia="仿宋" w:cs="仿宋"/>
          <w:sz w:val="28"/>
          <w:szCs w:val="28"/>
          <w:lang w:eastAsia="zh-CN"/>
        </w:rPr>
        <w:t>成交</w:t>
      </w:r>
      <w:r>
        <w:rPr>
          <w:rFonts w:hint="eastAsia" w:ascii="仿宋" w:hAnsi="仿宋" w:eastAsia="仿宋" w:cs="仿宋"/>
          <w:sz w:val="28"/>
          <w:szCs w:val="28"/>
        </w:rPr>
        <w:t>结果视同无效。采购人同时报备同级财政部门确认，并对投</w:t>
      </w:r>
      <w:r>
        <w:rPr>
          <w:rFonts w:hint="eastAsia" w:ascii="仿宋" w:hAnsi="仿宋" w:eastAsia="仿宋" w:cs="仿宋"/>
          <w:sz w:val="28"/>
          <w:szCs w:val="28"/>
          <w:lang w:val="en-US" w:eastAsia="zh-CN"/>
        </w:rPr>
        <w:t>标</w:t>
      </w:r>
      <w:r>
        <w:rPr>
          <w:rFonts w:hint="eastAsia" w:ascii="仿宋" w:hAnsi="仿宋" w:eastAsia="仿宋" w:cs="仿宋"/>
          <w:sz w:val="28"/>
          <w:szCs w:val="28"/>
        </w:rPr>
        <w:t>、</w:t>
      </w:r>
      <w:r>
        <w:rPr>
          <w:rFonts w:hint="eastAsia" w:ascii="仿宋" w:hAnsi="仿宋" w:eastAsia="仿宋" w:cs="仿宋"/>
          <w:sz w:val="28"/>
          <w:szCs w:val="28"/>
          <w:lang w:eastAsia="zh-CN"/>
        </w:rPr>
        <w:t>成交</w:t>
      </w:r>
      <w:r>
        <w:rPr>
          <w:rFonts w:hint="eastAsia" w:ascii="仿宋" w:hAnsi="仿宋" w:eastAsia="仿宋" w:cs="仿宋"/>
          <w:sz w:val="28"/>
          <w:szCs w:val="28"/>
        </w:rPr>
        <w:t>人的损失不承担任何责任；</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6）投标人应自行承担所有与准备和参加投标有关的费用。不论投标的结果如何，招标人和需方均无义务和责任承担这些费用。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7）本次投标不接受联合体投标。</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51" w:name="_Toc6697"/>
      <w:bookmarkStart w:id="52" w:name="_Toc369633083"/>
      <w:bookmarkStart w:id="53" w:name="_Toc22781"/>
      <w:r>
        <w:rPr>
          <w:rFonts w:hint="eastAsia" w:ascii="仿宋" w:hAnsi="仿宋" w:eastAsia="仿宋" w:cs="仿宋"/>
          <w:sz w:val="28"/>
          <w:szCs w:val="28"/>
        </w:rPr>
        <w:t>2.2.2 投标文件的制作</w:t>
      </w:r>
      <w:bookmarkEnd w:id="51"/>
      <w:bookmarkEnd w:id="52"/>
      <w:bookmarkEnd w:id="5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投标文件应按照 “投标文件格式”的要求以A4版面统一编制。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对于有特定格式要求的，不允许改动其内容，否则，其投标无效。</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投标文件的制作，应使用简体中文。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投标文件在加盖投标人公章时，不得使用合同专用章、财务专用章、公司部门章或分支机构章、授权（投标）专用章等代替；否则，投标文件按无效投标处理。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投标文件应该用计算机打印，并加注页码，用不可拆卸的胶状方式整册装订牢固，任何塑料夹条、订书针装订或打孔装订的按无效投标文件处理。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投标人须按投标文件1份正本，2份副本，电子U盘文件一份，制作投标文件，须按照下列编制顺序制作文件，添加连续页码并胶装成册，在封面分别加盖“正本”或“副本”印样。</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1）目录</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3）投标人资质证明文件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4）投标人基本情况简介：包括企业简史与经营业务范围、组织机构、职工人数、工程技术人员、资信情况（包括固定资产原值、净值、流动资金、近3年内销售额与净利润及纳税）。</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5）投标报价表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6）项目组成人员表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7）投标人认为有必要提供的其他有关资料</w:t>
      </w:r>
    </w:p>
    <w:p>
      <w:pPr>
        <w:pStyle w:val="6"/>
        <w:pageBreakBefore w:val="0"/>
        <w:widowControl w:val="0"/>
        <w:kinsoku/>
        <w:wordWrap/>
        <w:overflowPunct/>
        <w:topLinePunct w:val="0"/>
        <w:autoSpaceDE/>
        <w:autoSpaceDN/>
        <w:bidi w:val="0"/>
        <w:spacing w:line="560" w:lineRule="exact"/>
        <w:ind w:left="0" w:firstLine="485"/>
        <w:textAlignment w:val="auto"/>
        <w:rPr>
          <w:rFonts w:hint="eastAsia" w:ascii="仿宋" w:hAnsi="仿宋" w:eastAsia="仿宋" w:cs="仿宋"/>
          <w:b w:val="0"/>
          <w:sz w:val="28"/>
          <w:szCs w:val="28"/>
        </w:rPr>
      </w:pPr>
      <w:bookmarkStart w:id="54" w:name="_Toc31503"/>
      <w:bookmarkStart w:id="55" w:name="_Toc34034470"/>
      <w:bookmarkStart w:id="56" w:name="_Toc617"/>
      <w:bookmarkStart w:id="57" w:name="_Toc131"/>
      <w:bookmarkStart w:id="58" w:name="_Toc369633084"/>
      <w:bookmarkStart w:id="59" w:name="_Toc26830"/>
      <w:r>
        <w:rPr>
          <w:rFonts w:hint="eastAsia" w:ascii="仿宋" w:hAnsi="仿宋" w:eastAsia="仿宋" w:cs="仿宋"/>
          <w:b w:val="0"/>
          <w:sz w:val="28"/>
          <w:szCs w:val="28"/>
          <w:lang w:val="en-US"/>
        </w:rPr>
        <w:t>8</w:t>
      </w:r>
      <w:r>
        <w:rPr>
          <w:rFonts w:hint="eastAsia" w:ascii="仿宋" w:hAnsi="仿宋" w:eastAsia="仿宋" w:cs="仿宋"/>
          <w:b w:val="0"/>
          <w:sz w:val="28"/>
          <w:szCs w:val="28"/>
        </w:rPr>
        <w:t>）为了唱标方便请将报价装于投标文件首页</w:t>
      </w:r>
      <w:bookmarkEnd w:id="54"/>
      <w:bookmarkEnd w:id="55"/>
      <w:bookmarkEnd w:id="56"/>
      <w:bookmarkEnd w:id="57"/>
      <w:bookmarkEnd w:id="58"/>
      <w:bookmarkEnd w:id="59"/>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0" w:name="_Toc29280"/>
      <w:bookmarkStart w:id="61" w:name="_Toc369633085"/>
      <w:bookmarkStart w:id="62" w:name="_Toc786"/>
      <w:r>
        <w:rPr>
          <w:rFonts w:hint="eastAsia" w:ascii="仿宋" w:hAnsi="仿宋" w:eastAsia="仿宋" w:cs="仿宋"/>
          <w:sz w:val="28"/>
          <w:szCs w:val="28"/>
        </w:rPr>
        <w:t>2.2.3 投标报价</w:t>
      </w:r>
      <w:bookmarkEnd w:id="60"/>
      <w:bookmarkEnd w:id="61"/>
      <w:bookmarkEnd w:id="62"/>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此次投标须标明各品目报价及合计报价，否则视为无效投标。投标价格应包括完成招标文件规定的招标范围全部内容所需的全部费用。除非招标文件另有规定，投标报价应包括项目所需</w:t>
      </w:r>
      <w:r>
        <w:rPr>
          <w:rFonts w:hint="eastAsia" w:ascii="仿宋" w:hAnsi="仿宋" w:eastAsia="仿宋" w:cs="仿宋"/>
          <w:sz w:val="28"/>
          <w:szCs w:val="28"/>
          <w:lang w:val="en-US" w:eastAsia="zh-CN"/>
        </w:rPr>
        <w:t>货物</w:t>
      </w:r>
      <w:r>
        <w:rPr>
          <w:rFonts w:hint="eastAsia" w:ascii="仿宋" w:hAnsi="仿宋" w:eastAsia="仿宋" w:cs="仿宋"/>
          <w:sz w:val="28"/>
          <w:szCs w:val="28"/>
        </w:rPr>
        <w:t>运输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安装、</w:t>
      </w:r>
      <w:r>
        <w:rPr>
          <w:rFonts w:hint="eastAsia" w:ascii="仿宋" w:hAnsi="仿宋" w:eastAsia="仿宋" w:cs="仿宋"/>
          <w:sz w:val="28"/>
          <w:szCs w:val="28"/>
        </w:rPr>
        <w:t>保险、利润、税金、劳保统筹、政策性文件规定及合同包含的所有风险、优惠率、责任等各项应有费用。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投标价格采用唯一价格，即不得为某一范围价格。投标方案只能确定一个，投标货币为人民币。</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3" w:name="_Toc1865"/>
      <w:bookmarkStart w:id="64" w:name="_Toc369633086"/>
      <w:bookmarkStart w:id="65" w:name="_Toc12398"/>
      <w:r>
        <w:rPr>
          <w:rFonts w:hint="eastAsia" w:ascii="仿宋" w:hAnsi="仿宋" w:eastAsia="仿宋" w:cs="仿宋"/>
          <w:sz w:val="28"/>
          <w:szCs w:val="28"/>
        </w:rPr>
        <w:t>2.2.4 投标有效期</w:t>
      </w:r>
      <w:bookmarkEnd w:id="63"/>
      <w:bookmarkEnd w:id="64"/>
      <w:bookmarkEnd w:id="6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见前附表。</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66" w:name="_Toc128372066"/>
      <w:bookmarkStart w:id="67" w:name="_Toc5253"/>
      <w:bookmarkStart w:id="68" w:name="_Toc139965340"/>
      <w:bookmarkStart w:id="69" w:name="_Toc4285"/>
      <w:bookmarkStart w:id="70" w:name="_Toc369633087"/>
      <w:bookmarkStart w:id="71" w:name="_Toc128372744"/>
      <w:r>
        <w:rPr>
          <w:rFonts w:hint="eastAsia" w:ascii="仿宋" w:hAnsi="仿宋" w:eastAsia="仿宋" w:cs="仿宋"/>
          <w:sz w:val="28"/>
          <w:szCs w:val="28"/>
        </w:rPr>
        <w:t>2.2.5 投标保证金</w:t>
      </w:r>
      <w:bookmarkEnd w:id="66"/>
      <w:bookmarkEnd w:id="67"/>
      <w:bookmarkEnd w:id="68"/>
      <w:bookmarkEnd w:id="69"/>
      <w:bookmarkEnd w:id="70"/>
      <w:bookmarkEnd w:id="71"/>
    </w:p>
    <w:p>
      <w:pPr>
        <w:pageBreakBefore w:val="0"/>
        <w:widowControl w:val="0"/>
        <w:kinsoku/>
        <w:wordWrap/>
        <w:overflowPunct/>
        <w:topLinePunct w:val="0"/>
        <w:autoSpaceDE/>
        <w:autoSpaceDN/>
        <w:bidi w:val="0"/>
        <w:spacing w:line="560" w:lineRule="exact"/>
        <w:ind w:left="0" w:firstLine="423" w:firstLineChars="150"/>
        <w:textAlignment w:val="auto"/>
        <w:rPr>
          <w:rFonts w:hint="eastAsia" w:ascii="仿宋" w:hAnsi="仿宋" w:eastAsia="仿宋" w:cs="仿宋"/>
          <w:sz w:val="28"/>
          <w:szCs w:val="28"/>
        </w:rPr>
      </w:pPr>
      <w:r>
        <w:rPr>
          <w:rFonts w:hint="eastAsia" w:ascii="仿宋" w:hAnsi="仿宋" w:eastAsia="仿宋" w:cs="仿宋"/>
          <w:sz w:val="28"/>
          <w:szCs w:val="28"/>
        </w:rPr>
        <w:t>投标保证金数额及交纳方式（见投标须知前附表）：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对于未能按要求交纳投标保证金的投标，招标人将视为非实质性响应招标文件的要求而予以拒绝，即为无效投标。</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如投标人有下列情况，投标保证金不予退还：</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 在投标截止时间后撤回其投标文件的；</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成交</w:t>
      </w:r>
      <w:r>
        <w:rPr>
          <w:rFonts w:hint="eastAsia" w:ascii="仿宋" w:hAnsi="仿宋" w:eastAsia="仿宋" w:cs="仿宋"/>
          <w:sz w:val="28"/>
          <w:szCs w:val="28"/>
        </w:rPr>
        <w:t xml:space="preserve">后无正当理由不与采购人签订合同的； </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3）未能在规定期限内签署合同的；</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4）成交公告发布后，无正当理由放弃</w:t>
      </w:r>
      <w:r>
        <w:rPr>
          <w:rFonts w:hint="eastAsia" w:ascii="仿宋" w:hAnsi="仿宋" w:eastAsia="仿宋" w:cs="仿宋"/>
          <w:sz w:val="28"/>
          <w:szCs w:val="28"/>
          <w:lang w:eastAsia="zh-CN"/>
        </w:rPr>
        <w:t>成交</w:t>
      </w:r>
      <w:r>
        <w:rPr>
          <w:rFonts w:hint="eastAsia" w:ascii="仿宋" w:hAnsi="仿宋" w:eastAsia="仿宋" w:cs="仿宋"/>
          <w:sz w:val="28"/>
          <w:szCs w:val="28"/>
        </w:rPr>
        <w:t>的。</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bCs/>
          <w:sz w:val="28"/>
          <w:szCs w:val="28"/>
        </w:rPr>
      </w:pPr>
      <w:bookmarkStart w:id="72" w:name="_Toc128372746"/>
      <w:bookmarkStart w:id="73" w:name="_Toc128372068"/>
      <w:bookmarkStart w:id="74" w:name="_Toc139965341"/>
      <w:bookmarkStart w:id="75" w:name="_Toc16874"/>
      <w:bookmarkStart w:id="76" w:name="_Toc30726"/>
      <w:bookmarkStart w:id="77" w:name="_Toc369633088"/>
      <w:r>
        <w:rPr>
          <w:rFonts w:hint="eastAsia" w:ascii="仿宋" w:hAnsi="仿宋" w:eastAsia="仿宋" w:cs="仿宋"/>
          <w:bCs/>
          <w:sz w:val="28"/>
          <w:szCs w:val="28"/>
        </w:rPr>
        <w:t>2.2.</w:t>
      </w:r>
      <w:bookmarkEnd w:id="72"/>
      <w:bookmarkEnd w:id="73"/>
      <w:bookmarkEnd w:id="74"/>
      <w:bookmarkStart w:id="78" w:name="_Toc139965342"/>
      <w:bookmarkStart w:id="79" w:name="_Toc128372069"/>
      <w:bookmarkStart w:id="80" w:name="_Toc128372747"/>
      <w:r>
        <w:rPr>
          <w:rFonts w:hint="eastAsia" w:ascii="仿宋" w:hAnsi="仿宋" w:eastAsia="仿宋" w:cs="仿宋"/>
          <w:bCs/>
          <w:sz w:val="28"/>
          <w:szCs w:val="28"/>
        </w:rPr>
        <w:t>6投标文件的份数和签署</w:t>
      </w:r>
      <w:bookmarkEnd w:id="75"/>
      <w:bookmarkEnd w:id="76"/>
      <w:bookmarkEnd w:id="77"/>
      <w:bookmarkEnd w:id="78"/>
      <w:bookmarkEnd w:id="79"/>
      <w:bookmarkEnd w:id="80"/>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bookmarkStart w:id="81" w:name="_Toc369633089"/>
      <w:r>
        <w:rPr>
          <w:rFonts w:hint="eastAsia" w:ascii="仿宋" w:hAnsi="仿宋" w:eastAsia="仿宋" w:cs="仿宋"/>
          <w:sz w:val="28"/>
          <w:szCs w:val="28"/>
        </w:rPr>
        <w:t>投标人应编制正本、副本、电子U盘文本，具体份数以投标须知前附表要求为准，并明确标明“正本”和“副本”字样。投标文件正本和副本如有不一致之处，以正本为准。</w:t>
      </w:r>
    </w:p>
    <w:p>
      <w:pPr>
        <w:pageBreakBefore w:val="0"/>
        <w:widowControl w:val="0"/>
        <w:kinsoku/>
        <w:wordWrap/>
        <w:overflowPunct/>
        <w:topLinePunct w:val="0"/>
        <w:autoSpaceDE/>
        <w:autoSpaceDN/>
        <w:bidi w:val="0"/>
        <w:spacing w:line="560" w:lineRule="exact"/>
        <w:ind w:firstLine="564" w:firstLineChars="200"/>
        <w:textAlignment w:val="auto"/>
        <w:rPr>
          <w:rFonts w:hint="eastAsia" w:ascii="仿宋" w:hAnsi="仿宋" w:eastAsia="仿宋" w:cs="仿宋"/>
          <w:sz w:val="28"/>
          <w:szCs w:val="28"/>
        </w:rPr>
      </w:pPr>
      <w:bookmarkStart w:id="82" w:name="_Toc9578"/>
      <w:r>
        <w:rPr>
          <w:rFonts w:hint="eastAsia" w:ascii="仿宋" w:hAnsi="仿宋" w:eastAsia="仿宋" w:cs="仿宋"/>
          <w:sz w:val="28"/>
          <w:szCs w:val="28"/>
        </w:rPr>
        <w:t>投标文件（正副本）中除要求由投标人法定代表人或被授权人签字的内容必须签字、盖章外，其他每页也须加盖投标企业公章和法人印章（红色鲜章），属原件复印而来的复印件另标注“与原件一致”字样或加盖“与原件一致”条章。投标文件应使用不能擦去的墨水打印或书写。全套投标文件应无涂改和行间插字，如由投标人造成的书写错误，必须进行时，修改处应由投标人法人或授权人签字，并加注公章。</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83" w:name="_Toc20336"/>
      <w:r>
        <w:rPr>
          <w:rFonts w:hint="eastAsia" w:ascii="仿宋" w:hAnsi="仿宋" w:eastAsia="仿宋" w:cs="仿宋"/>
          <w:sz w:val="28"/>
          <w:szCs w:val="28"/>
        </w:rPr>
        <w:t>2.2.7 投标文件格式</w:t>
      </w:r>
      <w:bookmarkEnd w:id="81"/>
      <w:bookmarkEnd w:id="82"/>
      <w:bookmarkEnd w:id="8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招标文件提供的规定格式包括以下五个内容（见附件）：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1）投标函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2）法人授权函</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3）投标报价表</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4）项目组成人员表</w:t>
      </w:r>
    </w:p>
    <w:p>
      <w:pPr>
        <w:pStyle w:val="3"/>
        <w:pageBreakBefore w:val="0"/>
        <w:widowControl w:val="0"/>
        <w:kinsoku/>
        <w:wordWrap/>
        <w:overflowPunct/>
        <w:topLinePunct w:val="0"/>
        <w:autoSpaceDE/>
        <w:autoSpaceDN/>
        <w:bidi w:val="0"/>
        <w:spacing w:line="560" w:lineRule="exact"/>
        <w:ind w:left="0"/>
        <w:textAlignment w:val="auto"/>
        <w:rPr>
          <w:rFonts w:hint="eastAsia" w:ascii="仿宋" w:hAnsi="仿宋" w:eastAsia="仿宋" w:cs="仿宋"/>
          <w:sz w:val="28"/>
          <w:szCs w:val="28"/>
        </w:rPr>
      </w:pPr>
      <w:r>
        <w:rPr>
          <w:rFonts w:hint="eastAsia" w:ascii="仿宋" w:hAnsi="仿宋" w:eastAsia="仿宋" w:cs="仿宋"/>
          <w:sz w:val="28"/>
          <w:szCs w:val="28"/>
        </w:rPr>
        <w:t xml:space="preserve">    5）供应商信用承诺书</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招标文件未提供的格式由投标人自行编写。</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84" w:name="_Toc26868"/>
      <w:bookmarkStart w:id="85" w:name="_Toc458439981"/>
      <w:bookmarkStart w:id="86" w:name="_Toc369633090"/>
      <w:bookmarkStart w:id="87" w:name="_Toc15790"/>
      <w:bookmarkStart w:id="88" w:name="_Toc128372072"/>
      <w:bookmarkStart w:id="89" w:name="_Toc139965345"/>
      <w:bookmarkStart w:id="90" w:name="_Toc128372750"/>
      <w:r>
        <w:rPr>
          <w:rFonts w:hint="eastAsia" w:ascii="仿宋" w:hAnsi="仿宋" w:eastAsia="仿宋" w:cs="仿宋"/>
          <w:sz w:val="28"/>
          <w:szCs w:val="28"/>
        </w:rPr>
        <w:t>2.2.8 投标文件的密封</w:t>
      </w:r>
      <w:bookmarkEnd w:id="84"/>
      <w:bookmarkEnd w:id="85"/>
      <w:bookmarkEnd w:id="86"/>
      <w:bookmarkEnd w:id="87"/>
    </w:p>
    <w:p>
      <w:pPr>
        <w:keepNext w:val="0"/>
        <w:keepLines w:val="0"/>
        <w:pageBreakBefore w:val="0"/>
        <w:widowControl w:val="0"/>
        <w:kinsoku/>
        <w:wordWrap/>
        <w:overflowPunct/>
        <w:topLinePunct w:val="0"/>
        <w:autoSpaceDE/>
        <w:autoSpaceDN/>
        <w:bidi w:val="0"/>
        <w:spacing w:line="560" w:lineRule="exact"/>
        <w:ind w:left="0" w:firstLine="423" w:firstLineChars="150"/>
        <w:textAlignment w:val="auto"/>
        <w:rPr>
          <w:rFonts w:hint="eastAsia" w:ascii="仿宋" w:hAnsi="仿宋" w:eastAsia="仿宋" w:cs="仿宋"/>
          <w:b/>
          <w:sz w:val="28"/>
          <w:szCs w:val="28"/>
        </w:rPr>
      </w:pPr>
      <w:r>
        <w:rPr>
          <w:rFonts w:hint="eastAsia" w:ascii="仿宋" w:hAnsi="仿宋" w:eastAsia="仿宋" w:cs="仿宋"/>
          <w:sz w:val="28"/>
          <w:szCs w:val="28"/>
        </w:rPr>
        <w:t>投标人应必须将投标文件正本、所有副本分开密封， “开标报价一览表”和电子版投标文件（U盘）一起单独密封，所有资质原件单独一个密封包（注：所有副本应全部整体封包，投标资料共计</w:t>
      </w:r>
      <w:r>
        <w:rPr>
          <w:rFonts w:hint="eastAsia" w:ascii="仿宋" w:hAnsi="仿宋" w:eastAsia="仿宋" w:cs="仿宋"/>
          <w:sz w:val="28"/>
          <w:szCs w:val="28"/>
          <w:lang w:val="en-US" w:eastAsia="zh-CN"/>
        </w:rPr>
        <w:t>3</w:t>
      </w:r>
      <w:r>
        <w:rPr>
          <w:rFonts w:hint="eastAsia" w:ascii="仿宋" w:hAnsi="仿宋" w:eastAsia="仿宋" w:cs="仿宋"/>
          <w:sz w:val="28"/>
          <w:szCs w:val="28"/>
        </w:rPr>
        <w:t>个封包，</w:t>
      </w:r>
      <w:r>
        <w:rPr>
          <w:rFonts w:hint="eastAsia" w:ascii="仿宋" w:hAnsi="仿宋" w:eastAsia="仿宋" w:cs="仿宋"/>
          <w:b/>
          <w:sz w:val="28"/>
          <w:szCs w:val="28"/>
        </w:rPr>
        <w:t>封包1：投标文件正本；封包2：投标文件所有副本；封包3：开标报价一览表和电子版投标文件（U盘）；资质等原件</w:t>
      </w:r>
      <w:r>
        <w:rPr>
          <w:rFonts w:hint="eastAsia" w:ascii="仿宋" w:hAnsi="仿宋" w:eastAsia="仿宋" w:cs="仿宋"/>
          <w:b/>
          <w:sz w:val="28"/>
          <w:szCs w:val="28"/>
          <w:lang w:val="en-US" w:eastAsia="zh-CN"/>
        </w:rPr>
        <w:t>由投标代表自行携带至开标现场</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投标文件及“开标报价一览表”外层包装须按以下要求标记：</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投标单位（盖公章）的全称；</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投标项目名称、招标文件编号、包号（如无则不填包号）；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正本、副本、电子版和开标报价一览表、资质原件；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282"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“请勿在(开标时间)之前启封”字样，并在骑缝处加盖公章。</w:t>
      </w:r>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如果外层包封没有按上述规定密封并加注标志，招标人将不予受理，所造成的不利因素由投标人自行承担。</w:t>
      </w:r>
    </w:p>
    <w:p>
      <w:pPr>
        <w:pStyle w:val="6"/>
        <w:keepNext w:val="0"/>
        <w:keepLines w:val="0"/>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91" w:name="_Toc26290"/>
      <w:bookmarkStart w:id="92" w:name="_Toc6888"/>
      <w:bookmarkStart w:id="93" w:name="_Toc369633091"/>
      <w:r>
        <w:rPr>
          <w:rFonts w:hint="eastAsia" w:ascii="仿宋" w:hAnsi="仿宋" w:eastAsia="仿宋" w:cs="仿宋"/>
          <w:sz w:val="28"/>
          <w:szCs w:val="28"/>
        </w:rPr>
        <w:t>2.2.9 投标文件递交</w:t>
      </w:r>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投标文件应在公告规定的时间、地点送达，招标人将拒绝接受在投标截止时间后递交的投标文件。</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94" w:name="_Toc128372073"/>
      <w:bookmarkStart w:id="95" w:name="_Toc139965346"/>
      <w:bookmarkStart w:id="96" w:name="_Toc128372751"/>
      <w:bookmarkStart w:id="97" w:name="_Toc10200"/>
      <w:bookmarkStart w:id="98" w:name="_Toc12355"/>
      <w:bookmarkStart w:id="99" w:name="_Toc369633092"/>
      <w:r>
        <w:rPr>
          <w:rFonts w:hint="eastAsia" w:ascii="仿宋" w:hAnsi="仿宋" w:eastAsia="仿宋" w:cs="仿宋"/>
          <w:sz w:val="28"/>
          <w:szCs w:val="28"/>
        </w:rPr>
        <w:t>2.2.10 投标截止时间</w:t>
      </w:r>
      <w:bookmarkEnd w:id="94"/>
      <w:bookmarkEnd w:id="95"/>
      <w:bookmarkEnd w:id="96"/>
      <w:bookmarkEnd w:id="97"/>
      <w:bookmarkEnd w:id="98"/>
      <w:bookmarkEnd w:id="99"/>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投标截止时间以发布的公告时间为准。</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采购人可以补充通知的方式，酌情延长投标截止时间。在上述情况下，招标人与投标人以前在投标截止期方面的全部权力、责任和义务，将适用于延长后新的投标截止时间。</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00" w:name="_Toc139965347"/>
      <w:bookmarkStart w:id="101" w:name="_Toc369633093"/>
      <w:bookmarkStart w:id="102" w:name="_Toc128372752"/>
      <w:bookmarkStart w:id="103" w:name="_Toc19392"/>
      <w:bookmarkStart w:id="104" w:name="_Toc10622"/>
      <w:bookmarkStart w:id="105" w:name="_Toc128372074"/>
      <w:r>
        <w:rPr>
          <w:rFonts w:hint="eastAsia" w:ascii="仿宋" w:hAnsi="仿宋" w:eastAsia="仿宋" w:cs="仿宋"/>
          <w:sz w:val="28"/>
          <w:szCs w:val="28"/>
        </w:rPr>
        <w:t>2.2.11 投标文件的补充、修改与撤回</w:t>
      </w:r>
      <w:bookmarkEnd w:id="100"/>
      <w:bookmarkEnd w:id="101"/>
      <w:bookmarkEnd w:id="102"/>
      <w:bookmarkEnd w:id="103"/>
      <w:bookmarkEnd w:id="104"/>
      <w:bookmarkEnd w:id="10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bookmarkStart w:id="106" w:name="_Toc128372075"/>
      <w:bookmarkStart w:id="107" w:name="_Toc139965348"/>
      <w:bookmarkStart w:id="108" w:name="_Toc128372753"/>
      <w:bookmarkStart w:id="109" w:name="_Toc369633094"/>
      <w:r>
        <w:rPr>
          <w:rFonts w:hint="eastAsia" w:ascii="仿宋" w:hAnsi="仿宋" w:eastAsia="仿宋" w:cs="仿宋"/>
          <w:sz w:val="28"/>
          <w:szCs w:val="28"/>
        </w:rPr>
        <w:t>投标人可以在递交投标文件以后，在规定的投标截止时间之前，以书面形式向招标人递交补充、修改或撤回其投标文件的通知。再次递交投标文件时间不得超过投标截止时间，且投标文件应按招标文件要求重新封装，否则招标人将拒绝其投标文件。投标截止时间以后，投标人不能更改投标文件。</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投标人的补充、修改或撤回通知，应单独密封在一个信封中，在信封上注明“补充”、“修改”或“撤回”的字样。同时，信封上还须按投标文件的密封要求加写标志。</w:t>
      </w:r>
    </w:p>
    <w:p>
      <w:pPr>
        <w:pStyle w:val="5"/>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110" w:name="_Toc10293"/>
      <w:bookmarkStart w:id="111" w:name="_Toc3851"/>
      <w:r>
        <w:rPr>
          <w:rFonts w:hint="eastAsia" w:ascii="宋体" w:hAnsi="宋体"/>
          <w:sz w:val="28"/>
          <w:szCs w:val="28"/>
        </w:rPr>
        <w:t>2.3 开标</w:t>
      </w:r>
      <w:bookmarkEnd w:id="106"/>
      <w:bookmarkEnd w:id="107"/>
      <w:bookmarkEnd w:id="108"/>
      <w:bookmarkEnd w:id="109"/>
      <w:bookmarkEnd w:id="110"/>
      <w:bookmarkEnd w:id="111"/>
    </w:p>
    <w:p>
      <w:pPr>
        <w:pageBreakBefore w:val="0"/>
        <w:widowControl w:val="0"/>
        <w:kinsoku/>
        <w:wordWrap/>
        <w:overflowPunct/>
        <w:topLinePunct w:val="0"/>
        <w:autoSpaceDE/>
        <w:autoSpaceDN/>
        <w:bidi w:val="0"/>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集中采购机构将于招标公告规定的开标时间和地点举行开标会议，投标人的法定代表人或授权代表人必须参加开标会议。如果供应商不参加开标仪式的将被视为认可开标程序及结果，参加开标仪式的应当签名以证明其出席。</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开标会议在具有全程录音录像条件下，由采购代理机构组织并主持，采购人对投标文件进行检查，除投标截止时间前递交合格撤回通知的投标文件不予开封外，将检查投标文件是否符合投标文件的密封要求。</w:t>
      </w:r>
    </w:p>
    <w:p>
      <w:pPr>
        <w:keepNext w:val="0"/>
        <w:keepLines w:val="0"/>
        <w:pageBreakBefore w:val="0"/>
        <w:widowControl w:val="0"/>
        <w:kinsoku/>
        <w:wordWrap/>
        <w:overflowPunct/>
        <w:topLinePunct w:val="0"/>
        <w:autoSpaceDE/>
        <w:autoSpaceDN/>
        <w:bidi w:val="0"/>
        <w:adjustRightInd/>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为了不透露投标企业的标的价，本谈判项目开标现场不予唱标，投标报价由评审小组负责登记并</w:t>
      </w:r>
      <w:r>
        <w:rPr>
          <w:rFonts w:hint="eastAsia" w:ascii="仿宋" w:hAnsi="仿宋" w:eastAsia="仿宋" w:cs="仿宋"/>
          <w:sz w:val="28"/>
          <w:szCs w:val="28"/>
        </w:rPr>
        <w:t>进行记录</w:t>
      </w:r>
      <w:r>
        <w:rPr>
          <w:rFonts w:hint="eastAsia" w:ascii="仿宋" w:hAnsi="仿宋" w:eastAsia="仿宋" w:cs="仿宋"/>
          <w:sz w:val="28"/>
          <w:szCs w:val="28"/>
          <w:lang w:eastAsia="zh-CN"/>
        </w:rPr>
        <w:t>，</w:t>
      </w:r>
      <w:r>
        <w:rPr>
          <w:rFonts w:hint="eastAsia" w:ascii="仿宋" w:hAnsi="仿宋" w:eastAsia="仿宋" w:cs="仿宋"/>
          <w:sz w:val="28"/>
          <w:szCs w:val="28"/>
        </w:rPr>
        <w:t>并由采购人、投标人代表签字确认，如未签字的将被视为认可</w:t>
      </w:r>
      <w:r>
        <w:rPr>
          <w:rFonts w:hint="eastAsia" w:ascii="仿宋" w:hAnsi="仿宋" w:eastAsia="仿宋" w:cs="仿宋"/>
          <w:sz w:val="28"/>
          <w:szCs w:val="28"/>
          <w:lang w:val="en-US" w:eastAsia="zh-CN"/>
        </w:rPr>
        <w:t>报价</w:t>
      </w:r>
      <w:r>
        <w:rPr>
          <w:rFonts w:hint="eastAsia" w:ascii="仿宋" w:hAnsi="仿宋" w:eastAsia="仿宋" w:cs="仿宋"/>
          <w:sz w:val="28"/>
          <w:szCs w:val="28"/>
        </w:rPr>
        <w:t>内容。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采购人有权就投标文件中含混之处向投标人提出询问或澄清要求。</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公开开标后，直到向</w:t>
      </w:r>
      <w:r>
        <w:rPr>
          <w:rFonts w:hint="eastAsia" w:ascii="仿宋" w:hAnsi="仿宋" w:eastAsia="仿宋" w:cs="仿宋"/>
          <w:sz w:val="28"/>
          <w:szCs w:val="28"/>
          <w:lang w:eastAsia="zh-CN"/>
        </w:rPr>
        <w:t>成交</w:t>
      </w:r>
      <w:r>
        <w:rPr>
          <w:rFonts w:hint="eastAsia" w:ascii="仿宋" w:hAnsi="仿宋" w:eastAsia="仿宋" w:cs="仿宋"/>
          <w:sz w:val="28"/>
          <w:szCs w:val="28"/>
        </w:rPr>
        <w:t>的投标人授予合同时止，凡与审查、澄清、评价和比较投标的有关资料以及授标意见等均不得向投标人及与投标无关的其他人透露。</w:t>
      </w:r>
    </w:p>
    <w:p>
      <w:pPr>
        <w:pStyle w:val="5"/>
        <w:pageBreakBefore w:val="0"/>
        <w:widowControl w:val="0"/>
        <w:kinsoku/>
        <w:wordWrap/>
        <w:overflowPunct/>
        <w:topLinePunct w:val="0"/>
        <w:autoSpaceDE/>
        <w:autoSpaceDN/>
        <w:bidi w:val="0"/>
        <w:spacing w:before="0" w:after="0" w:line="560" w:lineRule="exact"/>
        <w:ind w:left="0" w:firstLine="419" w:firstLineChars="149"/>
        <w:textAlignment w:val="auto"/>
        <w:rPr>
          <w:rFonts w:hint="eastAsia" w:ascii="宋体" w:hAnsi="宋体"/>
          <w:sz w:val="28"/>
          <w:szCs w:val="28"/>
        </w:rPr>
      </w:pPr>
      <w:bookmarkStart w:id="112" w:name="_Toc128372077"/>
      <w:bookmarkStart w:id="113" w:name="_Toc128372755"/>
      <w:bookmarkStart w:id="114" w:name="_Toc139965350"/>
      <w:bookmarkStart w:id="115" w:name="_Toc19091"/>
      <w:bookmarkStart w:id="116" w:name="_Toc369633095"/>
      <w:bookmarkStart w:id="117" w:name="_Toc26697"/>
      <w:r>
        <w:rPr>
          <w:rFonts w:hint="eastAsia" w:ascii="宋体" w:hAnsi="宋体"/>
          <w:sz w:val="28"/>
          <w:szCs w:val="28"/>
        </w:rPr>
        <w:t>2.4 合同</w:t>
      </w:r>
      <w:bookmarkEnd w:id="112"/>
      <w:bookmarkEnd w:id="113"/>
      <w:bookmarkEnd w:id="114"/>
      <w:r>
        <w:rPr>
          <w:rFonts w:hint="eastAsia" w:ascii="宋体" w:hAnsi="宋体"/>
          <w:sz w:val="28"/>
          <w:szCs w:val="28"/>
        </w:rPr>
        <w:t>的授予</w:t>
      </w:r>
      <w:bookmarkEnd w:id="115"/>
      <w:bookmarkEnd w:id="116"/>
      <w:bookmarkEnd w:id="117"/>
    </w:p>
    <w:p>
      <w:pPr>
        <w:pStyle w:val="6"/>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rPr>
      </w:pPr>
      <w:bookmarkStart w:id="118" w:name="_Toc29613"/>
      <w:bookmarkStart w:id="119" w:name="_Toc139965352"/>
      <w:bookmarkStart w:id="120" w:name="_Toc24021"/>
      <w:bookmarkStart w:id="121" w:name="_Toc128372757"/>
      <w:bookmarkStart w:id="122" w:name="_Toc369633096"/>
      <w:bookmarkStart w:id="123" w:name="_Toc128372079"/>
      <w:bookmarkStart w:id="124" w:name="_Toc128372756"/>
      <w:bookmarkStart w:id="125" w:name="_Toc139965351"/>
      <w:bookmarkStart w:id="126" w:name="_Toc128372078"/>
      <w:r>
        <w:rPr>
          <w:rFonts w:hint="eastAsia" w:ascii="仿宋" w:hAnsi="仿宋" w:eastAsia="仿宋" w:cs="仿宋"/>
          <w:sz w:val="28"/>
          <w:szCs w:val="28"/>
        </w:rPr>
        <w:t xml:space="preserve">2.4.1 </w:t>
      </w:r>
      <w:r>
        <w:rPr>
          <w:rFonts w:hint="eastAsia" w:ascii="仿宋" w:hAnsi="仿宋" w:eastAsia="仿宋" w:cs="仿宋"/>
          <w:sz w:val="28"/>
          <w:szCs w:val="28"/>
          <w:lang w:eastAsia="zh-CN"/>
        </w:rPr>
        <w:t>成交</w:t>
      </w:r>
      <w:r>
        <w:rPr>
          <w:rFonts w:hint="eastAsia" w:ascii="仿宋" w:hAnsi="仿宋" w:eastAsia="仿宋" w:cs="仿宋"/>
          <w:sz w:val="28"/>
          <w:szCs w:val="28"/>
        </w:rPr>
        <w:t>通知书</w:t>
      </w:r>
      <w:bookmarkEnd w:id="118"/>
      <w:bookmarkEnd w:id="119"/>
      <w:bookmarkEnd w:id="120"/>
      <w:bookmarkEnd w:id="121"/>
      <w:bookmarkEnd w:id="122"/>
      <w:bookmarkEnd w:id="123"/>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采购人根据谈判小组的评议结果，公布拟</w:t>
      </w:r>
      <w:r>
        <w:rPr>
          <w:rFonts w:hint="eastAsia" w:ascii="仿宋" w:hAnsi="仿宋" w:eastAsia="仿宋" w:cs="仿宋"/>
          <w:sz w:val="28"/>
          <w:szCs w:val="28"/>
          <w:lang w:eastAsia="zh-CN"/>
        </w:rPr>
        <w:t>成交</w:t>
      </w:r>
      <w:r>
        <w:rPr>
          <w:rFonts w:hint="eastAsia" w:ascii="仿宋" w:hAnsi="仿宋" w:eastAsia="仿宋" w:cs="仿宋"/>
          <w:sz w:val="28"/>
          <w:szCs w:val="28"/>
        </w:rPr>
        <w:t>结果，</w:t>
      </w:r>
      <w:r>
        <w:rPr>
          <w:rFonts w:hint="eastAsia" w:ascii="仿宋" w:hAnsi="仿宋" w:eastAsia="仿宋" w:cs="仿宋"/>
          <w:sz w:val="28"/>
          <w:szCs w:val="28"/>
          <w:lang w:eastAsia="zh-CN"/>
        </w:rPr>
        <w:t>成交</w:t>
      </w:r>
      <w:r>
        <w:rPr>
          <w:rFonts w:hint="eastAsia" w:ascii="仿宋" w:hAnsi="仿宋" w:eastAsia="仿宋" w:cs="仿宋"/>
          <w:sz w:val="28"/>
          <w:szCs w:val="28"/>
        </w:rPr>
        <w:t>通知书发出后无质疑的情况下，该结果将做为是正式</w:t>
      </w:r>
      <w:r>
        <w:rPr>
          <w:rFonts w:hint="eastAsia" w:ascii="仿宋" w:hAnsi="仿宋" w:eastAsia="仿宋" w:cs="仿宋"/>
          <w:sz w:val="28"/>
          <w:szCs w:val="28"/>
          <w:lang w:eastAsia="zh-CN"/>
        </w:rPr>
        <w:t>成交</w:t>
      </w:r>
      <w:r>
        <w:rPr>
          <w:rFonts w:hint="eastAsia" w:ascii="仿宋" w:hAnsi="仿宋" w:eastAsia="仿宋" w:cs="仿宋"/>
          <w:sz w:val="28"/>
          <w:szCs w:val="28"/>
        </w:rPr>
        <w:t>或签订供货合同的凭据。采购人将以书面形式通知</w:t>
      </w:r>
      <w:r>
        <w:rPr>
          <w:rFonts w:hint="eastAsia" w:ascii="仿宋" w:hAnsi="仿宋" w:eastAsia="仿宋" w:cs="仿宋"/>
          <w:sz w:val="28"/>
          <w:szCs w:val="28"/>
          <w:lang w:eastAsia="zh-CN"/>
        </w:rPr>
        <w:t>成交</w:t>
      </w:r>
      <w:r>
        <w:rPr>
          <w:rFonts w:hint="eastAsia" w:ascii="仿宋" w:hAnsi="仿宋" w:eastAsia="仿宋" w:cs="仿宋"/>
          <w:sz w:val="28"/>
          <w:szCs w:val="28"/>
        </w:rPr>
        <w:t>的投标人其投标被接受。在该通知书中将给出</w:t>
      </w:r>
      <w:r>
        <w:rPr>
          <w:rFonts w:hint="eastAsia" w:ascii="仿宋" w:hAnsi="仿宋" w:eastAsia="仿宋" w:cs="仿宋"/>
          <w:sz w:val="28"/>
          <w:szCs w:val="28"/>
          <w:lang w:eastAsia="zh-CN"/>
        </w:rPr>
        <w:t>成交</w:t>
      </w:r>
      <w:r>
        <w:rPr>
          <w:rFonts w:hint="eastAsia" w:ascii="仿宋" w:hAnsi="仿宋" w:eastAsia="仿宋" w:cs="仿宋"/>
          <w:sz w:val="28"/>
          <w:szCs w:val="28"/>
        </w:rPr>
        <w:t>人应按本合同实施、完成和维护项目的</w:t>
      </w:r>
      <w:r>
        <w:rPr>
          <w:rFonts w:hint="eastAsia" w:ascii="仿宋" w:hAnsi="仿宋" w:eastAsia="仿宋" w:cs="仿宋"/>
          <w:sz w:val="28"/>
          <w:szCs w:val="28"/>
          <w:lang w:eastAsia="zh-CN"/>
        </w:rPr>
        <w:t>成交</w:t>
      </w:r>
      <w:r>
        <w:rPr>
          <w:rFonts w:hint="eastAsia" w:ascii="仿宋" w:hAnsi="仿宋" w:eastAsia="仿宋" w:cs="仿宋"/>
          <w:sz w:val="28"/>
          <w:szCs w:val="28"/>
        </w:rPr>
        <w:t>标价（合同条件中称为“合同价格”）、交货日期、地点以及其他相关事项。</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通知书将成为合同的组成部分。</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27" w:name="_Toc24955"/>
      <w:bookmarkStart w:id="128" w:name="_Toc23688"/>
      <w:bookmarkStart w:id="129" w:name="_Toc369633097"/>
      <w:r>
        <w:rPr>
          <w:rFonts w:hint="eastAsia" w:ascii="仿宋" w:hAnsi="仿宋" w:eastAsia="仿宋" w:cs="仿宋"/>
          <w:sz w:val="28"/>
          <w:szCs w:val="28"/>
        </w:rPr>
        <w:t>2.4.2 合同授予</w:t>
      </w:r>
      <w:bookmarkEnd w:id="124"/>
      <w:bookmarkEnd w:id="125"/>
      <w:bookmarkEnd w:id="126"/>
      <w:r>
        <w:rPr>
          <w:rFonts w:hint="eastAsia" w:ascii="仿宋" w:hAnsi="仿宋" w:eastAsia="仿宋" w:cs="仿宋"/>
          <w:sz w:val="28"/>
          <w:szCs w:val="28"/>
        </w:rPr>
        <w:t>原则</w:t>
      </w:r>
      <w:bookmarkEnd w:id="127"/>
      <w:bookmarkEnd w:id="128"/>
      <w:bookmarkEnd w:id="129"/>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合同授予经谈判小组评议推荐，采购人确定后的</w:t>
      </w:r>
      <w:r>
        <w:rPr>
          <w:rFonts w:hint="eastAsia" w:ascii="仿宋" w:hAnsi="仿宋" w:eastAsia="仿宋" w:cs="仿宋"/>
          <w:sz w:val="28"/>
          <w:szCs w:val="28"/>
          <w:lang w:eastAsia="zh-CN"/>
        </w:rPr>
        <w:t>成交</w:t>
      </w:r>
      <w:r>
        <w:rPr>
          <w:rFonts w:hint="eastAsia" w:ascii="仿宋" w:hAnsi="仿宋" w:eastAsia="仿宋" w:cs="仿宋"/>
          <w:sz w:val="28"/>
          <w:szCs w:val="28"/>
        </w:rPr>
        <w:t>人。</w:t>
      </w:r>
      <w:r>
        <w:rPr>
          <w:rFonts w:hint="eastAsia" w:ascii="仿宋" w:hAnsi="仿宋" w:eastAsia="仿宋" w:cs="仿宋"/>
          <w:sz w:val="28"/>
          <w:szCs w:val="28"/>
          <w:lang w:eastAsia="zh-CN"/>
        </w:rPr>
        <w:t>成交</w:t>
      </w:r>
      <w:r>
        <w:rPr>
          <w:rFonts w:hint="eastAsia" w:ascii="仿宋" w:hAnsi="仿宋" w:eastAsia="仿宋" w:cs="仿宋"/>
          <w:sz w:val="28"/>
          <w:szCs w:val="28"/>
        </w:rPr>
        <w:t>通知书发出后，采购人不得违法改变</w:t>
      </w:r>
      <w:r>
        <w:rPr>
          <w:rFonts w:hint="eastAsia" w:ascii="仿宋" w:hAnsi="仿宋" w:eastAsia="仿宋" w:cs="仿宋"/>
          <w:sz w:val="28"/>
          <w:szCs w:val="28"/>
          <w:lang w:eastAsia="zh-CN"/>
        </w:rPr>
        <w:t>成交</w:t>
      </w:r>
      <w:r>
        <w:rPr>
          <w:rFonts w:hint="eastAsia" w:ascii="仿宋" w:hAnsi="仿宋" w:eastAsia="仿宋" w:cs="仿宋"/>
          <w:sz w:val="28"/>
          <w:szCs w:val="28"/>
        </w:rPr>
        <w:t>结果，</w:t>
      </w:r>
      <w:r>
        <w:rPr>
          <w:rFonts w:hint="eastAsia" w:ascii="仿宋" w:hAnsi="仿宋" w:eastAsia="仿宋" w:cs="仿宋"/>
          <w:sz w:val="28"/>
          <w:szCs w:val="28"/>
          <w:lang w:eastAsia="zh-CN"/>
        </w:rPr>
        <w:t>成交</w:t>
      </w:r>
      <w:r>
        <w:rPr>
          <w:rFonts w:hint="eastAsia" w:ascii="仿宋" w:hAnsi="仿宋" w:eastAsia="仿宋" w:cs="仿宋"/>
          <w:sz w:val="28"/>
          <w:szCs w:val="28"/>
        </w:rPr>
        <w:t>人无正当理由不得放弃</w:t>
      </w:r>
      <w:r>
        <w:rPr>
          <w:rFonts w:hint="eastAsia" w:ascii="仿宋" w:hAnsi="仿宋" w:eastAsia="仿宋" w:cs="仿宋"/>
          <w:sz w:val="28"/>
          <w:szCs w:val="28"/>
          <w:lang w:eastAsia="zh-CN"/>
        </w:rPr>
        <w:t>成交</w:t>
      </w:r>
      <w:r>
        <w:rPr>
          <w:rFonts w:hint="eastAsia" w:ascii="仿宋" w:hAnsi="仿宋" w:eastAsia="仿宋" w:cs="仿宋"/>
          <w:sz w:val="28"/>
          <w:szCs w:val="28"/>
        </w:rPr>
        <w:t>。</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政府采购合同的履行、违约责任和解决争议的方法等适用《中华人民共和国合同法》。</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30" w:name="_Toc10285"/>
      <w:bookmarkStart w:id="131" w:name="_Toc139965353"/>
      <w:bookmarkStart w:id="132" w:name="_Toc369633098"/>
      <w:bookmarkStart w:id="133" w:name="_Toc128372080"/>
      <w:bookmarkStart w:id="134" w:name="_Toc128372758"/>
      <w:bookmarkStart w:id="135" w:name="_Toc92"/>
      <w:r>
        <w:rPr>
          <w:rFonts w:hint="eastAsia" w:ascii="仿宋" w:hAnsi="仿宋" w:eastAsia="仿宋" w:cs="仿宋"/>
          <w:sz w:val="28"/>
          <w:szCs w:val="28"/>
        </w:rPr>
        <w:t>2.4.3 合同的签署</w:t>
      </w:r>
      <w:bookmarkEnd w:id="130"/>
      <w:bookmarkEnd w:id="131"/>
      <w:bookmarkEnd w:id="132"/>
      <w:bookmarkEnd w:id="133"/>
      <w:bookmarkEnd w:id="134"/>
      <w:bookmarkEnd w:id="135"/>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人按</w:t>
      </w:r>
      <w:r>
        <w:rPr>
          <w:rFonts w:hint="eastAsia" w:ascii="仿宋" w:hAnsi="仿宋" w:eastAsia="仿宋" w:cs="仿宋"/>
          <w:sz w:val="28"/>
          <w:szCs w:val="28"/>
          <w:lang w:eastAsia="zh-CN"/>
        </w:rPr>
        <w:t>成交</w:t>
      </w:r>
      <w:r>
        <w:rPr>
          <w:rFonts w:hint="eastAsia" w:ascii="仿宋" w:hAnsi="仿宋" w:eastAsia="仿宋" w:cs="仿宋"/>
          <w:sz w:val="28"/>
          <w:szCs w:val="28"/>
        </w:rPr>
        <w:t>通知书中规定的时间和地点，由法定代表人或被授权人与需方签订合同。需方与</w:t>
      </w:r>
      <w:r>
        <w:rPr>
          <w:rFonts w:hint="eastAsia" w:ascii="仿宋" w:hAnsi="仿宋" w:eastAsia="仿宋" w:cs="仿宋"/>
          <w:sz w:val="28"/>
          <w:szCs w:val="28"/>
          <w:lang w:eastAsia="zh-CN"/>
        </w:rPr>
        <w:t>成交</w:t>
      </w:r>
      <w:r>
        <w:rPr>
          <w:rFonts w:hint="eastAsia" w:ascii="仿宋" w:hAnsi="仿宋" w:eastAsia="仿宋" w:cs="仿宋"/>
          <w:sz w:val="28"/>
          <w:szCs w:val="28"/>
        </w:rPr>
        <w:t>人是合同权利与义务的直接、全部责任承担人。采购人所发出的</w:t>
      </w:r>
      <w:r>
        <w:rPr>
          <w:rFonts w:hint="eastAsia" w:ascii="仿宋" w:hAnsi="仿宋" w:eastAsia="仿宋" w:cs="仿宋"/>
          <w:sz w:val="28"/>
          <w:szCs w:val="28"/>
          <w:lang w:eastAsia="zh-CN"/>
        </w:rPr>
        <w:t>成交</w:t>
      </w:r>
      <w:r>
        <w:rPr>
          <w:rFonts w:hint="eastAsia" w:ascii="仿宋" w:hAnsi="仿宋" w:eastAsia="仿宋" w:cs="仿宋"/>
          <w:sz w:val="28"/>
          <w:szCs w:val="28"/>
        </w:rPr>
        <w:t>通知书对需方和</w:t>
      </w:r>
      <w:r>
        <w:rPr>
          <w:rFonts w:hint="eastAsia" w:ascii="仿宋" w:hAnsi="仿宋" w:eastAsia="仿宋" w:cs="仿宋"/>
          <w:sz w:val="28"/>
          <w:szCs w:val="28"/>
          <w:lang w:eastAsia="zh-CN"/>
        </w:rPr>
        <w:t>成交</w:t>
      </w:r>
      <w:r>
        <w:rPr>
          <w:rFonts w:hint="eastAsia" w:ascii="仿宋" w:hAnsi="仿宋" w:eastAsia="仿宋" w:cs="仿宋"/>
          <w:sz w:val="28"/>
          <w:szCs w:val="28"/>
        </w:rPr>
        <w:t>供应商具有同等法律效力。</w:t>
      </w:r>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成交</w:t>
      </w:r>
      <w:r>
        <w:rPr>
          <w:rFonts w:hint="eastAsia" w:ascii="仿宋" w:hAnsi="仿宋" w:eastAsia="仿宋" w:cs="仿宋"/>
          <w:sz w:val="28"/>
          <w:szCs w:val="28"/>
        </w:rPr>
        <w:t>通知书发出后，需方拒绝签订供货合同或擅自改变</w:t>
      </w:r>
      <w:r>
        <w:rPr>
          <w:rFonts w:hint="eastAsia" w:ascii="仿宋" w:hAnsi="仿宋" w:eastAsia="仿宋" w:cs="仿宋"/>
          <w:sz w:val="28"/>
          <w:szCs w:val="28"/>
          <w:lang w:eastAsia="zh-CN"/>
        </w:rPr>
        <w:t>成交</w:t>
      </w:r>
      <w:r>
        <w:rPr>
          <w:rFonts w:hint="eastAsia" w:ascii="仿宋" w:hAnsi="仿宋" w:eastAsia="仿宋" w:cs="仿宋"/>
          <w:sz w:val="28"/>
          <w:szCs w:val="28"/>
        </w:rPr>
        <w:t>内容，按照《中华人民共和国合同法》定金罚则及损害赔偿的原则处罚并办理。</w:t>
      </w:r>
    </w:p>
    <w:p>
      <w:pPr>
        <w:pStyle w:val="6"/>
        <w:pageBreakBefore w:val="0"/>
        <w:widowControl w:val="0"/>
        <w:kinsoku/>
        <w:wordWrap/>
        <w:overflowPunct/>
        <w:topLinePunct w:val="0"/>
        <w:autoSpaceDE/>
        <w:autoSpaceDN/>
        <w:bidi w:val="0"/>
        <w:spacing w:line="560" w:lineRule="exact"/>
        <w:ind w:left="0" w:firstLine="487"/>
        <w:textAlignment w:val="auto"/>
        <w:rPr>
          <w:rFonts w:hint="eastAsia" w:ascii="仿宋" w:hAnsi="仿宋" w:eastAsia="仿宋" w:cs="仿宋"/>
          <w:sz w:val="28"/>
          <w:szCs w:val="28"/>
        </w:rPr>
      </w:pPr>
      <w:bookmarkStart w:id="136" w:name="_Toc15180"/>
      <w:bookmarkStart w:id="137" w:name="_Toc139965354"/>
      <w:bookmarkStart w:id="138" w:name="_Toc128372081"/>
      <w:bookmarkStart w:id="139" w:name="_Toc128372759"/>
      <w:bookmarkStart w:id="140" w:name="_Toc369633099"/>
      <w:bookmarkStart w:id="141" w:name="_Toc374"/>
      <w:r>
        <w:rPr>
          <w:rFonts w:hint="eastAsia" w:ascii="仿宋" w:hAnsi="仿宋" w:eastAsia="仿宋" w:cs="仿宋"/>
          <w:sz w:val="28"/>
          <w:szCs w:val="28"/>
        </w:rPr>
        <w:t>2.4.4 其他</w:t>
      </w:r>
      <w:bookmarkEnd w:id="136"/>
      <w:bookmarkEnd w:id="137"/>
      <w:bookmarkEnd w:id="138"/>
      <w:bookmarkEnd w:id="139"/>
      <w:bookmarkEnd w:id="140"/>
      <w:bookmarkEnd w:id="141"/>
    </w:p>
    <w:p>
      <w:pPr>
        <w:pageBreakBefore w:val="0"/>
        <w:widowControl w:val="0"/>
        <w:kinsoku/>
        <w:wordWrap/>
        <w:overflowPunct/>
        <w:topLinePunct w:val="0"/>
        <w:autoSpaceDE/>
        <w:autoSpaceDN/>
        <w:bidi w:val="0"/>
        <w:spacing w:line="560" w:lineRule="exact"/>
        <w:ind w:left="0"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成交</w:t>
      </w:r>
      <w:r>
        <w:rPr>
          <w:rFonts w:hint="eastAsia" w:ascii="仿宋" w:hAnsi="仿宋" w:eastAsia="仿宋" w:cs="仿宋"/>
          <w:sz w:val="28"/>
          <w:szCs w:val="28"/>
        </w:rPr>
        <w:t>后招标文件和投标文件未尽事宜另行商定。本招标文件由采购人或采购代理机构负责解释。</w:t>
      </w:r>
      <w:bookmarkStart w:id="142" w:name="_Toc369633100"/>
    </w:p>
    <w:p>
      <w:pPr>
        <w:spacing w:line="360" w:lineRule="auto"/>
        <w:ind w:firstLine="564" w:firstLineChars="200"/>
        <w:rPr>
          <w:rFonts w:hint="eastAsia" w:ascii="仿宋" w:hAnsi="仿宋" w:eastAsia="仿宋" w:cs="仿宋"/>
          <w:sz w:val="28"/>
          <w:szCs w:val="28"/>
        </w:rPr>
      </w:pPr>
    </w:p>
    <w:p>
      <w:pPr>
        <w:spacing w:line="360" w:lineRule="auto"/>
        <w:ind w:firstLine="484" w:firstLineChars="200"/>
        <w:rPr>
          <w:rFonts w:hint="eastAsia" w:ascii="宋体" w:hAnsi="宋体"/>
          <w:sz w:val="24"/>
        </w:rPr>
      </w:pPr>
    </w:p>
    <w:p>
      <w:pPr>
        <w:pStyle w:val="4"/>
        <w:spacing w:before="0" w:after="0"/>
        <w:jc w:val="center"/>
        <w:rPr>
          <w:kern w:val="0"/>
          <w:sz w:val="40"/>
        </w:rPr>
      </w:pPr>
      <w:bookmarkStart w:id="143" w:name="_Toc17573"/>
      <w:bookmarkStart w:id="144" w:name="_Toc5236"/>
      <w:r>
        <w:rPr>
          <w:rFonts w:hint="eastAsia"/>
          <w:kern w:val="0"/>
          <w:sz w:val="40"/>
        </w:rPr>
        <w:t>3、澄清和质疑</w:t>
      </w:r>
      <w:bookmarkEnd w:id="142"/>
      <w:bookmarkEnd w:id="143"/>
      <w:bookmarkEnd w:id="144"/>
    </w:p>
    <w:p>
      <w:pPr>
        <w:pStyle w:val="5"/>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45" w:name="_Toc369633101"/>
      <w:bookmarkStart w:id="146" w:name="_Toc12747"/>
      <w:bookmarkStart w:id="147" w:name="_Toc18974"/>
      <w:r>
        <w:rPr>
          <w:rFonts w:hint="eastAsia" w:ascii="宋体" w:hAnsi="宋体"/>
          <w:sz w:val="28"/>
          <w:szCs w:val="28"/>
        </w:rPr>
        <w:t>3.1综合说明</w:t>
      </w:r>
      <w:bookmarkEnd w:id="145"/>
      <w:bookmarkEnd w:id="146"/>
      <w:bookmarkEnd w:id="147"/>
    </w:p>
    <w:p>
      <w:pPr>
        <w:pageBreakBefore w:val="0"/>
        <w:widowControl w:val="0"/>
        <w:kinsoku/>
        <w:wordWrap/>
        <w:overflowPunct/>
        <w:topLinePunct w:val="0"/>
        <w:autoSpaceDE/>
        <w:autoSpaceDN/>
        <w:bidi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或潜在投标人；必须在规定的质疑有效期内提起质疑；政府采购监督管理部门规定的其他条件。质疑人提出质疑时，可以以口头询问方式，采购人应当在规定时间内予以口头答复；原则上质疑人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pStyle w:val="5"/>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48" w:name="_Toc15265"/>
      <w:bookmarkStart w:id="149" w:name="_Toc369633102"/>
      <w:bookmarkStart w:id="150" w:name="_Toc26550"/>
      <w:r>
        <w:rPr>
          <w:rFonts w:hint="eastAsia" w:ascii="宋体" w:hAnsi="宋体"/>
          <w:sz w:val="28"/>
          <w:szCs w:val="28"/>
        </w:rPr>
        <w:t>3.2对招标文件的澄清和质疑</w:t>
      </w:r>
      <w:bookmarkEnd w:id="148"/>
      <w:bookmarkEnd w:id="149"/>
      <w:bookmarkEnd w:id="150"/>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投标人应尽早获取招标文件，若对招标文件中有疑问需要澄清或质疑，须在</w:t>
      </w:r>
      <w:r>
        <w:rPr>
          <w:rFonts w:hint="eastAsia" w:ascii="仿宋" w:hAnsi="仿宋" w:eastAsia="仿宋" w:cs="仿宋"/>
          <w:sz w:val="28"/>
          <w:szCs w:val="28"/>
          <w:lang w:val="en-US" w:eastAsia="zh-CN"/>
        </w:rPr>
        <w:t>3</w:t>
      </w:r>
      <w:r>
        <w:rPr>
          <w:rFonts w:hint="eastAsia" w:ascii="仿宋" w:hAnsi="仿宋" w:eastAsia="仿宋" w:cs="仿宋"/>
          <w:sz w:val="28"/>
          <w:szCs w:val="28"/>
        </w:rPr>
        <w:t>个工作日内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w:t>
      </w:r>
      <w:r>
        <w:rPr>
          <w:rFonts w:hint="eastAsia" w:ascii="仿宋" w:hAnsi="仿宋" w:eastAsia="仿宋" w:cs="仿宋"/>
          <w:bCs/>
          <w:sz w:val="28"/>
          <w:szCs w:val="28"/>
        </w:rPr>
        <w:t>身份证复印件须正反面清晰、有效，并要求由该身份证持有人在复印件正反面非空白位置注明“该复印件用于在</w:t>
      </w:r>
      <w:r>
        <w:rPr>
          <w:rFonts w:hint="eastAsia" w:ascii="仿宋" w:hAnsi="仿宋" w:eastAsia="仿宋" w:cs="仿宋"/>
          <w:bCs/>
          <w:sz w:val="28"/>
          <w:szCs w:val="28"/>
          <w:u w:val="single"/>
        </w:rPr>
        <w:t>（项目编号）</w:t>
      </w:r>
      <w:r>
        <w:rPr>
          <w:rFonts w:hint="eastAsia" w:ascii="仿宋" w:hAnsi="仿宋" w:eastAsia="仿宋" w:cs="仿宋"/>
          <w:bCs/>
          <w:sz w:val="28"/>
          <w:szCs w:val="28"/>
        </w:rPr>
        <w:t>项目澄清或质疑使用”字样，并由身份证持有人签字确认</w:t>
      </w:r>
      <w:r>
        <w:rPr>
          <w:rFonts w:hint="eastAsia" w:ascii="仿宋" w:hAnsi="仿宋" w:eastAsia="仿宋" w:cs="仿宋"/>
          <w:sz w:val="28"/>
          <w:szCs w:val="28"/>
        </w:rPr>
        <w:t>。上述资料均须加盖公章。</w:t>
      </w:r>
    </w:p>
    <w:p>
      <w:pPr>
        <w:pageBreakBefore w:val="0"/>
        <w:widowControl w:val="0"/>
        <w:kinsoku/>
        <w:wordWrap/>
        <w:overflowPunct/>
        <w:topLinePunct w:val="0"/>
        <w:autoSpaceDE/>
        <w:autoSpaceDN/>
        <w:bidi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在投标截止日3天前根据澄清或质疑函的具体内容相应作出答复或不予答复，答复内容不得涉及商业秘密。作出答复的将以书面形式通知提出澄清或质疑的投标人和其他有关投标人，或在甘肃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w:t>
      </w:r>
    </w:p>
    <w:p>
      <w:pPr>
        <w:pStyle w:val="5"/>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1" w:name="_Toc21571"/>
      <w:bookmarkStart w:id="152" w:name="_Toc17171"/>
      <w:bookmarkStart w:id="153" w:name="_Toc369633103"/>
      <w:r>
        <w:rPr>
          <w:rFonts w:hint="eastAsia" w:ascii="宋体" w:hAnsi="宋体"/>
          <w:sz w:val="28"/>
          <w:szCs w:val="28"/>
        </w:rPr>
        <w:t>3.3对招标过程和拟</w:t>
      </w:r>
      <w:r>
        <w:rPr>
          <w:rFonts w:hint="eastAsia" w:ascii="宋体" w:hAnsi="宋体"/>
          <w:sz w:val="28"/>
          <w:szCs w:val="28"/>
          <w:lang w:eastAsia="zh-CN"/>
        </w:rPr>
        <w:t>成交</w:t>
      </w:r>
      <w:r>
        <w:rPr>
          <w:rFonts w:hint="eastAsia" w:ascii="宋体" w:hAnsi="宋体"/>
          <w:sz w:val="28"/>
          <w:szCs w:val="28"/>
        </w:rPr>
        <w:t>结果的质疑</w:t>
      </w:r>
      <w:bookmarkEnd w:id="151"/>
      <w:bookmarkEnd w:id="152"/>
      <w:bookmarkEnd w:id="153"/>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投标人认为招标过程和拟</w:t>
      </w:r>
      <w:r>
        <w:rPr>
          <w:rFonts w:hint="eastAsia" w:ascii="仿宋" w:hAnsi="仿宋" w:eastAsia="仿宋" w:cs="仿宋"/>
          <w:sz w:val="28"/>
          <w:szCs w:val="28"/>
          <w:lang w:eastAsia="zh-CN"/>
        </w:rPr>
        <w:t>成交</w:t>
      </w:r>
      <w:r>
        <w:rPr>
          <w:rFonts w:hint="eastAsia" w:ascii="仿宋" w:hAnsi="仿宋" w:eastAsia="仿宋" w:cs="仿宋"/>
          <w:sz w:val="28"/>
          <w:szCs w:val="28"/>
        </w:rPr>
        <w:t>结果使自己的权益受到损害的，可以在投标人于甘肃政府采购网发布</w:t>
      </w:r>
      <w:r>
        <w:rPr>
          <w:rFonts w:hint="eastAsia" w:ascii="仿宋" w:hAnsi="仿宋" w:eastAsia="仿宋" w:cs="仿宋"/>
          <w:sz w:val="28"/>
          <w:szCs w:val="28"/>
          <w:lang w:eastAsia="zh-CN"/>
        </w:rPr>
        <w:t>成交</w:t>
      </w:r>
      <w:r>
        <w:rPr>
          <w:rFonts w:hint="eastAsia" w:ascii="仿宋" w:hAnsi="仿宋" w:eastAsia="仿宋" w:cs="仿宋"/>
          <w:sz w:val="28"/>
          <w:szCs w:val="28"/>
        </w:rPr>
        <w:t>结果之日起7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w:t>
      </w:r>
      <w:r>
        <w:rPr>
          <w:rFonts w:hint="eastAsia" w:ascii="仿宋" w:hAnsi="仿宋" w:eastAsia="仿宋" w:cs="仿宋"/>
          <w:bCs/>
          <w:sz w:val="28"/>
          <w:szCs w:val="28"/>
        </w:rPr>
        <w:t>身份证复印件须正反面清晰、有效，并要求由该身份证持有人在复印件正反面非空白位置注明“该复印件用于在</w:t>
      </w:r>
      <w:r>
        <w:rPr>
          <w:rFonts w:hint="eastAsia" w:ascii="仿宋" w:hAnsi="仿宋" w:eastAsia="仿宋" w:cs="仿宋"/>
          <w:bCs/>
          <w:sz w:val="28"/>
          <w:szCs w:val="28"/>
          <w:u w:val="single"/>
        </w:rPr>
        <w:t>（项目编号）</w:t>
      </w:r>
      <w:r>
        <w:rPr>
          <w:rFonts w:hint="eastAsia" w:ascii="仿宋" w:hAnsi="仿宋" w:eastAsia="仿宋" w:cs="仿宋"/>
          <w:bCs/>
          <w:sz w:val="28"/>
          <w:szCs w:val="28"/>
        </w:rPr>
        <w:t>项目质疑使用”字样，并由身份证持有人签字确认。</w:t>
      </w:r>
      <w:r>
        <w:rPr>
          <w:rFonts w:hint="eastAsia" w:ascii="仿宋" w:hAnsi="仿宋" w:eastAsia="仿宋" w:cs="仿宋"/>
          <w:sz w:val="28"/>
          <w:szCs w:val="28"/>
        </w:rPr>
        <w:t>上述资料均须加盖公章。</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人应在受理投标人的书面质疑后，根据质疑函的具体内容及时向递交质疑函的投标人作出答复或不予答复，答复内容不得涉及商业秘密。作出答复的以书面形式通知递交质疑的投标人和其他有关投标人，或在甘肃政府采购网上予以公告。递交质疑的投标人和其他有关投标人在被告知、收到上述公告、通知或答疑书后，应立即向采购人回函确认。未确认情况应当视为对质疑答复的知晓，也将视为对质疑答复内容接受的默认。</w:t>
      </w:r>
    </w:p>
    <w:p>
      <w:pPr>
        <w:pStyle w:val="5"/>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4" w:name="_Toc6674"/>
      <w:bookmarkStart w:id="155" w:name="_Toc5324"/>
      <w:bookmarkStart w:id="156" w:name="_Toc369633104"/>
      <w:r>
        <w:rPr>
          <w:rFonts w:hint="eastAsia" w:ascii="宋体" w:hAnsi="宋体"/>
          <w:sz w:val="28"/>
          <w:szCs w:val="28"/>
        </w:rPr>
        <w:t>3.4澄清或质疑不予受理的情况</w:t>
      </w:r>
      <w:bookmarkEnd w:id="154"/>
      <w:bookmarkEnd w:id="155"/>
      <w:bookmarkEnd w:id="156"/>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有下列情形之一的，属于无效质疑，被质疑人不予受理，由此产生的影响由投标人自行承担：</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(一)不是参与该政府采购项目活动供应商的;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(二)被质疑人为采购人或政府采购代理机构之外的；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(三)所有质疑事项超过质疑有效期的；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(四)无确凿证据进行恶意质疑的；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(五)以具有法律效力的文书送达之外方式提出的；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(六) 未按上述规定递交澄清或质疑函的；</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(七) 其它不符合受理条件的情形。</w:t>
      </w:r>
    </w:p>
    <w:p>
      <w:pPr>
        <w:pStyle w:val="5"/>
        <w:pageBreakBefore w:val="0"/>
        <w:widowControl w:val="0"/>
        <w:kinsoku/>
        <w:wordWrap/>
        <w:overflowPunct/>
        <w:topLinePunct w:val="0"/>
        <w:autoSpaceDE/>
        <w:autoSpaceDN/>
        <w:bidi w:val="0"/>
        <w:snapToGrid/>
        <w:spacing w:before="0" w:after="0" w:line="560" w:lineRule="exact"/>
        <w:ind w:firstLine="419" w:firstLineChars="149"/>
        <w:textAlignment w:val="auto"/>
        <w:rPr>
          <w:rFonts w:hint="eastAsia" w:ascii="宋体" w:hAnsi="宋体"/>
          <w:sz w:val="28"/>
          <w:szCs w:val="28"/>
        </w:rPr>
      </w:pPr>
      <w:bookmarkStart w:id="157" w:name="_Toc30846"/>
      <w:r>
        <w:rPr>
          <w:rFonts w:hint="eastAsia" w:ascii="宋体" w:hAnsi="宋体"/>
          <w:sz w:val="28"/>
          <w:szCs w:val="28"/>
        </w:rPr>
        <w:t>3.5其他</w:t>
      </w:r>
      <w:bookmarkEnd w:id="157"/>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澄清或质疑函递交地点：镇原县公共资源交易中心</w:t>
      </w:r>
      <w:r>
        <w:rPr>
          <w:rFonts w:hint="eastAsia" w:ascii="仿宋" w:hAnsi="仿宋" w:eastAsia="仿宋" w:cs="仿宋"/>
          <w:kern w:val="0"/>
          <w:sz w:val="28"/>
          <w:szCs w:val="28"/>
        </w:rPr>
        <w:t>政府采购股</w:t>
      </w:r>
      <w:r>
        <w:rPr>
          <w:rFonts w:hint="eastAsia" w:ascii="仿宋" w:hAnsi="仿宋" w:eastAsia="仿宋" w:cs="仿宋"/>
          <w:sz w:val="28"/>
          <w:szCs w:val="28"/>
        </w:rPr>
        <w:t>。</w:t>
      </w:r>
    </w:p>
    <w:p>
      <w:pPr>
        <w:adjustRightInd w:val="0"/>
        <w:spacing w:line="360" w:lineRule="auto"/>
        <w:rPr>
          <w:rFonts w:hint="eastAsia"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type w:val="oddPage"/>
          <w:pgSz w:w="11906" w:h="16838"/>
          <w:pgMar w:top="1701" w:right="1134" w:bottom="1417" w:left="1417" w:header="851" w:footer="992" w:gutter="0"/>
          <w:pgNumType w:fmt="numberInDash"/>
          <w:cols w:space="720" w:num="1"/>
          <w:rtlGutter w:val="0"/>
          <w:docGrid w:type="linesAndChars" w:linePitch="322" w:charSpace="535"/>
        </w:sectPr>
      </w:pPr>
    </w:p>
    <w:p>
      <w:pPr>
        <w:pStyle w:val="4"/>
        <w:numPr>
          <w:ilvl w:val="0"/>
          <w:numId w:val="4"/>
        </w:numPr>
        <w:spacing w:before="0" w:after="0"/>
        <w:jc w:val="center"/>
        <w:rPr>
          <w:rFonts w:hint="eastAsia" w:ascii="方正小标宋简体" w:hAnsi="方正小标宋简体" w:eastAsia="方正小标宋简体" w:cs="方正小标宋简体"/>
          <w:sz w:val="36"/>
          <w:szCs w:val="36"/>
          <w:lang w:val="en-US" w:eastAsia="zh-CN"/>
        </w:rPr>
      </w:pPr>
      <w:bookmarkStart w:id="158" w:name="_Toc32282"/>
      <w:bookmarkStart w:id="159" w:name="_Toc458439997"/>
      <w:bookmarkStart w:id="160" w:name="_Toc5874"/>
      <w:r>
        <w:rPr>
          <w:rFonts w:hint="eastAsia"/>
          <w:kern w:val="0"/>
          <w:sz w:val="40"/>
        </w:rPr>
        <w:t>采购需求</w:t>
      </w:r>
      <w:bookmarkEnd w:id="158"/>
      <w:bookmarkEnd w:id="159"/>
      <w:bookmarkEnd w:id="160"/>
      <w:bookmarkStart w:id="161" w:name="_Toc19461637"/>
      <w:bookmarkStart w:id="162" w:name="_Toc25800"/>
      <w:bookmarkStart w:id="163" w:name="_Toc240772107"/>
      <w:bookmarkStart w:id="164" w:name="_Toc458440001"/>
      <w:bookmarkStart w:id="165" w:name="_Toc128372082"/>
      <w:bookmarkStart w:id="166" w:name="_Toc128372760"/>
      <w:bookmarkStart w:id="167" w:name="_Toc139965355"/>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项目名称：镇原县开边镇人民政府2021年农村户厕改造项目</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2、资金来源: 2021年财政专项资金</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3、控制价：100万元人民币</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项目地概况：开边是镇原的西大门，处于甘肃、宁夏两省交汇地带，区位优势明显，自然禀赋优越，是县委、县政府确定的“三区两流域一片带”重点区域布局中，茹河流域开发的重要乡镇，也是茹河川区农业特色示范镇。区域面积23.9万亩（159.8平方公里），耕地面积74700亩，共辖9个行政村82个村民小组，农业人口5122户20101人。开边镇在脱贫攻坚完美收关、乡村振兴战略紧锣密鼓筹备实施之际，开边镇农村户厕改造项目的实施是逐步推动农村厕所建设标准化、管理规范化、运维市场化、监督社会化,努力补齐影响群众生活品质的短板，切实增强农民群众获得感和幸福感的必施之技。</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5、采购目的：完成全镇2021年农村户厕改造任务500座，确保今年进行无害化卫生厕所改造且验收合格的农户每户奖补资金达到2000元，奖补资金主要用于厕具及配套材料购置、厕屋建设、土建工程等方面。</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6、采购标准：国内行业标准。</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技术规范和质量要求：厕屋达到卫生标准，整体结构完整（有墙、有顶、有门），室内清洁、无粪便暴露，基本无臭、无蝇；厕具质量合格，贮粪池不渗、不漏、密闭有盖；粪便达到无害化卫生要求，对环境不造成污染。</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8、采购数量：农村户厕改造厕具500户。</w:t>
      </w:r>
    </w:p>
    <w:p>
      <w:pPr>
        <w:pageBreakBefore w:val="0"/>
        <w:widowControl w:val="0"/>
        <w:kinsoku/>
        <w:wordWrap/>
        <w:overflowPunct/>
        <w:topLinePunct w:val="0"/>
        <w:autoSpaceDE/>
        <w:autoSpaceDN/>
        <w:bidi w:val="0"/>
        <w:adjustRightInd w:val="0"/>
        <w:snapToGrid/>
        <w:spacing w:line="56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9、验收标准：按照国家制定的《农村三格式户厕建设技术规范》《农村三格式户厕运行维护规范》《农村集中下水道收集户厕建设技术规范》三项技术标准和厕具供应企业必须提供成套设备的要求,全面抓好化粪池、管材、马桶等改厕产品选型，严格落实防冻、防漏、防渗、防臭、防沉降等技术措施;同时，协调市场监管部门加强厕具产品质量的抽检和监管，保证产品质量，坚决杜绝不合格产品。</w:t>
      </w:r>
    </w:p>
    <w:tbl>
      <w:tblPr>
        <w:tblStyle w:val="29"/>
        <w:tblW w:w="8820" w:type="dxa"/>
        <w:tblInd w:w="93" w:type="dxa"/>
        <w:shd w:val="clear" w:color="auto" w:fill="auto"/>
        <w:tblLayout w:type="autofit"/>
        <w:tblCellMar>
          <w:top w:w="0" w:type="dxa"/>
          <w:left w:w="108" w:type="dxa"/>
          <w:bottom w:w="0" w:type="dxa"/>
          <w:right w:w="108" w:type="dxa"/>
        </w:tblCellMar>
      </w:tblPr>
      <w:tblGrid>
        <w:gridCol w:w="2047"/>
        <w:gridCol w:w="3448"/>
        <w:gridCol w:w="752"/>
        <w:gridCol w:w="2573"/>
      </w:tblGrid>
      <w:tr>
        <w:tblPrEx>
          <w:tblCellMar>
            <w:top w:w="0" w:type="dxa"/>
            <w:left w:w="108" w:type="dxa"/>
            <w:bottom w:w="0" w:type="dxa"/>
            <w:right w:w="108" w:type="dxa"/>
          </w:tblCellMar>
        </w:tblPrEx>
        <w:trPr>
          <w:trHeight w:val="611" w:hRule="atLeast"/>
        </w:trPr>
        <w:tc>
          <w:tcPr>
            <w:tcW w:w="8820" w:type="dxa"/>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镇原县开边镇户厕改造采购清单</w:t>
            </w:r>
          </w:p>
        </w:tc>
      </w:tr>
      <w:tr>
        <w:tblPrEx>
          <w:tblCellMar>
            <w:top w:w="0" w:type="dxa"/>
            <w:left w:w="108" w:type="dxa"/>
            <w:bottom w:w="0" w:type="dxa"/>
            <w:right w:w="108" w:type="dxa"/>
          </w:tblCellMar>
        </w:tblPrEx>
        <w:trPr>
          <w:trHeight w:val="611" w:hRule="atLeast"/>
        </w:trPr>
        <w:tc>
          <w:tcPr>
            <w:tcW w:w="8820" w:type="dxa"/>
            <w:gridSpan w:val="4"/>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一体式三格化粪池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1.5立方</w:t>
            </w:r>
          </w:p>
        </w:tc>
        <w:tc>
          <w:tcPr>
            <w:tcW w:w="7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345440</wp:posOffset>
                  </wp:positionV>
                  <wp:extent cx="0" cy="462280"/>
                  <wp:effectExtent l="0" t="0" r="0" b="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16"/>
                          <a:stretch>
                            <a:fillRect/>
                          </a:stretch>
                        </pic:blipFill>
                        <pic:spPr>
                          <a:xfrm>
                            <a:off x="0" y="0"/>
                            <a:ext cx="0" cy="46228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坐便器（带盖）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单相潜水泵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QDX1.5-16-0.37</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PVC管（过粪管）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PE管（过粪管）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1.7m</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仿生</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r>
      <w:tr>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110*45</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PVC通风帽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树脂井盖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350*350</w:t>
            </w: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r>
      <w:tr>
        <w:tblPrEx>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储水桶</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人工挖坑</w:t>
            </w:r>
          </w:p>
        </w:tc>
        <w:tc>
          <w:tcPr>
            <w:tcW w:w="3364"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深2.1米，长、2.4米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宽1.5米</w:t>
            </w:r>
          </w:p>
        </w:tc>
        <w:tc>
          <w:tcPr>
            <w:tcW w:w="734"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8"/>
        <w:rPr>
          <w:rFonts w:hint="eastAsia"/>
        </w:rPr>
      </w:pPr>
    </w:p>
    <w:bookmarkEnd w:id="161"/>
    <w:bookmarkEnd w:id="162"/>
    <w:p>
      <w:pPr>
        <w:pStyle w:val="4"/>
        <w:numPr>
          <w:ilvl w:val="0"/>
          <w:numId w:val="0"/>
        </w:numPr>
        <w:spacing w:before="0" w:after="0"/>
        <w:ind w:firstLine="402" w:firstLineChars="100"/>
        <w:jc w:val="center"/>
        <w:rPr>
          <w:rFonts w:hint="eastAsia" w:ascii="Times New Roman" w:hAnsi="Times New Roman" w:cs="Times New Roman"/>
          <w:b/>
          <w:bCs/>
          <w:kern w:val="0"/>
          <w:sz w:val="40"/>
        </w:rPr>
      </w:pPr>
      <w:bookmarkStart w:id="168" w:name="_Toc4659"/>
      <w:bookmarkStart w:id="169" w:name="_Toc8862"/>
      <w:r>
        <w:rPr>
          <w:rFonts w:hint="eastAsia" w:ascii="Times New Roman" w:hAnsi="Times New Roman" w:cs="Times New Roman"/>
          <w:b/>
          <w:bCs/>
          <w:kern w:val="0"/>
          <w:sz w:val="40"/>
        </w:rPr>
        <w:t>5、谈判原则及办法</w:t>
      </w:r>
      <w:bookmarkEnd w:id="163"/>
      <w:bookmarkEnd w:id="164"/>
      <w:bookmarkEnd w:id="168"/>
      <w:bookmarkEnd w:id="169"/>
    </w:p>
    <w:p>
      <w:pPr>
        <w:pStyle w:val="5"/>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70" w:name="_Toc240772108"/>
      <w:bookmarkStart w:id="171" w:name="_Toc19948"/>
      <w:bookmarkStart w:id="172" w:name="_Toc17234"/>
      <w:bookmarkStart w:id="173" w:name="_Toc458440002"/>
      <w:r>
        <w:rPr>
          <w:rFonts w:hint="eastAsia" w:ascii="宋体" w:hAnsi="宋体"/>
          <w:sz w:val="28"/>
          <w:szCs w:val="28"/>
        </w:rPr>
        <w:t>5.1 谈判工作中的原则及组织</w:t>
      </w:r>
      <w:bookmarkEnd w:id="170"/>
      <w:bookmarkEnd w:id="171"/>
      <w:bookmarkEnd w:id="172"/>
      <w:bookmarkEnd w:id="173"/>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487"/>
        <w:textAlignment w:val="auto"/>
        <w:rPr>
          <w:rFonts w:hint="eastAsia" w:ascii="仿宋" w:hAnsi="仿宋" w:eastAsia="仿宋" w:cs="仿宋"/>
          <w:sz w:val="28"/>
          <w:szCs w:val="28"/>
        </w:rPr>
      </w:pPr>
      <w:bookmarkStart w:id="174" w:name="_Toc458440003"/>
      <w:bookmarkStart w:id="175" w:name="_Toc5823"/>
      <w:bookmarkStart w:id="176" w:name="_Toc240772109"/>
      <w:bookmarkStart w:id="177" w:name="_Toc15215"/>
      <w:r>
        <w:rPr>
          <w:rFonts w:hint="eastAsia" w:ascii="仿宋" w:hAnsi="仿宋" w:eastAsia="仿宋" w:cs="仿宋"/>
          <w:sz w:val="28"/>
          <w:szCs w:val="28"/>
          <w:lang w:val="en-US"/>
        </w:rPr>
        <w:t>5</w:t>
      </w:r>
      <w:r>
        <w:rPr>
          <w:rFonts w:hint="eastAsia" w:ascii="仿宋" w:hAnsi="仿宋" w:eastAsia="仿宋" w:cs="仿宋"/>
          <w:sz w:val="28"/>
          <w:szCs w:val="28"/>
        </w:rPr>
        <w:t>.1.1 原则</w:t>
      </w:r>
      <w:bookmarkEnd w:id="174"/>
      <w:bookmarkEnd w:id="175"/>
      <w:bookmarkEnd w:id="176"/>
      <w:bookmarkEnd w:id="177"/>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采购方组织谈判,根据《中华人民共和国政府采购法》组建谈判小组，谈判小组成员应坚持“公开、公平、公正”的宗旨,认真细致地做好谈判评审工作。</w:t>
      </w:r>
    </w:p>
    <w:p>
      <w:pPr>
        <w:pStyle w:val="15"/>
        <w:keepNext w:val="0"/>
        <w:keepLines w:val="0"/>
        <w:pageBreakBefore w:val="0"/>
        <w:widowControl w:val="0"/>
        <w:numPr>
          <w:ilvl w:val="0"/>
          <w:numId w:val="5"/>
        </w:numPr>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谈判小组成员人数不少于3人，为单数，其中技术、经济等方面的专家不少于成员总数的三分之二。</w:t>
      </w:r>
    </w:p>
    <w:p>
      <w:pPr>
        <w:pStyle w:val="15"/>
        <w:keepNext w:val="0"/>
        <w:keepLines w:val="0"/>
        <w:pageBreakBefore w:val="0"/>
        <w:widowControl w:val="0"/>
        <w:numPr>
          <w:ilvl w:val="0"/>
          <w:numId w:val="5"/>
        </w:numPr>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谈判小组成员应当客观、公正的履行职责，遵守职业道德，对所提出的评审意见承担个人责任。</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564"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3)谈判小组成员和与谈判活动有关的工作人员不得透露对谈判文件的评审和比较、成交候选人的推荐情况以及与谈判有关的其他情况。</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487"/>
        <w:textAlignment w:val="auto"/>
        <w:rPr>
          <w:rFonts w:hint="eastAsia" w:ascii="仿宋" w:hAnsi="仿宋" w:eastAsia="仿宋" w:cs="仿宋"/>
          <w:sz w:val="28"/>
          <w:szCs w:val="28"/>
        </w:rPr>
      </w:pPr>
      <w:bookmarkStart w:id="178" w:name="_Toc19033"/>
      <w:bookmarkStart w:id="179" w:name="_Toc31491"/>
      <w:bookmarkStart w:id="180" w:name="_Toc240772110"/>
      <w:bookmarkStart w:id="181" w:name="_Toc458440004"/>
      <w:r>
        <w:rPr>
          <w:rFonts w:hint="eastAsia" w:ascii="仿宋" w:hAnsi="仿宋" w:eastAsia="仿宋" w:cs="仿宋"/>
          <w:sz w:val="28"/>
          <w:szCs w:val="28"/>
          <w:lang w:val="en-US"/>
        </w:rPr>
        <w:t>5</w:t>
      </w:r>
      <w:r>
        <w:rPr>
          <w:rFonts w:hint="eastAsia" w:ascii="仿宋" w:hAnsi="仿宋" w:eastAsia="仿宋" w:cs="仿宋"/>
          <w:sz w:val="28"/>
          <w:szCs w:val="28"/>
        </w:rPr>
        <w:t>.1.2 组织</w:t>
      </w:r>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1）谈判小组：从专家库随机抽取专家组成谈判小组。谈判小组下设商务组和技术专家组，分别根据谈判文件要求负责谈判响应性文件的商务审核和技术评价。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集采机构</w:t>
      </w:r>
      <w:r>
        <w:rPr>
          <w:rFonts w:hint="eastAsia" w:ascii="仿宋" w:hAnsi="仿宋" w:eastAsia="仿宋" w:cs="仿宋"/>
          <w:sz w:val="28"/>
          <w:szCs w:val="28"/>
        </w:rPr>
        <w:t>:由镇原县公共资源交易中心工作人员组成，负责谈判文件的制作，对外联系，谈判的会务工作,整理并向谈判小组分发谈判响应性文件；做好谈判会议记录；对谈判过程中的原始文件进行归档;随时印发需要的文件资料,对各种咨询函件及档案文件的统收统发；负责对谈判小组推荐的拟成交结果进行审核。</w:t>
      </w:r>
    </w:p>
    <w:p>
      <w:pPr>
        <w:pStyle w:val="5"/>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82" w:name="_Toc240772111"/>
      <w:bookmarkStart w:id="183" w:name="_Toc458440005"/>
      <w:bookmarkStart w:id="184" w:name="_Toc29994"/>
      <w:bookmarkStart w:id="185" w:name="_Toc10954"/>
      <w:r>
        <w:rPr>
          <w:rFonts w:hint="eastAsia" w:ascii="宋体" w:hAnsi="宋体"/>
          <w:sz w:val="28"/>
          <w:szCs w:val="28"/>
        </w:rPr>
        <w:t>5.2 谈判小组的职责</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谈判小组完成谈判后，提出书面谈判报告。谈判报告是谈判小组根据全体谈判小组成员签字的原始谈判记录和谈判结果编写的报告，主要内容包括：</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1）谈判公告刊登的媒体名称、谈判日期和地点；</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2）获取谈判文件的谈判供应商名单和谈判小组成员名单；</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3）谈判方法和标准；</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4）谈判记录和谈判情况及说明，包括谈判响应性文件未实质性响应的谈判供应商名单及原因；</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5）谈判结果和谈判成交供应商名单；</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6）谈判小组的成交建议。</w:t>
      </w:r>
    </w:p>
    <w:p>
      <w:pPr>
        <w:keepNext w:val="0"/>
        <w:keepLines w:val="0"/>
        <w:pageBreakBefore w:val="0"/>
        <w:widowControl w:val="0"/>
        <w:kinsoku/>
        <w:wordWrap/>
        <w:overflowPunct/>
        <w:topLinePunct w:val="0"/>
        <w:autoSpaceDE/>
        <w:autoSpaceDN/>
        <w:bidi w:val="0"/>
        <w:adjustRightInd/>
        <w:snapToGrid/>
        <w:spacing w:line="54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谈判报告由谈判小组全体成员签字。对谈判结论持有异议的谈判小组成员可以书面方式阐述其不同意见和理由。谈判小组成员拒绝在谈判报告上签字且不陈述其不同意见和理由的，视为同意谈判结论。谈判小组应当对此做出书面说明并纪录在案。</w:t>
      </w:r>
    </w:p>
    <w:p>
      <w:pPr>
        <w:pageBreakBefore w:val="0"/>
        <w:framePr w:w="1440" w:h="120" w:hRule="exact" w:wrap="around" w:vAnchor="page" w:hAnchor="page" w:x="361" w:y="541"/>
        <w:widowControl w:val="0"/>
        <w:kinsoku/>
        <w:wordWrap/>
        <w:overflowPunct/>
        <w:topLinePunct w:val="0"/>
        <w:autoSpaceDE/>
        <w:autoSpaceDN/>
        <w:bidi w:val="0"/>
        <w:adjustRightInd/>
        <w:snapToGrid/>
        <w:spacing w:line="540" w:lineRule="exact"/>
        <w:ind w:firstLine="484" w:firstLineChars="200"/>
        <w:textAlignment w:val="auto"/>
        <w:rPr>
          <w:rFonts w:ascii="宋体" w:hAnsi="宋体"/>
          <w:sz w:val="24"/>
        </w:rPr>
      </w:pPr>
    </w:p>
    <w:p>
      <w:pPr>
        <w:pStyle w:val="5"/>
        <w:pageBreakBefore w:val="0"/>
        <w:widowControl w:val="0"/>
        <w:kinsoku/>
        <w:wordWrap/>
        <w:overflowPunct/>
        <w:topLinePunct w:val="0"/>
        <w:autoSpaceDE/>
        <w:autoSpaceDN/>
        <w:bidi w:val="0"/>
        <w:adjustRightInd/>
        <w:snapToGrid/>
        <w:spacing w:before="0" w:after="0" w:line="540" w:lineRule="exact"/>
        <w:ind w:firstLine="419" w:firstLineChars="149"/>
        <w:textAlignment w:val="auto"/>
        <w:rPr>
          <w:rFonts w:hint="eastAsia" w:ascii="宋体" w:hAnsi="宋体"/>
          <w:sz w:val="28"/>
          <w:szCs w:val="28"/>
        </w:rPr>
      </w:pPr>
      <w:bookmarkStart w:id="186" w:name="_Toc18713"/>
      <w:bookmarkStart w:id="187" w:name="_Toc240772112"/>
      <w:bookmarkStart w:id="188" w:name="_Toc10317"/>
      <w:bookmarkStart w:id="189" w:name="_Toc458440006"/>
      <w:r>
        <w:rPr>
          <w:rFonts w:hint="eastAsia" w:ascii="宋体" w:hAnsi="宋体"/>
          <w:sz w:val="28"/>
          <w:szCs w:val="28"/>
        </w:rPr>
        <w:t>5.3 谈判内容及标准</w:t>
      </w:r>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采购方将组织谈判小组对</w:t>
      </w:r>
      <w:r>
        <w:rPr>
          <w:rFonts w:hint="eastAsia" w:ascii="仿宋" w:hAnsi="仿宋" w:eastAsia="仿宋" w:cs="仿宋"/>
          <w:sz w:val="28"/>
          <w:szCs w:val="28"/>
        </w:rPr>
        <w:t>谈判响应性文件进行</w:t>
      </w:r>
      <w:r>
        <w:rPr>
          <w:rFonts w:hint="eastAsia" w:ascii="仿宋" w:hAnsi="仿宋" w:eastAsia="仿宋" w:cs="仿宋"/>
          <w:sz w:val="28"/>
          <w:szCs w:val="28"/>
          <w:lang w:val="zh-CN"/>
        </w:rPr>
        <w:t>审查，评估谈判供应商的财务、技术和生产能力。谈判小组可以对确定为实质上响应谈判文件要求的谈判响应性文件进行校核，修正错误的标准如下：</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同时出现两种以上不一致的，按照前款规定的顺序修正。修正后的报经投标人确认后产生约束力，投标人不确认的，其投标无效。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5）对于谈判响应性文件中不构成实质性偏差的小的不正规、不一致或不规则，谈判小组可以接受，但这种接受不能损害或影响任何谈判供应商的相对排序。</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b/>
          <w:bCs/>
          <w:spacing w:val="4"/>
          <w:sz w:val="28"/>
          <w:szCs w:val="28"/>
          <w:lang w:val="zh-CN"/>
        </w:rPr>
      </w:pPr>
      <w:r>
        <w:rPr>
          <w:rFonts w:hint="eastAsia" w:ascii="仿宋" w:hAnsi="仿宋" w:eastAsia="仿宋" w:cs="仿宋"/>
          <w:b/>
          <w:bCs/>
          <w:spacing w:val="4"/>
          <w:sz w:val="28"/>
          <w:szCs w:val="28"/>
        </w:rPr>
        <w:t>6</w:t>
      </w:r>
      <w:r>
        <w:rPr>
          <w:rFonts w:hint="eastAsia" w:ascii="仿宋" w:hAnsi="仿宋" w:eastAsia="仿宋" w:cs="仿宋"/>
          <w:b/>
          <w:bCs/>
          <w:spacing w:val="4"/>
          <w:sz w:val="28"/>
          <w:szCs w:val="28"/>
          <w:lang w:val="zh-CN"/>
        </w:rPr>
        <w:t>）谈判小组审查每份投标文件是否实质上响应了招标文件的要求。（未实质上响应招标文件要求是指①投标文件未按招标文件要求签署、盖章；②项目完成期限超出招标文件要求；③投标内容（品目）及其参数存在重大偏离，如提供的货物、服务、工程的投标内容与招标文件要求严重不符，存在错误或缺项，对招标文件规定不允许偏离的技术参数出现偏离</w:t>
      </w:r>
      <w:r>
        <w:rPr>
          <w:rFonts w:hint="eastAsia" w:ascii="仿宋" w:hAnsi="仿宋" w:eastAsia="仿宋" w:cs="仿宋"/>
          <w:b/>
          <w:bCs/>
          <w:spacing w:val="4"/>
          <w:sz w:val="28"/>
          <w:szCs w:val="28"/>
        </w:rPr>
        <w:t>,或偏离超出招标文件允许范围</w:t>
      </w:r>
      <w:r>
        <w:rPr>
          <w:rFonts w:hint="eastAsia" w:ascii="仿宋" w:hAnsi="仿宋" w:eastAsia="仿宋" w:cs="仿宋"/>
          <w:b/>
          <w:bCs/>
          <w:spacing w:val="4"/>
          <w:sz w:val="28"/>
          <w:szCs w:val="28"/>
          <w:lang w:val="zh-CN"/>
        </w:rPr>
        <w:t>等；④投标文件附有招标人不能接受的条件；⑤超出采购预算或者最高限价；⑥投标有效期不足）；⑦评审过程中投标人的报价明显低于其他通过符合性审查投标人的报价，且投标人</w:t>
      </w:r>
      <w:r>
        <w:rPr>
          <w:rFonts w:hint="eastAsia" w:ascii="仿宋" w:hAnsi="仿宋" w:eastAsia="仿宋" w:cs="仿宋"/>
          <w:b/>
          <w:bCs/>
          <w:spacing w:val="4"/>
          <w:sz w:val="28"/>
          <w:szCs w:val="28"/>
          <w:lang w:val="en-US" w:eastAsia="zh-CN"/>
        </w:rPr>
        <w:t>未</w:t>
      </w:r>
      <w:r>
        <w:rPr>
          <w:rFonts w:hint="eastAsia" w:ascii="仿宋" w:hAnsi="仿宋" w:eastAsia="仿宋" w:cs="仿宋"/>
          <w:b/>
          <w:bCs/>
          <w:spacing w:val="4"/>
          <w:sz w:val="28"/>
          <w:szCs w:val="28"/>
          <w:lang w:val="zh-CN"/>
        </w:rPr>
        <w:t>在合理的时间内向评审委员会提交相关证明材料证明其报价合理性的。）</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b/>
          <w:bCs/>
          <w:spacing w:val="4"/>
          <w:sz w:val="28"/>
          <w:szCs w:val="28"/>
        </w:rPr>
      </w:pPr>
      <w:r>
        <w:rPr>
          <w:rFonts w:hint="eastAsia" w:ascii="仿宋" w:hAnsi="仿宋" w:eastAsia="仿宋" w:cs="仿宋"/>
          <w:b/>
          <w:bCs/>
          <w:spacing w:val="4"/>
          <w:sz w:val="28"/>
          <w:szCs w:val="28"/>
          <w:lang w:val="zh-CN"/>
        </w:rPr>
        <w:t>谈判小组决定投标文件的响应性只根据投标文件本身的内容，而不寻求外部的证据。</w:t>
      </w:r>
    </w:p>
    <w:p>
      <w:pPr>
        <w:keepNext w:val="0"/>
        <w:keepLines w:val="0"/>
        <w:pageBreakBefore w:val="0"/>
        <w:widowControl w:val="0"/>
        <w:tabs>
          <w:tab w:val="left" w:pos="8640"/>
        </w:tabs>
        <w:kinsoku/>
        <w:wordWrap/>
        <w:overflowPunct/>
        <w:topLinePunct w:val="0"/>
        <w:autoSpaceDE/>
        <w:autoSpaceDN/>
        <w:bidi w:val="0"/>
        <w:adjustRightInd/>
        <w:snapToGrid/>
        <w:spacing w:line="540" w:lineRule="exact"/>
        <w:ind w:firstLine="482"/>
        <w:textAlignment w:val="auto"/>
        <w:rPr>
          <w:rFonts w:hint="eastAsia" w:ascii="仿宋" w:hAnsi="仿宋" w:eastAsia="仿宋" w:cs="仿宋"/>
          <w:sz w:val="28"/>
          <w:szCs w:val="28"/>
          <w:lang w:val="zh-CN"/>
        </w:rPr>
      </w:pPr>
      <w:r>
        <w:rPr>
          <w:rFonts w:hint="eastAsia" w:ascii="仿宋" w:hAnsi="仿宋" w:eastAsia="仿宋" w:cs="仿宋"/>
          <w:sz w:val="28"/>
          <w:szCs w:val="28"/>
        </w:rPr>
        <w:t>7</w:t>
      </w:r>
      <w:r>
        <w:rPr>
          <w:rFonts w:hint="eastAsia" w:ascii="仿宋" w:hAnsi="仿宋" w:eastAsia="仿宋" w:cs="仿宋"/>
          <w:sz w:val="28"/>
          <w:szCs w:val="28"/>
          <w:lang w:val="zh-CN"/>
        </w:rPr>
        <w:t>）如果谈判响应性文件实质上没有响应谈判文件的要求，谈判供应商不得通过修正或撤消不符合要求的偏离从而使其成为实质上响应。</w:t>
      </w:r>
    </w:p>
    <w:p>
      <w:pPr>
        <w:pStyle w:val="5"/>
        <w:pageBreakBefore w:val="0"/>
        <w:widowControl w:val="0"/>
        <w:kinsoku/>
        <w:wordWrap/>
        <w:overflowPunct/>
        <w:topLinePunct w:val="0"/>
        <w:autoSpaceDE/>
        <w:autoSpaceDN/>
        <w:bidi w:val="0"/>
        <w:adjustRightInd/>
        <w:snapToGrid/>
        <w:spacing w:before="0" w:after="0" w:line="480" w:lineRule="exact"/>
        <w:ind w:firstLine="419" w:firstLineChars="149"/>
        <w:textAlignment w:val="auto"/>
        <w:rPr>
          <w:rFonts w:hint="eastAsia" w:ascii="宋体" w:hAnsi="宋体"/>
          <w:sz w:val="28"/>
          <w:szCs w:val="28"/>
        </w:rPr>
      </w:pPr>
      <w:bookmarkStart w:id="190" w:name="_Toc9934"/>
      <w:bookmarkStart w:id="191" w:name="_Toc240772113"/>
      <w:bookmarkStart w:id="192" w:name="_Toc458440007"/>
      <w:bookmarkStart w:id="193" w:name="_Toc14780"/>
      <w:r>
        <w:rPr>
          <w:rFonts w:hint="eastAsia" w:ascii="宋体" w:hAnsi="宋体"/>
          <w:sz w:val="28"/>
          <w:szCs w:val="28"/>
        </w:rPr>
        <w:t>5.4谈判的形式、程序及方法</w:t>
      </w:r>
      <w:bookmarkEnd w:id="190"/>
      <w:bookmarkEnd w:id="191"/>
      <w:bookmarkEnd w:id="192"/>
      <w:bookmarkEnd w:id="193"/>
      <w:bookmarkStart w:id="194" w:name="_Toc240772114"/>
    </w:p>
    <w:p>
      <w:pPr>
        <w:pStyle w:val="6"/>
        <w:keepNext w:val="0"/>
        <w:keepLines w:val="0"/>
        <w:pageBreakBefore w:val="0"/>
        <w:widowControl w:val="0"/>
        <w:kinsoku/>
        <w:wordWrap/>
        <w:overflowPunct/>
        <w:topLinePunct w:val="0"/>
        <w:autoSpaceDE/>
        <w:autoSpaceDN/>
        <w:bidi w:val="0"/>
        <w:adjustRightInd/>
        <w:snapToGrid/>
        <w:spacing w:line="480" w:lineRule="exact"/>
        <w:ind w:firstLine="487"/>
        <w:textAlignment w:val="auto"/>
        <w:rPr>
          <w:rFonts w:hint="eastAsia" w:ascii="仿宋" w:hAnsi="仿宋" w:eastAsia="仿宋" w:cs="仿宋"/>
          <w:sz w:val="28"/>
          <w:szCs w:val="28"/>
        </w:rPr>
      </w:pPr>
      <w:bookmarkStart w:id="195" w:name="_Toc11647"/>
      <w:bookmarkStart w:id="196" w:name="_Toc9680"/>
      <w:bookmarkStart w:id="197" w:name="_Toc458440008"/>
      <w:r>
        <w:rPr>
          <w:rFonts w:hint="eastAsia" w:ascii="仿宋" w:hAnsi="仿宋" w:eastAsia="仿宋" w:cs="仿宋"/>
          <w:sz w:val="28"/>
          <w:szCs w:val="28"/>
          <w:lang w:val="en-US"/>
        </w:rPr>
        <w:t>5</w:t>
      </w:r>
      <w:r>
        <w:rPr>
          <w:rFonts w:hint="eastAsia" w:ascii="仿宋" w:hAnsi="仿宋" w:eastAsia="仿宋" w:cs="仿宋"/>
          <w:sz w:val="28"/>
          <w:szCs w:val="28"/>
        </w:rPr>
        <w:t>.4.1 谈判形式</w:t>
      </w:r>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spacing w:val="4"/>
          <w:sz w:val="28"/>
          <w:szCs w:val="28"/>
          <w:lang w:val="zh-CN"/>
        </w:rPr>
      </w:pPr>
      <w:r>
        <w:rPr>
          <w:rFonts w:hint="eastAsia" w:ascii="仿宋" w:hAnsi="仿宋" w:eastAsia="仿宋" w:cs="仿宋"/>
          <w:spacing w:val="4"/>
          <w:sz w:val="28"/>
          <w:szCs w:val="28"/>
          <w:lang w:val="zh-CN"/>
        </w:rPr>
        <w:t>谈判实行三轮或三轮以上报价，并就该项目的</w:t>
      </w:r>
      <w:r>
        <w:rPr>
          <w:rFonts w:hint="eastAsia" w:ascii="仿宋" w:hAnsi="仿宋" w:eastAsia="仿宋" w:cs="仿宋"/>
          <w:spacing w:val="4"/>
          <w:sz w:val="28"/>
          <w:szCs w:val="28"/>
          <w:lang w:val="en-US" w:eastAsia="zh-CN"/>
        </w:rPr>
        <w:t>供货期、</w:t>
      </w:r>
      <w:r>
        <w:rPr>
          <w:rFonts w:hint="eastAsia" w:ascii="仿宋" w:hAnsi="仿宋" w:eastAsia="仿宋" w:cs="仿宋"/>
          <w:spacing w:val="4"/>
          <w:sz w:val="28"/>
          <w:szCs w:val="28"/>
          <w:lang w:val="zh-CN"/>
        </w:rPr>
        <w:t>价格等方面进行谈判。</w:t>
      </w:r>
    </w:p>
    <w:p>
      <w:pPr>
        <w:pStyle w:val="6"/>
        <w:keepNext w:val="0"/>
        <w:keepLines w:val="0"/>
        <w:pageBreakBefore w:val="0"/>
        <w:widowControl w:val="0"/>
        <w:kinsoku/>
        <w:wordWrap/>
        <w:overflowPunct/>
        <w:topLinePunct w:val="0"/>
        <w:autoSpaceDE/>
        <w:autoSpaceDN/>
        <w:bidi w:val="0"/>
        <w:adjustRightInd/>
        <w:snapToGrid/>
        <w:spacing w:line="480" w:lineRule="exact"/>
        <w:ind w:firstLine="487"/>
        <w:textAlignment w:val="auto"/>
        <w:rPr>
          <w:rFonts w:hint="eastAsia" w:ascii="仿宋" w:hAnsi="仿宋" w:eastAsia="仿宋" w:cs="仿宋"/>
          <w:sz w:val="28"/>
          <w:szCs w:val="28"/>
        </w:rPr>
      </w:pPr>
      <w:bookmarkStart w:id="198" w:name="_Toc458440009"/>
      <w:bookmarkStart w:id="199" w:name="_Toc240772115"/>
      <w:bookmarkStart w:id="200" w:name="_Toc1416"/>
      <w:bookmarkStart w:id="201" w:name="_Toc29954"/>
      <w:r>
        <w:rPr>
          <w:rFonts w:hint="eastAsia" w:ascii="仿宋" w:hAnsi="仿宋" w:eastAsia="仿宋" w:cs="仿宋"/>
          <w:sz w:val="28"/>
          <w:szCs w:val="28"/>
          <w:lang w:val="en-US"/>
        </w:rPr>
        <w:t>5</w:t>
      </w:r>
      <w:r>
        <w:rPr>
          <w:rFonts w:hint="eastAsia" w:ascii="仿宋" w:hAnsi="仿宋" w:eastAsia="仿宋" w:cs="仿宋"/>
          <w:sz w:val="28"/>
          <w:szCs w:val="28"/>
        </w:rPr>
        <w:t>.4.2 谈判程序</w:t>
      </w:r>
      <w:bookmarkEnd w:id="198"/>
      <w:bookmarkEnd w:id="199"/>
      <w:bookmarkEnd w:id="200"/>
      <w:bookmarkEnd w:id="201"/>
    </w:p>
    <w:p>
      <w:pPr>
        <w:keepNext w:val="0"/>
        <w:keepLines w:val="0"/>
        <w:pageBreakBefore w:val="0"/>
        <w:widowControl w:val="0"/>
        <w:tabs>
          <w:tab w:val="left" w:pos="3420"/>
          <w:tab w:val="left" w:pos="8640"/>
        </w:tabs>
        <w:kinsoku/>
        <w:wordWrap/>
        <w:overflowPunct/>
        <w:topLinePunct w:val="0"/>
        <w:autoSpaceDE/>
        <w:autoSpaceDN/>
        <w:bidi w:val="0"/>
        <w:adjustRightInd/>
        <w:snapToGrid/>
        <w:spacing w:line="560" w:lineRule="exact"/>
        <w:ind w:firstLine="482"/>
        <w:textAlignment w:val="auto"/>
        <w:rPr>
          <w:rFonts w:hint="eastAsia" w:ascii="仿宋" w:hAnsi="仿宋" w:eastAsia="仿宋" w:cs="仿宋"/>
          <w:b/>
          <w:sz w:val="28"/>
          <w:szCs w:val="28"/>
          <w:lang w:val="zh-CN"/>
        </w:rPr>
      </w:pPr>
      <w:r>
        <w:rPr>
          <w:rFonts w:hint="eastAsia" w:ascii="仿宋" w:hAnsi="仿宋" w:eastAsia="仿宋" w:cs="仿宋"/>
          <w:spacing w:val="4"/>
          <w:sz w:val="28"/>
          <w:szCs w:val="28"/>
          <w:lang w:val="zh-CN"/>
        </w:rPr>
        <w:t>资格审查：采购单位和交易中心工作人员共同只对谈判响应性文件中资质证明文件部分进行审查，合格者进入符合性审查，不合格者即被淘汰。</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5"/>
        <w:gridCol w:w="1140"/>
        <w:gridCol w:w="1319"/>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资格性审查项目</w:t>
            </w:r>
          </w:p>
        </w:tc>
        <w:tc>
          <w:tcPr>
            <w:tcW w:w="6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供应商A</w:t>
            </w:r>
          </w:p>
        </w:tc>
        <w:tc>
          <w:tcPr>
            <w:tcW w:w="72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供应商B</w:t>
            </w:r>
          </w:p>
        </w:tc>
        <w:tc>
          <w:tcPr>
            <w:tcW w:w="44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投标企业必须提供经年检合格的与本项目相关的营业执照、税务登记证（国税、地税）、组织机构代码证（三证合一的企业只需提供统一代码的营业执照原件）及银行开户许可证原件或银行基本户证明，以上证件须提供原件或含有二维码标识的加盖企业公章的复印件，扫描二维码核实真伪，若扫描的二维码与复印件相一致则该复印件视同于原件；</w:t>
            </w:r>
          </w:p>
        </w:tc>
        <w:tc>
          <w:tcPr>
            <w:tcW w:w="6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2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2）投标企业需提供法定代表人身份证复印件、被授权人身份证原件及法人授权书原件；</w:t>
            </w:r>
          </w:p>
        </w:tc>
        <w:tc>
          <w:tcPr>
            <w:tcW w:w="6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72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c>
          <w:tcPr>
            <w:tcW w:w="44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w:t>
            </w:r>
            <w:r>
              <w:rPr>
                <w:rFonts w:hint="default" w:ascii="仿宋" w:hAnsi="仿宋" w:eastAsia="仿宋" w:cs="仿宋"/>
                <w:b/>
                <w:bCs w:val="0"/>
                <w:sz w:val="24"/>
                <w:szCs w:val="24"/>
                <w:lang w:val="en-US" w:eastAsia="zh-CN"/>
              </w:rPr>
              <w:t>投标人须提供20</w:t>
            </w:r>
            <w:r>
              <w:rPr>
                <w:rFonts w:hint="eastAsia" w:ascii="仿宋" w:hAnsi="仿宋" w:eastAsia="仿宋" w:cs="仿宋"/>
                <w:b/>
                <w:bCs w:val="0"/>
                <w:sz w:val="24"/>
                <w:szCs w:val="24"/>
                <w:lang w:val="en-US" w:eastAsia="zh-CN"/>
              </w:rPr>
              <w:t>20</w:t>
            </w:r>
            <w:r>
              <w:rPr>
                <w:rFonts w:hint="default" w:ascii="仿宋" w:hAnsi="仿宋" w:eastAsia="仿宋" w:cs="仿宋"/>
                <w:b/>
                <w:bCs w:val="0"/>
                <w:sz w:val="24"/>
                <w:szCs w:val="24"/>
                <w:lang w:val="en-US" w:eastAsia="zh-CN"/>
              </w:rPr>
              <w:t>年度经审计的财务审计报告（成立不足一年的企业须提供相关证明材料）；</w:t>
            </w:r>
          </w:p>
        </w:tc>
        <w:tc>
          <w:tcPr>
            <w:tcW w:w="62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728"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44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4）</w:t>
            </w:r>
            <w:r>
              <w:rPr>
                <w:rFonts w:hint="default" w:ascii="仿宋" w:hAnsi="仿宋" w:eastAsia="仿宋" w:cs="仿宋"/>
                <w:b/>
                <w:bCs w:val="0"/>
                <w:sz w:val="24"/>
                <w:szCs w:val="24"/>
                <w:lang w:val="en-US" w:eastAsia="zh-CN"/>
              </w:rPr>
              <w:t>投标人须提供（202</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年</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月-202</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年</w:t>
            </w:r>
            <w:r>
              <w:rPr>
                <w:rFonts w:hint="eastAsia" w:ascii="仿宋" w:hAnsi="仿宋" w:eastAsia="仿宋" w:cs="仿宋"/>
                <w:b/>
                <w:bCs w:val="0"/>
                <w:sz w:val="24"/>
                <w:szCs w:val="24"/>
                <w:lang w:val="en-US" w:eastAsia="zh-CN"/>
              </w:rPr>
              <w:t>6</w:t>
            </w:r>
            <w:r>
              <w:rPr>
                <w:rFonts w:hint="default" w:ascii="仿宋" w:hAnsi="仿宋" w:eastAsia="仿宋" w:cs="仿宋"/>
                <w:b/>
                <w:bCs w:val="0"/>
                <w:sz w:val="24"/>
                <w:szCs w:val="24"/>
                <w:lang w:val="en-US" w:eastAsia="zh-CN"/>
              </w:rPr>
              <w:t>月）税收缴纳证明材料（</w:t>
            </w:r>
            <w:r>
              <w:rPr>
                <w:rFonts w:hint="eastAsia" w:ascii="仿宋" w:hAnsi="仿宋" w:eastAsia="仿宋" w:cs="仿宋"/>
                <w:b/>
                <w:bCs w:val="0"/>
                <w:sz w:val="24"/>
                <w:szCs w:val="24"/>
                <w:lang w:val="en-US" w:eastAsia="zh-CN"/>
              </w:rPr>
              <w:t>税收</w:t>
            </w:r>
            <w:r>
              <w:rPr>
                <w:rFonts w:hint="default" w:ascii="仿宋" w:hAnsi="仿宋" w:eastAsia="仿宋" w:cs="仿宋"/>
                <w:b/>
                <w:bCs w:val="0"/>
                <w:sz w:val="24"/>
                <w:szCs w:val="24"/>
                <w:lang w:val="en-US" w:eastAsia="zh-CN"/>
              </w:rPr>
              <w:t>完税证明或缴纳凭证，无需纳税的应提供相关证明材料，如完税说明或零申报记录）；投标人须提供（202</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年</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月-202</w:t>
            </w:r>
            <w:r>
              <w:rPr>
                <w:rFonts w:hint="eastAsia" w:ascii="仿宋" w:hAnsi="仿宋" w:eastAsia="仿宋" w:cs="仿宋"/>
                <w:b/>
                <w:bCs w:val="0"/>
                <w:sz w:val="24"/>
                <w:szCs w:val="24"/>
                <w:lang w:val="en-US" w:eastAsia="zh-CN"/>
              </w:rPr>
              <w:t>1</w:t>
            </w:r>
            <w:r>
              <w:rPr>
                <w:rFonts w:hint="default" w:ascii="仿宋" w:hAnsi="仿宋" w:eastAsia="仿宋" w:cs="仿宋"/>
                <w:b/>
                <w:bCs w:val="0"/>
                <w:sz w:val="24"/>
                <w:szCs w:val="24"/>
                <w:lang w:val="en-US" w:eastAsia="zh-CN"/>
              </w:rPr>
              <w:t>年</w:t>
            </w:r>
            <w:r>
              <w:rPr>
                <w:rFonts w:hint="eastAsia" w:ascii="仿宋" w:hAnsi="仿宋" w:eastAsia="仿宋" w:cs="仿宋"/>
                <w:b/>
                <w:bCs w:val="0"/>
                <w:sz w:val="24"/>
                <w:szCs w:val="24"/>
                <w:lang w:val="en-US" w:eastAsia="zh-CN"/>
              </w:rPr>
              <w:t>6</w:t>
            </w:r>
            <w:r>
              <w:rPr>
                <w:rFonts w:hint="default" w:ascii="仿宋" w:hAnsi="仿宋" w:eastAsia="仿宋" w:cs="仿宋"/>
                <w:b/>
                <w:bCs w:val="0"/>
                <w:sz w:val="24"/>
                <w:szCs w:val="24"/>
                <w:lang w:val="en-US" w:eastAsia="zh-CN"/>
              </w:rPr>
              <w:t>月）缴纳社保证明材料（包括</w:t>
            </w:r>
            <w:r>
              <w:rPr>
                <w:rFonts w:hint="eastAsia" w:ascii="仿宋" w:hAnsi="仿宋" w:eastAsia="仿宋" w:cs="仿宋"/>
                <w:b/>
                <w:bCs w:val="0"/>
                <w:sz w:val="24"/>
                <w:szCs w:val="24"/>
                <w:lang w:val="en-US" w:eastAsia="zh-CN"/>
              </w:rPr>
              <w:t>税收完税证明和社保</w:t>
            </w:r>
            <w:r>
              <w:rPr>
                <w:rFonts w:hint="default" w:ascii="仿宋" w:hAnsi="仿宋" w:eastAsia="仿宋" w:cs="仿宋"/>
                <w:b/>
                <w:bCs w:val="0"/>
                <w:sz w:val="24"/>
                <w:szCs w:val="24"/>
                <w:lang w:val="en-US" w:eastAsia="zh-CN"/>
              </w:rPr>
              <w:t>缴费</w:t>
            </w:r>
            <w:r>
              <w:rPr>
                <w:rFonts w:hint="eastAsia" w:ascii="仿宋" w:hAnsi="仿宋" w:eastAsia="仿宋" w:cs="仿宋"/>
                <w:b/>
                <w:bCs w:val="0"/>
                <w:sz w:val="24"/>
                <w:szCs w:val="24"/>
                <w:lang w:val="en-US" w:eastAsia="zh-CN"/>
              </w:rPr>
              <w:t>明细表</w:t>
            </w:r>
            <w:r>
              <w:rPr>
                <w:rFonts w:hint="default" w:ascii="仿宋" w:hAnsi="仿宋" w:eastAsia="仿宋" w:cs="仿宋"/>
                <w:b/>
                <w:bCs w:val="0"/>
                <w:sz w:val="24"/>
                <w:szCs w:val="24"/>
                <w:lang w:val="en-US" w:eastAsia="zh-CN"/>
              </w:rPr>
              <w:t>。供应商注册时间不满</w:t>
            </w:r>
            <w:r>
              <w:rPr>
                <w:rFonts w:hint="eastAsia" w:ascii="仿宋" w:hAnsi="仿宋" w:eastAsia="仿宋" w:cs="仿宋"/>
                <w:b/>
                <w:bCs w:val="0"/>
                <w:sz w:val="24"/>
                <w:szCs w:val="24"/>
                <w:lang w:val="en-US" w:eastAsia="zh-CN"/>
              </w:rPr>
              <w:t>6</w:t>
            </w:r>
            <w:r>
              <w:rPr>
                <w:rFonts w:hint="default" w:ascii="仿宋" w:hAnsi="仿宋" w:eastAsia="仿宋" w:cs="仿宋"/>
                <w:b/>
                <w:bCs w:val="0"/>
                <w:sz w:val="24"/>
                <w:szCs w:val="24"/>
                <w:lang w:val="en-US" w:eastAsia="zh-CN"/>
              </w:rPr>
              <w:t>个月的，应当提供注册时至参加政府采购活动时相应期限内本单位缴纳社会保障资金的清单。依法不需要缴纳社会保障资金的供应商，应当提供相应文件证明）；</w:t>
            </w:r>
          </w:p>
        </w:tc>
        <w:tc>
          <w:tcPr>
            <w:tcW w:w="62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728"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44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投标人必须提供《庆阳市政府采购供应商诚信承诺书》原件，否则视同自愿放弃投标(注：诚信承诺书由供应商法人代表签字），否则视为无效投标；供应商未承诺的，视同自愿放弃投标（响应）资格；未履行或未全面履行承诺的，依法依规处罚，并记入不良行为记录名单；对本承诺书的承诺内容作出任何改动的将被视为无效投标）。</w:t>
            </w:r>
          </w:p>
        </w:tc>
        <w:tc>
          <w:tcPr>
            <w:tcW w:w="62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728"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44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6）</w:t>
            </w:r>
            <w:r>
              <w:rPr>
                <w:rFonts w:hint="default" w:ascii="仿宋" w:hAnsi="仿宋" w:eastAsia="仿宋" w:cs="仿宋"/>
                <w:b/>
                <w:bCs w:val="0"/>
                <w:sz w:val="24"/>
                <w:szCs w:val="24"/>
                <w:lang w:val="en-US" w:eastAsia="zh-CN"/>
              </w:rPr>
              <w:t>投标人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w:t>
            </w:r>
            <w:r>
              <w:rPr>
                <w:rFonts w:hint="eastAsia" w:ascii="仿宋" w:hAnsi="仿宋" w:eastAsia="仿宋" w:cs="仿宋"/>
                <w:b/>
                <w:bCs w:val="0"/>
                <w:sz w:val="24"/>
                <w:szCs w:val="24"/>
                <w:lang w:val="en-US" w:eastAsia="zh-CN"/>
              </w:rPr>
              <w:t xml:space="preserve">                        </w:t>
            </w:r>
          </w:p>
        </w:tc>
        <w:tc>
          <w:tcPr>
            <w:tcW w:w="62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728"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c>
          <w:tcPr>
            <w:tcW w:w="449"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5）本项目不允许转包、分包、不接受以联合体方式参加投标；</w:t>
            </w:r>
          </w:p>
        </w:tc>
        <w:tc>
          <w:tcPr>
            <w:tcW w:w="62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c>
          <w:tcPr>
            <w:tcW w:w="728"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c>
          <w:tcPr>
            <w:tcW w:w="449"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4" w:firstLineChars="200"/>
              <w:textAlignment w:val="auto"/>
              <w:rPr>
                <w:rFonts w:hint="eastAsia" w:ascii="仿宋" w:hAnsi="仿宋" w:eastAsia="仿宋" w:cs="仿宋"/>
                <w:b/>
                <w:bCs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0" w:hanging="242" w:hangingChars="100"/>
        <w:jc w:val="left"/>
        <w:textAlignment w:val="auto"/>
        <w:rPr>
          <w:rFonts w:hint="eastAsia" w:ascii="仿宋" w:hAnsi="仿宋" w:eastAsia="仿宋" w:cs="仿宋"/>
          <w:b/>
          <w:sz w:val="24"/>
          <w:szCs w:val="24"/>
        </w:rPr>
      </w:pPr>
      <w:r>
        <w:rPr>
          <w:rFonts w:hint="eastAsia" w:ascii="仿宋" w:hAnsi="仿宋" w:eastAsia="仿宋" w:cs="仿宋"/>
          <w:b/>
          <w:sz w:val="24"/>
          <w:szCs w:val="24"/>
        </w:rPr>
        <w:t>注：三证合一的，则需提供具有统一社会信用代码的营业执照副本（原件）；资格性审查不通过供应商不能进入符合性审查及</w:t>
      </w:r>
      <w:r>
        <w:rPr>
          <w:rFonts w:hint="eastAsia" w:ascii="仿宋" w:hAnsi="仿宋" w:eastAsia="仿宋" w:cs="仿宋"/>
          <w:b/>
          <w:sz w:val="24"/>
          <w:szCs w:val="24"/>
          <w:lang w:eastAsia="zh-CN"/>
        </w:rPr>
        <w:t>评审</w:t>
      </w:r>
      <w:r>
        <w:rPr>
          <w:rFonts w:hint="eastAsia" w:ascii="仿宋" w:hAnsi="仿宋" w:eastAsia="仿宋" w:cs="仿宋"/>
          <w:b/>
          <w:sz w:val="24"/>
          <w:szCs w:val="24"/>
        </w:rPr>
        <w:t>环节，通过打“</w:t>
      </w:r>
      <w:r>
        <w:rPr>
          <w:rFonts w:hint="eastAsia" w:ascii="仿宋" w:hAnsi="仿宋" w:eastAsia="仿宋" w:cs="仿宋"/>
          <w:kern w:val="0"/>
          <w:sz w:val="24"/>
          <w:szCs w:val="24"/>
        </w:rPr>
        <w:t xml:space="preserve">√ </w:t>
      </w:r>
      <w:r>
        <w:rPr>
          <w:rFonts w:hint="eastAsia" w:ascii="仿宋" w:hAnsi="仿宋" w:eastAsia="仿宋" w:cs="仿宋"/>
          <w:b/>
          <w:sz w:val="24"/>
          <w:szCs w:val="24"/>
        </w:rPr>
        <w:t>”</w:t>
      </w:r>
      <w:r>
        <w:rPr>
          <w:rFonts w:hint="eastAsia" w:ascii="仿宋" w:hAnsi="仿宋" w:eastAsia="仿宋" w:cs="仿宋"/>
          <w:b/>
          <w:sz w:val="24"/>
          <w:szCs w:val="24"/>
          <w:lang w:eastAsia="zh-CN"/>
        </w:rPr>
        <w:t>，</w:t>
      </w:r>
      <w:r>
        <w:rPr>
          <w:rFonts w:hint="eastAsia" w:ascii="仿宋" w:hAnsi="仿宋" w:eastAsia="仿宋" w:cs="仿宋"/>
          <w:b/>
          <w:sz w:val="24"/>
          <w:szCs w:val="24"/>
        </w:rPr>
        <w:t>不通过“×”。通过资格性审查的有效供应商不足三家时，应予以废标。</w:t>
      </w:r>
    </w:p>
    <w:p>
      <w:pPr>
        <w:keepNext w:val="0"/>
        <w:keepLines w:val="0"/>
        <w:pageBreakBefore w:val="0"/>
        <w:widowControl w:val="0"/>
        <w:kinsoku/>
        <w:wordWrap/>
        <w:overflowPunct/>
        <w:topLinePunct w:val="0"/>
        <w:autoSpaceDE/>
        <w:autoSpaceDN/>
        <w:bidi w:val="0"/>
        <w:adjustRightInd/>
        <w:snapToGrid/>
        <w:spacing w:line="420" w:lineRule="exact"/>
        <w:ind w:left="0" w:firstLine="484" w:firstLineChars="200"/>
        <w:jc w:val="left"/>
        <w:textAlignment w:val="auto"/>
        <w:rPr>
          <w:rFonts w:hint="eastAsia" w:ascii="仿宋" w:hAnsi="仿宋" w:eastAsia="仿宋" w:cs="仿宋"/>
          <w:b/>
          <w:sz w:val="24"/>
          <w:szCs w:val="24"/>
          <w:lang w:val="zh-CN"/>
        </w:rPr>
      </w:pPr>
      <w:r>
        <w:rPr>
          <w:rFonts w:hint="eastAsia" w:ascii="仿宋" w:hAnsi="仿宋" w:eastAsia="仿宋" w:cs="仿宋"/>
          <w:b/>
          <w:bCs/>
          <w:sz w:val="24"/>
          <w:szCs w:val="24"/>
        </w:rPr>
        <w:t>2.</w:t>
      </w:r>
      <w:r>
        <w:rPr>
          <w:rFonts w:hint="eastAsia" w:ascii="仿宋" w:hAnsi="仿宋" w:eastAsia="仿宋" w:cs="仿宋"/>
          <w:b/>
          <w:bCs/>
          <w:sz w:val="24"/>
          <w:szCs w:val="24"/>
          <w:lang w:val="zh-CN"/>
        </w:rPr>
        <w:t>谈判小组对资格性审查合格的投标人进行符合性审查。</w:t>
      </w:r>
    </w:p>
    <w:p>
      <w:pPr>
        <w:keepNext w:val="0"/>
        <w:keepLines w:val="0"/>
        <w:pageBreakBefore w:val="0"/>
        <w:widowControl w:val="0"/>
        <w:kinsoku/>
        <w:wordWrap/>
        <w:overflowPunct/>
        <w:topLinePunct w:val="0"/>
        <w:autoSpaceDE/>
        <w:autoSpaceDN/>
        <w:bidi w:val="0"/>
        <w:adjustRightInd/>
        <w:snapToGrid/>
        <w:spacing w:line="420" w:lineRule="exact"/>
        <w:ind w:left="0"/>
        <w:textAlignment w:val="auto"/>
        <w:rPr>
          <w:rFonts w:ascii="宋体" w:hAnsi="宋体" w:cs="宋体"/>
          <w:kern w:val="0"/>
          <w:sz w:val="24"/>
        </w:rPr>
      </w:pPr>
      <w:r>
        <w:rPr>
          <w:rFonts w:hint="eastAsia" w:ascii="仿宋" w:hAnsi="仿宋" w:eastAsia="仿宋" w:cs="仿宋"/>
          <w:b/>
          <w:sz w:val="24"/>
          <w:szCs w:val="24"/>
          <w:lang w:val="zh-CN"/>
        </w:rPr>
        <w:t>符合性审查：</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363" w:firstLineChars="150"/>
              <w:jc w:val="center"/>
              <w:textAlignment w:val="auto"/>
              <w:rPr>
                <w:rFonts w:hint="eastAsia" w:ascii="仿宋" w:hAnsi="仿宋" w:eastAsia="仿宋" w:cs="仿宋"/>
                <w:b/>
                <w:sz w:val="24"/>
                <w:szCs w:val="24"/>
              </w:rPr>
            </w:pPr>
            <w:r>
              <w:rPr>
                <w:rFonts w:hint="eastAsia" w:ascii="仿宋" w:hAnsi="仿宋" w:eastAsia="仿宋" w:cs="仿宋"/>
                <w:b/>
                <w:sz w:val="24"/>
                <w:szCs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符合性审查项目</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供应商A</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供应商B</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sz w:val="24"/>
                <w:szCs w:val="24"/>
              </w:rPr>
            </w:pP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1、投标文件未按招标文件要求签署、盖章的；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2、报价超过招标文件中规定的预算金额或者最高限价的；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3、投标文件含有采购人不能接受的附加条件的；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4、投标人串通投标的；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5、投标人组成联合体投标的；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6、投标有效期不满足招标文件要求的；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7、评审过程中投标人的报价明显低于其他通过符合性审查投标人的报价，投标人未能在合理的时间内向评审委员会提交相关证明材料证明其报价合理性的；</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8、法律、法规和招标文件规定的其他无效情形</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484" w:firstLineChars="200"/>
              <w:textAlignment w:val="auto"/>
              <w:rPr>
                <w:rFonts w:hint="eastAsia" w:ascii="仿宋" w:hAnsi="仿宋" w:eastAsia="仿宋" w:cs="仿宋"/>
                <w:b/>
                <w:bCs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z w:val="24"/>
          <w:szCs w:val="24"/>
        </w:rPr>
      </w:pPr>
      <w:r>
        <w:rPr>
          <w:rFonts w:hint="eastAsia" w:ascii="仿宋" w:hAnsi="仿宋" w:eastAsia="仿宋" w:cs="仿宋"/>
          <w:b/>
          <w:sz w:val="24"/>
          <w:szCs w:val="24"/>
        </w:rPr>
        <w:t>注：符合性审查不通过的供应商不能进入</w:t>
      </w:r>
      <w:r>
        <w:rPr>
          <w:rFonts w:hint="eastAsia" w:ascii="仿宋" w:hAnsi="仿宋" w:eastAsia="仿宋" w:cs="仿宋"/>
          <w:b/>
          <w:sz w:val="24"/>
          <w:szCs w:val="24"/>
          <w:lang w:eastAsia="zh-CN"/>
        </w:rPr>
        <w:t>评审</w:t>
      </w:r>
      <w:r>
        <w:rPr>
          <w:rFonts w:hint="eastAsia" w:ascii="仿宋" w:hAnsi="仿宋" w:eastAsia="仿宋" w:cs="仿宋"/>
          <w:b/>
          <w:sz w:val="24"/>
          <w:szCs w:val="24"/>
        </w:rPr>
        <w:t>环节，通过打“√ ”，不通过“×”，通过符合性审查的有效供应商不足三家时，应予以废标。</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0"/>
        <w:textAlignment w:val="auto"/>
        <w:rPr>
          <w:rFonts w:hint="eastAsia" w:ascii="仿宋" w:hAnsi="仿宋" w:eastAsia="仿宋" w:cs="仿宋"/>
          <w:b/>
          <w:sz w:val="24"/>
          <w:szCs w:val="24"/>
        </w:rPr>
      </w:pPr>
      <w:r>
        <w:rPr>
          <w:rFonts w:hint="eastAsia" w:ascii="仿宋" w:hAnsi="仿宋" w:eastAsia="仿宋" w:cs="仿宋"/>
          <w:b/>
          <w:sz w:val="24"/>
          <w:szCs w:val="24"/>
        </w:rPr>
        <w:t>价格谈判：资格性、符合性审查合格的谈判供应商可进入谈判阶段。在正式进行价格谈判之前，谈判小组要对合格谈判供应商的谈判报价表进行确认，符合谈判文件规定的，作为第一次报价。没有谈判报价表或谈判报价表不符合谈判文件规定的，则取消其谈判资格。</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0"/>
        <w:textAlignment w:val="auto"/>
        <w:rPr>
          <w:rFonts w:hint="default" w:ascii="仿宋" w:hAnsi="仿宋" w:eastAsia="仿宋" w:cs="仿宋"/>
          <w:b/>
          <w:sz w:val="28"/>
          <w:szCs w:val="28"/>
          <w:lang w:val="en-US" w:eastAsia="zh-CN"/>
        </w:rPr>
      </w:pPr>
      <w:r>
        <w:rPr>
          <w:rFonts w:hint="eastAsia" w:ascii="仿宋" w:hAnsi="仿宋" w:eastAsia="仿宋" w:cs="仿宋"/>
          <w:b/>
          <w:sz w:val="24"/>
          <w:szCs w:val="24"/>
        </w:rPr>
        <w:t>进行三轮或以上谈判的规则进行，轮次可视情况而定，每轮谈判价格必须以书面形式现场确认。</w:t>
      </w:r>
      <w:r>
        <w:rPr>
          <w:rFonts w:hint="eastAsia" w:ascii="仿宋" w:hAnsi="仿宋" w:eastAsia="仿宋" w:cs="仿宋"/>
          <w:b/>
          <w:sz w:val="24"/>
          <w:szCs w:val="24"/>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02" w:name="_Toc9505"/>
      <w:bookmarkStart w:id="203" w:name="_Toc458440010"/>
      <w:bookmarkStart w:id="204" w:name="_Toc240772116"/>
      <w:bookmarkStart w:id="205" w:name="_Toc8373"/>
      <w:r>
        <w:rPr>
          <w:rFonts w:hint="eastAsia" w:ascii="仿宋" w:hAnsi="仿宋" w:eastAsia="仿宋" w:cs="仿宋"/>
          <w:sz w:val="28"/>
          <w:szCs w:val="28"/>
          <w:lang w:val="en-US"/>
        </w:rPr>
        <w:t>5.4.3 谈判方法</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选择“最低</w:t>
      </w:r>
      <w:r>
        <w:rPr>
          <w:rFonts w:hint="eastAsia" w:ascii="仿宋" w:hAnsi="仿宋" w:eastAsia="仿宋" w:cs="仿宋"/>
          <w:sz w:val="28"/>
          <w:szCs w:val="28"/>
          <w:lang w:eastAsia="zh-CN"/>
        </w:rPr>
        <w:t>评审</w:t>
      </w:r>
      <w:r>
        <w:rPr>
          <w:rFonts w:hint="eastAsia" w:ascii="仿宋" w:hAnsi="仿宋" w:eastAsia="仿宋" w:cs="仿宋"/>
          <w:sz w:val="28"/>
          <w:szCs w:val="28"/>
        </w:rPr>
        <w:t>价法”，即是指以价格为主要因素确定成交候选供应商，在</w:t>
      </w:r>
      <w:r>
        <w:rPr>
          <w:rFonts w:hint="eastAsia" w:ascii="仿宋" w:hAnsi="仿宋" w:eastAsia="仿宋" w:cs="仿宋"/>
          <w:sz w:val="28"/>
          <w:szCs w:val="28"/>
          <w:lang w:val="en-US" w:eastAsia="zh-CN"/>
        </w:rPr>
        <w:t>技术方案、售后服务等</w:t>
      </w:r>
      <w:r>
        <w:rPr>
          <w:rFonts w:hint="eastAsia" w:ascii="仿宋" w:hAnsi="仿宋" w:eastAsia="仿宋" w:cs="仿宋"/>
          <w:sz w:val="28"/>
          <w:szCs w:val="28"/>
        </w:rPr>
        <w:t>全部满足谈判文件实质性要求的前提下，依据统一的价格要素评定最低报价，以提出最低报价的谈判供应商作为拟成交供应商。</w:t>
      </w:r>
      <w:bookmarkStart w:id="206" w:name="_Toc240772117"/>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07" w:name="_Toc458440011"/>
      <w:bookmarkStart w:id="208" w:name="_Toc29817"/>
      <w:bookmarkStart w:id="209" w:name="_Toc28065"/>
      <w:r>
        <w:rPr>
          <w:rFonts w:hint="eastAsia" w:ascii="宋体" w:hAnsi="宋体"/>
          <w:sz w:val="28"/>
          <w:szCs w:val="28"/>
        </w:rPr>
        <w:t>5.5 拟成交供应商的确定</w:t>
      </w:r>
      <w:bookmarkEnd w:id="206"/>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根据法律法规规定，采购方依法享有经授权的成交供应商确定权。</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按照“最低价法”，采购方原则上在确定最低谈判报价的前提下，确定拟成交供应商。当价格最低的谈判供应商放弃成交、或因不可抗力提出不能履行合同，采购方可以确定价格次低的谈判供应商为拟成交供应商。</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拟成交供应商确定后，由采购方以公告的方式向拟成交供应商以及其他采购当事人发出拟成交通知书，拟成交公示届满后，由采购方向成交供应商发出成交通知书，并要求其按实际供货量与采购人签订合同。</w:t>
      </w:r>
      <w:bookmarkStart w:id="210" w:name="_Toc240772118"/>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11" w:name="_Toc19525"/>
      <w:bookmarkStart w:id="212" w:name="_Toc458440012"/>
      <w:bookmarkStart w:id="213" w:name="_Toc822"/>
      <w:r>
        <w:rPr>
          <w:rFonts w:hint="eastAsia" w:ascii="宋体" w:hAnsi="宋体"/>
          <w:sz w:val="28"/>
          <w:szCs w:val="28"/>
        </w:rPr>
        <w:t>5.6 合同的授予</w:t>
      </w:r>
      <w:bookmarkEnd w:id="210"/>
      <w:bookmarkEnd w:id="211"/>
      <w:bookmarkEnd w:id="212"/>
      <w:bookmarkEnd w:id="213"/>
    </w:p>
    <w:p>
      <w:pPr>
        <w:pStyle w:val="6"/>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bCs/>
          <w:sz w:val="28"/>
          <w:szCs w:val="28"/>
          <w:lang w:val="en-US"/>
        </w:rPr>
      </w:pPr>
      <w:bookmarkStart w:id="214" w:name="_Toc1176"/>
      <w:bookmarkStart w:id="215" w:name="_Toc458440013"/>
      <w:bookmarkStart w:id="216" w:name="_Toc240772119"/>
      <w:bookmarkStart w:id="217" w:name="_Toc1625"/>
      <w:r>
        <w:rPr>
          <w:rFonts w:hint="eastAsia" w:ascii="仿宋" w:hAnsi="仿宋" w:eastAsia="仿宋" w:cs="仿宋"/>
          <w:bCs/>
          <w:sz w:val="28"/>
          <w:szCs w:val="28"/>
          <w:lang w:val="en-US"/>
        </w:rPr>
        <w:t>5.6.1 成交通知书</w:t>
      </w:r>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根据谈判小组的评审结果，公布拟成交结果。在法定公示时间后且无质疑的情况下，该结果将做为是正式成交或签订供货合同的凭据，采购方将以书面形式通知成交的谈判供应商。在该通知书中将给出成交供应商应按本合同实施、完成和维护项目的成交价格（合同条件中称为“合同价格”）、交货日期、地点以及其他相关事项。</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成交通知书将成为合同的组成部分。</w:t>
      </w:r>
    </w:p>
    <w:p>
      <w:pPr>
        <w:pStyle w:val="6"/>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18" w:name="_Toc240772120"/>
      <w:bookmarkStart w:id="219" w:name="_Toc18039"/>
      <w:bookmarkStart w:id="220" w:name="_Toc458440014"/>
      <w:bookmarkStart w:id="221" w:name="_Toc10470"/>
      <w:r>
        <w:rPr>
          <w:rFonts w:hint="eastAsia" w:ascii="仿宋" w:hAnsi="仿宋" w:eastAsia="仿宋" w:cs="仿宋"/>
          <w:sz w:val="28"/>
          <w:szCs w:val="28"/>
          <w:lang w:val="en-US"/>
        </w:rPr>
        <w:t>5.6.2 合同授予原则</w:t>
      </w:r>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采购方将把合同授予经谈判小组评审推荐，在法定公示时间后，收到成交通知书的谈判供应商。若因谈判供应商违约或因不可抗力等原因不能被授予合同，则合同将授予价格次低的谈判供应商或重新组织采购。</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采购方保留在签订合同时调整方案需求和变动所购设备或材料数量的权力。</w:t>
      </w:r>
    </w:p>
    <w:p>
      <w:pPr>
        <w:pStyle w:val="6"/>
        <w:keepNext w:val="0"/>
        <w:keepLines w:val="0"/>
        <w:pageBreakBefore w:val="0"/>
        <w:widowControl w:val="0"/>
        <w:kinsoku/>
        <w:wordWrap/>
        <w:overflowPunct/>
        <w:topLinePunct w:val="0"/>
        <w:autoSpaceDE/>
        <w:autoSpaceDN/>
        <w:bidi w:val="0"/>
        <w:adjustRightInd/>
        <w:snapToGrid/>
        <w:spacing w:line="520" w:lineRule="exact"/>
        <w:ind w:firstLine="487"/>
        <w:textAlignment w:val="auto"/>
        <w:rPr>
          <w:rFonts w:hint="eastAsia" w:ascii="仿宋" w:hAnsi="仿宋" w:eastAsia="仿宋" w:cs="仿宋"/>
          <w:sz w:val="28"/>
          <w:szCs w:val="28"/>
          <w:lang w:val="en-US"/>
        </w:rPr>
      </w:pPr>
      <w:bookmarkStart w:id="222" w:name="_Toc458440015"/>
      <w:bookmarkStart w:id="223" w:name="_Toc240772121"/>
      <w:bookmarkStart w:id="224" w:name="_Toc28375"/>
      <w:bookmarkStart w:id="225" w:name="_Toc10749"/>
      <w:r>
        <w:rPr>
          <w:rFonts w:hint="eastAsia" w:ascii="仿宋" w:hAnsi="仿宋" w:eastAsia="仿宋" w:cs="仿宋"/>
          <w:sz w:val="28"/>
          <w:szCs w:val="28"/>
          <w:lang w:val="en-US"/>
        </w:rPr>
        <w:t>5.6.3 合同的签署</w:t>
      </w:r>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供应商按成交通知书中规定的时间和地点，由法定代表人或被授权人与需方签订合同。需方与成交供应商是合同权利与义务的直接、全部责任承担人。采购方所发出的成交通知书对需方和成交供应商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成交通知书发出后，需方拒绝签订供货合同或擅自改变成交内容，按照《中华人民共和国合同法》定金罚则及损害赔偿的原则处罚并办理。若成交供应商不能在规定时间内与需方签订合同，或变相签订合同，采购方依监督职能可采取取消其成交资格并没收其谈判保证金等措施，并可按照相关规定办理。此时可由采购方与价格次低的谈判供应商签订合同或重新组织采购。</w:t>
      </w:r>
      <w:bookmarkStart w:id="226" w:name="_Toc240772122"/>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27" w:name="_Toc21114"/>
      <w:bookmarkStart w:id="228" w:name="_Toc458440016"/>
      <w:bookmarkStart w:id="229" w:name="_Toc29795"/>
      <w:r>
        <w:rPr>
          <w:rFonts w:hint="eastAsia" w:ascii="宋体" w:hAnsi="宋体"/>
          <w:sz w:val="28"/>
          <w:szCs w:val="28"/>
        </w:rPr>
        <w:t>5.7 成交未果</w:t>
      </w:r>
      <w:bookmarkEnd w:id="226"/>
      <w:bookmarkEnd w:id="227"/>
      <w:bookmarkEnd w:id="228"/>
      <w:bookmarkEnd w:id="229"/>
    </w:p>
    <w:p>
      <w:pPr>
        <w:pStyle w:val="15"/>
        <w:keepNext w:val="0"/>
        <w:keepLines w:val="0"/>
        <w:pageBreakBefore w:val="0"/>
        <w:widowControl w:val="0"/>
        <w:kinsoku/>
        <w:wordWrap/>
        <w:overflowPunct/>
        <w:topLinePunct w:val="0"/>
        <w:autoSpaceDE/>
        <w:autoSpaceDN/>
        <w:bidi w:val="0"/>
        <w:adjustRightInd/>
        <w:snapToGrid/>
        <w:spacing w:after="0" w:line="520" w:lineRule="exact"/>
        <w:ind w:left="362" w:leftChars="171" w:firstLine="141" w:firstLineChars="50"/>
        <w:textAlignment w:val="auto"/>
        <w:rPr>
          <w:rFonts w:hint="eastAsia" w:ascii="仿宋" w:hAnsi="仿宋" w:eastAsia="仿宋" w:cs="仿宋"/>
          <w:b/>
          <w:bCs/>
          <w:sz w:val="28"/>
          <w:szCs w:val="28"/>
        </w:rPr>
      </w:pPr>
      <w:r>
        <w:rPr>
          <w:rFonts w:hint="eastAsia" w:ascii="仿宋" w:hAnsi="仿宋" w:eastAsia="仿宋" w:cs="仿宋"/>
          <w:b/>
          <w:bCs/>
          <w:sz w:val="28"/>
          <w:szCs w:val="28"/>
        </w:rPr>
        <w:t>在谈判采购中，出现下列情形之一的，宣布成交未果：</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25"/>
        <w:textAlignment w:val="auto"/>
        <w:rPr>
          <w:rFonts w:hint="eastAsia" w:ascii="仿宋" w:hAnsi="仿宋" w:eastAsia="仿宋" w:cs="仿宋"/>
          <w:b/>
          <w:bCs/>
          <w:sz w:val="28"/>
          <w:szCs w:val="28"/>
        </w:rPr>
      </w:pPr>
      <w:r>
        <w:rPr>
          <w:rFonts w:hint="eastAsia" w:ascii="仿宋" w:hAnsi="仿宋" w:eastAsia="仿宋" w:cs="仿宋"/>
          <w:b/>
          <w:bCs/>
          <w:sz w:val="28"/>
          <w:szCs w:val="28"/>
        </w:rPr>
        <w:t>1）符合专业条件的或者对谈判文件作实质响应的谈判供应商不足三家的（经同级政府采购监管部门审核批准的除外）；</w:t>
      </w:r>
      <w:r>
        <w:rPr>
          <w:rFonts w:hint="eastAsia" w:ascii="仿宋" w:hAnsi="仿宋" w:eastAsia="仿宋" w:cs="仿宋"/>
          <w:b/>
          <w:bCs/>
          <w:sz w:val="28"/>
          <w:szCs w:val="28"/>
        </w:rPr>
        <w:br w:type="textWrapping"/>
      </w:r>
      <w:r>
        <w:rPr>
          <w:rFonts w:hint="eastAsia" w:ascii="仿宋" w:hAnsi="仿宋" w:eastAsia="仿宋" w:cs="仿宋"/>
          <w:b/>
          <w:bCs/>
          <w:sz w:val="28"/>
          <w:szCs w:val="28"/>
        </w:rPr>
        <w:t>2）出现影响采购公正的违法、违规行为的；</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25"/>
        <w:textAlignment w:val="auto"/>
        <w:rPr>
          <w:rFonts w:hint="eastAsia" w:ascii="仿宋" w:hAnsi="仿宋" w:eastAsia="仿宋" w:cs="仿宋"/>
          <w:b/>
          <w:bCs/>
          <w:sz w:val="28"/>
          <w:szCs w:val="28"/>
        </w:rPr>
      </w:pPr>
      <w:r>
        <w:rPr>
          <w:rFonts w:hint="eastAsia" w:ascii="仿宋" w:hAnsi="仿宋" w:eastAsia="仿宋" w:cs="仿宋"/>
          <w:b/>
          <w:bCs/>
          <w:sz w:val="28"/>
          <w:szCs w:val="28"/>
        </w:rPr>
        <w:t>3）谈判供应商的报价均超过了采购预算，需方不能支付的；</w:t>
      </w:r>
    </w:p>
    <w:p>
      <w:pPr>
        <w:pStyle w:val="15"/>
        <w:keepNext w:val="0"/>
        <w:keepLines w:val="0"/>
        <w:pageBreakBefore w:val="0"/>
        <w:widowControl w:val="0"/>
        <w:kinsoku/>
        <w:wordWrap/>
        <w:overflowPunct/>
        <w:topLinePunct w:val="0"/>
        <w:autoSpaceDE/>
        <w:autoSpaceDN/>
        <w:bidi w:val="0"/>
        <w:adjustRightInd/>
        <w:snapToGrid/>
        <w:spacing w:after="0" w:line="520" w:lineRule="exact"/>
        <w:ind w:left="483" w:leftChars="228"/>
        <w:textAlignment w:val="auto"/>
        <w:rPr>
          <w:rFonts w:hint="eastAsia" w:ascii="仿宋" w:hAnsi="仿宋" w:eastAsia="仿宋" w:cs="仿宋"/>
          <w:b/>
          <w:sz w:val="28"/>
          <w:szCs w:val="28"/>
        </w:rPr>
      </w:pPr>
      <w:r>
        <w:rPr>
          <w:rFonts w:hint="eastAsia" w:ascii="仿宋" w:hAnsi="仿宋" w:eastAsia="仿宋" w:cs="仿宋"/>
          <w:b/>
          <w:bCs/>
          <w:sz w:val="28"/>
          <w:szCs w:val="28"/>
        </w:rPr>
        <w:t>4）因重大变故，采购任务取消的。</w:t>
      </w:r>
      <w:r>
        <w:rPr>
          <w:rFonts w:hint="eastAsia" w:ascii="仿宋" w:hAnsi="仿宋" w:eastAsia="仿宋" w:cs="仿宋"/>
          <w:b/>
          <w:sz w:val="28"/>
          <w:szCs w:val="28"/>
        </w:rPr>
        <w:br w:type="textWrapping"/>
      </w:r>
      <w:r>
        <w:rPr>
          <w:rFonts w:hint="eastAsia" w:ascii="仿宋" w:hAnsi="仿宋" w:eastAsia="仿宋" w:cs="仿宋"/>
          <w:b/>
          <w:bCs/>
          <w:sz w:val="28"/>
          <w:szCs w:val="28"/>
        </w:rPr>
        <w:t>宣布成交未果后，采购方应当将成交未果理由通知所有采购当事人。</w:t>
      </w:r>
      <w:bookmarkStart w:id="230" w:name="_Toc240772123"/>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1" w:name="_Toc19924"/>
      <w:bookmarkStart w:id="232" w:name="_Toc458440017"/>
      <w:bookmarkStart w:id="233" w:name="_Toc25540"/>
      <w:r>
        <w:rPr>
          <w:rFonts w:hint="eastAsia" w:ascii="宋体" w:hAnsi="宋体"/>
          <w:sz w:val="28"/>
          <w:szCs w:val="28"/>
        </w:rPr>
        <w:t>5.8 谈判无效响应</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bookmarkStart w:id="234" w:name="_Toc458440018"/>
      <w:r>
        <w:rPr>
          <w:rFonts w:hint="eastAsia" w:ascii="仿宋" w:hAnsi="仿宋" w:eastAsia="仿宋" w:cs="仿宋"/>
          <w:sz w:val="28"/>
          <w:szCs w:val="28"/>
        </w:rPr>
        <w:t>遇到下列情况之一时, 投标人的投标将被视为无效投标:</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1）投标人法定代表人或授权代理人未参加开标会议的；</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2）投标人未按要求交纳投标保证金或金额不足的；</w:t>
      </w:r>
    </w:p>
    <w:p>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3）投标人未按要求递交提交</w:t>
      </w:r>
      <w:r>
        <w:rPr>
          <w:rFonts w:hint="eastAsia" w:ascii="仿宋" w:hAnsi="仿宋" w:eastAsia="仿宋" w:cs="仿宋"/>
          <w:spacing w:val="-6"/>
          <w:sz w:val="28"/>
          <w:szCs w:val="28"/>
        </w:rPr>
        <w:t>本项目投标保证金进帐单或电汇凭证等银行证明文件的；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 投标文件未按规定编制、签字、盖章的； </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 投标报价超出采购预算或最高限价的；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6）投标文件无投标人公章和法人或者法人授权代理人的印章或签字的；</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7）投标函、法人授权函、投标报价表及投标货物偏离表未按规定格式填报的；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8）投标人未能提供法人授权函等证明文件和资料的，或提供的证件不齐或无效；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9) 投标文件未按照招标文件规定的格式填写，或者填写的内容不全，或者辨认不清产生歧义，或者涂改处未加盖投标人公章及法人或法人授权的代理人的印章或签字的；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10）投标文件中以两个及两个以上的方案进行投标的（招标文件另有规定的除外）；</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11）投标文件未能对招标文件提出的要求和条件作出实质性响应的；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12）投标人资格条件不符合国家有关规定和招标文件要求的，或者拒不按照要求对投标文件进行澄清、说明或者补正的；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13）投标文件附有招标人不能接受的条件的；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14）投标的产品（同一品牌、型号），在同一地区同一时间段内</w:t>
      </w:r>
      <w:r>
        <w:rPr>
          <w:rFonts w:hint="eastAsia" w:ascii="仿宋" w:hAnsi="仿宋" w:eastAsia="仿宋" w:cs="仿宋"/>
          <w:sz w:val="28"/>
          <w:szCs w:val="28"/>
          <w:lang w:eastAsia="zh-CN"/>
        </w:rPr>
        <w:t>成交</w:t>
      </w:r>
      <w:r>
        <w:rPr>
          <w:rFonts w:hint="eastAsia" w:ascii="仿宋" w:hAnsi="仿宋" w:eastAsia="仿宋" w:cs="仿宋"/>
          <w:sz w:val="28"/>
          <w:szCs w:val="28"/>
        </w:rPr>
        <w:t>供应商应保证其实际投标价格低于其他任何非政府采购价格；其中：</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① 投标阶段应视为无效投标；</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② 已</w:t>
      </w:r>
      <w:r>
        <w:rPr>
          <w:rFonts w:hint="eastAsia" w:ascii="仿宋" w:hAnsi="仿宋" w:eastAsia="仿宋" w:cs="仿宋"/>
          <w:sz w:val="28"/>
          <w:szCs w:val="28"/>
          <w:lang w:eastAsia="zh-CN"/>
        </w:rPr>
        <w:t>成交</w:t>
      </w:r>
      <w:r>
        <w:rPr>
          <w:rFonts w:hint="eastAsia" w:ascii="仿宋" w:hAnsi="仿宋" w:eastAsia="仿宋" w:cs="仿宋"/>
          <w:sz w:val="28"/>
          <w:szCs w:val="28"/>
        </w:rPr>
        <w:t>而无供货的视为</w:t>
      </w:r>
      <w:r>
        <w:rPr>
          <w:rFonts w:hint="eastAsia" w:ascii="仿宋" w:hAnsi="仿宋" w:eastAsia="仿宋" w:cs="仿宋"/>
          <w:sz w:val="28"/>
          <w:szCs w:val="28"/>
          <w:lang w:eastAsia="zh-CN"/>
        </w:rPr>
        <w:t>成交</w:t>
      </w:r>
      <w:r>
        <w:rPr>
          <w:rFonts w:hint="eastAsia" w:ascii="仿宋" w:hAnsi="仿宋" w:eastAsia="仿宋" w:cs="仿宋"/>
          <w:sz w:val="28"/>
          <w:szCs w:val="28"/>
        </w:rPr>
        <w:t>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③ 已供货者，供应商应承担由此给需方造成的损失。</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15）经评审委员会认定，认为生产制造企业通过控制授权函等方式，恶意抬高其产品价格。降低服务质量，价格明显高于在同一地区同一时间段内任何政府采购价格的；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16）投标有效期不足的；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17）在</w:t>
      </w:r>
      <w:r>
        <w:rPr>
          <w:rFonts w:hint="eastAsia" w:ascii="仿宋" w:hAnsi="仿宋" w:eastAsia="仿宋" w:cs="仿宋"/>
          <w:sz w:val="28"/>
          <w:szCs w:val="28"/>
          <w:lang w:eastAsia="zh-CN"/>
        </w:rPr>
        <w:t>评审</w:t>
      </w:r>
      <w:r>
        <w:rPr>
          <w:rFonts w:hint="eastAsia" w:ascii="仿宋" w:hAnsi="仿宋" w:eastAsia="仿宋" w:cs="仿宋"/>
          <w:sz w:val="28"/>
          <w:szCs w:val="28"/>
        </w:rPr>
        <w:t>过程中，如果投标人试图在投标审查、澄清、比较及授予合同方面向招标人施加任何影响的；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18）投标人以他人名义投标、串通投标、以行贿手段谋取</w:t>
      </w:r>
      <w:r>
        <w:rPr>
          <w:rFonts w:hint="eastAsia" w:ascii="仿宋" w:hAnsi="仿宋" w:eastAsia="仿宋" w:cs="仿宋"/>
          <w:sz w:val="28"/>
          <w:szCs w:val="28"/>
          <w:lang w:eastAsia="zh-CN"/>
        </w:rPr>
        <w:t>成交</w:t>
      </w:r>
      <w:r>
        <w:rPr>
          <w:rFonts w:hint="eastAsia" w:ascii="仿宋" w:hAnsi="仿宋" w:eastAsia="仿宋" w:cs="仿宋"/>
          <w:sz w:val="28"/>
          <w:szCs w:val="28"/>
        </w:rPr>
        <w:t>或者以弄虚作假等方式投标的；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19）经核实两个或两个以上投标人的投标文件有雷同或有抄袭行为的；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20）违反《中华人民共和国政府采购法》及《中华人民共和国财政部令﹝2017﹞87号》的投标；</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21）招标文件规定的其它无效投标条件。</w:t>
      </w:r>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5" w:name="_Toc29361"/>
      <w:r>
        <w:rPr>
          <w:rFonts w:hint="eastAsia" w:ascii="宋体" w:hAnsi="宋体"/>
          <w:sz w:val="28"/>
          <w:szCs w:val="28"/>
        </w:rPr>
        <w:t>5.9串通投标情形</w:t>
      </w:r>
      <w:bookmarkEnd w:id="235"/>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发现存在下列情形之一的，应当视为供应商串通投标，认定其投标（响应）无效：</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1）不同供应商委托同一单位或者个人办理采购事宜的；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不同供应商的投标保证金从同一单位或者个人的账户转出的；发现存在单位负责人为同一人或者存在直接控股、管理关系的不同供应商，参加同一合同项下政府采购活动情形的，应当按照采购文件约定的方式或者随机方式（采购文件没有约定的），选择其中一家符合资格要求的供应商参加采购活动；</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3）不同供应商的投标（响应）文件由同一单位或者个人编制的；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4）不同供应商委托同一单位或者个人办理采购事宜的；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5）不同供应商的投标（响应）文件载明的项目管理成员或者联系人员为同一人的；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6）不同供应商的投标（响应）文件异常一致或者响应报价呈规律性差异的；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7）不同供应商的投标（响应）文件相互混装的。</w:t>
      </w:r>
    </w:p>
    <w:p>
      <w:pPr>
        <w:pStyle w:val="5"/>
        <w:pageBreakBefore w:val="0"/>
        <w:widowControl w:val="0"/>
        <w:kinsoku/>
        <w:wordWrap/>
        <w:overflowPunct/>
        <w:topLinePunct w:val="0"/>
        <w:autoSpaceDE/>
        <w:autoSpaceDN/>
        <w:bidi w:val="0"/>
        <w:adjustRightInd/>
        <w:snapToGrid/>
        <w:spacing w:before="0" w:after="0" w:line="520" w:lineRule="exact"/>
        <w:ind w:firstLine="419" w:firstLineChars="149"/>
        <w:textAlignment w:val="auto"/>
        <w:rPr>
          <w:rFonts w:hint="eastAsia" w:ascii="宋体" w:hAnsi="宋体"/>
          <w:sz w:val="28"/>
          <w:szCs w:val="28"/>
        </w:rPr>
      </w:pPr>
      <w:bookmarkStart w:id="236" w:name="_Toc25145"/>
      <w:r>
        <w:rPr>
          <w:rFonts w:hint="eastAsia" w:ascii="宋体" w:hAnsi="宋体"/>
          <w:sz w:val="28"/>
          <w:szCs w:val="28"/>
        </w:rPr>
        <w:t>5.10恶意串通投标情形</w:t>
      </w:r>
      <w:bookmarkEnd w:id="236"/>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发现存在下列情形之一的，应当认定为恶意串通，否决相关供应商投标（响应）文件，并报告采购人本级财政部门依法处理：</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1）供应商直接或者间接从采购人或者采购代理机构处获得其他供应商的相关情况并修改其投标文件或者响应文件的；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2）供应商通过采购人或者采购代理机构的授意撤换、修改投标文件或者响应文件的；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3)供应商之间协商报价、技术方案等投标文件或者响应文件的实质性内容的；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4)属于同一集团、协会、商会等组织成员的供应商按照该组织要求协同参加政府采购活动的；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5)供应商之间事先约定由某一特定供应商</w:t>
      </w:r>
      <w:r>
        <w:rPr>
          <w:rFonts w:hint="eastAsia" w:ascii="仿宋" w:hAnsi="仿宋" w:eastAsia="仿宋" w:cs="仿宋"/>
          <w:sz w:val="28"/>
          <w:szCs w:val="28"/>
          <w:lang w:eastAsia="zh-CN"/>
        </w:rPr>
        <w:t>成交</w:t>
      </w:r>
      <w:r>
        <w:rPr>
          <w:rFonts w:hint="eastAsia" w:ascii="仿宋" w:hAnsi="仿宋" w:eastAsia="仿宋" w:cs="仿宋"/>
          <w:sz w:val="28"/>
          <w:szCs w:val="28"/>
        </w:rPr>
        <w:t>、成交的；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6)供应商之间商定部分供应商放弃参加政府采购活动或者放弃</w:t>
      </w:r>
      <w:r>
        <w:rPr>
          <w:rFonts w:hint="eastAsia" w:ascii="仿宋" w:hAnsi="仿宋" w:eastAsia="仿宋" w:cs="仿宋"/>
          <w:sz w:val="28"/>
          <w:szCs w:val="28"/>
          <w:lang w:eastAsia="zh-CN"/>
        </w:rPr>
        <w:t>成交</w:t>
      </w:r>
      <w:r>
        <w:rPr>
          <w:rFonts w:hint="eastAsia" w:ascii="仿宋" w:hAnsi="仿宋" w:eastAsia="仿宋" w:cs="仿宋"/>
          <w:sz w:val="28"/>
          <w:szCs w:val="28"/>
        </w:rPr>
        <w:t>、成交的；</w:t>
      </w:r>
    </w:p>
    <w:p>
      <w:pPr>
        <w:keepNext w:val="0"/>
        <w:keepLines w:val="0"/>
        <w:pageBreakBefore w:val="0"/>
        <w:widowControl w:val="0"/>
        <w:tabs>
          <w:tab w:val="left" w:pos="-540"/>
        </w:tabs>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sz w:val="28"/>
          <w:szCs w:val="28"/>
        </w:rPr>
      </w:pPr>
      <w:r>
        <w:rPr>
          <w:rFonts w:hint="eastAsia" w:ascii="仿宋" w:hAnsi="仿宋" w:eastAsia="仿宋" w:cs="仿宋"/>
          <w:sz w:val="28"/>
          <w:szCs w:val="28"/>
        </w:rPr>
        <w:t>7)供应商与采购人或者采购代理机构之间、供应商相互之间，为谋求特定供应商</w:t>
      </w:r>
      <w:r>
        <w:rPr>
          <w:rFonts w:hint="eastAsia" w:ascii="仿宋" w:hAnsi="仿宋" w:eastAsia="仿宋" w:cs="仿宋"/>
          <w:sz w:val="28"/>
          <w:szCs w:val="28"/>
          <w:lang w:eastAsia="zh-CN"/>
        </w:rPr>
        <w:t>成交</w:t>
      </w:r>
      <w:r>
        <w:rPr>
          <w:rFonts w:hint="eastAsia" w:ascii="仿宋" w:hAnsi="仿宋" w:eastAsia="仿宋" w:cs="仿宋"/>
          <w:sz w:val="28"/>
          <w:szCs w:val="28"/>
        </w:rPr>
        <w:t>、成交或者排斥其他供应商的其他串通行为的。</w:t>
      </w:r>
    </w:p>
    <w:p>
      <w:pPr>
        <w:pStyle w:val="3"/>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仿宋" w:hAnsi="仿宋" w:eastAsia="仿宋" w:cs="仿宋"/>
          <w:sz w:val="28"/>
          <w:szCs w:val="28"/>
        </w:rPr>
        <w:sectPr>
          <w:footerReference r:id="rId11" w:type="first"/>
          <w:footerReference r:id="rId9" w:type="default"/>
          <w:footerReference r:id="rId10" w:type="even"/>
          <w:pgSz w:w="11906" w:h="16838"/>
          <w:pgMar w:top="1701" w:right="1474" w:bottom="1587" w:left="1587" w:header="851" w:footer="992" w:gutter="0"/>
          <w:pgNumType w:fmt="numberInDash"/>
          <w:cols w:space="720" w:num="1"/>
          <w:titlePg/>
          <w:rtlGutter w:val="0"/>
          <w:docGrid w:type="linesAndChars" w:linePitch="322" w:charSpace="535"/>
        </w:sectPr>
      </w:pPr>
    </w:p>
    <w:bookmarkEnd w:id="165"/>
    <w:bookmarkEnd w:id="166"/>
    <w:bookmarkEnd w:id="167"/>
    <w:bookmarkEnd w:id="234"/>
    <w:p>
      <w:pPr>
        <w:pStyle w:val="4"/>
        <w:spacing w:before="0" w:after="0"/>
        <w:jc w:val="center"/>
        <w:rPr>
          <w:rFonts w:hint="eastAsia"/>
          <w:kern w:val="0"/>
          <w:sz w:val="40"/>
        </w:rPr>
      </w:pPr>
      <w:bookmarkStart w:id="237" w:name="_Toc17366"/>
      <w:bookmarkStart w:id="238" w:name="_Toc25655"/>
      <w:bookmarkStart w:id="239" w:name="_Toc459045272"/>
      <w:bookmarkStart w:id="240" w:name="_Toc430114967"/>
      <w:bookmarkStart w:id="241" w:name="_Toc458440019"/>
      <w:r>
        <w:rPr>
          <w:rFonts w:hint="eastAsia"/>
          <w:kern w:val="0"/>
          <w:sz w:val="40"/>
        </w:rPr>
        <w:t>6、合同格式（仅供参考）</w:t>
      </w:r>
      <w:bookmarkEnd w:id="237"/>
      <w:bookmarkEnd w:id="238"/>
      <w:bookmarkEnd w:id="239"/>
    </w:p>
    <w:p>
      <w:pPr>
        <w:ind w:firstLine="1400" w:firstLineChars="500"/>
        <w:rPr>
          <w:rFonts w:hint="eastAsia" w:ascii="仿宋" w:hAnsi="仿宋" w:eastAsia="仿宋" w:cs="仿宋"/>
          <w:sz w:val="28"/>
          <w:szCs w:val="28"/>
        </w:rPr>
      </w:pPr>
      <w:r>
        <w:rPr>
          <w:rFonts w:hint="eastAsia" w:ascii="仿宋" w:hAnsi="仿宋" w:eastAsia="仿宋" w:cs="仿宋"/>
          <w:sz w:val="28"/>
          <w:szCs w:val="28"/>
        </w:rPr>
        <w:t>实际合同内容可根据谈判情况、招标文件规定及甲乙双方约定作出改动</w:t>
      </w:r>
    </w:p>
    <w:p>
      <w:pPr>
        <w:pStyle w:val="5"/>
        <w:spacing w:before="0" w:after="0"/>
        <w:ind w:firstLine="419" w:firstLineChars="149"/>
        <w:rPr>
          <w:rFonts w:hint="eastAsia" w:ascii="宋体" w:hAnsi="宋体"/>
          <w:sz w:val="28"/>
          <w:szCs w:val="28"/>
        </w:rPr>
      </w:pPr>
      <w:bookmarkStart w:id="242" w:name="_Toc27564"/>
      <w:r>
        <w:rPr>
          <w:rFonts w:hint="eastAsia" w:ascii="宋体" w:hAnsi="宋体"/>
          <w:sz w:val="28"/>
          <w:szCs w:val="28"/>
        </w:rPr>
        <w:t>6.1、合同封面</w:t>
      </w:r>
      <w:bookmarkEnd w:id="242"/>
    </w:p>
    <w:p>
      <w:pPr>
        <w:spacing w:line="360" w:lineRule="auto"/>
        <w:jc w:val="left"/>
        <w:rPr>
          <w:rFonts w:hint="eastAsia" w:ascii="宋体" w:hAnsi="宋体"/>
          <w:sz w:val="52"/>
          <w:szCs w:val="52"/>
          <w:u w:val="single"/>
        </w:rPr>
      </w:pPr>
      <w:r>
        <w:rPr>
          <w:rFonts w:hint="eastAsia" w:ascii="宋体" w:hAnsi="宋体"/>
          <w:sz w:val="72"/>
          <w:szCs w:val="72"/>
        </w:rPr>
        <w:t xml:space="preserve">  </w:t>
      </w:r>
      <w:r>
        <w:rPr>
          <w:rFonts w:hint="eastAsia" w:ascii="宋体" w:hAnsi="宋体"/>
          <w:sz w:val="52"/>
          <w:szCs w:val="52"/>
          <w:u w:val="single"/>
        </w:rPr>
        <w:t xml:space="preserve">                      </w:t>
      </w:r>
      <w:r>
        <w:rPr>
          <w:rFonts w:hint="eastAsia" w:ascii="宋体" w:hAnsi="宋体"/>
          <w:sz w:val="52"/>
          <w:szCs w:val="52"/>
        </w:rPr>
        <w:t>项目</w:t>
      </w:r>
    </w:p>
    <w:p>
      <w:pPr>
        <w:spacing w:line="360" w:lineRule="auto"/>
        <w:jc w:val="center"/>
        <w:rPr>
          <w:rFonts w:hint="eastAsia" w:ascii="宋体" w:hAnsi="宋体"/>
          <w:sz w:val="52"/>
          <w:szCs w:val="52"/>
        </w:rPr>
      </w:pPr>
      <w:r>
        <w:rPr>
          <w:rFonts w:hint="eastAsia" w:ascii="宋体" w:hAnsi="宋体"/>
          <w:sz w:val="52"/>
          <w:szCs w:val="52"/>
        </w:rPr>
        <w:t>政府采购合同</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tabs>
          <w:tab w:val="left" w:pos="709"/>
          <w:tab w:val="left" w:pos="1418"/>
        </w:tabs>
        <w:spacing w:line="360" w:lineRule="auto"/>
        <w:rPr>
          <w:rFonts w:hint="eastAsia" w:ascii="宋体" w:hAnsi="宋体"/>
          <w:sz w:val="36"/>
          <w:szCs w:val="36"/>
        </w:rPr>
      </w:pPr>
      <w:r>
        <w:rPr>
          <w:rFonts w:hint="eastAsia" w:ascii="宋体" w:hAnsi="宋体"/>
          <w:sz w:val="44"/>
          <w:szCs w:val="44"/>
        </w:rPr>
        <w:t xml:space="preserve">      </w:t>
      </w:r>
      <w:r>
        <w:rPr>
          <w:rFonts w:hint="eastAsia" w:ascii="宋体" w:hAnsi="宋体"/>
          <w:sz w:val="36"/>
          <w:szCs w:val="36"/>
        </w:rPr>
        <w:t>合同编号： HT-(招标文件编号)</w:t>
      </w:r>
    </w:p>
    <w:p>
      <w:pPr>
        <w:spacing w:line="360" w:lineRule="auto"/>
        <w:rPr>
          <w:rFonts w:hint="eastAsia" w:ascii="宋体" w:hAnsi="宋体"/>
          <w:color w:val="000000"/>
          <w:sz w:val="36"/>
          <w:szCs w:val="36"/>
        </w:rPr>
      </w:pPr>
      <w:r>
        <w:rPr>
          <w:rFonts w:hint="eastAsia" w:ascii="宋体" w:hAnsi="宋体"/>
          <w:sz w:val="36"/>
          <w:szCs w:val="36"/>
        </w:rPr>
        <w:t xml:space="preserve">      </w:t>
      </w:r>
      <w:r>
        <w:rPr>
          <w:rFonts w:hint="eastAsia" w:ascii="宋体" w:hAnsi="宋体"/>
          <w:color w:val="FF0000"/>
          <w:sz w:val="36"/>
          <w:szCs w:val="36"/>
        </w:rPr>
        <w:t xml:space="preserve">  </w:t>
      </w:r>
      <w:r>
        <w:rPr>
          <w:rFonts w:hint="eastAsia" w:ascii="宋体" w:hAnsi="宋体"/>
          <w:color w:val="000000"/>
          <w:sz w:val="36"/>
          <w:szCs w:val="36"/>
        </w:rPr>
        <w:t>项目名称：</w:t>
      </w:r>
    </w:p>
    <w:p>
      <w:pPr>
        <w:spacing w:line="360" w:lineRule="auto"/>
        <w:rPr>
          <w:rFonts w:hint="eastAsia" w:ascii="宋体" w:hAnsi="宋体"/>
          <w:sz w:val="36"/>
          <w:szCs w:val="36"/>
        </w:rPr>
      </w:pPr>
      <w:r>
        <w:rPr>
          <w:rFonts w:hint="eastAsia" w:ascii="宋体" w:hAnsi="宋体"/>
          <w:sz w:val="36"/>
          <w:szCs w:val="36"/>
        </w:rPr>
        <w:t xml:space="preserve">        招标文件编号：</w:t>
      </w:r>
    </w:p>
    <w:p>
      <w:pPr>
        <w:spacing w:line="360" w:lineRule="auto"/>
        <w:rPr>
          <w:rFonts w:hint="eastAsia" w:ascii="宋体" w:hAnsi="宋体"/>
          <w:sz w:val="36"/>
          <w:szCs w:val="36"/>
        </w:rPr>
      </w:pPr>
    </w:p>
    <w:p>
      <w:pPr>
        <w:spacing w:line="360" w:lineRule="auto"/>
        <w:rPr>
          <w:rFonts w:hint="eastAsia" w:ascii="宋体" w:hAnsi="宋体"/>
          <w:sz w:val="36"/>
          <w:szCs w:val="36"/>
        </w:rPr>
      </w:pPr>
      <w:r>
        <w:rPr>
          <w:rFonts w:hint="eastAsia" w:ascii="宋体" w:hAnsi="宋体"/>
          <w:sz w:val="36"/>
          <w:szCs w:val="36"/>
        </w:rPr>
        <w:t xml:space="preserve">        甲方：</w:t>
      </w:r>
    </w:p>
    <w:p>
      <w:pPr>
        <w:spacing w:line="360" w:lineRule="auto"/>
        <w:ind w:firstLine="720"/>
        <w:rPr>
          <w:rFonts w:hint="eastAsia" w:ascii="宋体" w:hAnsi="宋体"/>
          <w:sz w:val="36"/>
          <w:szCs w:val="36"/>
        </w:rPr>
      </w:pPr>
      <w:r>
        <w:rPr>
          <w:rFonts w:hint="eastAsia" w:ascii="宋体" w:hAnsi="宋体"/>
          <w:sz w:val="36"/>
          <w:szCs w:val="36"/>
        </w:rPr>
        <w:t xml:space="preserve">    乙方：</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both"/>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36"/>
          <w:szCs w:val="36"/>
        </w:rPr>
      </w:pPr>
      <w:r>
        <w:rPr>
          <w:rFonts w:hint="eastAsia" w:ascii="宋体" w:hAnsi="宋体"/>
          <w:sz w:val="36"/>
          <w:szCs w:val="36"/>
        </w:rPr>
        <w:t xml:space="preserve">年    月  </w:t>
      </w:r>
    </w:p>
    <w:p>
      <w:pPr>
        <w:pStyle w:val="3"/>
        <w:rPr>
          <w:rFonts w:hint="eastAsia"/>
        </w:rPr>
      </w:pPr>
    </w:p>
    <w:p>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kern w:val="0"/>
          <w:sz w:val="40"/>
        </w:rPr>
      </w:pPr>
      <w:bookmarkStart w:id="243" w:name="_Toc28530"/>
    </w:p>
    <w:p>
      <w:pPr>
        <w:pStyle w:val="5"/>
        <w:spacing w:before="0" w:after="0"/>
        <w:ind w:firstLine="419" w:firstLineChars="149"/>
        <w:rPr>
          <w:rFonts w:hint="eastAsia" w:ascii="宋体" w:hAnsi="宋体" w:eastAsia="黑体"/>
          <w:b/>
          <w:bCs/>
          <w:sz w:val="28"/>
          <w:szCs w:val="28"/>
          <w:lang w:eastAsia="zh-CN"/>
        </w:rPr>
      </w:pPr>
      <w:r>
        <w:rPr>
          <w:rFonts w:hint="eastAsia" w:ascii="宋体" w:hAnsi="宋体"/>
          <w:b/>
          <w:bCs/>
          <w:sz w:val="28"/>
          <w:szCs w:val="28"/>
        </w:rPr>
        <w:t>6.2</w:t>
      </w:r>
      <w:r>
        <w:rPr>
          <w:rFonts w:hint="eastAsia" w:ascii="宋体" w:hAnsi="宋体"/>
          <w:b/>
          <w:bCs/>
          <w:sz w:val="28"/>
          <w:szCs w:val="28"/>
          <w:lang w:val="en-US" w:eastAsia="zh-CN"/>
        </w:rPr>
        <w:t xml:space="preserve">   </w:t>
      </w:r>
      <w:r>
        <w:rPr>
          <w:rFonts w:hint="eastAsia" w:ascii="宋体" w:hAnsi="宋体"/>
          <w:b/>
          <w:bCs/>
          <w:sz w:val="28"/>
          <w:szCs w:val="28"/>
        </w:rPr>
        <w:t>政府采购合同协议书</w:t>
      </w:r>
      <w:bookmarkEnd w:id="243"/>
      <w:r>
        <w:rPr>
          <w:rFonts w:hint="eastAsia" w:ascii="宋体" w:hAnsi="宋体"/>
          <w:b/>
          <w:bCs/>
          <w:sz w:val="28"/>
          <w:szCs w:val="28"/>
          <w:lang w:eastAsia="zh-CN"/>
        </w:rPr>
        <w:t>（</w:t>
      </w:r>
      <w:r>
        <w:rPr>
          <w:rFonts w:hint="eastAsia" w:ascii="宋体" w:hAnsi="宋体"/>
          <w:b/>
          <w:bCs/>
          <w:sz w:val="28"/>
          <w:szCs w:val="28"/>
          <w:lang w:val="en-US" w:eastAsia="zh-CN"/>
        </w:rPr>
        <w:t>草案</w:t>
      </w:r>
      <w:r>
        <w:rPr>
          <w:rFonts w:hint="eastAsia" w:ascii="宋体" w:hAnsi="宋体"/>
          <w:b/>
          <w:bCs/>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采购合同编号： HT-(招标文件编号)</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镇原县</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rPr>
        <w:t>以下简称需方）所需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采购，经与</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协商一致，签订本合同。</w:t>
      </w:r>
    </w:p>
    <w:p>
      <w:pPr>
        <w:spacing w:line="360" w:lineRule="auto"/>
        <w:rPr>
          <w:rFonts w:ascii="仿宋" w:hAnsi="仿宋" w:eastAsia="仿宋" w:cs="仿宋"/>
          <w:sz w:val="28"/>
          <w:szCs w:val="28"/>
        </w:rPr>
      </w:pPr>
      <w:r>
        <w:rPr>
          <w:rFonts w:hint="eastAsia" w:ascii="仿宋" w:hAnsi="仿宋" w:eastAsia="仿宋" w:cs="仿宋"/>
          <w:sz w:val="28"/>
          <w:szCs w:val="28"/>
        </w:rPr>
        <w:t>一、合同编号：</w:t>
      </w:r>
      <w:r>
        <w:rPr>
          <w:rFonts w:hint="eastAsia" w:ascii="仿宋" w:hAnsi="仿宋" w:eastAsia="仿宋" w:cs="仿宋"/>
          <w:sz w:val="28"/>
          <w:szCs w:val="28"/>
          <w:lang w:eastAsia="zh-CN"/>
        </w:rPr>
        <w:t>ZYZC2021-0117</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二、签订地点：</w:t>
      </w:r>
    </w:p>
    <w:p>
      <w:pPr>
        <w:spacing w:line="360" w:lineRule="auto"/>
        <w:rPr>
          <w:rFonts w:ascii="仿宋" w:hAnsi="仿宋" w:eastAsia="仿宋" w:cs="仿宋"/>
          <w:sz w:val="28"/>
          <w:szCs w:val="28"/>
        </w:rPr>
      </w:pPr>
      <w:r>
        <w:rPr>
          <w:rFonts w:hint="eastAsia" w:ascii="仿宋" w:hAnsi="仿宋" w:eastAsia="仿宋" w:cs="仿宋"/>
          <w:sz w:val="28"/>
          <w:szCs w:val="28"/>
        </w:rPr>
        <w:t>三、签订时间：   年   月   日</w:t>
      </w:r>
    </w:p>
    <w:p>
      <w:pPr>
        <w:spacing w:line="360" w:lineRule="auto"/>
        <w:rPr>
          <w:rFonts w:ascii="仿宋" w:hAnsi="仿宋" w:eastAsia="仿宋" w:cs="仿宋"/>
          <w:sz w:val="28"/>
          <w:szCs w:val="28"/>
        </w:rPr>
      </w:pPr>
      <w:r>
        <w:rPr>
          <w:rFonts w:hint="eastAsia" w:ascii="仿宋" w:hAnsi="仿宋" w:eastAsia="仿宋" w:cs="仿宋"/>
          <w:sz w:val="28"/>
          <w:szCs w:val="28"/>
        </w:rPr>
        <w:t>四、合同内容：根据《中华人民共和国合同法》及镇原县公共资源交易中心招标文件的规定，供需双方协商一致，签订本合同。</w:t>
      </w:r>
    </w:p>
    <w:p>
      <w:pPr>
        <w:spacing w:line="360" w:lineRule="auto"/>
        <w:rPr>
          <w:rFonts w:ascii="仿宋" w:hAnsi="仿宋" w:eastAsia="仿宋" w:cs="仿宋"/>
          <w:sz w:val="28"/>
          <w:szCs w:val="28"/>
        </w:rPr>
      </w:pPr>
      <w:r>
        <w:rPr>
          <w:rFonts w:hint="eastAsia" w:ascii="仿宋" w:hAnsi="仿宋" w:eastAsia="仿宋" w:cs="仿宋"/>
          <w:sz w:val="28"/>
          <w:szCs w:val="28"/>
        </w:rPr>
        <w:t>1、货物品名、生产厂商、规格、数量等信息如下：</w:t>
      </w:r>
    </w:p>
    <w:p>
      <w:pPr>
        <w:spacing w:line="360" w:lineRule="auto"/>
        <w:rPr>
          <w:rFonts w:ascii="仿宋" w:hAnsi="仿宋" w:eastAsia="仿宋" w:cs="仿宋"/>
          <w:sz w:val="28"/>
          <w:szCs w:val="28"/>
        </w:rPr>
      </w:pPr>
      <w:r>
        <w:rPr>
          <w:rFonts w:hint="eastAsia" w:ascii="仿宋" w:hAnsi="仿宋" w:eastAsia="仿宋" w:cs="仿宋"/>
          <w:sz w:val="28"/>
          <w:szCs w:val="28"/>
        </w:rPr>
        <w:t xml:space="preserve">生产厂家：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名称：                                   </w:t>
      </w:r>
    </w:p>
    <w:p>
      <w:pPr>
        <w:spacing w:line="360" w:lineRule="auto"/>
        <w:rPr>
          <w:rFonts w:ascii="仿宋" w:hAnsi="仿宋" w:eastAsia="仿宋" w:cs="仿宋"/>
          <w:sz w:val="28"/>
          <w:szCs w:val="28"/>
        </w:rPr>
      </w:pPr>
      <w:r>
        <w:rPr>
          <w:rFonts w:hint="eastAsia" w:ascii="仿宋" w:hAnsi="仿宋" w:eastAsia="仿宋" w:cs="仿宋"/>
          <w:sz w:val="28"/>
          <w:szCs w:val="28"/>
        </w:rPr>
        <w:t xml:space="preserve">数量：                                   </w:t>
      </w:r>
    </w:p>
    <w:p>
      <w:pPr>
        <w:spacing w:line="360" w:lineRule="auto"/>
        <w:rPr>
          <w:rFonts w:ascii="仿宋" w:hAnsi="仿宋" w:eastAsia="仿宋" w:cs="仿宋"/>
          <w:sz w:val="28"/>
          <w:szCs w:val="28"/>
        </w:rPr>
      </w:pPr>
      <w:r>
        <w:rPr>
          <w:rFonts w:hint="eastAsia" w:ascii="仿宋" w:hAnsi="仿宋" w:eastAsia="仿宋" w:cs="仿宋"/>
          <w:sz w:val="28"/>
          <w:szCs w:val="28"/>
        </w:rPr>
        <w:t xml:space="preserve">型号：                                   </w:t>
      </w:r>
    </w:p>
    <w:p>
      <w:pPr>
        <w:spacing w:line="360" w:lineRule="auto"/>
        <w:rPr>
          <w:rFonts w:ascii="仿宋" w:hAnsi="仿宋" w:eastAsia="仿宋" w:cs="仿宋"/>
          <w:sz w:val="28"/>
          <w:szCs w:val="28"/>
        </w:rPr>
      </w:pPr>
      <w:r>
        <w:rPr>
          <w:rFonts w:hint="eastAsia" w:ascii="仿宋" w:hAnsi="仿宋" w:eastAsia="仿宋" w:cs="仿宋"/>
          <w:sz w:val="28"/>
          <w:szCs w:val="28"/>
        </w:rPr>
        <w:t xml:space="preserve">2、价格解释：合同价格包括成本、税款、包装、运费、售后服务等全部费用，价格一次确定不再变更。 </w:t>
      </w:r>
    </w:p>
    <w:p>
      <w:pPr>
        <w:spacing w:line="360" w:lineRule="auto"/>
        <w:rPr>
          <w:rFonts w:ascii="仿宋" w:hAnsi="仿宋" w:eastAsia="仿宋" w:cs="仿宋"/>
          <w:sz w:val="28"/>
          <w:szCs w:val="28"/>
        </w:rPr>
      </w:pPr>
      <w:r>
        <w:rPr>
          <w:rFonts w:hint="eastAsia" w:ascii="仿宋" w:hAnsi="仿宋" w:eastAsia="仿宋" w:cs="仿宋"/>
          <w:sz w:val="28"/>
          <w:szCs w:val="28"/>
        </w:rPr>
        <w:t>3、包装要求：不论采取何种包装形式，供方均需确保无破损，无污染，且方便二次运输。因包装不当造成的损失由供方负责，包退包换。</w:t>
      </w:r>
    </w:p>
    <w:p>
      <w:pPr>
        <w:spacing w:line="360" w:lineRule="auto"/>
        <w:rPr>
          <w:rFonts w:ascii="仿宋" w:hAnsi="仿宋" w:eastAsia="仿宋" w:cs="仿宋"/>
          <w:sz w:val="28"/>
          <w:szCs w:val="28"/>
        </w:rPr>
      </w:pPr>
      <w:r>
        <w:rPr>
          <w:rFonts w:hint="eastAsia" w:ascii="仿宋" w:hAnsi="仿宋" w:eastAsia="仿宋" w:cs="仿宋"/>
          <w:sz w:val="28"/>
          <w:szCs w:val="28"/>
        </w:rPr>
        <w:t>五、招、投标文件，合同所附供货一览表均为本合同内容一部分。如果供货一览表的内容与招、投标文件不一致时，以招、投标文件和</w:t>
      </w:r>
      <w:r>
        <w:rPr>
          <w:rFonts w:hint="eastAsia" w:ascii="仿宋" w:hAnsi="仿宋" w:eastAsia="仿宋" w:cs="仿宋"/>
          <w:sz w:val="28"/>
          <w:szCs w:val="28"/>
          <w:lang w:eastAsia="zh-CN"/>
        </w:rPr>
        <w:t>评审</w:t>
      </w:r>
      <w:r>
        <w:rPr>
          <w:rFonts w:hint="eastAsia" w:ascii="仿宋" w:hAnsi="仿宋" w:eastAsia="仿宋" w:cs="仿宋"/>
          <w:sz w:val="28"/>
          <w:szCs w:val="28"/>
        </w:rPr>
        <w:t>结果表为准。</w:t>
      </w:r>
    </w:p>
    <w:p>
      <w:pPr>
        <w:spacing w:line="360" w:lineRule="auto"/>
        <w:rPr>
          <w:rFonts w:ascii="仿宋" w:hAnsi="仿宋" w:eastAsia="仿宋" w:cs="仿宋"/>
          <w:sz w:val="28"/>
          <w:szCs w:val="28"/>
        </w:rPr>
      </w:pPr>
      <w:r>
        <w:rPr>
          <w:rFonts w:hint="eastAsia" w:ascii="仿宋" w:hAnsi="仿宋" w:eastAsia="仿宋" w:cs="仿宋"/>
          <w:sz w:val="28"/>
          <w:szCs w:val="28"/>
        </w:rPr>
        <w:t>六、合同金额：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元 ,大写：                     </w:t>
      </w:r>
    </w:p>
    <w:p>
      <w:pPr>
        <w:spacing w:line="360" w:lineRule="auto"/>
        <w:rPr>
          <w:rFonts w:ascii="仿宋" w:hAnsi="仿宋" w:eastAsia="仿宋" w:cs="仿宋"/>
          <w:sz w:val="28"/>
          <w:szCs w:val="28"/>
        </w:rPr>
      </w:pPr>
      <w:r>
        <w:rPr>
          <w:rFonts w:hint="eastAsia" w:ascii="仿宋" w:hAnsi="仿宋" w:eastAsia="仿宋" w:cs="仿宋"/>
          <w:sz w:val="28"/>
          <w:szCs w:val="28"/>
        </w:rPr>
        <w:t>七、一般条款：</w:t>
      </w:r>
    </w:p>
    <w:p>
      <w:pPr>
        <w:spacing w:line="360" w:lineRule="auto"/>
        <w:rPr>
          <w:rFonts w:ascii="仿宋" w:hAnsi="仿宋" w:eastAsia="仿宋" w:cs="仿宋"/>
          <w:sz w:val="28"/>
          <w:szCs w:val="28"/>
        </w:rPr>
      </w:pPr>
      <w:r>
        <w:rPr>
          <w:rFonts w:hint="eastAsia" w:ascii="仿宋" w:hAnsi="仿宋" w:eastAsia="仿宋" w:cs="仿宋"/>
          <w:sz w:val="28"/>
          <w:szCs w:val="28"/>
        </w:rPr>
        <w:t>1、供方所提供的货物符合国家现行有效标准，并为正规制造厂商生产的合格产品，因质量问题而发生的任何故障由供方负责。</w:t>
      </w:r>
    </w:p>
    <w:p>
      <w:pPr>
        <w:spacing w:line="360" w:lineRule="auto"/>
        <w:rPr>
          <w:rFonts w:ascii="仿宋" w:hAnsi="仿宋" w:eastAsia="仿宋" w:cs="仿宋"/>
          <w:sz w:val="28"/>
          <w:szCs w:val="28"/>
        </w:rPr>
      </w:pPr>
      <w:r>
        <w:rPr>
          <w:rFonts w:hint="eastAsia" w:ascii="仿宋" w:hAnsi="仿宋" w:eastAsia="仿宋" w:cs="仿宋"/>
          <w:sz w:val="28"/>
          <w:szCs w:val="28"/>
        </w:rPr>
        <w:t>2、供方承担交货前的一切责任和费用（包括招投标产生的所有费用、运输费等全部费用）。</w:t>
      </w:r>
    </w:p>
    <w:p>
      <w:pPr>
        <w:spacing w:line="360" w:lineRule="auto"/>
        <w:rPr>
          <w:rFonts w:ascii="仿宋" w:hAnsi="仿宋" w:eastAsia="仿宋" w:cs="仿宋"/>
          <w:sz w:val="28"/>
          <w:szCs w:val="28"/>
        </w:rPr>
      </w:pPr>
      <w:r>
        <w:rPr>
          <w:rFonts w:hint="eastAsia" w:ascii="仿宋" w:hAnsi="仿宋" w:eastAsia="仿宋" w:cs="仿宋"/>
          <w:sz w:val="28"/>
          <w:szCs w:val="28"/>
        </w:rPr>
        <w:t>3、需方在交货地点验收，如发现损坏、缺件等问题，由供方负责。</w:t>
      </w:r>
    </w:p>
    <w:p>
      <w:pPr>
        <w:spacing w:line="360" w:lineRule="auto"/>
        <w:rPr>
          <w:rFonts w:ascii="仿宋" w:hAnsi="仿宋" w:eastAsia="仿宋" w:cs="仿宋"/>
          <w:sz w:val="28"/>
          <w:szCs w:val="28"/>
        </w:rPr>
      </w:pPr>
      <w:r>
        <w:rPr>
          <w:rFonts w:hint="eastAsia" w:ascii="仿宋" w:hAnsi="仿宋" w:eastAsia="仿宋" w:cs="仿宋"/>
          <w:sz w:val="28"/>
          <w:szCs w:val="28"/>
        </w:rPr>
        <w:t>4、供方在发运货物时需提供相应的技术文件，包括操作手册（使用说明）、装箱清单、产品合格证等。</w:t>
      </w:r>
    </w:p>
    <w:p>
      <w:pPr>
        <w:spacing w:line="360" w:lineRule="auto"/>
        <w:rPr>
          <w:rFonts w:ascii="仿宋" w:hAnsi="仿宋" w:eastAsia="仿宋" w:cs="仿宋"/>
          <w:sz w:val="28"/>
          <w:szCs w:val="28"/>
        </w:rPr>
      </w:pPr>
      <w:r>
        <w:rPr>
          <w:rFonts w:hint="eastAsia" w:ascii="仿宋" w:hAnsi="仿宋" w:eastAsia="仿宋" w:cs="仿宋"/>
          <w:sz w:val="28"/>
          <w:szCs w:val="28"/>
        </w:rPr>
        <w:t>5、免费培训需方2-3名操作人员。</w:t>
      </w:r>
    </w:p>
    <w:p>
      <w:pPr>
        <w:spacing w:line="360" w:lineRule="auto"/>
        <w:rPr>
          <w:rFonts w:ascii="仿宋" w:hAnsi="仿宋" w:eastAsia="仿宋" w:cs="仿宋"/>
          <w:sz w:val="28"/>
          <w:szCs w:val="28"/>
        </w:rPr>
      </w:pPr>
      <w:r>
        <w:rPr>
          <w:rFonts w:hint="eastAsia" w:ascii="仿宋" w:hAnsi="仿宋" w:eastAsia="仿宋" w:cs="仿宋"/>
          <w:sz w:val="28"/>
          <w:szCs w:val="28"/>
        </w:rPr>
        <w:t>6、供方对所供产品保质期应按生产厂商的承诺执行(附生产厂家承诺)，至少为1年，非人为损坏的，应于24小时内到达需方处并提供免费维修或更换。</w:t>
      </w:r>
    </w:p>
    <w:p>
      <w:pPr>
        <w:spacing w:line="360" w:lineRule="auto"/>
        <w:rPr>
          <w:rFonts w:ascii="仿宋" w:hAnsi="仿宋" w:eastAsia="仿宋" w:cs="仿宋"/>
          <w:sz w:val="28"/>
          <w:szCs w:val="28"/>
        </w:rPr>
      </w:pPr>
      <w:r>
        <w:rPr>
          <w:rFonts w:hint="eastAsia" w:ascii="仿宋" w:hAnsi="仿宋" w:eastAsia="仿宋" w:cs="仿宋"/>
          <w:sz w:val="28"/>
          <w:szCs w:val="28"/>
        </w:rPr>
        <w:t>7、供方按合同规定交货，供货完毕经验收合格后，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（按县财政规定方式支付）</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8、供方凭合同向需方供货,未见合同供货而造成的一切后果由供方负责。</w:t>
      </w:r>
    </w:p>
    <w:p>
      <w:pPr>
        <w:spacing w:line="360" w:lineRule="auto"/>
        <w:rPr>
          <w:rFonts w:ascii="仿宋" w:hAnsi="仿宋" w:eastAsia="仿宋" w:cs="仿宋"/>
          <w:sz w:val="28"/>
          <w:szCs w:val="28"/>
        </w:rPr>
      </w:pPr>
      <w:r>
        <w:rPr>
          <w:rFonts w:hint="eastAsia" w:ascii="仿宋" w:hAnsi="仿宋" w:eastAsia="仿宋" w:cs="仿宋"/>
          <w:sz w:val="28"/>
          <w:szCs w:val="28"/>
        </w:rPr>
        <w:t>9、供需双方签订的合同，交镇原县公共资源交易中心备案后生效。</w:t>
      </w:r>
    </w:p>
    <w:p>
      <w:pPr>
        <w:spacing w:line="360" w:lineRule="auto"/>
        <w:rPr>
          <w:rFonts w:ascii="仿宋" w:hAnsi="仿宋" w:eastAsia="仿宋" w:cs="仿宋"/>
          <w:sz w:val="28"/>
          <w:szCs w:val="28"/>
        </w:rPr>
      </w:pPr>
      <w:r>
        <w:rPr>
          <w:rFonts w:hint="eastAsia" w:ascii="仿宋" w:hAnsi="仿宋" w:eastAsia="仿宋" w:cs="仿宋"/>
          <w:sz w:val="28"/>
          <w:szCs w:val="28"/>
        </w:rPr>
        <w:t>10、违约责任：供方应依据合同规定时间按时交货，如不能，由此给需方带来的损失由供方负责。镇原县公共资源交易中心将根据供方实际违约情况没收其履约保证金，且上缴国库。情节严重的，将取消供方参加镇原县政府采购的资格，并且在甘肃省或中国政府采购网上予以通报。</w:t>
      </w:r>
    </w:p>
    <w:p>
      <w:pPr>
        <w:spacing w:line="360" w:lineRule="auto"/>
        <w:rPr>
          <w:rFonts w:ascii="仿宋" w:hAnsi="仿宋" w:eastAsia="仿宋" w:cs="仿宋"/>
          <w:sz w:val="28"/>
          <w:szCs w:val="28"/>
        </w:rPr>
      </w:pPr>
      <w:r>
        <w:rPr>
          <w:rFonts w:hint="eastAsia" w:ascii="仿宋" w:hAnsi="仿宋" w:eastAsia="仿宋" w:cs="仿宋"/>
          <w:sz w:val="28"/>
          <w:szCs w:val="28"/>
        </w:rPr>
        <w:t xml:space="preserve">11、质量验收： </w:t>
      </w:r>
    </w:p>
    <w:p>
      <w:pPr>
        <w:spacing w:line="360" w:lineRule="auto"/>
        <w:rPr>
          <w:rFonts w:ascii="仿宋" w:hAnsi="仿宋" w:eastAsia="仿宋" w:cs="仿宋"/>
          <w:sz w:val="28"/>
          <w:szCs w:val="28"/>
        </w:rPr>
      </w:pPr>
      <w:r>
        <w:rPr>
          <w:rFonts w:hint="eastAsia" w:ascii="仿宋" w:hAnsi="仿宋" w:eastAsia="仿宋" w:cs="仿宋"/>
          <w:sz w:val="28"/>
          <w:szCs w:val="28"/>
        </w:rPr>
        <w:t>（1）到货验收需方应当在1个工作日内完成，验收遵循谁验收谁负责的原则，验收合格后在验收单上签署 “验收合格”字样，逾期验收视为验收合格。</w:t>
      </w:r>
    </w:p>
    <w:p>
      <w:pPr>
        <w:spacing w:line="360" w:lineRule="auto"/>
        <w:rPr>
          <w:rFonts w:ascii="仿宋" w:hAnsi="仿宋" w:eastAsia="仿宋" w:cs="仿宋"/>
          <w:sz w:val="28"/>
          <w:szCs w:val="28"/>
        </w:rPr>
      </w:pPr>
      <w:r>
        <w:rPr>
          <w:rFonts w:hint="eastAsia" w:ascii="仿宋" w:hAnsi="仿宋" w:eastAsia="仿宋" w:cs="仿宋"/>
          <w:sz w:val="28"/>
          <w:szCs w:val="28"/>
        </w:rPr>
        <w:t>（2）需方在验收中发现货物质量不符合合同要求和验收标准或有异议时，应及时通知供方，供方应在接到通知后三天内给予答复，并负责处理，若需送法定质检部门检验，检验费用由供方承担。如发现货物质量严重不符合质量要求的，需方可通知供方停止供货，解除合同。</w:t>
      </w:r>
    </w:p>
    <w:p>
      <w:pPr>
        <w:spacing w:line="360" w:lineRule="auto"/>
        <w:rPr>
          <w:rFonts w:ascii="仿宋" w:hAnsi="仿宋" w:eastAsia="仿宋" w:cs="仿宋"/>
          <w:sz w:val="28"/>
          <w:szCs w:val="28"/>
        </w:rPr>
      </w:pPr>
      <w:r>
        <w:rPr>
          <w:rFonts w:hint="eastAsia" w:ascii="仿宋" w:hAnsi="仿宋" w:eastAsia="仿宋" w:cs="仿宋"/>
          <w:sz w:val="28"/>
          <w:szCs w:val="28"/>
        </w:rPr>
        <w:t>12、公开招标过程中产生的场地费等其他费用由中标企业承担</w:t>
      </w:r>
    </w:p>
    <w:p>
      <w:pPr>
        <w:spacing w:line="360" w:lineRule="auto"/>
        <w:rPr>
          <w:rFonts w:ascii="仿宋" w:hAnsi="仿宋" w:eastAsia="仿宋" w:cs="仿宋"/>
          <w:sz w:val="28"/>
          <w:szCs w:val="28"/>
        </w:rPr>
      </w:pPr>
      <w:r>
        <w:rPr>
          <w:rFonts w:hint="eastAsia" w:ascii="仿宋" w:hAnsi="仿宋" w:eastAsia="仿宋" w:cs="仿宋"/>
          <w:sz w:val="28"/>
          <w:szCs w:val="28"/>
        </w:rPr>
        <w:t>八、交货时间、交货地点和验收单位：</w:t>
      </w:r>
    </w:p>
    <w:p>
      <w:pPr>
        <w:spacing w:line="360" w:lineRule="auto"/>
        <w:rPr>
          <w:rFonts w:ascii="仿宋" w:hAnsi="仿宋" w:eastAsia="仿宋" w:cs="仿宋"/>
          <w:sz w:val="28"/>
          <w:szCs w:val="28"/>
        </w:rPr>
      </w:pPr>
      <w:r>
        <w:rPr>
          <w:rFonts w:hint="eastAsia" w:ascii="仿宋" w:hAnsi="仿宋" w:eastAsia="仿宋" w:cs="仿宋"/>
          <w:sz w:val="28"/>
          <w:szCs w:val="28"/>
        </w:rPr>
        <w:t>1、交货时间：2021年  月   日</w:t>
      </w:r>
    </w:p>
    <w:p>
      <w:pPr>
        <w:spacing w:line="360" w:lineRule="auto"/>
        <w:rPr>
          <w:rFonts w:ascii="仿宋" w:hAnsi="仿宋" w:eastAsia="仿宋" w:cs="仿宋"/>
          <w:sz w:val="28"/>
          <w:szCs w:val="28"/>
        </w:rPr>
      </w:pPr>
      <w:r>
        <w:rPr>
          <w:rFonts w:hint="eastAsia" w:ascii="仿宋" w:hAnsi="仿宋" w:eastAsia="仿宋" w:cs="仿宋"/>
          <w:sz w:val="28"/>
          <w:szCs w:val="28"/>
        </w:rPr>
        <w:t xml:space="preserve">2、交货地点： </w:t>
      </w:r>
    </w:p>
    <w:p>
      <w:pPr>
        <w:spacing w:line="360" w:lineRule="auto"/>
        <w:rPr>
          <w:rFonts w:ascii="仿宋" w:hAnsi="仿宋" w:eastAsia="仿宋" w:cs="仿宋"/>
          <w:sz w:val="28"/>
          <w:szCs w:val="28"/>
        </w:rPr>
      </w:pPr>
      <w:r>
        <w:rPr>
          <w:rFonts w:hint="eastAsia" w:ascii="仿宋" w:hAnsi="仿宋" w:eastAsia="仿宋" w:cs="仿宋"/>
          <w:sz w:val="28"/>
          <w:szCs w:val="28"/>
        </w:rPr>
        <w:t>3、验收单位：采购单位</w:t>
      </w:r>
    </w:p>
    <w:p>
      <w:pPr>
        <w:spacing w:line="360" w:lineRule="auto"/>
        <w:rPr>
          <w:rFonts w:ascii="仿宋" w:hAnsi="仿宋" w:eastAsia="仿宋" w:cs="仿宋"/>
          <w:sz w:val="28"/>
          <w:szCs w:val="28"/>
        </w:rPr>
      </w:pPr>
      <w:r>
        <w:rPr>
          <w:rFonts w:hint="eastAsia" w:ascii="仿宋" w:hAnsi="仿宋" w:eastAsia="仿宋" w:cs="仿宋"/>
          <w:sz w:val="28"/>
          <w:szCs w:val="28"/>
        </w:rPr>
        <w:t>九、经济责任：</w:t>
      </w:r>
      <w:r>
        <w:rPr>
          <w:rFonts w:hint="eastAsia" w:ascii="仿宋" w:hAnsi="仿宋" w:eastAsia="仿宋" w:cs="仿宋"/>
          <w:sz w:val="28"/>
          <w:szCs w:val="28"/>
        </w:rPr>
        <w:tab/>
      </w:r>
    </w:p>
    <w:p>
      <w:pPr>
        <w:spacing w:line="360" w:lineRule="auto"/>
        <w:rPr>
          <w:rFonts w:ascii="仿宋" w:hAnsi="仿宋" w:eastAsia="仿宋" w:cs="仿宋"/>
          <w:sz w:val="28"/>
          <w:szCs w:val="28"/>
        </w:rPr>
      </w:pPr>
      <w:r>
        <w:rPr>
          <w:rFonts w:hint="eastAsia" w:ascii="仿宋" w:hAnsi="仿宋" w:eastAsia="仿宋" w:cs="仿宋"/>
          <w:sz w:val="28"/>
          <w:szCs w:val="28"/>
        </w:rPr>
        <w:t xml:space="preserve">（一）供方责任：  </w:t>
      </w:r>
    </w:p>
    <w:p>
      <w:pPr>
        <w:spacing w:line="360" w:lineRule="auto"/>
        <w:rPr>
          <w:rFonts w:ascii="仿宋" w:hAnsi="仿宋" w:eastAsia="仿宋" w:cs="仿宋"/>
          <w:sz w:val="28"/>
          <w:szCs w:val="28"/>
        </w:rPr>
      </w:pPr>
      <w:r>
        <w:rPr>
          <w:rFonts w:hint="eastAsia" w:ascii="仿宋" w:hAnsi="仿宋" w:eastAsia="仿宋" w:cs="仿宋"/>
          <w:sz w:val="28"/>
          <w:szCs w:val="28"/>
        </w:rPr>
        <w:t>（1）供方保证不将中标项目转让或转包给其他任何公司或个人实施，保证不与其他公司或个人签定不为需方所知情的协议、合同，否则供方无条件退货，并赔偿需方货物总价款10%的违约金。</w:t>
      </w:r>
    </w:p>
    <w:p>
      <w:pPr>
        <w:spacing w:line="360" w:lineRule="auto"/>
        <w:rPr>
          <w:rFonts w:ascii="仿宋" w:hAnsi="仿宋" w:eastAsia="仿宋" w:cs="仿宋"/>
          <w:sz w:val="28"/>
          <w:szCs w:val="28"/>
        </w:rPr>
      </w:pPr>
      <w:r>
        <w:rPr>
          <w:rFonts w:hint="eastAsia" w:ascii="仿宋" w:hAnsi="仿宋" w:eastAsia="仿宋" w:cs="仿宋"/>
          <w:sz w:val="28"/>
          <w:szCs w:val="28"/>
        </w:rPr>
        <w:t>（2）供方不履行合同或交付的货物全部或部分不符合合同要求的，需方有权拒收不符合质量要求的全部或部分货物，供方须向需方支付拒收货物价款总额10%的违约金。</w:t>
      </w:r>
    </w:p>
    <w:p>
      <w:pPr>
        <w:spacing w:line="360" w:lineRule="auto"/>
        <w:rPr>
          <w:rFonts w:ascii="仿宋" w:hAnsi="仿宋" w:eastAsia="仿宋" w:cs="仿宋"/>
          <w:sz w:val="28"/>
          <w:szCs w:val="28"/>
        </w:rPr>
      </w:pPr>
      <w:r>
        <w:rPr>
          <w:rFonts w:hint="eastAsia" w:ascii="仿宋" w:hAnsi="仿宋" w:eastAsia="仿宋" w:cs="仿宋"/>
          <w:sz w:val="28"/>
          <w:szCs w:val="28"/>
        </w:rPr>
        <w:t>（3）货物质量不符合合同规定时，需方同意利用的按质论价，不能利用的，供方负责包退包换。由于上述原因导致延误交货时间的，每延误一日，供应方应按逾期交货部分货物价款总值的5‰向需方偿付违约金。</w:t>
      </w:r>
    </w:p>
    <w:p>
      <w:pPr>
        <w:spacing w:line="360" w:lineRule="auto"/>
        <w:rPr>
          <w:rFonts w:ascii="仿宋" w:hAnsi="仿宋" w:eastAsia="仿宋" w:cs="仿宋"/>
          <w:sz w:val="28"/>
          <w:szCs w:val="28"/>
        </w:rPr>
      </w:pPr>
      <w:r>
        <w:rPr>
          <w:rFonts w:hint="eastAsia" w:ascii="仿宋" w:hAnsi="仿宋" w:eastAsia="仿宋" w:cs="仿宋"/>
          <w:sz w:val="28"/>
          <w:szCs w:val="28"/>
        </w:rPr>
        <w:t>（4）供方必须按合同规定的日期交货，每逾期一日，供方必须向需方支付逾期交货部分货物总额5‰的违约金。逾期交货超过30日，需方有权解除合同，履约保证金不予退还，上缴国库。</w:t>
      </w:r>
    </w:p>
    <w:p>
      <w:pPr>
        <w:spacing w:line="360" w:lineRule="auto"/>
        <w:rPr>
          <w:rFonts w:ascii="仿宋" w:hAnsi="仿宋" w:eastAsia="仿宋" w:cs="仿宋"/>
          <w:sz w:val="28"/>
          <w:szCs w:val="28"/>
        </w:rPr>
      </w:pPr>
      <w:r>
        <w:rPr>
          <w:rFonts w:hint="eastAsia" w:ascii="仿宋" w:hAnsi="仿宋" w:eastAsia="仿宋" w:cs="仿宋"/>
          <w:sz w:val="28"/>
          <w:szCs w:val="28"/>
        </w:rPr>
        <w:t>（5）供方提供的不符合质量要求的（尺寸大小负责包换，不视为质量问题）货物超过本合同总量的10%时，视为整批货物不合格。</w:t>
      </w:r>
    </w:p>
    <w:p>
      <w:pPr>
        <w:spacing w:line="360" w:lineRule="auto"/>
        <w:rPr>
          <w:rFonts w:ascii="仿宋" w:hAnsi="仿宋" w:eastAsia="仿宋" w:cs="仿宋"/>
          <w:sz w:val="28"/>
          <w:szCs w:val="28"/>
        </w:rPr>
      </w:pPr>
      <w:r>
        <w:rPr>
          <w:rFonts w:hint="eastAsia" w:ascii="仿宋" w:hAnsi="仿宋" w:eastAsia="仿宋" w:cs="仿宋"/>
          <w:sz w:val="28"/>
          <w:szCs w:val="28"/>
        </w:rPr>
        <w:t>（二）、需方责任</w:t>
      </w:r>
    </w:p>
    <w:p>
      <w:pPr>
        <w:spacing w:line="360" w:lineRule="auto"/>
        <w:rPr>
          <w:rFonts w:ascii="仿宋" w:hAnsi="仿宋" w:eastAsia="仿宋" w:cs="仿宋"/>
          <w:sz w:val="28"/>
          <w:szCs w:val="28"/>
        </w:rPr>
      </w:pPr>
      <w:r>
        <w:rPr>
          <w:rFonts w:hint="eastAsia" w:ascii="仿宋" w:hAnsi="仿宋" w:eastAsia="仿宋" w:cs="仿宋"/>
          <w:sz w:val="28"/>
          <w:szCs w:val="28"/>
        </w:rPr>
        <w:t xml:space="preserve">需方无正当理由，中途退货或拒绝收货，应向供方支付退货部分货款总额10%的违约金，并承担因此造成的经济损失及运输费用。 </w:t>
      </w:r>
    </w:p>
    <w:p>
      <w:pPr>
        <w:spacing w:line="360" w:lineRule="auto"/>
        <w:rPr>
          <w:rFonts w:ascii="仿宋" w:hAnsi="仿宋" w:eastAsia="仿宋" w:cs="仿宋"/>
          <w:sz w:val="28"/>
          <w:szCs w:val="28"/>
        </w:rPr>
      </w:pPr>
      <w:r>
        <w:rPr>
          <w:rFonts w:hint="eastAsia" w:ascii="仿宋" w:hAnsi="仿宋" w:eastAsia="仿宋" w:cs="仿宋"/>
          <w:sz w:val="28"/>
          <w:szCs w:val="28"/>
        </w:rPr>
        <w:t xml:space="preserve">&lt;十、特殊条款&gt;                                                          </w:t>
      </w:r>
    </w:p>
    <w:p>
      <w:pPr>
        <w:spacing w:line="360" w:lineRule="auto"/>
        <w:rPr>
          <w:rFonts w:ascii="仿宋" w:hAnsi="仿宋" w:eastAsia="仿宋" w:cs="仿宋"/>
          <w:sz w:val="28"/>
          <w:szCs w:val="28"/>
        </w:rPr>
      </w:pPr>
      <w:r>
        <w:rPr>
          <w:rFonts w:hint="eastAsia" w:ascii="仿宋" w:hAnsi="仿宋" w:eastAsia="仿宋" w:cs="仿宋"/>
          <w:sz w:val="28"/>
          <w:szCs w:val="28"/>
        </w:rPr>
        <w:t>十一、合同解释：</w:t>
      </w:r>
    </w:p>
    <w:p>
      <w:pPr>
        <w:spacing w:line="360" w:lineRule="auto"/>
        <w:rPr>
          <w:rFonts w:ascii="仿宋" w:hAnsi="仿宋" w:eastAsia="仿宋" w:cs="仿宋"/>
          <w:sz w:val="28"/>
          <w:szCs w:val="28"/>
        </w:rPr>
      </w:pPr>
      <w:r>
        <w:rPr>
          <w:rFonts w:hint="eastAsia" w:ascii="仿宋" w:hAnsi="仿宋" w:eastAsia="仿宋" w:cs="仿宋"/>
          <w:sz w:val="28"/>
          <w:szCs w:val="28"/>
        </w:rPr>
        <w:t xml:space="preserve">如合同条文存在歧义，《合同法》又无明文规定，依照交易习惯和采购当事人订立合同的目的做合理并且善意的解释，以维护交易安全和社会的公序良俗。 </w:t>
      </w:r>
    </w:p>
    <w:p>
      <w:pPr>
        <w:spacing w:line="360" w:lineRule="auto"/>
        <w:rPr>
          <w:rFonts w:ascii="仿宋" w:hAnsi="仿宋" w:eastAsia="仿宋" w:cs="仿宋"/>
          <w:sz w:val="28"/>
          <w:szCs w:val="28"/>
        </w:rPr>
      </w:pPr>
      <w:r>
        <w:rPr>
          <w:rFonts w:hint="eastAsia" w:ascii="仿宋" w:hAnsi="仿宋" w:eastAsia="仿宋" w:cs="仿宋"/>
          <w:sz w:val="28"/>
          <w:szCs w:val="28"/>
        </w:rPr>
        <w:t>十二、合同执行过程中发生的一切争议，双方应通过友好协商解决，如协商不能解决，应按《中华人民共和国合同法》有关规定解决。</w:t>
      </w:r>
    </w:p>
    <w:p>
      <w:pPr>
        <w:spacing w:line="360" w:lineRule="auto"/>
        <w:rPr>
          <w:rFonts w:ascii="仿宋" w:hAnsi="仿宋" w:eastAsia="仿宋" w:cs="仿宋"/>
          <w:sz w:val="28"/>
          <w:szCs w:val="28"/>
        </w:rPr>
      </w:pPr>
      <w:r>
        <w:rPr>
          <w:rFonts w:hint="eastAsia" w:ascii="仿宋" w:hAnsi="仿宋" w:eastAsia="仿宋" w:cs="仿宋"/>
          <w:sz w:val="28"/>
          <w:szCs w:val="28"/>
        </w:rPr>
        <w:t>十三、其它未尽事宜由供需双方协商约定。</w:t>
      </w:r>
    </w:p>
    <w:p>
      <w:pPr>
        <w:spacing w:line="360" w:lineRule="auto"/>
        <w:rPr>
          <w:rFonts w:ascii="仿宋" w:hAnsi="仿宋" w:eastAsia="仿宋" w:cs="仿宋"/>
          <w:sz w:val="28"/>
          <w:szCs w:val="28"/>
        </w:rPr>
      </w:pPr>
      <w:r>
        <w:rPr>
          <w:rFonts w:hint="eastAsia" w:ascii="仿宋" w:hAnsi="仿宋" w:eastAsia="仿宋" w:cs="仿宋"/>
          <w:sz w:val="28"/>
          <w:szCs w:val="28"/>
        </w:rPr>
        <w:t>十四、本合同一式三份，经供需双方签字盖章后生效，需方一份，供方一份，交镇原县公共资源交易中心存档备案一份，均具有同等法律效力。</w:t>
      </w:r>
    </w:p>
    <w:p>
      <w:pPr>
        <w:spacing w:line="360" w:lineRule="auto"/>
        <w:rPr>
          <w:rFonts w:ascii="仿宋" w:hAnsi="仿宋" w:eastAsia="仿宋" w:cs="仿宋"/>
          <w:sz w:val="28"/>
          <w:szCs w:val="28"/>
        </w:rPr>
      </w:pPr>
      <w:r>
        <w:rPr>
          <w:rFonts w:hint="eastAsia" w:ascii="仿宋" w:hAnsi="仿宋" w:eastAsia="仿宋" w:cs="仿宋"/>
          <w:sz w:val="28"/>
          <w:szCs w:val="28"/>
        </w:rPr>
        <w:t>十五、采购单位在收到货物并经验收合格后，按有关规定处理账务。</w:t>
      </w:r>
    </w:p>
    <w:p>
      <w:pPr>
        <w:spacing w:line="360" w:lineRule="auto"/>
        <w:rPr>
          <w:rFonts w:ascii="仿宋" w:hAnsi="仿宋" w:eastAsia="仿宋" w:cs="仿宋"/>
          <w:sz w:val="28"/>
          <w:szCs w:val="28"/>
        </w:rPr>
      </w:pPr>
      <w:r>
        <w:rPr>
          <w:rFonts w:hint="eastAsia" w:ascii="仿宋" w:hAnsi="仿宋" w:eastAsia="仿宋" w:cs="仿宋"/>
          <w:sz w:val="28"/>
          <w:szCs w:val="28"/>
        </w:rPr>
        <w:t>以下无正文，本合同共4页</w:t>
      </w:r>
    </w:p>
    <w:tbl>
      <w:tblPr>
        <w:tblStyle w:val="29"/>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需方:（章）</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电话:</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供方:（章）</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法定代表人:</w:t>
            </w:r>
          </w:p>
          <w:p>
            <w:pPr>
              <w:spacing w:line="360" w:lineRule="auto"/>
              <w:rPr>
                <w:rFonts w:ascii="仿宋" w:hAnsi="仿宋" w:eastAsia="仿宋" w:cs="仿宋"/>
                <w:sz w:val="28"/>
                <w:szCs w:val="28"/>
              </w:rPr>
            </w:pPr>
            <w:r>
              <w:rPr>
                <w:rFonts w:hint="eastAsia" w:ascii="仿宋" w:hAnsi="仿宋" w:eastAsia="仿宋" w:cs="仿宋"/>
                <w:sz w:val="28"/>
                <w:szCs w:val="28"/>
              </w:rPr>
              <w:t>(或委托代理人)</w:t>
            </w:r>
          </w:p>
          <w:p>
            <w:pPr>
              <w:spacing w:line="360" w:lineRule="auto"/>
              <w:rPr>
                <w:rFonts w:ascii="仿宋" w:hAnsi="仿宋" w:eastAsia="仿宋" w:cs="仿宋"/>
                <w:sz w:val="28"/>
                <w:szCs w:val="28"/>
              </w:rPr>
            </w:pPr>
            <w:r>
              <w:rPr>
                <w:rFonts w:hint="eastAsia" w:ascii="仿宋" w:hAnsi="仿宋" w:eastAsia="仿宋" w:cs="仿宋"/>
                <w:sz w:val="28"/>
                <w:szCs w:val="28"/>
              </w:rPr>
              <w:t>签字日期:</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法定代表人:</w:t>
            </w:r>
          </w:p>
          <w:p>
            <w:pPr>
              <w:spacing w:line="360" w:lineRule="auto"/>
              <w:rPr>
                <w:rFonts w:ascii="仿宋" w:hAnsi="仿宋" w:eastAsia="仿宋" w:cs="仿宋"/>
                <w:sz w:val="28"/>
                <w:szCs w:val="28"/>
              </w:rPr>
            </w:pPr>
            <w:r>
              <w:rPr>
                <w:rFonts w:hint="eastAsia" w:ascii="仿宋" w:hAnsi="仿宋" w:eastAsia="仿宋" w:cs="仿宋"/>
                <w:sz w:val="28"/>
                <w:szCs w:val="28"/>
              </w:rPr>
              <w:t>(或委托代理人)</w:t>
            </w:r>
          </w:p>
          <w:p>
            <w:pPr>
              <w:spacing w:line="360" w:lineRule="auto"/>
              <w:rPr>
                <w:rFonts w:ascii="仿宋" w:hAnsi="仿宋" w:eastAsia="仿宋" w:cs="仿宋"/>
                <w:sz w:val="28"/>
                <w:szCs w:val="28"/>
              </w:rPr>
            </w:pPr>
            <w:r>
              <w:rPr>
                <w:rFonts w:hint="eastAsia" w:ascii="仿宋" w:hAnsi="仿宋" w:eastAsia="仿宋" w:cs="仿宋"/>
                <w:sz w:val="28"/>
                <w:szCs w:val="28"/>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exact"/>
        </w:trPr>
        <w:tc>
          <w:tcPr>
            <w:tcW w:w="4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经 办 人:</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经 办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exact"/>
        </w:trPr>
        <w:tc>
          <w:tcPr>
            <w:tcW w:w="40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开户行:</w:t>
            </w:r>
          </w:p>
          <w:p>
            <w:pPr>
              <w:spacing w:line="360" w:lineRule="auto"/>
              <w:rPr>
                <w:rFonts w:ascii="仿宋" w:hAnsi="仿宋" w:eastAsia="仿宋" w:cs="仿宋"/>
                <w:sz w:val="28"/>
                <w:szCs w:val="28"/>
              </w:rPr>
            </w:pPr>
            <w:r>
              <w:rPr>
                <w:rFonts w:hint="eastAsia" w:ascii="仿宋" w:hAnsi="仿宋" w:eastAsia="仿宋" w:cs="仿宋"/>
                <w:sz w:val="28"/>
                <w:szCs w:val="28"/>
              </w:rPr>
              <w:t>账号:</w:t>
            </w:r>
          </w:p>
        </w:tc>
        <w:tc>
          <w:tcPr>
            <w:tcW w:w="42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rPr>
                <w:rFonts w:ascii="仿宋" w:hAnsi="仿宋" w:eastAsia="仿宋" w:cs="仿宋"/>
                <w:sz w:val="28"/>
                <w:szCs w:val="28"/>
              </w:rPr>
            </w:pPr>
            <w:r>
              <w:rPr>
                <w:rFonts w:hint="eastAsia" w:ascii="仿宋" w:hAnsi="仿宋" w:eastAsia="仿宋" w:cs="仿宋"/>
                <w:sz w:val="28"/>
                <w:szCs w:val="28"/>
              </w:rPr>
              <w:t>开户行:</w:t>
            </w:r>
          </w:p>
          <w:p>
            <w:pPr>
              <w:spacing w:line="360" w:lineRule="auto"/>
              <w:rPr>
                <w:rFonts w:ascii="仿宋" w:hAnsi="仿宋" w:eastAsia="仿宋" w:cs="仿宋"/>
                <w:sz w:val="28"/>
                <w:szCs w:val="28"/>
              </w:rPr>
            </w:pPr>
            <w:r>
              <w:rPr>
                <w:rFonts w:hint="eastAsia" w:ascii="仿宋" w:hAnsi="仿宋" w:eastAsia="仿宋" w:cs="仿宋"/>
                <w:sz w:val="28"/>
                <w:szCs w:val="28"/>
              </w:rPr>
              <w:t>账号:</w:t>
            </w:r>
          </w:p>
        </w:tc>
      </w:tr>
    </w:tbl>
    <w:p>
      <w:pPr>
        <w:spacing w:before="61"/>
        <w:ind w:left="2389" w:right="0" w:firstLine="0"/>
        <w:jc w:val="left"/>
      </w:pPr>
      <w:r>
        <w:rPr>
          <w:rFonts w:hint="eastAsia" w:ascii="仿宋" w:hAnsi="仿宋" w:eastAsia="仿宋" w:cs="仿宋"/>
          <w:sz w:val="28"/>
          <w:szCs w:val="28"/>
        </w:rPr>
        <w:t xml:space="preserve">             </w:t>
      </w:r>
      <w:bookmarkStart w:id="244" w:name="_Toc2260"/>
    </w:p>
    <w:p>
      <w:pPr>
        <w:pStyle w:val="5"/>
        <w:spacing w:before="0" w:after="0"/>
        <w:ind w:firstLine="419" w:firstLineChars="149"/>
        <w:rPr>
          <w:rFonts w:hint="eastAsia" w:ascii="宋体" w:hAnsi="宋体"/>
          <w:sz w:val="28"/>
          <w:szCs w:val="28"/>
        </w:rPr>
      </w:pPr>
      <w:r>
        <w:rPr>
          <w:rFonts w:hint="eastAsia" w:ascii="宋体" w:hAnsi="宋体"/>
          <w:sz w:val="28"/>
          <w:szCs w:val="28"/>
        </w:rPr>
        <w:t>6.</w:t>
      </w:r>
      <w:r>
        <w:rPr>
          <w:rFonts w:hint="eastAsia" w:ascii="宋体" w:hAnsi="宋体"/>
          <w:sz w:val="28"/>
          <w:szCs w:val="28"/>
          <w:lang w:val="en-US" w:eastAsia="zh-CN"/>
        </w:rPr>
        <w:t>3</w:t>
      </w:r>
      <w:r>
        <w:rPr>
          <w:rFonts w:hint="eastAsia" w:ascii="宋体" w:hAnsi="宋体"/>
          <w:sz w:val="28"/>
          <w:szCs w:val="28"/>
        </w:rPr>
        <w:t>、政府采购合同通用条款</w:t>
      </w:r>
      <w:bookmarkEnd w:id="244"/>
    </w:p>
    <w:p>
      <w:pPr>
        <w:tabs>
          <w:tab w:val="left" w:pos="8820"/>
          <w:tab w:val="left" w:pos="9345"/>
          <w:tab w:val="left" w:pos="9765"/>
        </w:tabs>
        <w:adjustRightInd w:val="0"/>
        <w:snapToGrid w:val="0"/>
        <w:spacing w:line="360" w:lineRule="auto"/>
        <w:ind w:right="384" w:rightChars="183"/>
        <w:rPr>
          <w:rFonts w:hint="eastAsia"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定义</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1.1合同当事人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（1）采购人(以下称甲方)是指使用财政性资金，通过政府采购程序向供应商购买货物、服务的国家机关、事业单位、团体组织。</w:t>
      </w:r>
    </w:p>
    <w:p>
      <w:pPr>
        <w:autoSpaceDE w:val="0"/>
        <w:autoSpaceDN w:val="0"/>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（2）供应商(以下称乙方)是指参加政府采购活动而取得投标资格，并向采购人提供货物、服务的法人、其他组织或者自然人。</w:t>
      </w:r>
    </w:p>
    <w:p>
      <w:pPr>
        <w:tabs>
          <w:tab w:val="left" w:pos="570"/>
          <w:tab w:val="left" w:pos="9240"/>
          <w:tab w:val="left" w:pos="9555"/>
        </w:tabs>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1.2本合同下列术语应解释为：</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（2）“合同价”系指根据本合同规定乙方在正确地完全履行合同义务后甲方应支付给乙方的价款。</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（3）“货物”系指乙方根据本合同规定须向甲方提供的各种形态和种类的物品，包括原材料、产品(包括软件)及相关的其备品备件、工具、手册及其它技术资料和材料。</w:t>
      </w:r>
    </w:p>
    <w:p>
      <w:pPr>
        <w:tabs>
          <w:tab w:val="left" w:pos="570"/>
          <w:tab w:val="left" w:pos="888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（4）“伴随服务”系指根据本合同规定乙方承担与供货有关的辅助服务，如运输、保</w:t>
      </w:r>
      <w:r>
        <w:rPr>
          <w:rFonts w:hint="eastAsia" w:ascii="仿宋" w:hAnsi="仿宋" w:eastAsia="仿宋" w:cs="仿宋"/>
          <w:spacing w:val="2"/>
          <w:sz w:val="28"/>
          <w:szCs w:val="28"/>
        </w:rPr>
        <w:t>险以及其它的伴随服务，例如安装、调试、提供技术</w:t>
      </w:r>
      <w:r>
        <w:rPr>
          <w:rFonts w:hint="eastAsia" w:ascii="仿宋" w:hAnsi="仿宋" w:eastAsia="仿宋" w:cs="仿宋"/>
          <w:sz w:val="28"/>
          <w:szCs w:val="28"/>
        </w:rPr>
        <w:t>协</w:t>
      </w:r>
      <w:r>
        <w:rPr>
          <w:rFonts w:hint="eastAsia" w:ascii="仿宋" w:hAnsi="仿宋" w:eastAsia="仿宋" w:cs="仿宋"/>
          <w:spacing w:val="2"/>
          <w:sz w:val="28"/>
          <w:szCs w:val="28"/>
        </w:rPr>
        <w:t>助、培训和合同中规定</w:t>
      </w:r>
      <w:r>
        <w:rPr>
          <w:rFonts w:hint="eastAsia" w:ascii="仿宋" w:hAnsi="仿宋" w:eastAsia="仿宋" w:cs="仿宋"/>
          <w:sz w:val="28"/>
          <w:szCs w:val="28"/>
        </w:rPr>
        <w:t>乙方应承担的其它义务。</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（5）“合同条款”系指本合同条款。</w:t>
      </w:r>
    </w:p>
    <w:p>
      <w:pPr>
        <w:tabs>
          <w:tab w:val="left" w:pos="570"/>
          <w:tab w:val="left" w:pos="9240"/>
          <w:tab w:val="left" w:pos="9555"/>
        </w:tabs>
        <w:adjustRightInd w:val="0"/>
        <w:snapToGrid w:val="0"/>
        <w:spacing w:line="360" w:lineRule="auto"/>
        <w:ind w:right="-92" w:rightChars="-44" w:firstLine="560" w:firstLineChars="200"/>
        <w:rPr>
          <w:rFonts w:hint="eastAsia" w:ascii="仿宋" w:hAnsi="仿宋" w:eastAsia="仿宋" w:cs="仿宋"/>
          <w:sz w:val="28"/>
          <w:szCs w:val="28"/>
        </w:rPr>
      </w:pPr>
      <w:r>
        <w:rPr>
          <w:rFonts w:hint="eastAsia" w:ascii="仿宋" w:hAnsi="仿宋" w:eastAsia="仿宋" w:cs="仿宋"/>
          <w:sz w:val="28"/>
          <w:szCs w:val="28"/>
        </w:rPr>
        <w:t>（6）“项目现场”系指本合同项下货物安装、运行的现场，其名称在</w:t>
      </w:r>
      <w:r>
        <w:rPr>
          <w:rFonts w:hint="eastAsia" w:ascii="仿宋" w:hAnsi="仿宋" w:eastAsia="仿宋" w:cs="仿宋"/>
          <w:bCs/>
          <w:sz w:val="28"/>
          <w:szCs w:val="28"/>
        </w:rPr>
        <w:t>政府采购合同专用条款</w:t>
      </w:r>
      <w:r>
        <w:rPr>
          <w:rFonts w:hint="eastAsia" w:ascii="仿宋" w:hAnsi="仿宋" w:eastAsia="仿宋" w:cs="仿宋"/>
          <w:sz w:val="28"/>
          <w:szCs w:val="28"/>
        </w:rPr>
        <w:t>指明。</w:t>
      </w:r>
    </w:p>
    <w:p>
      <w:pPr>
        <w:autoSpaceDE w:val="0"/>
        <w:autoSpaceDN w:val="0"/>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2.合同的适用范围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 本合同条款适用于没有被本合同其他部分的条款所取代的范围。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 合同内容根据招标文件、投标文件而确定。</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sz w:val="28"/>
          <w:szCs w:val="28"/>
        </w:rPr>
        <w:t>合同标的及金额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合同标的及金额应与招标结果一致，具体的货物名称、规格、型号、数量和价格见</w:t>
      </w:r>
      <w:r>
        <w:rPr>
          <w:rFonts w:hint="eastAsia" w:ascii="仿宋" w:hAnsi="仿宋" w:eastAsia="仿宋" w:cs="仿宋"/>
          <w:bCs/>
          <w:sz w:val="28"/>
          <w:szCs w:val="28"/>
        </w:rPr>
        <w:t>政府采购合同专用条款</w:t>
      </w:r>
      <w:r>
        <w:rPr>
          <w:rFonts w:hint="eastAsia" w:ascii="仿宋" w:hAnsi="仿宋" w:eastAsia="仿宋" w:cs="仿宋"/>
          <w:sz w:val="28"/>
          <w:szCs w:val="28"/>
        </w:rPr>
        <w:t>。</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sz w:val="28"/>
          <w:szCs w:val="28"/>
        </w:rPr>
        <w:t>合同价款</w:t>
      </w:r>
    </w:p>
    <w:p>
      <w:pPr>
        <w:adjustRightInd w:val="0"/>
        <w:snapToGrid w:val="0"/>
        <w:spacing w:line="360" w:lineRule="auto"/>
        <w:ind w:firstLine="560"/>
        <w:rPr>
          <w:rFonts w:hint="eastAsia" w:ascii="仿宋" w:hAnsi="仿宋" w:eastAsia="仿宋" w:cs="仿宋"/>
          <w:b/>
          <w:bCs/>
          <w:i/>
          <w:iCs/>
          <w:sz w:val="28"/>
          <w:szCs w:val="28"/>
        </w:rPr>
      </w:pPr>
      <w:r>
        <w:rPr>
          <w:rFonts w:hint="eastAsia" w:ascii="仿宋" w:hAnsi="仿宋" w:eastAsia="仿宋" w:cs="仿宋"/>
          <w:sz w:val="28"/>
          <w:szCs w:val="28"/>
        </w:rPr>
        <w:t>4.1具体合同价款见本合同第3.1项。乙方为履行本合同而发生的所有费用均应包含在合同价款中，甲方不再另行支付其它任何费用。</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5.履行合同的时间、地点和方式</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乙方应当在甲方确定的时间、指定的地点履行合同，具体的交货时间、地点和方式见</w:t>
      </w:r>
      <w:r>
        <w:rPr>
          <w:rFonts w:hint="eastAsia" w:ascii="仿宋" w:hAnsi="仿宋" w:eastAsia="仿宋" w:cs="仿宋"/>
          <w:bCs/>
          <w:sz w:val="28"/>
          <w:szCs w:val="28"/>
        </w:rPr>
        <w:t>政府采购合同专用条款</w:t>
      </w:r>
      <w:r>
        <w:rPr>
          <w:rFonts w:hint="eastAsia" w:ascii="仿宋" w:hAnsi="仿宋" w:eastAsia="仿宋" w:cs="仿宋"/>
          <w:sz w:val="28"/>
          <w:szCs w:val="28"/>
        </w:rPr>
        <w:t>。</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乙方提供服务的应当在甲方指定的地点完成服务项目。</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6.</w:t>
      </w:r>
      <w:r>
        <w:rPr>
          <w:rFonts w:hint="eastAsia" w:ascii="仿宋" w:hAnsi="仿宋" w:eastAsia="仿宋" w:cs="仿宋"/>
          <w:b/>
          <w:sz w:val="28"/>
          <w:szCs w:val="28"/>
        </w:rPr>
        <w:t>货物的验收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 甲方在收到乙方交付的货物后应当及时组织验收。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 货物的表面瑕疵，甲方应在验收时当面提出；对质量问题有异议的应在安装调试后十个工作日内提出。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6.4 甲方在乙方按合同规定交货或安装、调试后，无正当理由而拖延接收、验收或拒绝接收、验收的，应承担因此给乙方造成的直接损失。</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6.5 甲方对货物进行检查验收合格后，应当收取发票并在《交货验收单》上签署验收意见及加盖单位印章。</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6.6 大型或者复杂的货物采购项目，甲方可以邀请国家认可的质量检测机构参加验收工作，并由其出具验收报告单。</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6.7 乙方提供的进口产品，乙方应出示中华人民共和国进出口商品检验部门出具的检验证书（招标文件另有约定的除外）。</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7.货物包装要求</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 每一个包装箱内应附一份详细装箱单、质量证书和保修保养证书。</w:t>
      </w:r>
    </w:p>
    <w:p>
      <w:pPr>
        <w:pStyle w:val="6"/>
        <w:adjustRightInd w:val="0"/>
        <w:snapToGrid w:val="0"/>
        <w:ind w:firstLine="0" w:firstLineChars="0"/>
        <w:rPr>
          <w:rFonts w:hint="eastAsia" w:ascii="仿宋" w:hAnsi="仿宋" w:eastAsia="仿宋" w:cs="仿宋"/>
          <w:bCs/>
          <w:sz w:val="28"/>
          <w:szCs w:val="28"/>
        </w:rPr>
      </w:pPr>
      <w:bookmarkStart w:id="245" w:name="_Toc20981"/>
      <w:bookmarkStart w:id="246" w:name="_Toc2575"/>
      <w:bookmarkStart w:id="247" w:name="_Toc34034521"/>
      <w:bookmarkStart w:id="248" w:name="_Toc31527"/>
      <w:bookmarkStart w:id="249" w:name="_Toc9290"/>
      <w:bookmarkStart w:id="250" w:name="_Toc2874"/>
      <w:r>
        <w:rPr>
          <w:rFonts w:hint="eastAsia" w:ascii="仿宋" w:hAnsi="仿宋" w:eastAsia="仿宋" w:cs="仿宋"/>
          <w:bCs/>
          <w:sz w:val="28"/>
          <w:szCs w:val="28"/>
        </w:rPr>
        <w:t>8.</w:t>
      </w:r>
      <w:r>
        <w:rPr>
          <w:rFonts w:hint="eastAsia" w:ascii="仿宋" w:hAnsi="仿宋" w:eastAsia="仿宋" w:cs="仿宋"/>
          <w:sz w:val="28"/>
          <w:szCs w:val="28"/>
        </w:rPr>
        <w:t>运输和保险</w:t>
      </w:r>
      <w:bookmarkEnd w:id="245"/>
      <w:bookmarkEnd w:id="246"/>
      <w:bookmarkEnd w:id="247"/>
      <w:bookmarkEnd w:id="248"/>
      <w:bookmarkEnd w:id="249"/>
      <w:bookmarkEnd w:id="25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8.1乙方负责办理将货物运抵本合同第五条规定的交货地点的一切运输事项，相关费用应包括在合同总价中。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8.2乙方应向保险公司投保以甲方为受益人的发运合同货物发票金额的110％运输一切险。</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9.质量标准和保证</w:t>
      </w:r>
    </w:p>
    <w:p>
      <w:pPr>
        <w:pStyle w:val="18"/>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9.1 质量标准</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（1）本合同下交付的货物应符合第八章采购需求所述的标准。如果没有提及适用标准，则应符合中华人民共和国有关机构发布的最新版本的标准。</w:t>
      </w:r>
    </w:p>
    <w:p>
      <w:pPr>
        <w:pStyle w:val="18"/>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（2）采用中华人民共和国法定计量单位。</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（3）乙方所出售的货物还应符合国家有关安全、环保、卫生之规定。</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9.2 保证</w:t>
      </w:r>
    </w:p>
    <w:p>
      <w:pPr>
        <w:numPr>
          <w:ilvl w:val="0"/>
          <w:numId w:val="6"/>
        </w:num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仿宋" w:hAnsi="仿宋" w:eastAsia="仿宋" w:cs="仿宋"/>
          <w:b/>
          <w:bCs/>
          <w:sz w:val="28"/>
          <w:szCs w:val="28"/>
        </w:rPr>
        <w:t>政府采购合同专用条款</w:t>
      </w:r>
      <w:r>
        <w:rPr>
          <w:rFonts w:hint="eastAsia" w:ascii="仿宋" w:hAnsi="仿宋" w:eastAsia="仿宋" w:cs="仿宋"/>
          <w:sz w:val="28"/>
          <w:szCs w:val="28"/>
        </w:rPr>
        <w:t>规定或乙方承诺（两者以较长的为准）的质量保证期内，本保证保持有效。</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bookmarkStart w:id="251" w:name="_Toc25946"/>
      <w:bookmarkStart w:id="252" w:name="_Toc1941"/>
      <w:r>
        <w:rPr>
          <w:rFonts w:hint="eastAsia" w:ascii="仿宋" w:hAnsi="仿宋" w:eastAsia="仿宋" w:cs="仿宋"/>
          <w:sz w:val="28"/>
          <w:szCs w:val="28"/>
        </w:rPr>
        <w:t>（2）在质量保证期内所发现的缺陷，甲方应尽快以书面形式通知乙方。</w:t>
      </w:r>
      <w:bookmarkEnd w:id="251"/>
      <w:bookmarkEnd w:id="252"/>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（3）乙方收到通知后应在政府采购合同专用条款规定的响应时间内以合理的速度免费维修或更换有缺陷的货物或部件。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（4）在质量保证期内，如果货物的质量或规格与合同不符，或证实货物是有缺陷的，包括潜在的缺陷或使用不符合要求的材料等，甲方可以根据本合同第15.1项规定以书面形式向乙方提出补救措施或索赔。</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（5）乙方在约定的时间内未能弥补缺陷，甲方可采取必要的补救措施，但其风险和费用将由乙方承担，甲方根据合同规定对乙方行使的其他权利不受影响。</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10.权利瑕疵担保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10.1 乙方保证对其出售的货物享有合法的权利。</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10.2 乙方保证在其出售的货物上不存在任何未曾向甲方透露的担保物权，如抵押权、质押权、留置权等。</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10.3 如甲方使用该货物构成上述侵权的，则由乙方承担全部责任。</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11.知识产权保护</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 乙方对其所销售的货物应当享有知识产权或经权利人合法授权，保证没有侵犯任何第三人的知识产权和商业秘密等权利。</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 甲方使用乙方提供的货物对第三人构成侵权的，应当由乙方承担全部法律责任，给甲方造成损害的，乙方应当承担赔偿责任。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 甲方委托乙方开发的产品，甲方享有知识产权，未经甲方许可不得转让任何第三人。</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12.保密义务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 甲、乙双方在采购和履行合同过程中所获悉的对方属于保密的内容，甲乙双方均有保密义务。</w:t>
      </w:r>
    </w:p>
    <w:p>
      <w:pPr>
        <w:autoSpaceDE w:val="0"/>
        <w:autoSpaceDN w:val="0"/>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13.合同价款支付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13.1验收合格后，乙方出具正规发票给甲方，凭甲方开具的《政府采购合同验收报告单》办理合同价</w:t>
      </w:r>
      <w:r>
        <w:rPr>
          <w:rFonts w:hint="eastAsia" w:ascii="仿宋" w:hAnsi="仿宋" w:eastAsia="仿宋" w:cs="仿宋"/>
          <w:bCs/>
          <w:sz w:val="28"/>
          <w:szCs w:val="28"/>
        </w:rPr>
        <w:t>款</w:t>
      </w:r>
      <w:r>
        <w:rPr>
          <w:rFonts w:hint="eastAsia" w:ascii="仿宋" w:hAnsi="仿宋" w:eastAsia="仿宋" w:cs="仿宋"/>
          <w:sz w:val="28"/>
          <w:szCs w:val="28"/>
        </w:rPr>
        <w:t>结算手续。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 合同价款构成中应当由财政支付的部分，甲方应当在货物验收合格后的十五个工作日内向国库管理部门申请支付，经国库管理部门审核后直接支付给乙方。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13.3 合同价款构成中应当由甲方自行支付的部分，甲方应当在货物验收合格后十五个工作内支付。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13.4支付合同价</w:t>
      </w:r>
      <w:r>
        <w:rPr>
          <w:rFonts w:hint="eastAsia" w:ascii="仿宋" w:hAnsi="仿宋" w:eastAsia="仿宋" w:cs="仿宋"/>
          <w:bCs/>
          <w:sz w:val="28"/>
          <w:szCs w:val="28"/>
        </w:rPr>
        <w:t>款</w:t>
      </w:r>
      <w:r>
        <w:rPr>
          <w:rFonts w:hint="eastAsia" w:ascii="仿宋" w:hAnsi="仿宋" w:eastAsia="仿宋" w:cs="仿宋"/>
          <w:sz w:val="28"/>
          <w:szCs w:val="28"/>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13.5 合同价款支付方式</w:t>
      </w:r>
      <w:r>
        <w:rPr>
          <w:rFonts w:hint="eastAsia" w:ascii="仿宋" w:hAnsi="仿宋" w:eastAsia="仿宋" w:cs="仿宋"/>
          <w:bCs/>
          <w:sz w:val="28"/>
          <w:szCs w:val="28"/>
        </w:rPr>
        <w:t>和条件在政府采购合同专用条款</w:t>
      </w:r>
      <w:r>
        <w:rPr>
          <w:rFonts w:hint="eastAsia" w:ascii="仿宋" w:hAnsi="仿宋" w:eastAsia="仿宋" w:cs="仿宋"/>
          <w:sz w:val="28"/>
          <w:szCs w:val="28"/>
        </w:rPr>
        <w:t>中另有规定。</w:t>
      </w:r>
    </w:p>
    <w:p>
      <w:pPr>
        <w:autoSpaceDE w:val="0"/>
        <w:autoSpaceDN w:val="0"/>
        <w:adjustRightInd w:val="0"/>
        <w:snapToGrid w:val="0"/>
        <w:spacing w:line="360" w:lineRule="auto"/>
        <w:rPr>
          <w:rFonts w:hint="eastAsia" w:ascii="仿宋" w:hAnsi="仿宋" w:eastAsia="仿宋" w:cs="仿宋"/>
          <w:b/>
          <w:sz w:val="28"/>
          <w:szCs w:val="28"/>
        </w:rPr>
      </w:pPr>
      <w:r>
        <w:rPr>
          <w:rFonts w:hint="eastAsia" w:ascii="仿宋" w:hAnsi="仿宋" w:eastAsia="仿宋" w:cs="仿宋"/>
          <w:b/>
          <w:bCs/>
          <w:sz w:val="28"/>
          <w:szCs w:val="28"/>
        </w:rPr>
        <w:t>14.</w:t>
      </w:r>
      <w:r>
        <w:rPr>
          <w:rFonts w:hint="eastAsia" w:ascii="仿宋" w:hAnsi="仿宋" w:eastAsia="仿宋" w:cs="仿宋"/>
          <w:b/>
          <w:sz w:val="28"/>
          <w:szCs w:val="28"/>
        </w:rPr>
        <w:t>伴随服务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14.2 乙方还应提供下列服务：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（1）货物的现场移动、安装、调试、启动监督及技术支持；</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（2）提供货物组装和维修所需的专用工具和辅助材料；</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（4）在制造商或项目现场就货物的安装、启动、运营、维护对甲方操作人员进行培训。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Cs/>
          <w:sz w:val="28"/>
          <w:szCs w:val="28"/>
        </w:rPr>
        <w:t>政府采购合同专用条款</w:t>
      </w:r>
      <w:r>
        <w:rPr>
          <w:rFonts w:hint="eastAsia" w:ascii="仿宋" w:hAnsi="仿宋" w:eastAsia="仿宋" w:cs="仿宋"/>
          <w:sz w:val="28"/>
          <w:szCs w:val="28"/>
        </w:rPr>
        <w:t>与第八章采购需求规定的其他伴随服务</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14.3 乙方提供的伴随服务的费用应包含在合同价款中，甲方不再另行支付。</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15.违约责任</w:t>
      </w:r>
    </w:p>
    <w:p>
      <w:pPr>
        <w:adjustRightInd w:val="0"/>
        <w:snapToGrid w:val="0"/>
        <w:spacing w:line="360" w:lineRule="auto"/>
        <w:ind w:firstLine="420" w:firstLineChars="150"/>
        <w:rPr>
          <w:rFonts w:hint="eastAsia" w:ascii="仿宋" w:hAnsi="仿宋" w:eastAsia="仿宋" w:cs="仿宋"/>
          <w:bCs/>
          <w:sz w:val="28"/>
          <w:szCs w:val="28"/>
        </w:rPr>
      </w:pPr>
      <w:r>
        <w:rPr>
          <w:rFonts w:hint="eastAsia" w:ascii="仿宋" w:hAnsi="仿宋" w:eastAsia="仿宋" w:cs="仿宋"/>
          <w:bCs/>
          <w:sz w:val="28"/>
          <w:szCs w:val="28"/>
        </w:rPr>
        <w:t xml:space="preserve"> 15.1质量瑕疵的补救措施和索赔</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①乙方同意退货并将货款退还给甲方，由此发生的一切费用和损失由乙方承担。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②根据货物的质量状况以及甲方所遭受的损失，经过甲乙双方商定降低货物的价格。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15.2 迟延交货的违约责任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（2）除本合同</w:t>
      </w:r>
      <w:r>
        <w:rPr>
          <w:rFonts w:hint="eastAsia" w:ascii="仿宋" w:hAnsi="仿宋" w:eastAsia="仿宋" w:cs="仿宋"/>
          <w:bCs/>
          <w:sz w:val="28"/>
          <w:szCs w:val="28"/>
        </w:rPr>
        <w:t>第19条</w:t>
      </w:r>
      <w:r>
        <w:rPr>
          <w:rFonts w:hint="eastAsia" w:ascii="仿宋" w:hAnsi="仿宋" w:eastAsia="仿宋" w:cs="仿宋"/>
          <w:sz w:val="28"/>
          <w:szCs w:val="28"/>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16.合同的变更</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16.1 在合同履行过程中，甲、乙双方可就合同履行的时间、地点和方式等协商进行变更。协商一致后，双方应签订书面的补充协议。</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16.3 除双方签署书面协议，并成为合同不可分割的一部分外，本合同条件不得有任何变更。</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17.合同中止与终止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17.1合同的中止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（1）合同在履行过程中，因采购计划调整，甲方可以要求中止履行，待计划确定后继续履行；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（2）合同履行过程中因供应商就采购过程或结果提起投诉的，甲方认为有必要或财政部门责令中止的，应当中止合同的履行。</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17.2合同的终止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（1）合同因有效期限届满而终止；</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（2）乙方未能依照本合同约定条件履行合同，已构成根本性违约的，甲方有权终止本合同，并追究乙方的违约责任。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（3）如果乙方丧失履约能力或被宣告破产，甲方可在任何时候以书面形式通知乙方终止合同而不给乙方补偿。</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（5）如果合同的履行将损害国家利益或社会公共利益，甲方有权终止合同的履行，给乙方造成损失的予以相应补偿。</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18.合同转让和分包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18.1 乙方不得以任何形式将合同转包。</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18.2 乙方未在响应文件中说明，且未经甲方书面同意，乙方不得将合同的主体、关键性工作分包给他人。</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18.3 根据政府采购支持中小企业发展政策规定，经甲方同意，获得政府采购合同的大型企业可依法向中小企业分包。</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19.不可抗力</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19.1 不可抗力是指合同双方不可预见、不可避免、不可克服的自然灾害和社会事件。</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19.2 任何一方对由于不可抗力造成的部分或全部不能履行合同不承担违约责任。但迟延履行后发生不可抗力的，不能免除责任。</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20.解决争议的方法</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 调解不成可以按政府采购合同专用条款中规定下列方式之一提起仲裁或诉讼：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（1）向甲方所在地仲裁机构提起仲裁；</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（2）向甲方所在地人民法院提起诉讼。</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sz w:val="28"/>
          <w:szCs w:val="28"/>
        </w:rPr>
        <w:t>21.法律适用</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line="420" w:lineRule="exact"/>
        <w:rPr>
          <w:rFonts w:hint="eastAsia" w:ascii="仿宋" w:hAnsi="仿宋" w:eastAsia="仿宋" w:cs="仿宋"/>
          <w:b/>
          <w:sz w:val="28"/>
          <w:szCs w:val="28"/>
        </w:rPr>
      </w:pPr>
      <w:r>
        <w:rPr>
          <w:rFonts w:hint="eastAsia" w:ascii="仿宋" w:hAnsi="仿宋" w:eastAsia="仿宋" w:cs="仿宋"/>
          <w:b/>
          <w:bCs/>
          <w:sz w:val="28"/>
          <w:szCs w:val="28"/>
        </w:rPr>
        <w:t>22.</w:t>
      </w:r>
      <w:r>
        <w:rPr>
          <w:rFonts w:hint="eastAsia" w:ascii="仿宋" w:hAnsi="仿宋" w:eastAsia="仿宋" w:cs="仿宋"/>
          <w:b/>
          <w:sz w:val="28"/>
          <w:szCs w:val="28"/>
        </w:rPr>
        <w:t>通知</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22.1本合同一方给另一方的通知均应采用书面形式，传真或快递送到本合同中规定的对方的地址和办理签收手续，</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22.2通知以送到之日或通知书中规定的生效之日起生效，两者中以较迟之日为准。</w:t>
      </w:r>
    </w:p>
    <w:p>
      <w:pPr>
        <w:adjustRightInd w:val="0"/>
        <w:snapToGrid w:val="0"/>
        <w:spacing w:line="420" w:lineRule="exact"/>
        <w:rPr>
          <w:rFonts w:hint="eastAsia" w:ascii="仿宋" w:hAnsi="仿宋" w:eastAsia="仿宋" w:cs="仿宋"/>
          <w:b/>
          <w:bCs/>
          <w:sz w:val="28"/>
          <w:szCs w:val="28"/>
        </w:rPr>
      </w:pPr>
      <w:r>
        <w:rPr>
          <w:rFonts w:hint="eastAsia" w:ascii="仿宋" w:hAnsi="仿宋" w:eastAsia="仿宋" w:cs="仿宋"/>
          <w:b/>
          <w:bCs/>
          <w:sz w:val="28"/>
          <w:szCs w:val="28"/>
        </w:rPr>
        <w:t>23.合同生效</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本合同在合同各方签字盖章后生效</w:t>
      </w:r>
    </w:p>
    <w:p>
      <w:pPr>
        <w:pStyle w:val="18"/>
        <w:snapToGrid w:val="0"/>
        <w:spacing w:line="42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24.附则</w:t>
      </w:r>
    </w:p>
    <w:p>
      <w:pPr>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24.1本合同未尽事宜，见政府采购合同专用条款。</w:t>
      </w:r>
    </w:p>
    <w:p>
      <w:pPr>
        <w:pStyle w:val="37"/>
        <w:rPr>
          <w:rFonts w:hint="eastAsia" w:ascii="仿宋" w:hAnsi="仿宋" w:eastAsia="仿宋" w:cs="仿宋"/>
          <w:sz w:val="28"/>
          <w:szCs w:val="28"/>
        </w:rPr>
      </w:pPr>
    </w:p>
    <w:p>
      <w:pPr>
        <w:rPr>
          <w:rFonts w:hint="eastAsia" w:ascii="仿宋" w:hAnsi="仿宋" w:eastAsia="仿宋" w:cs="仿宋"/>
          <w:sz w:val="28"/>
          <w:szCs w:val="28"/>
        </w:rPr>
      </w:pPr>
    </w:p>
    <w:p>
      <w:pPr>
        <w:pStyle w:val="37"/>
        <w:rPr>
          <w:rFonts w:hint="eastAsia" w:ascii="仿宋" w:hAnsi="仿宋" w:eastAsia="仿宋" w:cs="仿宋"/>
          <w:sz w:val="28"/>
          <w:szCs w:val="28"/>
        </w:rPr>
      </w:pPr>
    </w:p>
    <w:p>
      <w:pPr>
        <w:rPr>
          <w:rFonts w:hint="eastAsia" w:ascii="仿宋" w:hAnsi="仿宋" w:eastAsia="仿宋" w:cs="仿宋"/>
          <w:sz w:val="28"/>
          <w:szCs w:val="28"/>
        </w:rPr>
      </w:pPr>
    </w:p>
    <w:p>
      <w:pPr>
        <w:autoSpaceDE w:val="0"/>
        <w:autoSpaceDN w:val="0"/>
        <w:adjustRightInd w:val="0"/>
        <w:snapToGrid w:val="0"/>
        <w:spacing w:line="360" w:lineRule="auto"/>
        <w:ind w:firstLine="560" w:firstLineChars="200"/>
        <w:rPr>
          <w:rFonts w:hint="eastAsia" w:ascii="仿宋" w:hAnsi="仿宋" w:eastAsia="仿宋" w:cs="仿宋"/>
          <w:sz w:val="28"/>
          <w:szCs w:val="28"/>
        </w:rPr>
      </w:pPr>
    </w:p>
    <w:p>
      <w:pPr>
        <w:autoSpaceDE w:val="0"/>
        <w:autoSpaceDN w:val="0"/>
        <w:adjustRightInd w:val="0"/>
        <w:snapToGrid w:val="0"/>
        <w:spacing w:line="360" w:lineRule="auto"/>
        <w:ind w:firstLine="560" w:firstLineChars="200"/>
        <w:rPr>
          <w:rFonts w:hint="eastAsia" w:ascii="仿宋" w:hAnsi="仿宋" w:eastAsia="仿宋" w:cs="仿宋"/>
          <w:sz w:val="28"/>
          <w:szCs w:val="28"/>
        </w:rPr>
      </w:pPr>
      <w:bookmarkStart w:id="253" w:name="_Toc21112"/>
      <w:bookmarkStart w:id="254" w:name="_Toc21489"/>
    </w:p>
    <w:p>
      <w:pPr>
        <w:pStyle w:val="4"/>
        <w:spacing w:before="0" w:after="0"/>
        <w:jc w:val="center"/>
        <w:rPr>
          <w:rFonts w:hint="eastAsia"/>
          <w:kern w:val="0"/>
          <w:sz w:val="40"/>
        </w:rPr>
      </w:pPr>
      <w:r>
        <w:rPr>
          <w:rFonts w:hint="eastAsia"/>
          <w:kern w:val="0"/>
          <w:sz w:val="40"/>
        </w:rPr>
        <w:t>7、验收</w:t>
      </w:r>
      <w:bookmarkEnd w:id="253"/>
      <w:bookmarkEnd w:id="254"/>
    </w:p>
    <w:p>
      <w:pPr>
        <w:autoSpaceDE w:val="0"/>
        <w:autoSpaceDN w:val="0"/>
        <w:adjustRightInd w:val="0"/>
        <w:snapToGrid w:val="0"/>
        <w:spacing w:line="420" w:lineRule="exact"/>
        <w:ind w:firstLine="480" w:firstLineChars="200"/>
        <w:rPr>
          <w:rFonts w:hint="eastAsia" w:ascii="宋体" w:hAnsi="宋体" w:cs="宋体"/>
          <w:sz w:val="24"/>
          <w:szCs w:val="24"/>
        </w:rPr>
      </w:pPr>
    </w:p>
    <w:p>
      <w:pPr>
        <w:autoSpaceDE w:val="0"/>
        <w:autoSpaceDN w:val="0"/>
        <w:adjustRightInd w:val="0"/>
        <w:snapToGrid w:val="0"/>
        <w:spacing w:line="420" w:lineRule="exact"/>
        <w:ind w:firstLine="480" w:firstLineChars="200"/>
        <w:rPr>
          <w:rFonts w:hint="eastAsia" w:ascii="宋体" w:hAnsi="宋体" w:cs="宋体"/>
          <w:sz w:val="24"/>
          <w:szCs w:val="24"/>
        </w:rPr>
      </w:pP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1、组织程序：项目建设完成后由采购单位按照项目有关规定，负责组织验收工作。</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2、参与人员：采购单位和</w:t>
      </w:r>
      <w:r>
        <w:rPr>
          <w:rFonts w:hint="eastAsia" w:ascii="仿宋" w:hAnsi="仿宋" w:eastAsia="仿宋" w:cs="仿宋"/>
          <w:sz w:val="28"/>
          <w:szCs w:val="28"/>
          <w:lang w:eastAsia="zh-CN"/>
        </w:rPr>
        <w:t>成交</w:t>
      </w:r>
      <w:r>
        <w:rPr>
          <w:rFonts w:hint="eastAsia" w:ascii="仿宋" w:hAnsi="仿宋" w:eastAsia="仿宋" w:cs="仿宋"/>
          <w:sz w:val="28"/>
          <w:szCs w:val="28"/>
        </w:rPr>
        <w:t>供应商双方，也可邀请相关专家或其他第三方人员。</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3、验收标准：严格执行有关行业标准、招标文件及合同的规定；</w:t>
      </w:r>
    </w:p>
    <w:p>
      <w:pPr>
        <w:autoSpaceDE w:val="0"/>
        <w:autoSpaceDN w:val="0"/>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4、验收时间及地点：采购单位自行确定。</w:t>
      </w:r>
      <w:bookmarkEnd w:id="240"/>
      <w:bookmarkEnd w:id="241"/>
    </w:p>
    <w:p>
      <w:pPr>
        <w:autoSpaceDE w:val="0"/>
        <w:autoSpaceDN w:val="0"/>
        <w:adjustRightInd w:val="0"/>
        <w:snapToGrid w:val="0"/>
        <w:spacing w:line="420" w:lineRule="exact"/>
        <w:ind w:firstLine="560" w:firstLineChars="200"/>
        <w:rPr>
          <w:rFonts w:hint="eastAsia" w:ascii="仿宋" w:hAnsi="仿宋" w:eastAsia="仿宋" w:cs="仿宋"/>
          <w:sz w:val="28"/>
          <w:szCs w:val="28"/>
        </w:rPr>
      </w:pPr>
    </w:p>
    <w:p>
      <w:pPr>
        <w:autoSpaceDE w:val="0"/>
        <w:autoSpaceDN w:val="0"/>
        <w:adjustRightInd w:val="0"/>
        <w:snapToGrid w:val="0"/>
        <w:spacing w:line="420" w:lineRule="exact"/>
        <w:rPr>
          <w:rFonts w:hint="eastAsia" w:ascii="仿宋" w:hAnsi="仿宋" w:eastAsia="仿宋" w:cs="仿宋"/>
          <w:sz w:val="28"/>
          <w:szCs w:val="28"/>
        </w:rPr>
      </w:pPr>
    </w:p>
    <w:p>
      <w:pPr>
        <w:pStyle w:val="37"/>
        <w:rPr>
          <w:rFonts w:hint="eastAsia"/>
        </w:rPr>
      </w:pPr>
    </w:p>
    <w:p>
      <w:pPr>
        <w:pStyle w:val="4"/>
        <w:spacing w:before="0" w:after="0"/>
        <w:jc w:val="center"/>
        <w:rPr>
          <w:rFonts w:hint="eastAsia"/>
          <w:kern w:val="0"/>
          <w:sz w:val="40"/>
        </w:rPr>
      </w:pPr>
      <w:bookmarkStart w:id="255" w:name="_Toc23571"/>
      <w:bookmarkStart w:id="256" w:name="_Toc27878"/>
      <w:r>
        <w:rPr>
          <w:rFonts w:hint="eastAsia"/>
          <w:kern w:val="0"/>
          <w:sz w:val="40"/>
        </w:rPr>
        <w:t>8、附件</w:t>
      </w:r>
      <w:bookmarkEnd w:id="255"/>
      <w:bookmarkEnd w:id="25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附件1：投标函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附件2：法人授权函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附件3：投标报价表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附件4：项目组成人员表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附件5：</w:t>
      </w:r>
      <w:r>
        <w:rPr>
          <w:rFonts w:hint="eastAsia" w:ascii="仿宋" w:hAnsi="仿宋" w:eastAsia="仿宋" w:cs="仿宋"/>
          <w:sz w:val="28"/>
          <w:szCs w:val="28"/>
        </w:rPr>
        <w:t>小微企业价格评审优惠申请及承诺函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附件6：政府采购促进中小企业发展暂行办法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7</w:t>
      </w:r>
      <w:r>
        <w:rPr>
          <w:rFonts w:hint="eastAsia" w:ascii="仿宋" w:hAnsi="仿宋" w:eastAsia="仿宋" w:cs="仿宋"/>
          <w:sz w:val="28"/>
          <w:szCs w:val="28"/>
        </w:rPr>
        <w:t>：供应商信用承诺书</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(以上附件内容详见后附件)</w:t>
      </w:r>
    </w:p>
    <w:p>
      <w:pPr>
        <w:pStyle w:val="3"/>
        <w:spacing w:line="360" w:lineRule="auto"/>
        <w:ind w:firstLine="316" w:firstLineChars="150"/>
        <w:rPr>
          <w:b/>
          <w:szCs w:val="21"/>
        </w:rPr>
      </w:pPr>
    </w:p>
    <w:p>
      <w:pPr>
        <w:rPr>
          <w:b/>
          <w:szCs w:val="21"/>
        </w:rPr>
      </w:pPr>
      <w:r>
        <w:rPr>
          <w:rFonts w:hint="eastAsia"/>
          <w:b/>
          <w:szCs w:val="21"/>
        </w:rPr>
        <w:t>附件1</w:t>
      </w:r>
      <w:bookmarkStart w:id="257" w:name="_Toc139965361"/>
    </w:p>
    <w:p>
      <w:pPr>
        <w:pStyle w:val="5"/>
        <w:spacing w:before="0" w:after="0"/>
        <w:rPr>
          <w:szCs w:val="21"/>
        </w:rPr>
      </w:pPr>
      <w:bookmarkStart w:id="258" w:name="_Toc239047347"/>
      <w:bookmarkStart w:id="259" w:name="_Toc8200"/>
      <w:bookmarkStart w:id="260" w:name="_Toc31398"/>
      <w:r>
        <w:rPr>
          <w:rFonts w:hint="eastAsia" w:ascii="宋体" w:hAnsi="宋体"/>
          <w:sz w:val="21"/>
          <w:szCs w:val="21"/>
        </w:rPr>
        <w:t>投   标   函</w:t>
      </w:r>
      <w:bookmarkEnd w:id="257"/>
      <w:bookmarkEnd w:id="258"/>
      <w:bookmarkEnd w:id="259"/>
      <w:bookmarkEnd w:id="260"/>
    </w:p>
    <w:p>
      <w:pPr>
        <w:keepNext w:val="0"/>
        <w:keepLines w:val="0"/>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致：镇原县公共资源交易中心</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根据已收到的招标编号为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w:t>
      </w:r>
      <w:r>
        <w:rPr>
          <w:rFonts w:hint="eastAsia" w:ascii="仿宋" w:hAnsi="仿宋" w:eastAsia="仿宋" w:cs="仿宋"/>
          <w:sz w:val="24"/>
          <w:szCs w:val="24"/>
        </w:rPr>
        <w:t>招标文件，我单位经认真研究上述招标文件，决定参加本次投标。我方提交投标文件正本份、副本份并保证其真实性。我方愿承担该项目的实施和保修任务，履行招标文件中对</w:t>
      </w:r>
      <w:r>
        <w:rPr>
          <w:rFonts w:hint="eastAsia" w:ascii="仿宋" w:hAnsi="仿宋" w:eastAsia="仿宋" w:cs="仿宋"/>
          <w:sz w:val="24"/>
          <w:szCs w:val="24"/>
          <w:lang w:eastAsia="zh-CN"/>
        </w:rPr>
        <w:t>成交</w:t>
      </w:r>
      <w:r>
        <w:rPr>
          <w:rFonts w:hint="eastAsia" w:ascii="仿宋" w:hAnsi="仿宋" w:eastAsia="仿宋" w:cs="仿宋"/>
          <w:sz w:val="24"/>
          <w:szCs w:val="24"/>
        </w:rPr>
        <w:t>单位的要求和应承担的责任和义务。同时我方郑重做出如下声明：</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1、我方完全接受招标文件中的内容，并将按招标文件的规定履行责任、义务。</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2、我方已详细审查全部招标文件，包括修改文件、参考资料及有关附件，无其他不明事项。</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3、我方同意提供贵方可能要求的与投标有关的任何证据或资料。</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4、如果我方</w:t>
      </w:r>
      <w:r>
        <w:rPr>
          <w:rFonts w:hint="eastAsia" w:ascii="仿宋" w:hAnsi="仿宋" w:eastAsia="仿宋" w:cs="仿宋"/>
          <w:sz w:val="24"/>
          <w:szCs w:val="24"/>
          <w:lang w:eastAsia="zh-CN"/>
        </w:rPr>
        <w:t>成交</w:t>
      </w:r>
      <w:r>
        <w:rPr>
          <w:rFonts w:hint="eastAsia" w:ascii="仿宋" w:hAnsi="仿宋" w:eastAsia="仿宋" w:cs="仿宋"/>
          <w:sz w:val="24"/>
          <w:szCs w:val="24"/>
        </w:rPr>
        <w:t>，我方将按《</w:t>
      </w:r>
      <w:r>
        <w:rPr>
          <w:rFonts w:hint="eastAsia" w:ascii="仿宋" w:hAnsi="仿宋" w:eastAsia="仿宋" w:cs="仿宋"/>
          <w:sz w:val="24"/>
          <w:szCs w:val="24"/>
          <w:lang w:eastAsia="zh-CN"/>
        </w:rPr>
        <w:t>成交</w:t>
      </w:r>
      <w:r>
        <w:rPr>
          <w:rFonts w:hint="eastAsia" w:ascii="仿宋" w:hAnsi="仿宋" w:eastAsia="仿宋" w:cs="仿宋"/>
          <w:sz w:val="24"/>
          <w:szCs w:val="24"/>
        </w:rPr>
        <w:t>通知书》要求签订、履行合同，承担责任、义务。</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5、我方同意所递交的投标文件在天的投标有效期内有效，在此期间我方将受此约束。</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6、我们理解贵方不一定要接受最低报价的投标或收到的任何投标。</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7、投标有关的一切资金往来请使用以下帐户：</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开户行：</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户  名：</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账  号：</w:t>
      </w:r>
    </w:p>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8、与投标有关的一切正式信函请使用以下地址：</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地      址：</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邮      编：</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电      话：</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传      真：</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u w:val="single"/>
        </w:rPr>
      </w:pPr>
      <w:r>
        <w:rPr>
          <w:rFonts w:hint="eastAsia" w:ascii="仿宋" w:hAnsi="仿宋" w:eastAsia="仿宋" w:cs="仿宋"/>
          <w:sz w:val="24"/>
          <w:szCs w:val="24"/>
        </w:rPr>
        <w:t>单位公章：</w:t>
      </w:r>
    </w:p>
    <w:p>
      <w:pPr>
        <w:keepNext w:val="0"/>
        <w:keepLines w:val="0"/>
        <w:pageBreakBefore w:val="0"/>
        <w:widowControl w:val="0"/>
        <w:kinsoku/>
        <w:wordWrap/>
        <w:overflowPunct/>
        <w:topLinePunct w:val="0"/>
        <w:autoSpaceDE/>
        <w:autoSpaceDN/>
        <w:bidi w:val="0"/>
        <w:spacing w:line="460" w:lineRule="exact"/>
        <w:ind w:left="0" w:leftChars="0" w:firstLine="900" w:firstLineChars="375"/>
        <w:textAlignment w:val="auto"/>
        <w:rPr>
          <w:rFonts w:hint="eastAsia" w:ascii="仿宋" w:hAnsi="仿宋" w:eastAsia="仿宋" w:cs="仿宋"/>
          <w:sz w:val="24"/>
          <w:szCs w:val="24"/>
        </w:rPr>
      </w:pPr>
      <w:r>
        <w:rPr>
          <w:rFonts w:hint="eastAsia" w:ascii="仿宋" w:hAnsi="仿宋" w:eastAsia="仿宋" w:cs="仿宋"/>
          <w:sz w:val="24"/>
          <w:szCs w:val="24"/>
        </w:rPr>
        <w:t>法定代表人或授权代表人签字：</w:t>
      </w:r>
    </w:p>
    <w:p>
      <w:pPr>
        <w:pStyle w:val="19"/>
        <w:keepNext w:val="0"/>
        <w:keepLines w:val="0"/>
        <w:pageBreakBefore w:val="0"/>
        <w:widowControl w:val="0"/>
        <w:kinsoku/>
        <w:wordWrap/>
        <w:overflowPunct/>
        <w:topLinePunct w:val="0"/>
        <w:autoSpaceDE/>
        <w:autoSpaceDN/>
        <w:bidi w:val="0"/>
        <w:spacing w:line="460" w:lineRule="exact"/>
        <w:ind w:left="0" w:leftChars="0" w:right="560"/>
        <w:textAlignment w:val="auto"/>
        <w:rPr>
          <w:rFonts w:hint="eastAsia" w:ascii="仿宋" w:hAnsi="仿宋" w:eastAsia="仿宋" w:cs="仿宋"/>
          <w:sz w:val="24"/>
          <w:szCs w:val="24"/>
        </w:rPr>
      </w:pPr>
    </w:p>
    <w:p>
      <w:pPr>
        <w:pStyle w:val="19"/>
        <w:keepNext w:val="0"/>
        <w:keepLines w:val="0"/>
        <w:pageBreakBefore w:val="0"/>
        <w:widowControl w:val="0"/>
        <w:kinsoku/>
        <w:wordWrap/>
        <w:overflowPunct/>
        <w:topLinePunct w:val="0"/>
        <w:autoSpaceDE/>
        <w:autoSpaceDN/>
        <w:bidi w:val="0"/>
        <w:spacing w:line="460" w:lineRule="exact"/>
        <w:ind w:right="560"/>
        <w:textAlignment w:val="auto"/>
        <w:rPr>
          <w:rFonts w:hint="eastAsia" w:ascii="仿宋" w:hAnsi="仿宋" w:eastAsia="仿宋" w:cs="仿宋"/>
          <w:sz w:val="24"/>
          <w:szCs w:val="24"/>
        </w:rPr>
      </w:pPr>
      <w:r>
        <w:rPr>
          <w:rFonts w:hint="eastAsia" w:ascii="仿宋" w:hAnsi="仿宋" w:eastAsia="仿宋" w:cs="仿宋"/>
          <w:sz w:val="24"/>
          <w:szCs w:val="24"/>
        </w:rPr>
        <w:t>年    月   日</w:t>
      </w:r>
    </w:p>
    <w:p>
      <w:pPr>
        <w:rPr>
          <w:b/>
          <w:szCs w:val="21"/>
        </w:rPr>
      </w:pPr>
      <w:r>
        <w:rPr>
          <w:rFonts w:hint="eastAsia"/>
          <w:b/>
          <w:szCs w:val="21"/>
        </w:rPr>
        <w:t>附件2：</w:t>
      </w:r>
      <w:bookmarkStart w:id="261" w:name="_Toc139965362"/>
    </w:p>
    <w:p>
      <w:pPr>
        <w:pStyle w:val="5"/>
        <w:spacing w:before="0" w:after="0"/>
        <w:rPr>
          <w:sz w:val="21"/>
          <w:szCs w:val="21"/>
        </w:rPr>
      </w:pPr>
      <w:bookmarkStart w:id="262" w:name="_Toc239047348"/>
      <w:bookmarkStart w:id="263" w:name="_Toc26489"/>
      <w:bookmarkStart w:id="264" w:name="_Toc30091"/>
      <w:r>
        <w:rPr>
          <w:rFonts w:hint="eastAsia"/>
          <w:sz w:val="21"/>
          <w:szCs w:val="21"/>
        </w:rPr>
        <w:t>法人授权</w:t>
      </w:r>
      <w:bookmarkEnd w:id="261"/>
      <w:r>
        <w:rPr>
          <w:rFonts w:hint="eastAsia"/>
          <w:sz w:val="21"/>
          <w:szCs w:val="21"/>
        </w:rPr>
        <w:t>函</w:t>
      </w:r>
      <w:bookmarkEnd w:id="262"/>
      <w:bookmarkEnd w:id="263"/>
      <w:bookmarkEnd w:id="264"/>
    </w:p>
    <w:p>
      <w:pPr>
        <w:spacing w:line="300" w:lineRule="auto"/>
        <w:rPr>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致 ：镇原县公共资源交易中心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本授权函声明：</w:t>
      </w:r>
      <w:r>
        <w:rPr>
          <w:rFonts w:hint="eastAsia" w:ascii="仿宋" w:hAnsi="仿宋" w:eastAsia="仿宋" w:cs="仿宋"/>
          <w:sz w:val="24"/>
          <w:szCs w:val="24"/>
          <w:u w:val="single"/>
        </w:rPr>
        <w:t xml:space="preserve">            （投标人全称）         </w:t>
      </w:r>
      <w:r>
        <w:rPr>
          <w:rFonts w:hint="eastAsia" w:ascii="仿宋" w:hAnsi="仿宋" w:eastAsia="仿宋" w:cs="仿宋"/>
          <w:sz w:val="24"/>
          <w:szCs w:val="24"/>
        </w:rPr>
        <w:t>任命</w:t>
      </w:r>
      <w:r>
        <w:rPr>
          <w:rFonts w:hint="eastAsia" w:ascii="仿宋" w:hAnsi="仿宋" w:eastAsia="仿宋" w:cs="仿宋"/>
          <w:sz w:val="24"/>
          <w:szCs w:val="24"/>
          <w:u w:val="single"/>
        </w:rPr>
        <w:t xml:space="preserve"> （被授权人姓名、职务）   </w:t>
      </w:r>
      <w:r>
        <w:rPr>
          <w:rFonts w:hint="eastAsia" w:ascii="仿宋" w:hAnsi="仿宋" w:eastAsia="仿宋" w:cs="仿宋"/>
          <w:sz w:val="24"/>
          <w:szCs w:val="24"/>
        </w:rPr>
        <w:t>为我公司的授权代表人，参与招标编号为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rPr>
        <w:t>项目投标活动，以投标人的名义签署投标文件、进行合同谈判、签署合同和全权处理与之有关的一切事务。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246"/>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特签字如下，以资证明。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投标人名称：（公章）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投标人地址：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法定代表人：（签字或印章）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被授权人：（签字或印章）：</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被授权人信息：性别：</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60" w:firstLineChars="900"/>
        <w:textAlignment w:val="auto"/>
        <w:rPr>
          <w:rFonts w:hint="eastAsia" w:ascii="仿宋" w:hAnsi="仿宋" w:eastAsia="仿宋" w:cs="仿宋"/>
          <w:sz w:val="24"/>
          <w:szCs w:val="24"/>
          <w:u w:val="single"/>
        </w:rPr>
      </w:pPr>
      <w:r>
        <w:rPr>
          <w:rFonts w:hint="eastAsia" w:ascii="仿宋" w:hAnsi="仿宋" w:eastAsia="仿宋" w:cs="仿宋"/>
          <w:sz w:val="24"/>
          <w:szCs w:val="24"/>
        </w:rPr>
        <w:t>年龄：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2160" w:firstLineChars="900"/>
        <w:textAlignment w:val="auto"/>
        <w:rPr>
          <w:rFonts w:hint="eastAsia" w:ascii="仿宋" w:hAnsi="仿宋" w:eastAsia="仿宋" w:cs="仿宋"/>
          <w:sz w:val="24"/>
          <w:szCs w:val="24"/>
          <w:u w:val="single"/>
        </w:rPr>
      </w:pPr>
      <w:r>
        <w:rPr>
          <w:rFonts w:hint="eastAsia" w:ascii="仿宋" w:hAnsi="仿宋" w:eastAsia="仿宋" w:cs="仿宋"/>
          <w:sz w:val="24"/>
          <w:szCs w:val="24"/>
        </w:rPr>
        <w:t>身份证号：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7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3360" w:firstLineChars="14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560" w:firstLineChars="1900"/>
        <w:textAlignment w:val="auto"/>
        <w:rPr>
          <w:rFonts w:hint="eastAsia" w:ascii="仿宋" w:hAnsi="仿宋" w:eastAsia="仿宋" w:cs="仿宋"/>
          <w:sz w:val="24"/>
          <w:szCs w:val="24"/>
        </w:rPr>
      </w:pPr>
      <w:r>
        <w:rPr>
          <w:rFonts w:hint="eastAsia" w:ascii="仿宋" w:hAnsi="仿宋" w:eastAsia="仿宋" w:cs="仿宋"/>
          <w:sz w:val="24"/>
          <w:szCs w:val="24"/>
        </w:rPr>
        <w:t>授权日期：  年  月  日</w:t>
      </w:r>
    </w:p>
    <w:p>
      <w:pPr>
        <w:pStyle w:val="3"/>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rFonts w:hint="eastAsia"/>
          <w:b/>
          <w:szCs w:val="21"/>
        </w:rPr>
      </w:pPr>
    </w:p>
    <w:p>
      <w:pPr>
        <w:rPr>
          <w:b/>
          <w:szCs w:val="21"/>
        </w:rPr>
      </w:pPr>
      <w:r>
        <w:rPr>
          <w:rFonts w:hint="eastAsia"/>
          <w:b/>
          <w:szCs w:val="21"/>
        </w:rPr>
        <w:t>附件3：</w:t>
      </w:r>
      <w:bookmarkStart w:id="265" w:name="_Toc139965363"/>
    </w:p>
    <w:p>
      <w:pPr>
        <w:pStyle w:val="5"/>
        <w:spacing w:before="0" w:after="0"/>
        <w:rPr>
          <w:rFonts w:ascii="宋体" w:hAnsi="宋体"/>
          <w:sz w:val="21"/>
          <w:szCs w:val="21"/>
        </w:rPr>
      </w:pPr>
      <w:bookmarkStart w:id="266" w:name="_Toc11667"/>
      <w:bookmarkStart w:id="267" w:name="_Toc239047349"/>
      <w:bookmarkStart w:id="268" w:name="_Toc5944"/>
      <w:r>
        <w:rPr>
          <w:rFonts w:hint="eastAsia" w:ascii="宋体" w:hAnsi="宋体"/>
          <w:sz w:val="21"/>
          <w:szCs w:val="21"/>
        </w:rPr>
        <w:t>投标报价表</w:t>
      </w:r>
      <w:bookmarkEnd w:id="265"/>
      <w:bookmarkEnd w:id="266"/>
      <w:bookmarkEnd w:id="267"/>
      <w:bookmarkEnd w:id="268"/>
    </w:p>
    <w:p>
      <w:pPr>
        <w:pStyle w:val="4"/>
        <w:jc w:val="center"/>
      </w:pPr>
      <w:bookmarkStart w:id="269" w:name="_Toc15369"/>
      <w:bookmarkStart w:id="270" w:name="_Toc17845"/>
      <w:r>
        <w:rPr>
          <w:rFonts w:hint="eastAsia"/>
        </w:rPr>
        <w:t>开标一览表</w:t>
      </w:r>
      <w:bookmarkEnd w:id="269"/>
      <w:bookmarkEnd w:id="270"/>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项目名称：</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招标文件编号：</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240" w:firstLineChars="2600"/>
        <w:textAlignment w:val="auto"/>
        <w:rPr>
          <w:rFonts w:hint="eastAsia" w:ascii="仿宋" w:hAnsi="仿宋" w:eastAsia="仿宋" w:cs="仿宋"/>
          <w:sz w:val="24"/>
          <w:szCs w:val="24"/>
        </w:rPr>
      </w:pPr>
      <w:r>
        <w:rPr>
          <w:rFonts w:hint="eastAsia" w:ascii="仿宋" w:hAnsi="仿宋" w:eastAsia="仿宋" w:cs="仿宋"/>
          <w:sz w:val="24"/>
          <w:szCs w:val="24"/>
        </w:rPr>
        <w:t>金额单位：人民币（元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285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458" w:type="dxa"/>
            <w:noWrap w:val="0"/>
            <w:vAlign w:val="center"/>
          </w:tcPr>
          <w:p>
            <w:pPr>
              <w:pStyle w:val="59"/>
              <w:keepNext w:val="0"/>
              <w:keepLines w:val="0"/>
              <w:pageBreakBefore w:val="0"/>
              <w:widowControl w:val="0"/>
              <w:kinsoku/>
              <w:wordWrap/>
              <w:overflowPunct/>
              <w:topLinePunct w:val="0"/>
              <w:autoSpaceDE/>
              <w:autoSpaceDN/>
              <w:bidi w:val="0"/>
              <w:adjustRightInd/>
              <w:spacing w:before="0" w:after="0" w:line="460" w:lineRule="exact"/>
              <w:ind w:left="0" w:leftChars="0"/>
              <w:textAlignment w:val="auto"/>
              <w:rPr>
                <w:rFonts w:hint="eastAsia" w:ascii="仿宋" w:hAnsi="仿宋" w:eastAsia="仿宋" w:cs="仿宋"/>
                <w:snapToGrid/>
                <w:spacing w:val="0"/>
                <w:kern w:val="2"/>
                <w:sz w:val="24"/>
                <w:szCs w:val="24"/>
              </w:rPr>
            </w:pPr>
            <w:r>
              <w:rPr>
                <w:rFonts w:hint="eastAsia" w:ascii="仿宋" w:hAnsi="仿宋" w:eastAsia="仿宋" w:cs="仿宋"/>
                <w:sz w:val="24"/>
                <w:szCs w:val="24"/>
              </w:rPr>
              <w:t>投标人名称</w:t>
            </w:r>
          </w:p>
        </w:tc>
        <w:tc>
          <w:tcPr>
            <w:tcW w:w="2858"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仿宋" w:hAnsi="仿宋" w:eastAsia="仿宋" w:cs="仿宋"/>
                <w:sz w:val="24"/>
                <w:szCs w:val="24"/>
              </w:rPr>
            </w:pPr>
            <w:r>
              <w:rPr>
                <w:rFonts w:hint="eastAsia" w:ascii="仿宋" w:hAnsi="仿宋" w:eastAsia="仿宋" w:cs="仿宋"/>
                <w:sz w:val="24"/>
                <w:szCs w:val="24"/>
              </w:rPr>
              <w:t>投标总报价</w:t>
            </w:r>
          </w:p>
        </w:tc>
        <w:tc>
          <w:tcPr>
            <w:tcW w:w="1664"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458" w:type="dxa"/>
            <w:noWrap w:val="0"/>
            <w:vAlign w:val="center"/>
          </w:tcPr>
          <w:p>
            <w:pPr>
              <w:pStyle w:val="59"/>
              <w:keepNext w:val="0"/>
              <w:keepLines w:val="0"/>
              <w:pageBreakBefore w:val="0"/>
              <w:widowControl w:val="0"/>
              <w:kinsoku/>
              <w:wordWrap/>
              <w:overflowPunct/>
              <w:topLinePunct w:val="0"/>
              <w:autoSpaceDE/>
              <w:autoSpaceDN/>
              <w:bidi w:val="0"/>
              <w:adjustRightInd/>
              <w:spacing w:before="0" w:after="0" w:line="460" w:lineRule="exact"/>
              <w:ind w:left="0" w:leftChars="0"/>
              <w:textAlignment w:val="auto"/>
              <w:rPr>
                <w:rFonts w:hint="eastAsia" w:ascii="仿宋" w:hAnsi="仿宋" w:eastAsia="仿宋" w:cs="仿宋"/>
                <w:snapToGrid/>
                <w:spacing w:val="0"/>
                <w:kern w:val="2"/>
                <w:sz w:val="24"/>
                <w:szCs w:val="24"/>
              </w:rPr>
            </w:pPr>
          </w:p>
        </w:tc>
        <w:tc>
          <w:tcPr>
            <w:tcW w:w="2858" w:type="dxa"/>
            <w:noWrap w:val="0"/>
            <w:vAlign w:val="center"/>
          </w:tcPr>
          <w:p>
            <w:pPr>
              <w:pStyle w:val="24"/>
              <w:keepNext w:val="0"/>
              <w:keepLines w:val="0"/>
              <w:pageBreakBefore w:val="0"/>
              <w:widowControl w:val="0"/>
              <w:tabs>
                <w:tab w:val="right" w:leader="dot" w:pos="8296"/>
              </w:tabs>
              <w:kinsoku/>
              <w:wordWrap/>
              <w:overflowPunct/>
              <w:topLinePunct w:val="0"/>
              <w:autoSpaceDE/>
              <w:autoSpaceDN/>
              <w:bidi w:val="0"/>
              <w:spacing w:line="460" w:lineRule="exact"/>
              <w:ind w:left="0" w:leftChars="0"/>
              <w:textAlignment w:val="auto"/>
              <w:rPr>
                <w:rFonts w:hint="eastAsia" w:ascii="仿宋" w:hAnsi="仿宋" w:eastAsia="仿宋" w:cs="仿宋"/>
                <w:sz w:val="24"/>
                <w:szCs w:val="24"/>
              </w:rPr>
            </w:pPr>
          </w:p>
        </w:tc>
        <w:tc>
          <w:tcPr>
            <w:tcW w:w="1664" w:type="dxa"/>
            <w:noWrap w:val="0"/>
            <w:vAlign w:val="center"/>
          </w:tcPr>
          <w:p>
            <w:pPr>
              <w:keepNext w:val="0"/>
              <w:keepLines w:val="0"/>
              <w:pageBreakBefore w:val="0"/>
              <w:widowControl w:val="0"/>
              <w:kinsoku/>
              <w:wordWrap/>
              <w:overflowPunct/>
              <w:topLinePunct w:val="0"/>
              <w:autoSpaceDE/>
              <w:autoSpaceDN/>
              <w:bidi w:val="0"/>
              <w:spacing w:line="460" w:lineRule="exact"/>
              <w:ind w:left="0" w:leftChars="0"/>
              <w:jc w:val="lef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980" w:type="dxa"/>
            <w:gridSpan w:val="3"/>
            <w:noWrap w:val="0"/>
            <w:vAlign w:val="center"/>
          </w:tcPr>
          <w:p>
            <w:pPr>
              <w:keepNext w:val="0"/>
              <w:keepLines w:val="0"/>
              <w:pageBreakBefore w:val="0"/>
              <w:widowControl w:val="0"/>
              <w:kinsoku/>
              <w:wordWrap/>
              <w:overflowPunct/>
              <w:topLinePunct w:val="0"/>
              <w:autoSpaceDE/>
              <w:autoSpaceDN/>
              <w:bidi w:val="0"/>
              <w:spacing w:line="4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8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投标保证金金额大写：</w:t>
            </w:r>
          </w:p>
        </w:tc>
      </w:tr>
    </w:tbl>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投标人名称（盖公章）：</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法定代表人或其授权的代理人(签字)：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 xml:space="preserve">                    日期：年   月     日</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注：1、此表必须单独提交一份，装在一个小信封内，密封并盖章，在递交投标文件时一并递交，用于开标时唱标。</w:t>
      </w:r>
    </w:p>
    <w:p>
      <w:pPr>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装入（法人身份证明）或者（法人授权函和授权人、被授权人身份证复印件）。</w:t>
      </w:r>
    </w:p>
    <w:p>
      <w:pPr>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装入保证金缴纳凭证复印件。</w:t>
      </w:r>
    </w:p>
    <w:p>
      <w:pPr>
        <w:keepNext w:val="0"/>
        <w:keepLines w:val="0"/>
        <w:pageBreakBefore w:val="0"/>
        <w:widowControl w:val="0"/>
        <w:numPr>
          <w:ilvl w:val="0"/>
          <w:numId w:val="7"/>
        </w:numPr>
        <w:kinsoku/>
        <w:wordWrap/>
        <w:overflowPunct/>
        <w:topLinePunct w:val="0"/>
        <w:autoSpaceDE/>
        <w:autoSpaceDN/>
        <w:bidi w:val="0"/>
        <w:adjustRightInd w:val="0"/>
        <w:snapToGrid w:val="0"/>
        <w:spacing w:line="460" w:lineRule="exact"/>
        <w:ind w:left="360" w:leftChars="0" w:hanging="360" w:hangingChars="150"/>
        <w:textAlignment w:val="auto"/>
        <w:rPr>
          <w:rFonts w:hint="eastAsia" w:ascii="仿宋" w:hAnsi="仿宋" w:eastAsia="仿宋" w:cs="仿宋"/>
          <w:sz w:val="24"/>
          <w:szCs w:val="24"/>
        </w:rPr>
      </w:pPr>
      <w:r>
        <w:rPr>
          <w:rFonts w:hint="eastAsia" w:ascii="仿宋" w:hAnsi="仿宋" w:eastAsia="仿宋" w:cs="仿宋"/>
          <w:sz w:val="24"/>
          <w:szCs w:val="24"/>
        </w:rPr>
        <w:t>装入投标文件电子U盘一份。</w:t>
      </w:r>
    </w:p>
    <w:p>
      <w:pPr>
        <w:keepNext w:val="0"/>
        <w:keepLines w:val="0"/>
        <w:pageBreakBefore w:val="0"/>
        <w:widowControl w:val="0"/>
        <w:kinsoku/>
        <w:wordWrap/>
        <w:overflowPunct/>
        <w:topLinePunct w:val="0"/>
        <w:autoSpaceDE/>
        <w:autoSpaceDN/>
        <w:bidi w:val="0"/>
        <w:spacing w:line="460" w:lineRule="exact"/>
        <w:ind w:left="0" w:leftChars="0"/>
        <w:textAlignment w:val="auto"/>
        <w:rPr>
          <w:rFonts w:hint="eastAsia" w:ascii="仿宋" w:hAnsi="仿宋" w:eastAsia="仿宋" w:cs="仿宋"/>
          <w:sz w:val="28"/>
          <w:szCs w:val="28"/>
        </w:rPr>
      </w:pPr>
    </w:p>
    <w:p>
      <w:pPr>
        <w:pStyle w:val="3"/>
        <w:rPr>
          <w:rFonts w:hint="eastAsia"/>
          <w:szCs w:val="21"/>
        </w:rPr>
      </w:pPr>
    </w:p>
    <w:p>
      <w:pPr>
        <w:adjustRightInd w:val="0"/>
        <w:snapToGrid w:val="0"/>
        <w:spacing w:line="360" w:lineRule="auto"/>
        <w:ind w:firstLine="3092" w:firstLineChars="700"/>
        <w:rPr>
          <w:rFonts w:hint="eastAsia"/>
          <w:b/>
          <w:bCs/>
          <w:kern w:val="44"/>
          <w:sz w:val="44"/>
          <w:szCs w:val="44"/>
        </w:rPr>
      </w:pPr>
      <w:r>
        <w:rPr>
          <w:rFonts w:hint="eastAsia"/>
          <w:b/>
          <w:bCs/>
          <w:kern w:val="44"/>
          <w:sz w:val="44"/>
          <w:szCs w:val="44"/>
        </w:rPr>
        <w:t>分项报价一览表</w:t>
      </w:r>
    </w:p>
    <w:p>
      <w:pPr>
        <w:adjustRightInd w:val="0"/>
        <w:snapToGrid w:val="0"/>
        <w:spacing w:line="360" w:lineRule="auto"/>
        <w:ind w:left="-88" w:leftChars="-42"/>
        <w:rPr>
          <w:rFonts w:hint="eastAsia" w:ascii="仿宋" w:hAnsi="仿宋" w:eastAsia="仿宋" w:cs="仿宋"/>
          <w:sz w:val="24"/>
          <w:szCs w:val="24"/>
          <w:u w:val="single"/>
        </w:rPr>
      </w:pPr>
      <w:r>
        <w:rPr>
          <w:rFonts w:hint="eastAsia" w:ascii="仿宋" w:hAnsi="仿宋" w:eastAsia="仿宋" w:cs="仿宋"/>
          <w:sz w:val="24"/>
          <w:szCs w:val="24"/>
        </w:rPr>
        <w:t>项目名称：</w:t>
      </w:r>
    </w:p>
    <w:p>
      <w:pPr>
        <w:adjustRightInd w:val="0"/>
        <w:snapToGrid w:val="0"/>
        <w:spacing w:line="360" w:lineRule="auto"/>
        <w:ind w:left="-88" w:leftChars="-42"/>
        <w:rPr>
          <w:rFonts w:hint="eastAsia" w:ascii="仿宋" w:hAnsi="仿宋" w:eastAsia="仿宋" w:cs="仿宋"/>
          <w:sz w:val="24"/>
          <w:szCs w:val="24"/>
        </w:rPr>
      </w:pPr>
      <w:r>
        <w:rPr>
          <w:rFonts w:hint="eastAsia" w:ascii="仿宋" w:hAnsi="仿宋" w:eastAsia="仿宋" w:cs="仿宋"/>
          <w:sz w:val="24"/>
          <w:szCs w:val="24"/>
        </w:rPr>
        <w:t xml:space="preserve">招标文件编号： </w:t>
      </w:r>
    </w:p>
    <w:p>
      <w:pPr>
        <w:adjustRightInd w:val="0"/>
        <w:snapToGrid w:val="0"/>
        <w:spacing w:line="360" w:lineRule="auto"/>
        <w:ind w:left="-88" w:leftChars="-42"/>
        <w:rPr>
          <w:rFonts w:hint="eastAsia" w:ascii="仿宋" w:hAnsi="仿宋" w:eastAsia="仿宋" w:cs="仿宋"/>
          <w:b/>
          <w:bCs/>
          <w:kern w:val="44"/>
          <w:sz w:val="24"/>
          <w:szCs w:val="24"/>
        </w:rPr>
      </w:pPr>
      <w:r>
        <w:rPr>
          <w:rFonts w:hint="eastAsia" w:ascii="仿宋" w:hAnsi="仿宋" w:eastAsia="仿宋" w:cs="仿宋"/>
          <w:sz w:val="24"/>
          <w:szCs w:val="24"/>
        </w:rPr>
        <w:t>投标包号：</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1380"/>
        <w:gridCol w:w="1250"/>
        <w:gridCol w:w="1251"/>
        <w:gridCol w:w="784"/>
        <w:gridCol w:w="795"/>
        <w:gridCol w:w="885"/>
        <w:gridCol w:w="945"/>
        <w:gridCol w:w="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543"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80"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501" w:type="dxa"/>
            <w:gridSpan w:val="2"/>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项目特征描述</w:t>
            </w:r>
          </w:p>
        </w:tc>
        <w:tc>
          <w:tcPr>
            <w:tcW w:w="784"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79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88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945"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总价</w:t>
            </w:r>
          </w:p>
        </w:tc>
        <w:tc>
          <w:tcPr>
            <w:tcW w:w="661" w:type="dxa"/>
            <w:vMerge w:val="restart"/>
            <w:noWrap w:val="0"/>
            <w:vAlign w:val="center"/>
          </w:tcPr>
          <w:p>
            <w:pPr>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543" w:type="dxa"/>
            <w:vMerge w:val="continue"/>
            <w:noWrap w:val="0"/>
            <w:vAlign w:val="center"/>
          </w:tcPr>
          <w:p>
            <w:pPr>
              <w:spacing w:before="156" w:beforeLines="50" w:line="360" w:lineRule="auto"/>
              <w:jc w:val="center"/>
            </w:pPr>
          </w:p>
        </w:tc>
        <w:tc>
          <w:tcPr>
            <w:tcW w:w="1380" w:type="dxa"/>
            <w:vMerge w:val="continue"/>
            <w:noWrap w:val="0"/>
            <w:vAlign w:val="center"/>
          </w:tcPr>
          <w:p>
            <w:pPr>
              <w:spacing w:before="156" w:beforeLines="50" w:line="360" w:lineRule="auto"/>
              <w:jc w:val="center"/>
            </w:pPr>
          </w:p>
        </w:tc>
        <w:tc>
          <w:tcPr>
            <w:tcW w:w="1250" w:type="dxa"/>
            <w:noWrap w:val="0"/>
            <w:vAlign w:val="center"/>
          </w:tcPr>
          <w:p>
            <w:pPr>
              <w:spacing w:before="156" w:beforeLines="50"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1251" w:type="dxa"/>
            <w:noWrap w:val="0"/>
            <w:vAlign w:val="center"/>
          </w:tcPr>
          <w:p>
            <w:pPr>
              <w:spacing w:before="156" w:beforeLines="50"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生产厂家</w:t>
            </w:r>
          </w:p>
        </w:tc>
        <w:tc>
          <w:tcPr>
            <w:tcW w:w="784" w:type="dxa"/>
            <w:vMerge w:val="continue"/>
            <w:noWrap w:val="0"/>
            <w:vAlign w:val="center"/>
          </w:tcPr>
          <w:p>
            <w:pPr>
              <w:spacing w:before="156" w:beforeLines="50" w:line="360" w:lineRule="auto"/>
              <w:jc w:val="center"/>
            </w:pPr>
          </w:p>
        </w:tc>
        <w:tc>
          <w:tcPr>
            <w:tcW w:w="795" w:type="dxa"/>
            <w:vMerge w:val="continue"/>
            <w:noWrap w:val="0"/>
            <w:vAlign w:val="center"/>
          </w:tcPr>
          <w:p>
            <w:pPr>
              <w:spacing w:before="156" w:beforeLines="50" w:line="360" w:lineRule="auto"/>
              <w:jc w:val="center"/>
            </w:pPr>
          </w:p>
        </w:tc>
        <w:tc>
          <w:tcPr>
            <w:tcW w:w="885" w:type="dxa"/>
            <w:vMerge w:val="continue"/>
            <w:noWrap w:val="0"/>
            <w:vAlign w:val="center"/>
          </w:tcPr>
          <w:p>
            <w:pPr>
              <w:spacing w:before="156" w:beforeLines="50" w:line="360" w:lineRule="auto"/>
              <w:jc w:val="center"/>
            </w:pPr>
          </w:p>
        </w:tc>
        <w:tc>
          <w:tcPr>
            <w:tcW w:w="945" w:type="dxa"/>
            <w:vMerge w:val="continue"/>
            <w:noWrap w:val="0"/>
            <w:vAlign w:val="center"/>
          </w:tcPr>
          <w:p>
            <w:pPr>
              <w:spacing w:before="156" w:beforeLines="50" w:line="360" w:lineRule="auto"/>
              <w:jc w:val="center"/>
            </w:pPr>
          </w:p>
        </w:tc>
        <w:tc>
          <w:tcPr>
            <w:tcW w:w="661" w:type="dxa"/>
            <w:vMerge w:val="continue"/>
            <w:noWrap w:val="0"/>
            <w:vAlign w:val="center"/>
          </w:tcPr>
          <w:p>
            <w:pPr>
              <w:spacing w:before="156" w:beforeLines="50" w:line="360" w:lineRule="auto"/>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3"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3" w:hRule="atLeast"/>
          <w:jc w:val="center"/>
        </w:trPr>
        <w:tc>
          <w:tcPr>
            <w:tcW w:w="543"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80" w:type="dxa"/>
            <w:noWrap w:val="0"/>
            <w:vAlign w:val="center"/>
          </w:tcPr>
          <w:p>
            <w:pPr>
              <w:spacing w:line="360" w:lineRule="auto"/>
              <w:jc w:val="center"/>
              <w:rPr>
                <w:rFonts w:hint="eastAsia" w:ascii="仿宋" w:hAnsi="仿宋" w:eastAsia="仿宋" w:cs="仿宋"/>
                <w:sz w:val="24"/>
                <w:szCs w:val="24"/>
              </w:rPr>
            </w:pPr>
          </w:p>
        </w:tc>
        <w:tc>
          <w:tcPr>
            <w:tcW w:w="1250" w:type="dxa"/>
            <w:noWrap w:val="0"/>
            <w:vAlign w:val="center"/>
          </w:tcPr>
          <w:p>
            <w:pPr>
              <w:spacing w:line="360" w:lineRule="auto"/>
              <w:jc w:val="center"/>
              <w:rPr>
                <w:rFonts w:hint="eastAsia" w:ascii="仿宋" w:hAnsi="仿宋" w:eastAsia="仿宋" w:cs="仿宋"/>
                <w:sz w:val="24"/>
                <w:szCs w:val="24"/>
              </w:rPr>
            </w:pPr>
          </w:p>
        </w:tc>
        <w:tc>
          <w:tcPr>
            <w:tcW w:w="1251" w:type="dxa"/>
            <w:noWrap w:val="0"/>
            <w:vAlign w:val="center"/>
          </w:tcPr>
          <w:p>
            <w:pPr>
              <w:spacing w:line="360" w:lineRule="auto"/>
              <w:jc w:val="center"/>
              <w:rPr>
                <w:rFonts w:hint="eastAsia" w:ascii="仿宋" w:hAnsi="仿宋" w:eastAsia="仿宋" w:cs="仿宋"/>
                <w:sz w:val="24"/>
                <w:szCs w:val="24"/>
              </w:rPr>
            </w:pPr>
          </w:p>
        </w:tc>
        <w:tc>
          <w:tcPr>
            <w:tcW w:w="784" w:type="dxa"/>
            <w:noWrap w:val="0"/>
            <w:vAlign w:val="center"/>
          </w:tcPr>
          <w:p>
            <w:pPr>
              <w:spacing w:line="360" w:lineRule="auto"/>
              <w:jc w:val="center"/>
              <w:rPr>
                <w:rFonts w:hint="eastAsia" w:ascii="仿宋" w:hAnsi="仿宋" w:eastAsia="仿宋" w:cs="仿宋"/>
                <w:sz w:val="24"/>
                <w:szCs w:val="24"/>
              </w:rPr>
            </w:pPr>
          </w:p>
        </w:tc>
        <w:tc>
          <w:tcPr>
            <w:tcW w:w="795" w:type="dxa"/>
            <w:noWrap w:val="0"/>
            <w:vAlign w:val="center"/>
          </w:tcPr>
          <w:p>
            <w:pPr>
              <w:spacing w:line="360" w:lineRule="auto"/>
              <w:jc w:val="center"/>
              <w:rPr>
                <w:rFonts w:hint="eastAsia" w:ascii="仿宋" w:hAnsi="仿宋" w:eastAsia="仿宋" w:cs="仿宋"/>
                <w:sz w:val="24"/>
                <w:szCs w:val="24"/>
              </w:rPr>
            </w:pPr>
          </w:p>
        </w:tc>
        <w:tc>
          <w:tcPr>
            <w:tcW w:w="885" w:type="dxa"/>
            <w:noWrap w:val="0"/>
            <w:vAlign w:val="center"/>
          </w:tcPr>
          <w:p>
            <w:pPr>
              <w:spacing w:line="360" w:lineRule="auto"/>
              <w:jc w:val="center"/>
              <w:rPr>
                <w:rFonts w:hint="eastAsia" w:ascii="仿宋" w:hAnsi="仿宋" w:eastAsia="仿宋" w:cs="仿宋"/>
                <w:sz w:val="24"/>
                <w:szCs w:val="24"/>
              </w:rPr>
            </w:pPr>
          </w:p>
        </w:tc>
        <w:tc>
          <w:tcPr>
            <w:tcW w:w="945" w:type="dxa"/>
            <w:noWrap w:val="0"/>
            <w:vAlign w:val="center"/>
          </w:tcPr>
          <w:p>
            <w:pPr>
              <w:spacing w:line="360" w:lineRule="auto"/>
              <w:jc w:val="center"/>
              <w:rPr>
                <w:rFonts w:hint="eastAsia" w:ascii="仿宋" w:hAnsi="仿宋" w:eastAsia="仿宋" w:cs="仿宋"/>
                <w:sz w:val="24"/>
                <w:szCs w:val="24"/>
              </w:rPr>
            </w:pPr>
          </w:p>
        </w:tc>
        <w:tc>
          <w:tcPr>
            <w:tcW w:w="661" w:type="dxa"/>
            <w:noWrap w:val="0"/>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3" w:hRule="atLeast"/>
          <w:jc w:val="center"/>
        </w:trPr>
        <w:tc>
          <w:tcPr>
            <w:tcW w:w="1923" w:type="dxa"/>
            <w:gridSpan w:val="2"/>
            <w:noWrap w:val="0"/>
            <w:vAlign w:val="center"/>
          </w:tcPr>
          <w:p>
            <w:pPr>
              <w:tabs>
                <w:tab w:val="left" w:pos="410"/>
              </w:tabs>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完成本项目</w:t>
            </w:r>
          </w:p>
          <w:p>
            <w:pPr>
              <w:tabs>
                <w:tab w:val="left" w:pos="41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的其他费用：</w:t>
            </w:r>
          </w:p>
        </w:tc>
        <w:tc>
          <w:tcPr>
            <w:tcW w:w="6571" w:type="dxa"/>
            <w:gridSpan w:val="7"/>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w:t>
            </w:r>
          </w:p>
          <w:p>
            <w:pPr>
              <w:pStyle w:val="3"/>
              <w:rPr>
                <w:rFonts w:hint="eastAsia" w:ascii="仿宋" w:hAnsi="仿宋" w:eastAsia="仿宋" w:cs="仿宋"/>
                <w:sz w:val="24"/>
                <w:szCs w:val="24"/>
              </w:rPr>
            </w:pPr>
            <w:r>
              <w:rPr>
                <w:rFonts w:hint="eastAsia" w:ascii="仿宋" w:hAnsi="仿宋" w:eastAsia="仿宋" w:cs="仿宋"/>
                <w:sz w:val="24"/>
                <w:szCs w:val="24"/>
              </w:rPr>
              <w:t>2、</w:t>
            </w:r>
          </w:p>
          <w:p>
            <w:pPr>
              <w:pStyle w:val="3"/>
              <w:rPr>
                <w:rFonts w:hint="eastAsia" w:ascii="仿宋" w:hAnsi="仿宋" w:eastAsia="仿宋" w:cs="仿宋"/>
                <w:sz w:val="24"/>
                <w:szCs w:val="24"/>
              </w:rPr>
            </w:pPr>
            <w:r>
              <w:rPr>
                <w:rFonts w:hint="eastAsia" w:ascii="仿宋" w:hAnsi="仿宋" w:eastAsia="仿宋" w:cs="仿宋"/>
                <w:sz w:val="24"/>
                <w:szCs w:val="24"/>
              </w:rPr>
              <w:t>3、</w:t>
            </w:r>
          </w:p>
          <w:p>
            <w:pPr>
              <w:pStyle w:val="3"/>
              <w:rPr>
                <w:rFonts w:hint="eastAsia" w:ascii="仿宋" w:hAnsi="仿宋" w:eastAsia="仿宋" w:cs="仿宋"/>
                <w:sz w:val="24"/>
                <w:szCs w:val="24"/>
              </w:rPr>
            </w:pPr>
            <w:r>
              <w:rPr>
                <w:rFonts w:hint="eastAsia" w:ascii="仿宋" w:hAnsi="仿宋" w:eastAsia="仿宋" w:cs="仿宋"/>
                <w:sz w:val="24"/>
                <w:szCs w:val="24"/>
              </w:rPr>
              <w:t>.........</w:t>
            </w:r>
          </w:p>
          <w:p>
            <w:pPr>
              <w:pStyle w:val="3"/>
              <w:rPr>
                <w:rFonts w:hint="eastAsia" w:ascii="仿宋" w:hAnsi="仿宋" w:eastAsia="仿宋" w:cs="仿宋"/>
                <w:sz w:val="24"/>
                <w:szCs w:val="24"/>
              </w:rPr>
            </w:pPr>
            <w:r>
              <w:rPr>
                <w:rFonts w:hint="eastAsia" w:ascii="仿宋" w:hAnsi="仿宋" w:eastAsia="仿宋" w:cs="仿宋"/>
                <w:sz w:val="24"/>
                <w:szCs w:val="24"/>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3" w:hRule="atLeast"/>
          <w:jc w:val="center"/>
        </w:trPr>
        <w:tc>
          <w:tcPr>
            <w:tcW w:w="1923" w:type="dxa"/>
            <w:gridSpan w:val="2"/>
            <w:noWrap w:val="0"/>
            <w:vAlign w:val="center"/>
          </w:tcPr>
          <w:p>
            <w:pPr>
              <w:tabs>
                <w:tab w:val="left" w:pos="41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合计</w:t>
            </w:r>
          </w:p>
        </w:tc>
        <w:tc>
          <w:tcPr>
            <w:tcW w:w="6571" w:type="dxa"/>
            <w:gridSpan w:val="7"/>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小写：</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大写：</w:t>
            </w:r>
          </w:p>
        </w:tc>
      </w:tr>
    </w:tbl>
    <w:p>
      <w:pPr>
        <w:rPr>
          <w:rFonts w:hint="eastAsia" w:ascii="仿宋" w:hAnsi="仿宋" w:eastAsia="仿宋" w:cs="仿宋"/>
          <w:b/>
          <w:sz w:val="24"/>
          <w:szCs w:val="24"/>
        </w:rPr>
      </w:pPr>
    </w:p>
    <w:p>
      <w:pPr>
        <w:rPr>
          <w:b/>
          <w:szCs w:val="21"/>
        </w:rPr>
      </w:pPr>
    </w:p>
    <w:p>
      <w:pPr>
        <w:rPr>
          <w:rFonts w:hint="default" w:eastAsia="宋体"/>
          <w:b/>
          <w:szCs w:val="21"/>
          <w:lang w:val="en-US" w:eastAsia="zh-CN"/>
        </w:rPr>
      </w:pPr>
      <w:r>
        <w:rPr>
          <w:rFonts w:hint="eastAsia"/>
          <w:b/>
          <w:szCs w:val="21"/>
          <w:lang w:val="en-US" w:eastAsia="zh-CN"/>
        </w:rPr>
        <w:t>注：本分项报价表的最终报价（第三轮报价）分项单价总和务必和总价一致，否则按废标处理。</w:t>
      </w:r>
    </w:p>
    <w:p>
      <w:pPr>
        <w:rPr>
          <w:b/>
          <w:szCs w:val="21"/>
        </w:rPr>
      </w:pPr>
    </w:p>
    <w:p>
      <w:pPr>
        <w:rPr>
          <w:b/>
          <w:szCs w:val="21"/>
        </w:rPr>
      </w:pPr>
    </w:p>
    <w:p>
      <w:pPr>
        <w:pStyle w:val="3"/>
        <w:rPr>
          <w:b/>
          <w:szCs w:val="21"/>
        </w:rPr>
      </w:pPr>
    </w:p>
    <w:p>
      <w:pPr>
        <w:pStyle w:val="3"/>
        <w:rPr>
          <w:rFonts w:hint="eastAsia"/>
          <w:b/>
          <w:szCs w:val="21"/>
        </w:rPr>
      </w:pPr>
    </w:p>
    <w:p>
      <w:pPr>
        <w:rPr>
          <w:b/>
          <w:szCs w:val="21"/>
        </w:rPr>
      </w:pPr>
      <w:r>
        <w:rPr>
          <w:rFonts w:hint="eastAsia"/>
          <w:b/>
          <w:szCs w:val="21"/>
        </w:rPr>
        <w:t>附件4：</w:t>
      </w:r>
      <w:bookmarkStart w:id="271" w:name="_Toc139965364"/>
    </w:p>
    <w:p>
      <w:pPr>
        <w:pStyle w:val="5"/>
        <w:spacing w:before="0" w:after="0"/>
        <w:rPr>
          <w:rFonts w:ascii="宋体" w:hAnsi="宋体"/>
          <w:sz w:val="21"/>
          <w:szCs w:val="21"/>
        </w:rPr>
      </w:pPr>
      <w:bookmarkStart w:id="272" w:name="_Toc16079"/>
      <w:bookmarkStart w:id="273" w:name="_Toc239047350"/>
      <w:bookmarkStart w:id="274" w:name="_Toc11610"/>
      <w:r>
        <w:rPr>
          <w:rFonts w:hint="eastAsia" w:ascii="宋体" w:hAnsi="宋体"/>
          <w:sz w:val="21"/>
          <w:szCs w:val="21"/>
        </w:rPr>
        <w:t>项目组成人员表</w:t>
      </w:r>
      <w:bookmarkEnd w:id="271"/>
      <w:bookmarkEnd w:id="272"/>
      <w:bookmarkEnd w:id="273"/>
      <w:bookmarkEnd w:id="274"/>
    </w:p>
    <w:p>
      <w:pPr>
        <w:adjustRightInd w:val="0"/>
        <w:snapToGrid w:val="0"/>
        <w:spacing w:line="360" w:lineRule="auto"/>
        <w:ind w:left="-88" w:leftChars="-42"/>
        <w:rPr>
          <w:rFonts w:hint="eastAsia" w:ascii="仿宋" w:hAnsi="仿宋" w:eastAsia="仿宋" w:cs="仿宋"/>
          <w:sz w:val="24"/>
          <w:szCs w:val="24"/>
          <w:u w:val="single"/>
        </w:rPr>
      </w:pPr>
      <w:r>
        <w:rPr>
          <w:rFonts w:hint="eastAsia" w:ascii="仿宋" w:hAnsi="仿宋" w:eastAsia="仿宋" w:cs="仿宋"/>
          <w:sz w:val="24"/>
          <w:szCs w:val="24"/>
        </w:rPr>
        <w:t>项目名称：</w:t>
      </w:r>
    </w:p>
    <w:p>
      <w:pPr>
        <w:adjustRightInd w:val="0"/>
        <w:snapToGrid w:val="0"/>
        <w:spacing w:line="360" w:lineRule="auto"/>
        <w:ind w:left="-88" w:leftChars="-42"/>
        <w:rPr>
          <w:rFonts w:hint="eastAsia" w:ascii="仿宋" w:hAnsi="仿宋" w:eastAsia="仿宋" w:cs="仿宋"/>
          <w:sz w:val="24"/>
          <w:szCs w:val="24"/>
        </w:rPr>
      </w:pPr>
      <w:r>
        <w:rPr>
          <w:rFonts w:hint="eastAsia" w:ascii="仿宋" w:hAnsi="仿宋" w:eastAsia="仿宋" w:cs="仿宋"/>
          <w:sz w:val="24"/>
          <w:szCs w:val="24"/>
        </w:rPr>
        <w:t xml:space="preserve">招标文件编号： </w:t>
      </w:r>
    </w:p>
    <w:tbl>
      <w:tblPr>
        <w:tblStyle w:val="29"/>
        <w:tblW w:w="0" w:type="auto"/>
        <w:tblInd w:w="-165" w:type="dxa"/>
        <w:tblLayout w:type="fixed"/>
        <w:tblCellMar>
          <w:top w:w="0" w:type="dxa"/>
          <w:left w:w="0" w:type="dxa"/>
          <w:bottom w:w="0" w:type="dxa"/>
          <w:right w:w="0" w:type="dxa"/>
        </w:tblCellMar>
      </w:tblPr>
      <w:tblGrid>
        <w:gridCol w:w="1025"/>
        <w:gridCol w:w="924"/>
        <w:gridCol w:w="1213"/>
        <w:gridCol w:w="1043"/>
        <w:gridCol w:w="1335"/>
        <w:gridCol w:w="1020"/>
        <w:gridCol w:w="1545"/>
        <w:gridCol w:w="1510"/>
      </w:tblGrid>
      <w:tr>
        <w:tblPrEx>
          <w:tblCellMar>
            <w:top w:w="0" w:type="dxa"/>
            <w:left w:w="0" w:type="dxa"/>
            <w:bottom w:w="0" w:type="dxa"/>
            <w:right w:w="0" w:type="dxa"/>
          </w:tblCellMar>
        </w:tblPrEx>
        <w:trPr>
          <w:cantSplit/>
          <w:trHeight w:val="822" w:hRule="atLeast"/>
        </w:trPr>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9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经验年限</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拟担任职务</w:t>
            </w: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简历所在页码</w:t>
            </w:r>
          </w:p>
        </w:tc>
      </w:tr>
      <w:tr>
        <w:tblPrEx>
          <w:tblCellMar>
            <w:top w:w="0" w:type="dxa"/>
            <w:left w:w="0" w:type="dxa"/>
            <w:bottom w:w="0" w:type="dxa"/>
            <w:right w:w="0" w:type="dxa"/>
          </w:tblCellMar>
        </w:tblPrEx>
        <w:trPr>
          <w:trHeight w:val="390"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2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c>
          <w:tcPr>
            <w:tcW w:w="15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ind w:left="-15" w:leftChars="-7"/>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0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c>
          <w:tcPr>
            <w:tcW w:w="15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r>
      <w:tr>
        <w:tblPrEx>
          <w:tblCellMar>
            <w:top w:w="0" w:type="dxa"/>
            <w:left w:w="0" w:type="dxa"/>
            <w:bottom w:w="0" w:type="dxa"/>
            <w:right w:w="0" w:type="dxa"/>
          </w:tblCellMar>
        </w:tblPrEx>
        <w:trPr>
          <w:trHeight w:val="402" w:hRule="atLeast"/>
        </w:trPr>
        <w:tc>
          <w:tcPr>
            <w:tcW w:w="102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924"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21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jc w:val="center"/>
              <w:rPr>
                <w:rFonts w:hint="eastAsia" w:ascii="仿宋" w:hAnsi="仿宋" w:eastAsia="仿宋" w:cs="仿宋"/>
                <w:sz w:val="24"/>
                <w:szCs w:val="24"/>
              </w:rPr>
            </w:pPr>
            <w:r>
              <w:rPr>
                <w:rFonts w:hint="eastAsia" w:ascii="仿宋" w:hAnsi="仿宋" w:eastAsia="仿宋" w:cs="仿宋"/>
                <w:sz w:val="24"/>
                <w:szCs w:val="24"/>
              </w:rPr>
              <w:t>　</w:t>
            </w:r>
          </w:p>
        </w:tc>
        <w:tc>
          <w:tcPr>
            <w:tcW w:w="1043"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r>
              <w:rPr>
                <w:rFonts w:hint="eastAsia" w:ascii="仿宋" w:hAnsi="仿宋" w:eastAsia="仿宋" w:cs="仿宋"/>
                <w:sz w:val="24"/>
                <w:szCs w:val="24"/>
              </w:rPr>
              <w:t>　</w:t>
            </w:r>
          </w:p>
        </w:tc>
        <w:tc>
          <w:tcPr>
            <w:tcW w:w="133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02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c>
          <w:tcPr>
            <w:tcW w:w="1510" w:type="dxa"/>
            <w:tcBorders>
              <w:top w:val="nil"/>
              <w:left w:val="nil"/>
              <w:bottom w:val="single" w:color="auto" w:sz="4" w:space="0"/>
              <w:right w:val="single" w:color="auto" w:sz="4" w:space="0"/>
            </w:tcBorders>
            <w:noWrap w:val="0"/>
            <w:tcMar>
              <w:top w:w="15" w:type="dxa"/>
              <w:left w:w="15" w:type="dxa"/>
              <w:bottom w:w="0" w:type="dxa"/>
              <w:right w:w="15" w:type="dxa"/>
            </w:tcMar>
            <w:vAlign w:val="bottom"/>
          </w:tcPr>
          <w:p>
            <w:pPr>
              <w:rPr>
                <w:rFonts w:hint="eastAsia" w:ascii="仿宋" w:hAnsi="仿宋" w:eastAsia="仿宋" w:cs="仿宋"/>
                <w:sz w:val="24"/>
                <w:szCs w:val="24"/>
              </w:rPr>
            </w:pPr>
          </w:p>
        </w:tc>
      </w:tr>
    </w:tbl>
    <w:p>
      <w:pPr>
        <w:spacing w:line="30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r>
        <w:rPr>
          <w:rFonts w:hint="eastAsia" w:ascii="仿宋" w:hAnsi="仿宋" w:eastAsia="仿宋" w:cs="仿宋"/>
          <w:bCs/>
          <w:sz w:val="24"/>
          <w:szCs w:val="24"/>
        </w:rPr>
        <w:t>注：</w:t>
      </w:r>
    </w:p>
    <w:p>
      <w:pPr>
        <w:tabs>
          <w:tab w:val="left" w:pos="113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1、上表中， “拟担任职务”指：项目负责人、技术负责人、其他成员；项目负责人、技术负责人只能拟定 1 名，不得拟定多名。项目负责人、技术负责人和主要技术人员必须按照合同的约定，亲自承担或参与项目的相关技术活动，在未征得采购人同意的情况下不得随意更换项目负责人、技术负责人和主要技术人员。</w:t>
      </w:r>
    </w:p>
    <w:p>
      <w:pPr>
        <w:tabs>
          <w:tab w:val="left" w:pos="1130"/>
        </w:tabs>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2、投标人须附上有关人员学历或职称等证明资料复印件。</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480" w:firstLineChars="2700"/>
        <w:rPr>
          <w:rFonts w:hint="eastAsia" w:ascii="仿宋" w:hAnsi="仿宋" w:eastAsia="仿宋" w:cs="仿宋"/>
          <w:bCs/>
          <w:sz w:val="24"/>
          <w:szCs w:val="24"/>
        </w:rPr>
      </w:pPr>
      <w:r>
        <w:rPr>
          <w:rFonts w:hint="eastAsia" w:ascii="仿宋" w:hAnsi="仿宋" w:eastAsia="仿宋" w:cs="仿宋"/>
          <w:bCs/>
          <w:sz w:val="24"/>
          <w:szCs w:val="24"/>
        </w:rPr>
        <w:t>投标人全称（盖章） ：</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480" w:firstLineChars="2700"/>
        <w:rPr>
          <w:rFonts w:hint="eastAsia" w:ascii="仿宋" w:hAnsi="仿宋" w:eastAsia="仿宋" w:cs="仿宋"/>
          <w:bCs/>
          <w:sz w:val="24"/>
          <w:szCs w:val="24"/>
        </w:rPr>
      </w:pPr>
      <w:r>
        <w:rPr>
          <w:rFonts w:hint="eastAsia" w:ascii="仿宋" w:hAnsi="仿宋" w:eastAsia="仿宋" w:cs="仿宋"/>
          <w:bCs/>
          <w:sz w:val="24"/>
          <w:szCs w:val="24"/>
        </w:rPr>
        <w:t>授权代表（签名） ：</w:t>
      </w:r>
    </w:p>
    <w:p>
      <w:pPr>
        <w:tabs>
          <w:tab w:val="left" w:pos="1130"/>
        </w:tabs>
        <w:spacing w:line="360" w:lineRule="auto"/>
        <w:rPr>
          <w:rFonts w:hint="eastAsia" w:ascii="仿宋" w:hAnsi="仿宋" w:eastAsia="仿宋" w:cs="仿宋"/>
          <w:bCs/>
          <w:sz w:val="24"/>
          <w:szCs w:val="24"/>
        </w:rPr>
      </w:pPr>
    </w:p>
    <w:p>
      <w:pPr>
        <w:tabs>
          <w:tab w:val="left" w:pos="1130"/>
        </w:tabs>
        <w:spacing w:line="360" w:lineRule="auto"/>
        <w:ind w:firstLine="6720" w:firstLineChars="2800"/>
        <w:rPr>
          <w:rFonts w:hint="eastAsia" w:ascii="仿宋" w:hAnsi="仿宋" w:eastAsia="仿宋" w:cs="仿宋"/>
          <w:bCs/>
          <w:sz w:val="24"/>
          <w:szCs w:val="24"/>
        </w:rPr>
      </w:pPr>
      <w:r>
        <w:rPr>
          <w:rFonts w:hint="eastAsia" w:ascii="仿宋" w:hAnsi="仿宋" w:eastAsia="仿宋" w:cs="仿宋"/>
          <w:bCs/>
          <w:sz w:val="24"/>
          <w:szCs w:val="24"/>
        </w:rPr>
        <w:t>日 期： 年 月 日</w:t>
      </w:r>
    </w:p>
    <w:p>
      <w:pPr>
        <w:widowControl/>
        <w:jc w:val="left"/>
        <w:rPr>
          <w:rFonts w:hint="eastAsia" w:ascii="仿宋" w:hAnsi="仿宋" w:eastAsia="仿宋" w:cs="仿宋"/>
          <w:sz w:val="24"/>
          <w:szCs w:val="24"/>
        </w:rPr>
      </w:pPr>
    </w:p>
    <w:p>
      <w:pPr>
        <w:pStyle w:val="3"/>
        <w:rPr>
          <w:rFonts w:hint="eastAsia" w:ascii="仿宋" w:hAnsi="仿宋" w:eastAsia="仿宋" w:cs="仿宋"/>
          <w:sz w:val="24"/>
          <w:szCs w:val="24"/>
        </w:rPr>
      </w:pPr>
    </w:p>
    <w:p>
      <w:pPr>
        <w:pStyle w:val="5"/>
        <w:spacing w:before="0"/>
        <w:jc w:val="left"/>
        <w:rPr>
          <w:rFonts w:ascii="Times New Roman" w:hAnsi="Times New Roman"/>
          <w:kern w:val="44"/>
          <w:sz w:val="22"/>
          <w:szCs w:val="22"/>
        </w:rPr>
      </w:pPr>
      <w:bookmarkStart w:id="275" w:name="_Toc34034529"/>
      <w:bookmarkStart w:id="276" w:name="_Toc1609"/>
      <w:r>
        <w:rPr>
          <w:rFonts w:hint="eastAsia" w:ascii="Times New Roman" w:hAnsi="Times New Roman"/>
          <w:kern w:val="44"/>
          <w:sz w:val="22"/>
          <w:szCs w:val="22"/>
        </w:rPr>
        <w:t>附件5：</w:t>
      </w:r>
      <w:bookmarkEnd w:id="275"/>
      <w:bookmarkEnd w:id="276"/>
    </w:p>
    <w:p>
      <w:pPr>
        <w:pStyle w:val="5"/>
        <w:spacing w:before="0" w:after="0"/>
        <w:rPr>
          <w:rFonts w:ascii="宋体" w:hAnsi="宋体"/>
          <w:sz w:val="21"/>
          <w:szCs w:val="21"/>
        </w:rPr>
      </w:pPr>
      <w:bookmarkStart w:id="277" w:name="_Toc20554"/>
      <w:r>
        <w:rPr>
          <w:rFonts w:hint="eastAsia" w:ascii="宋体" w:hAnsi="宋体"/>
          <w:sz w:val="21"/>
          <w:szCs w:val="21"/>
        </w:rPr>
        <w:t>小微企业价格评审优惠申请及承诺函</w:t>
      </w:r>
      <w:bookmarkEnd w:id="277"/>
    </w:p>
    <w:p>
      <w:pPr>
        <w:adjustRightInd w:val="0"/>
        <w:snapToGrid w:val="0"/>
        <w:spacing w:line="360" w:lineRule="auto"/>
        <w:ind w:firstLine="640" w:firstLineChars="200"/>
        <w:jc w:val="center"/>
        <w:rPr>
          <w:rFonts w:hint="eastAsia" w:ascii="仿宋" w:hAnsi="仿宋" w:eastAsia="仿宋" w:cs="仿宋"/>
          <w:sz w:val="32"/>
          <w:szCs w:val="28"/>
        </w:rPr>
      </w:pPr>
    </w:p>
    <w:p>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致：镇原县公共资源交易中心</w:t>
      </w: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我</w:t>
      </w:r>
      <w:r>
        <w:rPr>
          <w:rFonts w:hint="eastAsia" w:ascii="仿宋" w:hAnsi="仿宋" w:eastAsia="仿宋" w:cs="仿宋"/>
          <w:sz w:val="24"/>
          <w:u w:val="single"/>
        </w:rPr>
        <w:t xml:space="preserve">            供应商名称        </w:t>
      </w:r>
      <w:r>
        <w:rPr>
          <w:rFonts w:hint="eastAsia" w:ascii="仿宋" w:hAnsi="仿宋" w:eastAsia="仿宋" w:cs="仿宋"/>
          <w:sz w:val="24"/>
        </w:rPr>
        <w:t xml:space="preserve"> 符合</w:t>
      </w:r>
      <w:r>
        <w:rPr>
          <w:rFonts w:hint="eastAsia" w:ascii="仿宋" w:hAnsi="仿宋" w:eastAsia="仿宋" w:cs="仿宋"/>
          <w:bCs/>
          <w:sz w:val="24"/>
        </w:rPr>
        <w:t>（工信部联企业[2011]300号）和《财政部工业和信息化部关于印发＜政府采购促进中小企业发展暂行办法＞的通知》(财库[2011]181号)相关规定，属于小微企业，现申请在本项目投标中享受相关的评审优惠政策，我</w:t>
      </w:r>
      <w:r>
        <w:rPr>
          <w:rFonts w:hint="eastAsia" w:ascii="仿宋" w:hAnsi="仿宋" w:eastAsia="仿宋" w:cs="仿宋"/>
          <w:sz w:val="24"/>
          <w:u w:val="single"/>
        </w:rPr>
        <w:t>供应商名称</w:t>
      </w:r>
      <w:r>
        <w:rPr>
          <w:rFonts w:hint="eastAsia" w:ascii="仿宋" w:hAnsi="仿宋" w:eastAsia="仿宋" w:cs="仿宋"/>
          <w:bCs/>
          <w:sz w:val="24"/>
        </w:rPr>
        <w:t>现郑重承诺我们提交的相关证明材料情况真实，无任何虚假证明文件，若有虚假，我公司为此承担全部法律责任。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附件1：本企业上一年度经第三方审计的财务报告；</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附件2：企业基本情况说明</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附件3：本企业员工花名册</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附件4：开户银行出具的近三个月进出账明细记录表（由本企业开户银行出具并逐页加盖银行公章）。</w:t>
      </w:r>
    </w:p>
    <w:p>
      <w:pPr>
        <w:autoSpaceDN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不提供者不得享受小微企业价格扣除的优惠政策，提供虚假财务审计报告或开户银行证明的按照无效投标处理并承担相应法律责任。</w:t>
      </w:r>
    </w:p>
    <w:p>
      <w:pPr>
        <w:adjustRightInd w:val="0"/>
        <w:snapToGrid w:val="0"/>
        <w:spacing w:line="360" w:lineRule="auto"/>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rPr>
      </w:pPr>
    </w:p>
    <w:p>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                         申请人：（盖章）</w:t>
      </w:r>
    </w:p>
    <w:p>
      <w:pPr>
        <w:adjustRightInd w:val="0"/>
        <w:snapToGrid w:val="0"/>
        <w:spacing w:line="360" w:lineRule="auto"/>
        <w:ind w:firstLine="480" w:firstLineChars="200"/>
        <w:rPr>
          <w:rFonts w:hint="eastAsia" w:ascii="仿宋" w:hAnsi="仿宋" w:eastAsia="仿宋" w:cs="仿宋"/>
          <w:bCs/>
          <w:sz w:val="24"/>
          <w:u w:val="single"/>
        </w:rPr>
      </w:pPr>
      <w:r>
        <w:rPr>
          <w:rFonts w:hint="eastAsia" w:ascii="仿宋" w:hAnsi="仿宋" w:eastAsia="仿宋" w:cs="仿宋"/>
          <w:bCs/>
          <w:sz w:val="24"/>
        </w:rPr>
        <w:t xml:space="preserve">                         承诺人：（法人代表签字）</w:t>
      </w:r>
    </w:p>
    <w:p>
      <w:pPr>
        <w:adjustRightInd w:val="0"/>
        <w:snapToGrid w:val="0"/>
        <w:spacing w:line="360" w:lineRule="auto"/>
        <w:ind w:firstLine="480" w:firstLineChars="200"/>
        <w:rPr>
          <w:rFonts w:hint="eastAsia" w:ascii="仿宋" w:hAnsi="仿宋" w:eastAsia="仿宋" w:cs="仿宋"/>
          <w:bCs/>
          <w:sz w:val="24"/>
          <w:u w:val="single"/>
        </w:rPr>
      </w:pPr>
    </w:p>
    <w:p>
      <w:pPr>
        <w:adjustRightInd w:val="0"/>
        <w:snapToGrid w:val="0"/>
        <w:spacing w:line="360" w:lineRule="auto"/>
        <w:ind w:firstLine="480" w:firstLineChars="200"/>
        <w:rPr>
          <w:rFonts w:hint="eastAsia" w:ascii="仿宋" w:hAnsi="仿宋" w:eastAsia="仿宋" w:cs="仿宋"/>
          <w:bCs/>
          <w:sz w:val="24"/>
          <w:u w:val="single"/>
        </w:rPr>
      </w:pPr>
    </w:p>
    <w:p>
      <w:pPr>
        <w:pStyle w:val="4"/>
        <w:ind w:firstLine="4320" w:firstLineChars="1800"/>
        <w:rPr>
          <w:rFonts w:hint="eastAsia" w:ascii="仿宋" w:hAnsi="仿宋" w:eastAsia="仿宋" w:cs="仿宋"/>
          <w:sz w:val="24"/>
        </w:rPr>
      </w:pPr>
      <w:bookmarkStart w:id="278" w:name="_Toc34034531"/>
      <w:bookmarkStart w:id="279" w:name="_Toc8585"/>
      <w:r>
        <w:rPr>
          <w:rFonts w:hint="eastAsia" w:ascii="仿宋" w:hAnsi="仿宋" w:eastAsia="仿宋" w:cs="仿宋"/>
          <w:b w:val="0"/>
          <w:kern w:val="2"/>
          <w:sz w:val="24"/>
          <w:szCs w:val="24"/>
        </w:rPr>
        <w:t>年     月    日</w:t>
      </w:r>
      <w:bookmarkEnd w:id="278"/>
      <w:bookmarkEnd w:id="279"/>
      <w:r>
        <w:rPr>
          <w:rFonts w:hint="eastAsia" w:ascii="仿宋" w:hAnsi="仿宋" w:eastAsia="仿宋" w:cs="仿宋"/>
          <w:b w:val="0"/>
          <w:kern w:val="2"/>
          <w:sz w:val="24"/>
          <w:szCs w:val="24"/>
        </w:rPr>
        <w:t xml:space="preserve">  </w:t>
      </w:r>
    </w:p>
    <w:p>
      <w:pPr>
        <w:adjustRightInd w:val="0"/>
        <w:snapToGrid w:val="0"/>
        <w:spacing w:line="360" w:lineRule="auto"/>
        <w:ind w:firstLine="480" w:firstLineChars="200"/>
        <w:rPr>
          <w:rFonts w:ascii="宋体" w:hAnsi="宋体"/>
          <w:bCs/>
          <w:sz w:val="24"/>
          <w:u w:val="single"/>
        </w:rPr>
      </w:pPr>
    </w:p>
    <w:p>
      <w:pPr>
        <w:adjustRightInd w:val="0"/>
        <w:snapToGrid w:val="0"/>
        <w:spacing w:line="360" w:lineRule="auto"/>
        <w:rPr>
          <w:rFonts w:hint="eastAsia" w:ascii="宋体" w:hAnsi="宋体"/>
          <w:bCs/>
          <w:sz w:val="24"/>
          <w:u w:val="single"/>
        </w:rPr>
      </w:pPr>
    </w:p>
    <w:p>
      <w:pPr>
        <w:pStyle w:val="18"/>
        <w:snapToGrid w:val="0"/>
        <w:spacing w:before="156" w:beforeLines="50" w:line="360" w:lineRule="auto"/>
        <w:jc w:val="left"/>
        <w:rPr>
          <w:rFonts w:hAnsi="宋体"/>
          <w:b/>
          <w:sz w:val="24"/>
          <w:szCs w:val="24"/>
        </w:rPr>
      </w:pPr>
      <w:r>
        <w:rPr>
          <w:rFonts w:hint="eastAsia"/>
          <w:b/>
          <w:bCs/>
          <w:sz w:val="24"/>
          <w:szCs w:val="24"/>
        </w:rPr>
        <w:t>附件</w:t>
      </w:r>
      <w:r>
        <w:rPr>
          <w:rFonts w:hint="eastAsia"/>
          <w:b/>
          <w:bCs/>
          <w:sz w:val="24"/>
          <w:szCs w:val="24"/>
          <w:lang w:val="en-US" w:eastAsia="zh-CN"/>
        </w:rPr>
        <w:t>6</w:t>
      </w:r>
      <w:r>
        <w:rPr>
          <w:rFonts w:hint="eastAsia"/>
          <w:b/>
          <w:bCs/>
          <w:sz w:val="24"/>
          <w:szCs w:val="24"/>
        </w:rPr>
        <w:t>：</w:t>
      </w:r>
      <w:bookmarkStart w:id="280" w:name="_Toc387653055"/>
    </w:p>
    <w:bookmarkEnd w:id="280"/>
    <w:p>
      <w:pPr>
        <w:pStyle w:val="5"/>
        <w:spacing w:before="0" w:after="0"/>
        <w:rPr>
          <w:rFonts w:ascii="宋体" w:hAnsi="宋体"/>
          <w:sz w:val="21"/>
          <w:szCs w:val="21"/>
        </w:rPr>
      </w:pPr>
      <w:bookmarkStart w:id="281" w:name="_Toc22264"/>
      <w:r>
        <w:rPr>
          <w:rFonts w:hint="eastAsia" w:ascii="宋体" w:hAnsi="宋体"/>
          <w:sz w:val="21"/>
          <w:szCs w:val="21"/>
        </w:rPr>
        <w:t>政府采购促进中小企业发展暂行办法</w:t>
      </w:r>
      <w:bookmarkEnd w:id="281"/>
    </w:p>
    <w:p>
      <w:pPr>
        <w:spacing w:line="360" w:lineRule="auto"/>
        <w:ind w:left="960" w:hanging="960"/>
        <w:rPr>
          <w:rFonts w:hint="eastAsia" w:ascii="仿宋" w:hAnsi="仿宋" w:eastAsia="仿宋" w:cs="仿宋"/>
          <w:sz w:val="24"/>
        </w:rPr>
      </w:pPr>
      <w:r>
        <w:rPr>
          <w:rFonts w:hint="eastAsia"/>
          <w:sz w:val="24"/>
        </w:rPr>
        <w:t xml:space="preserve"> </w:t>
      </w:r>
      <w:r>
        <w:rPr>
          <w:rFonts w:hint="eastAsia" w:ascii="仿宋" w:hAnsi="仿宋" w:eastAsia="仿宋" w:cs="仿宋"/>
          <w:sz w:val="24"/>
        </w:rPr>
        <w:t>财库〔2011〕181号</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第一条 为了发挥政府采购的政策功能，促进符合国家经济和社会发展政策目标，产品、服务、信誉较好的中小企业发展，根据《中华人民共和国政府采购法》、《中华人民共和国中小企业促进法》等有关法律法规，制定本办法。</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第二条 本办法所称中小企业（含中型、小型、微型企业，下同）应当同时符合以下条件：</w:t>
      </w:r>
    </w:p>
    <w:p>
      <w:pPr>
        <w:spacing w:line="360" w:lineRule="auto"/>
        <w:ind w:left="960" w:hanging="960"/>
        <w:rPr>
          <w:rFonts w:hint="eastAsia" w:ascii="仿宋" w:hAnsi="仿宋" w:eastAsia="仿宋" w:cs="仿宋"/>
          <w:sz w:val="24"/>
        </w:rPr>
      </w:pPr>
      <w:r>
        <w:rPr>
          <w:rFonts w:hint="eastAsia" w:ascii="仿宋" w:hAnsi="仿宋" w:eastAsia="仿宋" w:cs="仿宋"/>
          <w:sz w:val="24"/>
        </w:rPr>
        <w:t>　　（一）符合中小企业划分标准；</w:t>
      </w:r>
    </w:p>
    <w:p>
      <w:pPr>
        <w:spacing w:line="360" w:lineRule="auto"/>
        <w:ind w:left="960" w:hanging="960"/>
        <w:rPr>
          <w:rFonts w:hint="eastAsia" w:ascii="仿宋" w:hAnsi="仿宋" w:eastAsia="仿宋" w:cs="仿宋"/>
          <w:sz w:val="24"/>
        </w:rPr>
      </w:pPr>
      <w:r>
        <w:rPr>
          <w:rFonts w:hint="eastAsia" w:ascii="仿宋" w:hAnsi="仿宋" w:eastAsia="仿宋" w:cs="仿宋"/>
          <w:sz w:val="24"/>
        </w:rPr>
        <w:t>　　（二）提供本企业制造的货物、承担的工程或者服务，或者提供其他中小企业制造的货物。本项所称货物不包括使用大型企业注册商标的货物。</w:t>
      </w:r>
    </w:p>
    <w:p>
      <w:pPr>
        <w:spacing w:line="360" w:lineRule="auto"/>
        <w:ind w:left="960" w:hanging="960"/>
        <w:rPr>
          <w:rFonts w:hint="eastAsia" w:ascii="仿宋" w:hAnsi="仿宋" w:eastAsia="仿宋" w:cs="仿宋"/>
          <w:sz w:val="24"/>
        </w:rPr>
      </w:pPr>
      <w:r>
        <w:rPr>
          <w:rFonts w:hint="eastAsia" w:ascii="仿宋" w:hAnsi="仿宋" w:eastAsia="仿宋" w:cs="仿宋"/>
          <w:sz w:val="24"/>
        </w:rPr>
        <w:t>　　本办法所称中小企业划分标准，是指国务院有关部门根据企业从业人员、营业收入、资产总额等指标制定的中小企业划型标准。</w:t>
      </w:r>
    </w:p>
    <w:p>
      <w:pPr>
        <w:spacing w:line="360" w:lineRule="auto"/>
        <w:ind w:left="960" w:hanging="960"/>
        <w:rPr>
          <w:rFonts w:hint="eastAsia" w:ascii="仿宋" w:hAnsi="仿宋" w:eastAsia="仿宋" w:cs="仿宋"/>
          <w:sz w:val="24"/>
        </w:rPr>
      </w:pPr>
      <w:r>
        <w:rPr>
          <w:rFonts w:hint="eastAsia" w:ascii="仿宋" w:hAnsi="仿宋" w:eastAsia="仿宋" w:cs="仿宋"/>
          <w:sz w:val="24"/>
        </w:rPr>
        <w:t>　　小型、微型企业提供中型企业制造的货物的，视同为中型企业。</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pPr>
        <w:spacing w:line="360" w:lineRule="auto"/>
        <w:ind w:left="960" w:hanging="960"/>
        <w:rPr>
          <w:rFonts w:hint="eastAsia" w:ascii="仿宋" w:hAnsi="仿宋" w:eastAsia="仿宋" w:cs="仿宋"/>
          <w:sz w:val="24"/>
        </w:rPr>
      </w:pPr>
      <w:r>
        <w:rPr>
          <w:rFonts w:hint="eastAsia" w:ascii="仿宋" w:hAnsi="仿宋" w:eastAsia="仿宋" w:cs="仿宋"/>
          <w:sz w:val="24"/>
        </w:rPr>
        <w:t>　　采购人或者采购代理机构在组织采购活动时，应当在招标文件或谈判文件、投标文件中注明该项目专门面向中小企业或小型、微型企业采购。</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第五条 对于非专门面向中小企业的项目，采购人或者采购代理机构应当在招标文件或者谈判文件、投标文件中作出规定，对小型和微型企业产品的价格给予6%-10%的扣除，用扣除后的价格参与评审，具体扣除比例由采购人或者采购代理机构确定。</w:t>
      </w:r>
    </w:p>
    <w:p>
      <w:pPr>
        <w:spacing w:line="360" w:lineRule="auto"/>
        <w:ind w:left="960" w:hanging="960"/>
        <w:rPr>
          <w:rFonts w:hint="eastAsia" w:ascii="仿宋" w:hAnsi="仿宋" w:eastAsia="仿宋" w:cs="仿宋"/>
          <w:sz w:val="24"/>
        </w:rPr>
      </w:pPr>
      <w:r>
        <w:rPr>
          <w:rFonts w:hint="eastAsia" w:ascii="仿宋" w:hAnsi="仿宋" w:eastAsia="仿宋" w:cs="仿宋"/>
          <w:sz w:val="24"/>
        </w:rPr>
        <w:t>　　参加政府采购活动的中小企业应当提供本办法规定的《中小企业声明函》（见附件）。</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360" w:lineRule="auto"/>
        <w:ind w:left="960" w:hanging="960"/>
        <w:rPr>
          <w:rFonts w:hint="eastAsia" w:ascii="仿宋" w:hAnsi="仿宋" w:eastAsia="仿宋" w:cs="仿宋"/>
          <w:sz w:val="24"/>
        </w:rPr>
      </w:pPr>
      <w:r>
        <w:rPr>
          <w:rFonts w:hint="eastAsia" w:ascii="仿宋" w:hAnsi="仿宋" w:eastAsia="仿宋" w:cs="仿宋"/>
          <w:sz w:val="24"/>
        </w:rPr>
        <w:t>　　联合体各方均为小型、微型企业的，联合体视同为小型、微型企业享受本办法第四条、第五条规定的扶持政策。</w:t>
      </w:r>
    </w:p>
    <w:p>
      <w:pPr>
        <w:spacing w:line="360" w:lineRule="auto"/>
        <w:ind w:left="960" w:hanging="960"/>
        <w:rPr>
          <w:rFonts w:hint="eastAsia" w:ascii="仿宋" w:hAnsi="仿宋" w:eastAsia="仿宋" w:cs="仿宋"/>
          <w:sz w:val="24"/>
        </w:rPr>
      </w:pPr>
      <w:r>
        <w:rPr>
          <w:rFonts w:hint="eastAsia" w:ascii="仿宋" w:hAnsi="仿宋" w:eastAsia="仿宋" w:cs="仿宋"/>
          <w:sz w:val="24"/>
        </w:rPr>
        <w:t xml:space="preserve">　　组成联合体的大中型企业和其他自然人、法人或者其他组织，与小型、微型企业之间不得存在投资关系。 </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第七条 中小企业依据本办法第四条、第五条、第六条规定的政策获取政府采购合同后，小型、微型企业不得分包或转包给大型、中型企业，中型企业不得分包或转包给大型企业。</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第八条 鼓励采购人允许获得政府采购合同的大型企业依法向中小企业分包。</w:t>
      </w:r>
    </w:p>
    <w:p>
      <w:pPr>
        <w:spacing w:line="360" w:lineRule="auto"/>
        <w:ind w:left="960" w:hanging="960"/>
        <w:rPr>
          <w:rFonts w:hint="eastAsia" w:ascii="仿宋" w:hAnsi="仿宋" w:eastAsia="仿宋" w:cs="仿宋"/>
          <w:sz w:val="24"/>
        </w:rPr>
      </w:pPr>
      <w:r>
        <w:rPr>
          <w:rFonts w:hint="eastAsia" w:ascii="仿宋" w:hAnsi="仿宋" w:eastAsia="仿宋" w:cs="仿宋"/>
          <w:sz w:val="24"/>
        </w:rPr>
        <w:t>　　大型企业向中小企业分包的金额，计入面向中小企业采购的统计数额。</w:t>
      </w:r>
    </w:p>
    <w:p>
      <w:pPr>
        <w:spacing w:line="360" w:lineRule="auto"/>
        <w:ind w:left="960" w:hanging="960"/>
        <w:rPr>
          <w:rFonts w:hint="eastAsia" w:ascii="仿宋" w:hAnsi="仿宋" w:eastAsia="仿宋" w:cs="仿宋"/>
          <w:sz w:val="24"/>
        </w:rPr>
      </w:pPr>
      <w:r>
        <w:rPr>
          <w:rFonts w:hint="eastAsia" w:ascii="仿宋" w:hAnsi="仿宋" w:eastAsia="仿宋" w:cs="仿宋"/>
          <w:sz w:val="24"/>
        </w:rPr>
        <w:t>　　第九条 鼓励采购人在与中小企业签订政府采购合同时，在履约保证金、付款期限、付款方式等方面给予中小企业适当支持。采购人应当按照合同约定按时足额支付采购资金。</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第十条 鼓励在政府采购活动中引入信用担保手段，为中小企业在融资、投标保证、履约保证等方面提供专业化的担保服务。</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第十一条 各级财政部门和有关部门应当加大对中小企业参与政府采购的培训指导及专业化咨询服务力度，提高中小企业参与政府采购活动的能力。</w:t>
      </w:r>
    </w:p>
    <w:p>
      <w:pPr>
        <w:spacing w:line="360" w:lineRule="auto"/>
        <w:ind w:left="960" w:hanging="960"/>
        <w:rPr>
          <w:rFonts w:hint="eastAsia" w:ascii="仿宋" w:hAnsi="仿宋" w:eastAsia="仿宋" w:cs="仿宋"/>
          <w:sz w:val="24"/>
        </w:rPr>
      </w:pPr>
      <w:r>
        <w:rPr>
          <w:rFonts w:hint="eastAsia" w:ascii="仿宋" w:hAnsi="仿宋" w:eastAsia="仿宋" w:cs="仿宋"/>
          <w:sz w:val="24"/>
        </w:rPr>
        <w:t xml:space="preserve">　　第十二条 各部门应当每年第一季度向同级财政部门报告本部门上一年度面向中小企业采购的具体情况，并在财政部指定的政府采购发布媒体公开预留项目执行情况以及本部门其他项目面向中小企业采购的情况。 </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第十三条 各级财政部门应当积极推进政府采购信息化建设，提高政府采购信息发布透明度，提供便于中小企业获取政府采购信息的稳定渠道。</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第十四条 各级财政部门会同中小企业主管部门建立健全政府采购促进中小企业发展的有关制度，加强有关政策执行情况的监督检查。</w:t>
      </w:r>
    </w:p>
    <w:p>
      <w:pPr>
        <w:spacing w:line="360" w:lineRule="auto"/>
        <w:ind w:left="960" w:hanging="960"/>
        <w:rPr>
          <w:rFonts w:hint="eastAsia" w:ascii="仿宋" w:hAnsi="仿宋" w:eastAsia="仿宋" w:cs="仿宋"/>
          <w:sz w:val="24"/>
        </w:rPr>
      </w:pPr>
      <w:r>
        <w:rPr>
          <w:rFonts w:hint="eastAsia" w:ascii="仿宋" w:hAnsi="仿宋" w:eastAsia="仿宋" w:cs="仿宋"/>
          <w:sz w:val="24"/>
        </w:rPr>
        <w:t>　　各部门负责对本部门政府采购促进中小企业发展各项工作的执行和管理。</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第十五条 政府采购监督检查和投诉处理中对中小企业的认定，由企业所在地的县级以上中小企业主管部门负责。</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第十六条 采购人、采购代理机构或者中小企业在政府采购活动中有违法违规行为的，依照政府采购法及有关法律法规处理。</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第十七条 本办法由财政部、工业和信息化部负责解释。</w:t>
      </w:r>
    </w:p>
    <w:p>
      <w:pPr>
        <w:spacing w:line="360" w:lineRule="auto"/>
        <w:ind w:left="960" w:hanging="960"/>
        <w:rPr>
          <w:rFonts w:hint="eastAsia" w:ascii="仿宋" w:hAnsi="仿宋" w:eastAsia="仿宋" w:cs="仿宋"/>
          <w:sz w:val="24"/>
        </w:rPr>
      </w:pPr>
      <w:r>
        <w:rPr>
          <w:rFonts w:hint="eastAsia" w:ascii="仿宋" w:hAnsi="仿宋" w:eastAsia="仿宋" w:cs="仿宋"/>
          <w:sz w:val="24"/>
        </w:rPr>
        <w:t>　　第十八条 本办法自2012年1月1日起施行。</w:t>
      </w:r>
    </w:p>
    <w:p>
      <w:pPr>
        <w:pStyle w:val="3"/>
        <w:rPr>
          <w:rFonts w:hint="eastAsia" w:ascii="仿宋" w:hAnsi="仿宋" w:eastAsia="仿宋" w:cs="仿宋"/>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rPr>
          <w:rFonts w:ascii="仿宋_GB2312" w:hAnsi="方正小标宋简体" w:cs="方正小标宋简体"/>
          <w:b/>
          <w:bCs/>
          <w:sz w:val="32"/>
          <w:szCs w:val="32"/>
        </w:rPr>
      </w:pPr>
      <w:r>
        <w:rPr>
          <w:rFonts w:hint="eastAsia"/>
          <w:b/>
          <w:bCs/>
          <w:sz w:val="24"/>
        </w:rPr>
        <w:t>附件7：</w:t>
      </w:r>
    </w:p>
    <w:p>
      <w:pPr>
        <w:pStyle w:val="5"/>
        <w:spacing w:before="0" w:after="0"/>
        <w:rPr>
          <w:rFonts w:ascii="宋体" w:hAnsi="宋体"/>
          <w:sz w:val="21"/>
          <w:szCs w:val="21"/>
        </w:rPr>
      </w:pPr>
      <w:bookmarkStart w:id="282" w:name="_Toc22101"/>
      <w:r>
        <w:rPr>
          <w:rFonts w:hint="eastAsia" w:ascii="宋体" w:hAnsi="宋体"/>
          <w:sz w:val="21"/>
          <w:szCs w:val="21"/>
        </w:rPr>
        <w:t>供应商信用承诺书</w:t>
      </w:r>
      <w:bookmarkEnd w:id="282"/>
    </w:p>
    <w:p>
      <w:pPr>
        <w:rPr>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r>
        <w:rPr>
          <w:rFonts w:hint="eastAsia" w:ascii="仿宋" w:hAnsi="仿宋" w:eastAsia="仿宋" w:cs="仿宋"/>
          <w:sz w:val="24"/>
        </w:rPr>
        <w:t>致： （采购人或采购代理机构名称）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统一社会信用代码为          的我方          （供应商名称）自愿参加贵单位组织的编号为       （采购项目编号）的      项目（采购项目名称）的政府采购活动，我方已知悉并理解本项目采购文件的各项要求。为贯彻公开、公平、公正和诚实信用的政府采购原则，共同维护庆阳市政府采购市场良好秩序，我方郑重声明和承诺如下：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一、在参加本次政府采购活动中严格遵守《中</w:t>
      </w:r>
      <w:r>
        <w:rPr>
          <w:rFonts w:hint="eastAsia" w:ascii="仿宋" w:hAnsi="仿宋" w:eastAsia="仿宋" w:cs="仿宋"/>
          <w:sz w:val="24"/>
          <w:lang w:val="en-US" w:eastAsia="zh-CN"/>
        </w:rPr>
        <w:t>华</w:t>
      </w:r>
      <w:r>
        <w:rPr>
          <w:rFonts w:hint="eastAsia" w:ascii="仿宋" w:hAnsi="仿宋" w:eastAsia="仿宋" w:cs="仿宋"/>
          <w:sz w:val="24"/>
        </w:rPr>
        <w:t>人民共和国政府采购法》等法律、法规、规章及庆阳市有关规定。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我方对以上声明的真实性负责，接受采购人、采购代理机构根据相关政策规定进行的信用记录查询。如发现以上声明不实，我方承担相应后果。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（2）不与其他供应商串通采取围标、陪标等商业欺诈手段谋取</w:t>
      </w:r>
      <w:r>
        <w:rPr>
          <w:rFonts w:hint="eastAsia" w:ascii="仿宋" w:hAnsi="仿宋" w:eastAsia="仿宋" w:cs="仿宋"/>
          <w:sz w:val="24"/>
          <w:lang w:eastAsia="zh-CN"/>
        </w:rPr>
        <w:t>成交</w:t>
      </w:r>
      <w:r>
        <w:rPr>
          <w:rFonts w:hint="eastAsia" w:ascii="仿宋" w:hAnsi="仿宋" w:eastAsia="仿宋" w:cs="仿宋"/>
          <w:sz w:val="24"/>
        </w:rPr>
        <w:t>（成交）；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（3）不出借或借用资质；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（6）不以虚假材料谋取</w:t>
      </w:r>
      <w:r>
        <w:rPr>
          <w:rFonts w:hint="eastAsia" w:ascii="仿宋" w:hAnsi="仿宋" w:eastAsia="仿宋" w:cs="仿宋"/>
          <w:sz w:val="24"/>
          <w:lang w:eastAsia="zh-CN"/>
        </w:rPr>
        <w:t>成交</w:t>
      </w:r>
      <w:r>
        <w:rPr>
          <w:rFonts w:hint="eastAsia" w:ascii="仿宋" w:hAnsi="仿宋" w:eastAsia="仿宋" w:cs="仿宋"/>
          <w:sz w:val="24"/>
        </w:rPr>
        <w:t>（成交）；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（7）不以低于成本价或恶意低价竞争；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（8）不与采购人在招标采购过程中进行协商谈判；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eastAsia="zh-CN"/>
        </w:rPr>
        <w:t>成交</w:t>
      </w:r>
      <w:r>
        <w:rPr>
          <w:rFonts w:hint="eastAsia" w:ascii="仿宋" w:hAnsi="仿宋" w:eastAsia="仿宋" w:cs="仿宋"/>
          <w:sz w:val="24"/>
        </w:rPr>
        <w:t>或者成交后不得提供假冒伪劣产品；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eastAsia="zh-CN"/>
        </w:rPr>
        <w:t>成交</w:t>
      </w:r>
      <w:r>
        <w:rPr>
          <w:rFonts w:hint="eastAsia" w:ascii="仿宋" w:hAnsi="仿宋" w:eastAsia="仿宋" w:cs="仿宋"/>
          <w:sz w:val="24"/>
        </w:rPr>
        <w:t>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eastAsia="zh-CN"/>
        </w:rPr>
        <w:t>成交</w:t>
      </w:r>
      <w:r>
        <w:rPr>
          <w:rFonts w:hint="eastAsia" w:ascii="仿宋" w:hAnsi="仿宋" w:eastAsia="仿宋" w:cs="仿宋"/>
          <w:sz w:val="24"/>
        </w:rPr>
        <w:t>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（12）不得有未按照采购文件确定的事项与采购人签订政府采购合同，或者与采购人另行订立背离合同实质性内容协议的行为；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（13）不转包或违法分包政府采购合同，不擅自变更、中止或者终止政府采购合同；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（16）不得有其他违反国家法律法规和规章要求的违法犯罪或者失信行为。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1、投标（响应）无效；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2、不予退还投标保证金或者履约保证金；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3、约谈法人代表或者主要负责人，责令整改；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成交</w:t>
      </w:r>
      <w:r>
        <w:rPr>
          <w:rFonts w:hint="eastAsia" w:ascii="仿宋" w:hAnsi="仿宋" w:eastAsia="仿宋" w:cs="仿宋"/>
          <w:sz w:val="24"/>
        </w:rPr>
        <w:t>（成交）无效；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5、处以采购金额千分之五以上千分之十以下的罚款，列入不良行为记录名单，在一至三年内禁止参加政府采购活动；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6、没收违法得所得；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7、吊销营业执照；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8、政府相关部门的联合惩戒措施；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9、追究民事责任；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10、追究刑事责任；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11、法律法规规定的其他处理处罚措施。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供应商名称（盖章）：</w:t>
      </w:r>
    </w:p>
    <w:p>
      <w:pPr>
        <w:keepNext w:val="0"/>
        <w:keepLines w:val="0"/>
        <w:pageBreakBefore w:val="0"/>
        <w:widowControl w:val="0"/>
        <w:kinsoku/>
        <w:wordWrap/>
        <w:overflowPunct/>
        <w:topLinePunct w:val="0"/>
        <w:autoSpaceDE/>
        <w:autoSpaceDN/>
        <w:bidi w:val="0"/>
        <w:adjustRightInd/>
        <w:snapToGrid/>
        <w:spacing w:line="520" w:lineRule="exact"/>
        <w:ind w:firstLine="3600" w:firstLineChars="1500"/>
        <w:textAlignment w:val="auto"/>
        <w:rPr>
          <w:rFonts w:hint="eastAsia" w:ascii="仿宋" w:hAnsi="仿宋" w:eastAsia="仿宋" w:cs="仿宋"/>
          <w:sz w:val="24"/>
        </w:rPr>
      </w:pPr>
      <w:r>
        <w:rPr>
          <w:rFonts w:hint="eastAsia" w:ascii="仿宋" w:hAnsi="仿宋" w:eastAsia="仿宋" w:cs="仿宋"/>
          <w:sz w:val="24"/>
        </w:rPr>
        <w:t>法人代表（主要负责人）签字：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2000"/>
        <w:textAlignment w:val="auto"/>
        <w:rPr>
          <w:rFonts w:hint="eastAsia" w:ascii="仿宋" w:hAnsi="仿宋" w:eastAsia="仿宋" w:cs="仿宋"/>
          <w:sz w:val="24"/>
        </w:rPr>
      </w:pPr>
      <w:r>
        <w:rPr>
          <w:rFonts w:hint="eastAsia" w:ascii="仿宋" w:hAnsi="仿宋" w:eastAsia="仿宋" w:cs="仿宋"/>
          <w:sz w:val="24"/>
        </w:rPr>
        <w:t>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52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注：1、信用承诺书须供应商法人代表（主要负责人）签字，否则视为无效投标；</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2、供应商未承诺的，视同自愿放弃投标（响应）资格；</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3、未履行或未全面履行承诺的，依法依规处罚，并记入不良行为记录名单；</w:t>
      </w:r>
    </w:p>
    <w:p>
      <w:pPr>
        <w:keepNext w:val="0"/>
        <w:keepLines w:val="0"/>
        <w:pageBreakBefore w:val="0"/>
        <w:widowControl w:val="0"/>
        <w:kinsoku/>
        <w:wordWrap/>
        <w:overflowPunct/>
        <w:topLinePunct w:val="0"/>
        <w:autoSpaceDE/>
        <w:autoSpaceDN/>
        <w:bidi w:val="0"/>
        <w:adjustRightInd/>
        <w:snapToGrid/>
        <w:spacing w:line="520" w:lineRule="exact"/>
        <w:ind w:left="479" w:leftChars="228"/>
        <w:textAlignment w:val="auto"/>
        <w:rPr>
          <w:rFonts w:hint="eastAsia" w:ascii="仿宋" w:hAnsi="仿宋" w:eastAsia="仿宋" w:cs="仿宋"/>
          <w:sz w:val="24"/>
        </w:rPr>
      </w:pPr>
      <w:r>
        <w:rPr>
          <w:rFonts w:hint="eastAsia" w:ascii="仿宋" w:hAnsi="仿宋" w:eastAsia="仿宋" w:cs="仿宋"/>
          <w:sz w:val="24"/>
        </w:rPr>
        <w:t>4、对本承诺书的承诺内容作出任何改动的将被视为无效投标。</w:t>
      </w:r>
    </w:p>
    <w:p>
      <w:pPr>
        <w:adjustRightInd w:val="0"/>
        <w:snapToGrid w:val="0"/>
        <w:spacing w:line="360" w:lineRule="auto"/>
        <w:ind w:firstLine="480" w:firstLineChars="200"/>
        <w:rPr>
          <w:rFonts w:hint="eastAsia"/>
          <w:sz w:val="24"/>
        </w:rPr>
      </w:pPr>
    </w:p>
    <w:p>
      <w:pPr>
        <w:widowControl/>
        <w:snapToGrid w:val="0"/>
        <w:spacing w:line="600" w:lineRule="exact"/>
        <w:ind w:firstLine="529"/>
        <w:rPr>
          <w:rFonts w:hint="eastAsia"/>
          <w:b/>
          <w:bCs/>
          <w:sz w:val="24"/>
        </w:rPr>
      </w:pPr>
    </w:p>
    <w:p>
      <w:pPr>
        <w:widowControl/>
        <w:snapToGrid w:val="0"/>
        <w:spacing w:line="600" w:lineRule="exact"/>
        <w:ind w:firstLine="529"/>
        <w:rPr>
          <w:rFonts w:hint="eastAsia"/>
          <w:b/>
          <w:bCs/>
          <w:sz w:val="24"/>
        </w:rPr>
      </w:pPr>
    </w:p>
    <w:bookmarkEnd w:id="15"/>
    <w:p>
      <w:pPr>
        <w:widowControl/>
        <w:tabs>
          <w:tab w:val="left" w:pos="3000"/>
        </w:tabs>
        <w:snapToGrid w:val="0"/>
        <w:spacing w:line="600" w:lineRule="exact"/>
        <w:jc w:val="center"/>
        <w:rPr>
          <w:rFonts w:hint="eastAsia" w:ascii="宋体" w:hAnsi="宋体"/>
          <w:kern w:val="0"/>
          <w:sz w:val="28"/>
          <w:szCs w:val="28"/>
        </w:rPr>
      </w:pPr>
    </w:p>
    <w:p>
      <w:pPr>
        <w:widowControl/>
        <w:snapToGrid w:val="0"/>
        <w:spacing w:line="600" w:lineRule="atLeast"/>
        <w:jc w:val="left"/>
        <w:rPr>
          <w:rFonts w:hint="eastAsia" w:ascii="宋体" w:hAnsi="宋体"/>
          <w:sz w:val="28"/>
          <w:szCs w:val="28"/>
        </w:rPr>
      </w:pPr>
    </w:p>
    <w:sectPr>
      <w:footerReference r:id="rId12" w:type="default"/>
      <w:footerReference r:id="rId13" w:type="even"/>
      <w:type w:val="oddPage"/>
      <w:pgSz w:w="11906" w:h="16838"/>
      <w:pgMar w:top="1814" w:right="1474" w:bottom="1588"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iKN8BAAC/AwAADgAAAGRycy9lMm9Eb2MueG1srVPBjtMwEL0j8Q+W&#10;7zTZSIu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HiKN8BAAC/AwAADgAAAAAA&#10;AAABACAAAAAeAQAAZHJzL2Uyb0RvYy54bWxQSwUGAAAAAAYABgBZAQAAbw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tXgt8BAAC/AwAADgAAAGRycy9lMm9Eb2MueG1srVPBjtMwEL0j8Q+W&#10;7zTZI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ztXgt8BAAC/AwAADgAAAAAA&#10;AAABACAAAAAeAQAAZHJzL2Uyb0RvYy54bWxQSwUGAAAAAAYABgBZAQAAbw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5408" behindDoc="0" locked="0" layoutInCell="1" allowOverlap="1">
              <wp:simplePos x="0" y="0"/>
              <wp:positionH relativeFrom="margin">
                <wp:posOffset>2684780</wp:posOffset>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left:211.4pt;margin-top:0pt;height:144pt;width:144pt;mso-position-horizontal-relative:margin;mso-wrap-style:none;z-index:251665408;mso-width-relative:page;mso-height-relative:page;" filled="f" stroked="f" coordsize="21600,21600" o:gfxdata="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r2jhdMAAAAIAQAADwAAAAAA&#10;AAABACAAAAAiAAAAZHJzL2Rvd25yZXYueG1sUEsBAhQAFAAAAAgAh07iQIIekSHfAQAAvwMAAA4A&#10;AAAAAAAAAQAgAAAAIgEAAGRycy9lMm9Eb2MueG1sUEsFBgAAAAAGAAYAWQEAAHMFA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Style w:val="33"/>
                            </w:rPr>
                          </w:pPr>
                          <w:r>
                            <w:fldChar w:fldCharType="begin"/>
                          </w:r>
                          <w:r>
                            <w:rPr>
                              <w:rStyle w:val="33"/>
                            </w:rPr>
                            <w:instrText xml:space="preserve">PAGE  </w:instrText>
                          </w:r>
                          <w:r>
                            <w:fldChar w:fldCharType="separate"/>
                          </w:r>
                          <w:r>
                            <w:rPr>
                              <w:rStyle w:val="33"/>
                            </w:rPr>
                            <w:t>48</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22"/>
                      <w:rPr>
                        <w:rStyle w:val="33"/>
                      </w:rPr>
                    </w:pPr>
                    <w:r>
                      <w:fldChar w:fldCharType="begin"/>
                    </w:r>
                    <w:r>
                      <w:rPr>
                        <w:rStyle w:val="33"/>
                      </w:rPr>
                      <w:instrText xml:space="preserve">PAGE  </w:instrText>
                    </w:r>
                    <w:r>
                      <w:fldChar w:fldCharType="separate"/>
                    </w:r>
                    <w:r>
                      <w:rPr>
                        <w:rStyle w:val="33"/>
                      </w:rP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separate"/>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thickThinLargeGap" w:color="auto" w:sz="4" w:space="0"/>
      </w:pBdr>
      <w:jc w:val="center"/>
      <w:rPr>
        <w:rFonts w:hint="eastAsia" w:ascii="仿宋" w:hAnsi="仿宋" w:eastAsia="仿宋" w:cs="仿宋"/>
        <w:b/>
        <w:bCs/>
        <w:sz w:val="22"/>
        <w:lang w:val="en-US" w:eastAsia="zh-CN"/>
      </w:rPr>
    </w:pPr>
    <w:r>
      <w:rPr>
        <w:rFonts w:hint="eastAsia" w:ascii="仿宋" w:hAnsi="仿宋" w:eastAsia="仿宋" w:cs="仿宋"/>
        <w:b/>
        <w:bCs/>
        <w:sz w:val="22"/>
      </w:rPr>
      <w:t>镇原县</w:t>
    </w:r>
    <w:r>
      <w:rPr>
        <w:rFonts w:hint="eastAsia" w:ascii="仿宋" w:hAnsi="仿宋" w:eastAsia="仿宋" w:cs="仿宋"/>
        <w:b/>
        <w:bCs/>
        <w:sz w:val="22"/>
        <w:lang w:val="en-US" w:eastAsia="zh-CN"/>
      </w:rPr>
      <w:t>开边镇</w:t>
    </w:r>
    <w:r>
      <w:rPr>
        <w:rFonts w:hint="eastAsia" w:ascii="仿宋" w:hAnsi="仿宋" w:eastAsia="仿宋" w:cs="仿宋"/>
        <w:b/>
        <w:bCs/>
        <w:sz w:val="22"/>
      </w:rPr>
      <w:t>人民政府2021年农村户厕改造设施购置</w:t>
    </w:r>
    <w:r>
      <w:rPr>
        <w:rFonts w:hint="eastAsia" w:ascii="仿宋" w:hAnsi="仿宋" w:eastAsia="仿宋" w:cs="仿宋"/>
        <w:b/>
        <w:bCs/>
        <w:sz w:val="22"/>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r>
      <w:rPr>
        <w:sz w:val="20"/>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227330</wp:posOffset>
              </wp:positionV>
              <wp:extent cx="5915025" cy="635"/>
              <wp:effectExtent l="0" t="28575" r="9525" b="46990"/>
              <wp:wrapNone/>
              <wp:docPr id="3" name="直线 14"/>
              <wp:cNvGraphicFramePr/>
              <a:graphic xmlns:a="http://schemas.openxmlformats.org/drawingml/2006/main">
                <a:graphicData uri="http://schemas.microsoft.com/office/word/2010/wordprocessingShape">
                  <wps:wsp>
                    <wps:cNvCnPr/>
                    <wps:spPr>
                      <a:xfrm>
                        <a:off x="0" y="0"/>
                        <a:ext cx="5915025"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pt;margin-top:17.9pt;height:0.05pt;width:465.75pt;z-index:251662336;mso-width-relative:page;mso-height-relative:page;" filled="f" stroked="t" coordsize="21600,21600" o:gfxdata="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NWc92AAAAAcBAAAPAAAAAAAAAAEAIAAAACIAAABkcnMvZG93bnJldi54bWxQSwECFAAUAAAA&#10;CACHTuJA7dPM3u4BAADlAwAADgAAAAAAAAABACAAAAAnAQAAZHJzL2Uyb0RvYy54bWxQSwUGAAAA&#10;AAYABgBZAQAAhwUAAAAA&#10;">
              <v:fill on="f" focussize="0,0"/>
              <v:stroke weight="4.5pt" color="#000000" linestyle="thinThick" joinstyle="round"/>
              <v:imagedata o:title=""/>
              <o:lock v:ext="edit" aspectratio="f"/>
            </v:line>
          </w:pict>
        </mc:Fallback>
      </mc:AlternateContent>
    </w:r>
    <w:r>
      <w:rPr>
        <w:rFonts w:hint="eastAsia" w:ascii="宋体" w:hAnsi="宋体" w:cs="宋体"/>
        <w:b/>
        <w:sz w:val="20"/>
        <w:szCs w:val="20"/>
        <w:lang w:eastAsia="zh-CN"/>
      </w:rPr>
      <w:t>镇原县水务局2020年中央财政水利救灾资金监测预警站点维修项目</w:t>
    </w:r>
    <w:r>
      <w:rPr>
        <w:rFonts w:hint="eastAsia" w:ascii="宋体" w:hAnsi="宋体" w:eastAsia="宋体" w:cs="宋体"/>
        <w:b/>
        <w:sz w:val="20"/>
        <w:szCs w:val="20"/>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pBdr>
        <w:bottom w:val="none" w:color="auto" w:sz="0" w:space="0"/>
      </w:pBdr>
      <w:kinsoku/>
      <w:wordWrap/>
      <w:overflowPunct/>
      <w:topLinePunct w:val="0"/>
      <w:autoSpaceDE/>
      <w:autoSpaceDN/>
      <w:bidi w:val="0"/>
      <w:adjustRightInd/>
      <w:snapToGrid w:val="0"/>
      <w:spacing w:line="500" w:lineRule="exact"/>
      <w:jc w:val="center"/>
      <w:textAlignment w:val="auto"/>
      <w:rPr>
        <w:rFonts w:hint="eastAsia" w:ascii="仿宋" w:hAnsi="仿宋" w:eastAsia="仿宋" w:cs="仿宋"/>
        <w:sz w:val="22"/>
        <w:szCs w:val="22"/>
        <w:lang w:val="en-US"/>
      </w:rPr>
    </w:pPr>
    <w:r>
      <w:rPr>
        <w:rFonts w:hint="eastAsia" w:ascii="仿宋" w:hAnsi="仿宋" w:eastAsia="仿宋" w:cs="仿宋"/>
        <w:b/>
        <w:bCs/>
        <w:sz w:val="22"/>
      </w:rPr>
      <w:t>镇原县</w:t>
    </w:r>
    <w:r>
      <w:rPr>
        <w:rFonts w:hint="eastAsia" w:ascii="仿宋" w:hAnsi="仿宋" w:eastAsia="仿宋" w:cs="仿宋"/>
        <w:b/>
        <w:bCs/>
        <w:sz w:val="22"/>
        <w:lang w:val="en-US" w:eastAsia="zh-CN"/>
      </w:rPr>
      <w:t>开边镇</w:t>
    </w:r>
    <w:r>
      <w:rPr>
        <w:rFonts w:hint="eastAsia" w:ascii="仿宋" w:hAnsi="仿宋" w:eastAsia="仿宋" w:cs="仿宋"/>
        <w:b/>
        <w:bCs/>
        <w:sz w:val="22"/>
      </w:rPr>
      <w:t>人民政府2021年农村户厕改造设施购置</w:t>
    </w:r>
    <w:r>
      <w:rPr>
        <w:rFonts w:hint="eastAsia" w:ascii="仿宋" w:hAnsi="仿宋" w:eastAsia="仿宋" w:cs="仿宋"/>
        <w:b/>
        <w:bCs/>
        <w:sz w:val="22"/>
        <w:lang w:val="en-US" w:eastAsia="zh-CN"/>
      </w:rPr>
      <w:t>项目</w:t>
    </w:r>
    <w:r>
      <w:rPr>
        <w:rFonts w:hint="eastAsia" w:ascii="仿宋" w:hAnsi="仿宋" w:eastAsia="仿宋" w:cs="仿宋"/>
        <w:sz w:val="22"/>
        <w:szCs w:val="22"/>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365760</wp:posOffset>
              </wp:positionV>
              <wp:extent cx="5895975" cy="635"/>
              <wp:effectExtent l="0" t="28575" r="9525" b="46990"/>
              <wp:wrapNone/>
              <wp:docPr id="2" name="直线 4"/>
              <wp:cNvGraphicFramePr/>
              <a:graphic xmlns:a="http://schemas.openxmlformats.org/drawingml/2006/main">
                <a:graphicData uri="http://schemas.microsoft.com/office/word/2010/wordprocessingShape">
                  <wps:wsp>
                    <wps:cNvCnPr/>
                    <wps:spPr>
                      <a:xfrm>
                        <a:off x="0" y="0"/>
                        <a:ext cx="5895975"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45pt;margin-top:28.8pt;height:0.05pt;width:464.25pt;z-index:251661312;mso-width-relative:page;mso-height-relative:page;" filled="f" stroked="t" coordsize="21600,21600" o:gfxdata="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Pq3v1wAAAAcBAAAPAAAAAAAAAAEAIAAAACIAAABkcnMvZG93bnJldi54bWxQSwECFAAUAAAA&#10;CACHTuJAw5e30O8BAADkAwAADgAAAAAAAAABACAAAAAmAQAAZHJzL2Uyb0RvYy54bWxQSwUGAAAA&#10;AAYABgBZAQAAhwUAAAAA&#10;">
              <v:fill on="f" focussize="0,0"/>
              <v:stroke weight="4.5pt" color="#000000" linestyle="thinThick"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1B663"/>
    <w:multiLevelType w:val="singleLevel"/>
    <w:tmpl w:val="1291B663"/>
    <w:lvl w:ilvl="0" w:tentative="0">
      <w:start w:val="1"/>
      <w:numFmt w:val="decimal"/>
      <w:suff w:val="nothing"/>
      <w:lvlText w:val="%1）"/>
      <w:lvlJc w:val="left"/>
    </w:lvl>
  </w:abstractNum>
  <w:abstractNum w:abstractNumId="1">
    <w:nsid w:val="16ED3CF2"/>
    <w:multiLevelType w:val="singleLevel"/>
    <w:tmpl w:val="16ED3CF2"/>
    <w:lvl w:ilvl="0" w:tentative="0">
      <w:start w:val="1"/>
      <w:numFmt w:val="chineseCounting"/>
      <w:suff w:val="nothing"/>
      <w:lvlText w:val="%1、"/>
      <w:lvlJc w:val="left"/>
      <w:rPr>
        <w:rFonts w:hint="eastAsia"/>
      </w:rPr>
    </w:lvl>
  </w:abstractNum>
  <w:abstractNum w:abstractNumId="2">
    <w:nsid w:val="55781C0F"/>
    <w:multiLevelType w:val="singleLevel"/>
    <w:tmpl w:val="55781C0F"/>
    <w:lvl w:ilvl="0" w:tentative="0">
      <w:start w:val="2"/>
      <w:numFmt w:val="decimal"/>
      <w:suff w:val="nothing"/>
      <w:lvlText w:val="%1、"/>
      <w:lvlJc w:val="left"/>
    </w:lvl>
  </w:abstractNum>
  <w:abstractNum w:abstractNumId="3">
    <w:nsid w:val="5A264A55"/>
    <w:multiLevelType w:val="singleLevel"/>
    <w:tmpl w:val="5A264A55"/>
    <w:lvl w:ilvl="0" w:tentative="0">
      <w:start w:val="1"/>
      <w:numFmt w:val="decimal"/>
      <w:suff w:val="nothing"/>
      <w:lvlText w:val="（%1）"/>
      <w:lvlJc w:val="left"/>
    </w:lvl>
  </w:abstractNum>
  <w:abstractNum w:abstractNumId="4">
    <w:nsid w:val="61C23DE1"/>
    <w:multiLevelType w:val="singleLevel"/>
    <w:tmpl w:val="61C23DE1"/>
    <w:lvl w:ilvl="0" w:tentative="0">
      <w:start w:val="1"/>
      <w:numFmt w:val="decimal"/>
      <w:suff w:val="nothing"/>
      <w:lvlText w:val="（%1）"/>
      <w:lvlJc w:val="left"/>
    </w:lvl>
  </w:abstractNum>
  <w:abstractNum w:abstractNumId="5">
    <w:nsid w:val="69843D02"/>
    <w:multiLevelType w:val="multilevel"/>
    <w:tmpl w:val="69843D02"/>
    <w:lvl w:ilvl="0" w:tentative="0">
      <w:start w:val="1"/>
      <w:numFmt w:val="japaneseCounting"/>
      <w:pStyle w:val="48"/>
      <w:lvlText w:val="%1、"/>
      <w:lvlJc w:val="left"/>
      <w:pPr>
        <w:tabs>
          <w:tab w:val="left" w:pos="1361"/>
        </w:tabs>
        <w:ind w:left="1361" w:hanging="720"/>
      </w:pPr>
      <w:rPr>
        <w:rFonts w:hint="default"/>
      </w:rPr>
    </w:lvl>
    <w:lvl w:ilvl="1" w:tentative="0">
      <w:start w:val="1"/>
      <w:numFmt w:val="lowerLetter"/>
      <w:lvlText w:val="%2)"/>
      <w:lvlJc w:val="left"/>
      <w:pPr>
        <w:tabs>
          <w:tab w:val="left" w:pos="1481"/>
        </w:tabs>
        <w:ind w:left="1481" w:hanging="420"/>
      </w:pPr>
    </w:lvl>
    <w:lvl w:ilvl="2" w:tentative="0">
      <w:start w:val="1"/>
      <w:numFmt w:val="lowerRoman"/>
      <w:lvlText w:val="%3."/>
      <w:lvlJc w:val="right"/>
      <w:pPr>
        <w:tabs>
          <w:tab w:val="left" w:pos="1901"/>
        </w:tabs>
        <w:ind w:left="1901" w:hanging="420"/>
      </w:pPr>
    </w:lvl>
    <w:lvl w:ilvl="3" w:tentative="0">
      <w:start w:val="1"/>
      <w:numFmt w:val="decimal"/>
      <w:lvlText w:val="%4."/>
      <w:lvlJc w:val="left"/>
      <w:pPr>
        <w:tabs>
          <w:tab w:val="left" w:pos="2321"/>
        </w:tabs>
        <w:ind w:left="2321" w:hanging="420"/>
      </w:pPr>
    </w:lvl>
    <w:lvl w:ilvl="4" w:tentative="0">
      <w:start w:val="1"/>
      <w:numFmt w:val="lowerLetter"/>
      <w:lvlText w:val="%5)"/>
      <w:lvlJc w:val="left"/>
      <w:pPr>
        <w:tabs>
          <w:tab w:val="left" w:pos="2741"/>
        </w:tabs>
        <w:ind w:left="2741" w:hanging="420"/>
      </w:pPr>
    </w:lvl>
    <w:lvl w:ilvl="5" w:tentative="0">
      <w:start w:val="1"/>
      <w:numFmt w:val="lowerRoman"/>
      <w:lvlText w:val="%6."/>
      <w:lvlJc w:val="right"/>
      <w:pPr>
        <w:tabs>
          <w:tab w:val="left" w:pos="3161"/>
        </w:tabs>
        <w:ind w:left="3161" w:hanging="420"/>
      </w:pPr>
    </w:lvl>
    <w:lvl w:ilvl="6" w:tentative="0">
      <w:start w:val="1"/>
      <w:numFmt w:val="decimal"/>
      <w:lvlText w:val="%7."/>
      <w:lvlJc w:val="left"/>
      <w:pPr>
        <w:tabs>
          <w:tab w:val="left" w:pos="3581"/>
        </w:tabs>
        <w:ind w:left="3581" w:hanging="420"/>
      </w:pPr>
    </w:lvl>
    <w:lvl w:ilvl="7" w:tentative="0">
      <w:start w:val="1"/>
      <w:numFmt w:val="lowerLetter"/>
      <w:lvlText w:val="%8)"/>
      <w:lvlJc w:val="left"/>
      <w:pPr>
        <w:tabs>
          <w:tab w:val="left" w:pos="4001"/>
        </w:tabs>
        <w:ind w:left="4001" w:hanging="420"/>
      </w:pPr>
    </w:lvl>
    <w:lvl w:ilvl="8" w:tentative="0">
      <w:start w:val="1"/>
      <w:numFmt w:val="lowerRoman"/>
      <w:lvlText w:val="%9."/>
      <w:lvlJc w:val="right"/>
      <w:pPr>
        <w:tabs>
          <w:tab w:val="left" w:pos="4421"/>
        </w:tabs>
        <w:ind w:left="4421" w:hanging="420"/>
      </w:pPr>
    </w:lvl>
  </w:abstractNum>
  <w:abstractNum w:abstractNumId="6">
    <w:nsid w:val="6D407658"/>
    <w:multiLevelType w:val="singleLevel"/>
    <w:tmpl w:val="6D407658"/>
    <w:lvl w:ilvl="0" w:tentative="0">
      <w:start w:val="4"/>
      <w:numFmt w:val="decimal"/>
      <w:suff w:val="nothing"/>
      <w:lvlText w:val="%1、"/>
      <w:lvlJc w:val="left"/>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9"/>
    <w:rsid w:val="00001C3E"/>
    <w:rsid w:val="00004678"/>
    <w:rsid w:val="00005D2C"/>
    <w:rsid w:val="00005EEA"/>
    <w:rsid w:val="000061D0"/>
    <w:rsid w:val="000079B5"/>
    <w:rsid w:val="000115D2"/>
    <w:rsid w:val="0001271C"/>
    <w:rsid w:val="00012BCC"/>
    <w:rsid w:val="00013ACC"/>
    <w:rsid w:val="00016004"/>
    <w:rsid w:val="00021A51"/>
    <w:rsid w:val="00023CCD"/>
    <w:rsid w:val="00023D69"/>
    <w:rsid w:val="000267C7"/>
    <w:rsid w:val="00032C83"/>
    <w:rsid w:val="00033030"/>
    <w:rsid w:val="000338E1"/>
    <w:rsid w:val="00033BA7"/>
    <w:rsid w:val="00034BCC"/>
    <w:rsid w:val="0003554F"/>
    <w:rsid w:val="0004174C"/>
    <w:rsid w:val="000423AE"/>
    <w:rsid w:val="00044781"/>
    <w:rsid w:val="00046CC8"/>
    <w:rsid w:val="0005166A"/>
    <w:rsid w:val="00054C46"/>
    <w:rsid w:val="00057784"/>
    <w:rsid w:val="0006232A"/>
    <w:rsid w:val="000625F7"/>
    <w:rsid w:val="000626E2"/>
    <w:rsid w:val="00063310"/>
    <w:rsid w:val="0006478B"/>
    <w:rsid w:val="000648A6"/>
    <w:rsid w:val="00073495"/>
    <w:rsid w:val="0007480A"/>
    <w:rsid w:val="00081189"/>
    <w:rsid w:val="0008151E"/>
    <w:rsid w:val="00081672"/>
    <w:rsid w:val="000817B2"/>
    <w:rsid w:val="0008209A"/>
    <w:rsid w:val="000828EB"/>
    <w:rsid w:val="0008295B"/>
    <w:rsid w:val="000841E6"/>
    <w:rsid w:val="0008489C"/>
    <w:rsid w:val="000955BC"/>
    <w:rsid w:val="000A3DC5"/>
    <w:rsid w:val="000A3F5B"/>
    <w:rsid w:val="000B00FC"/>
    <w:rsid w:val="000B0B3D"/>
    <w:rsid w:val="000B1D56"/>
    <w:rsid w:val="000B3B86"/>
    <w:rsid w:val="000B5C90"/>
    <w:rsid w:val="000C02FB"/>
    <w:rsid w:val="000C224A"/>
    <w:rsid w:val="000C5124"/>
    <w:rsid w:val="000D1C34"/>
    <w:rsid w:val="000D2481"/>
    <w:rsid w:val="000D302B"/>
    <w:rsid w:val="000D38E5"/>
    <w:rsid w:val="000D406B"/>
    <w:rsid w:val="000E5146"/>
    <w:rsid w:val="000E5866"/>
    <w:rsid w:val="000F0E93"/>
    <w:rsid w:val="000F1FDB"/>
    <w:rsid w:val="000F2C20"/>
    <w:rsid w:val="000F37C2"/>
    <w:rsid w:val="000F4A70"/>
    <w:rsid w:val="000F6F5C"/>
    <w:rsid w:val="00100040"/>
    <w:rsid w:val="00100484"/>
    <w:rsid w:val="00101683"/>
    <w:rsid w:val="00103602"/>
    <w:rsid w:val="0010540D"/>
    <w:rsid w:val="001066E9"/>
    <w:rsid w:val="00112DB6"/>
    <w:rsid w:val="00113F67"/>
    <w:rsid w:val="00117B38"/>
    <w:rsid w:val="001210FC"/>
    <w:rsid w:val="00123822"/>
    <w:rsid w:val="00124945"/>
    <w:rsid w:val="001250A6"/>
    <w:rsid w:val="00126503"/>
    <w:rsid w:val="0012798A"/>
    <w:rsid w:val="00130E41"/>
    <w:rsid w:val="00131BD2"/>
    <w:rsid w:val="001331FB"/>
    <w:rsid w:val="001344AF"/>
    <w:rsid w:val="00134A2C"/>
    <w:rsid w:val="001369CA"/>
    <w:rsid w:val="00136D12"/>
    <w:rsid w:val="00142489"/>
    <w:rsid w:val="00143955"/>
    <w:rsid w:val="001439FF"/>
    <w:rsid w:val="00143F99"/>
    <w:rsid w:val="00145ABC"/>
    <w:rsid w:val="00147E17"/>
    <w:rsid w:val="0015055C"/>
    <w:rsid w:val="001511BD"/>
    <w:rsid w:val="001531DB"/>
    <w:rsid w:val="00154F0B"/>
    <w:rsid w:val="001557A2"/>
    <w:rsid w:val="001567DD"/>
    <w:rsid w:val="00160403"/>
    <w:rsid w:val="001615C2"/>
    <w:rsid w:val="001616B3"/>
    <w:rsid w:val="001627D2"/>
    <w:rsid w:val="00164B5C"/>
    <w:rsid w:val="001661B3"/>
    <w:rsid w:val="001664DB"/>
    <w:rsid w:val="00170812"/>
    <w:rsid w:val="00170915"/>
    <w:rsid w:val="00173BA1"/>
    <w:rsid w:val="001746CD"/>
    <w:rsid w:val="00176419"/>
    <w:rsid w:val="0018082E"/>
    <w:rsid w:val="00183438"/>
    <w:rsid w:val="00183633"/>
    <w:rsid w:val="0018486E"/>
    <w:rsid w:val="00184C36"/>
    <w:rsid w:val="0018558B"/>
    <w:rsid w:val="00186D77"/>
    <w:rsid w:val="001914F5"/>
    <w:rsid w:val="00191EAA"/>
    <w:rsid w:val="001928ED"/>
    <w:rsid w:val="001A106A"/>
    <w:rsid w:val="001A1508"/>
    <w:rsid w:val="001A27D2"/>
    <w:rsid w:val="001A3260"/>
    <w:rsid w:val="001A3713"/>
    <w:rsid w:val="001A3809"/>
    <w:rsid w:val="001A5FA7"/>
    <w:rsid w:val="001A6505"/>
    <w:rsid w:val="001B45E2"/>
    <w:rsid w:val="001B4B96"/>
    <w:rsid w:val="001B4D41"/>
    <w:rsid w:val="001C0D48"/>
    <w:rsid w:val="001C2282"/>
    <w:rsid w:val="001C2422"/>
    <w:rsid w:val="001C35D3"/>
    <w:rsid w:val="001C3D96"/>
    <w:rsid w:val="001C575F"/>
    <w:rsid w:val="001C5973"/>
    <w:rsid w:val="001C73B5"/>
    <w:rsid w:val="001C77EC"/>
    <w:rsid w:val="001D2539"/>
    <w:rsid w:val="001D288F"/>
    <w:rsid w:val="001D4C13"/>
    <w:rsid w:val="001E0090"/>
    <w:rsid w:val="001E0105"/>
    <w:rsid w:val="001E301E"/>
    <w:rsid w:val="001F1250"/>
    <w:rsid w:val="001F2135"/>
    <w:rsid w:val="001F77D3"/>
    <w:rsid w:val="001F7C88"/>
    <w:rsid w:val="0020179F"/>
    <w:rsid w:val="00203E95"/>
    <w:rsid w:val="00205290"/>
    <w:rsid w:val="00205CBD"/>
    <w:rsid w:val="00206B8F"/>
    <w:rsid w:val="00206C35"/>
    <w:rsid w:val="002073DF"/>
    <w:rsid w:val="00222AF2"/>
    <w:rsid w:val="00223EC1"/>
    <w:rsid w:val="00225792"/>
    <w:rsid w:val="0022600E"/>
    <w:rsid w:val="0022687D"/>
    <w:rsid w:val="00232182"/>
    <w:rsid w:val="0023308F"/>
    <w:rsid w:val="00234C75"/>
    <w:rsid w:val="00235B17"/>
    <w:rsid w:val="002372F2"/>
    <w:rsid w:val="0024298C"/>
    <w:rsid w:val="00243847"/>
    <w:rsid w:val="00246573"/>
    <w:rsid w:val="0024658E"/>
    <w:rsid w:val="00247457"/>
    <w:rsid w:val="002503B9"/>
    <w:rsid w:val="00251CE7"/>
    <w:rsid w:val="002539EF"/>
    <w:rsid w:val="00261DE9"/>
    <w:rsid w:val="00264AF9"/>
    <w:rsid w:val="00267A37"/>
    <w:rsid w:val="00270306"/>
    <w:rsid w:val="002707CA"/>
    <w:rsid w:val="002718A6"/>
    <w:rsid w:val="00273E01"/>
    <w:rsid w:val="0027422C"/>
    <w:rsid w:val="002751A9"/>
    <w:rsid w:val="00275204"/>
    <w:rsid w:val="002761DE"/>
    <w:rsid w:val="00277E15"/>
    <w:rsid w:val="00280454"/>
    <w:rsid w:val="0028219D"/>
    <w:rsid w:val="002851D3"/>
    <w:rsid w:val="00290D32"/>
    <w:rsid w:val="0029111A"/>
    <w:rsid w:val="00291AC5"/>
    <w:rsid w:val="00291E7D"/>
    <w:rsid w:val="0029350D"/>
    <w:rsid w:val="00293791"/>
    <w:rsid w:val="002947D7"/>
    <w:rsid w:val="00296198"/>
    <w:rsid w:val="002963E8"/>
    <w:rsid w:val="002967EC"/>
    <w:rsid w:val="002969D5"/>
    <w:rsid w:val="002A130C"/>
    <w:rsid w:val="002A3002"/>
    <w:rsid w:val="002A681B"/>
    <w:rsid w:val="002A7B39"/>
    <w:rsid w:val="002A7B3B"/>
    <w:rsid w:val="002A7E27"/>
    <w:rsid w:val="002B2E02"/>
    <w:rsid w:val="002B3A1F"/>
    <w:rsid w:val="002B3D85"/>
    <w:rsid w:val="002B3DC3"/>
    <w:rsid w:val="002B4320"/>
    <w:rsid w:val="002B4C98"/>
    <w:rsid w:val="002B59E8"/>
    <w:rsid w:val="002B74C9"/>
    <w:rsid w:val="002C27AB"/>
    <w:rsid w:val="002C2AD6"/>
    <w:rsid w:val="002C7833"/>
    <w:rsid w:val="002C7F08"/>
    <w:rsid w:val="002D0959"/>
    <w:rsid w:val="002D4354"/>
    <w:rsid w:val="002D54F0"/>
    <w:rsid w:val="002D673D"/>
    <w:rsid w:val="002D6A85"/>
    <w:rsid w:val="002D6C6B"/>
    <w:rsid w:val="002E0A7B"/>
    <w:rsid w:val="002E4BBF"/>
    <w:rsid w:val="002E5A2B"/>
    <w:rsid w:val="002F094C"/>
    <w:rsid w:val="002F4393"/>
    <w:rsid w:val="002F6885"/>
    <w:rsid w:val="002F6D59"/>
    <w:rsid w:val="003022B3"/>
    <w:rsid w:val="00303853"/>
    <w:rsid w:val="00304245"/>
    <w:rsid w:val="003042A2"/>
    <w:rsid w:val="0030472D"/>
    <w:rsid w:val="00305C89"/>
    <w:rsid w:val="00307C7D"/>
    <w:rsid w:val="003124C3"/>
    <w:rsid w:val="00312703"/>
    <w:rsid w:val="003159FD"/>
    <w:rsid w:val="003164C7"/>
    <w:rsid w:val="003231CE"/>
    <w:rsid w:val="00323D01"/>
    <w:rsid w:val="00323E9B"/>
    <w:rsid w:val="003249B7"/>
    <w:rsid w:val="00324C17"/>
    <w:rsid w:val="0032527D"/>
    <w:rsid w:val="00325305"/>
    <w:rsid w:val="00325CB2"/>
    <w:rsid w:val="00327237"/>
    <w:rsid w:val="00330BDF"/>
    <w:rsid w:val="00331E06"/>
    <w:rsid w:val="00332FC8"/>
    <w:rsid w:val="0033365E"/>
    <w:rsid w:val="00333E35"/>
    <w:rsid w:val="00335C97"/>
    <w:rsid w:val="00336DB6"/>
    <w:rsid w:val="003411D6"/>
    <w:rsid w:val="00343BA2"/>
    <w:rsid w:val="003447FC"/>
    <w:rsid w:val="00346427"/>
    <w:rsid w:val="00353083"/>
    <w:rsid w:val="003532F1"/>
    <w:rsid w:val="00357912"/>
    <w:rsid w:val="0036067E"/>
    <w:rsid w:val="00360F82"/>
    <w:rsid w:val="00361E6F"/>
    <w:rsid w:val="00362CFF"/>
    <w:rsid w:val="00363EE7"/>
    <w:rsid w:val="003663EA"/>
    <w:rsid w:val="003725E2"/>
    <w:rsid w:val="00372931"/>
    <w:rsid w:val="00374D53"/>
    <w:rsid w:val="00376E36"/>
    <w:rsid w:val="003771DA"/>
    <w:rsid w:val="00380479"/>
    <w:rsid w:val="0038121A"/>
    <w:rsid w:val="003824DA"/>
    <w:rsid w:val="00384BB5"/>
    <w:rsid w:val="0038689F"/>
    <w:rsid w:val="003877FD"/>
    <w:rsid w:val="00391DD7"/>
    <w:rsid w:val="00392122"/>
    <w:rsid w:val="00393815"/>
    <w:rsid w:val="003944EE"/>
    <w:rsid w:val="0039557D"/>
    <w:rsid w:val="0039598E"/>
    <w:rsid w:val="00396A77"/>
    <w:rsid w:val="003A0DE4"/>
    <w:rsid w:val="003A0F9F"/>
    <w:rsid w:val="003A1376"/>
    <w:rsid w:val="003A2773"/>
    <w:rsid w:val="003A4147"/>
    <w:rsid w:val="003A464F"/>
    <w:rsid w:val="003A496D"/>
    <w:rsid w:val="003A5E94"/>
    <w:rsid w:val="003B1C5C"/>
    <w:rsid w:val="003B4093"/>
    <w:rsid w:val="003B5A1E"/>
    <w:rsid w:val="003B6A20"/>
    <w:rsid w:val="003B6E1D"/>
    <w:rsid w:val="003B74C6"/>
    <w:rsid w:val="003C2819"/>
    <w:rsid w:val="003C293C"/>
    <w:rsid w:val="003C3207"/>
    <w:rsid w:val="003C33DF"/>
    <w:rsid w:val="003C42B0"/>
    <w:rsid w:val="003C4EA9"/>
    <w:rsid w:val="003C66DD"/>
    <w:rsid w:val="003C7BD6"/>
    <w:rsid w:val="003D115F"/>
    <w:rsid w:val="003D251E"/>
    <w:rsid w:val="003D3403"/>
    <w:rsid w:val="003D48EE"/>
    <w:rsid w:val="003D4A7A"/>
    <w:rsid w:val="003D5899"/>
    <w:rsid w:val="003D6800"/>
    <w:rsid w:val="003E0A0D"/>
    <w:rsid w:val="003E1492"/>
    <w:rsid w:val="003E22FE"/>
    <w:rsid w:val="003E2947"/>
    <w:rsid w:val="003E6958"/>
    <w:rsid w:val="003F33B2"/>
    <w:rsid w:val="003F3AD4"/>
    <w:rsid w:val="003F7E37"/>
    <w:rsid w:val="004004EA"/>
    <w:rsid w:val="00400619"/>
    <w:rsid w:val="00400B1F"/>
    <w:rsid w:val="00401DB8"/>
    <w:rsid w:val="0040208C"/>
    <w:rsid w:val="00403E1F"/>
    <w:rsid w:val="004050FA"/>
    <w:rsid w:val="00405A37"/>
    <w:rsid w:val="00406D14"/>
    <w:rsid w:val="00406E64"/>
    <w:rsid w:val="00407BDF"/>
    <w:rsid w:val="004106AF"/>
    <w:rsid w:val="00415003"/>
    <w:rsid w:val="00417379"/>
    <w:rsid w:val="00417408"/>
    <w:rsid w:val="00421EC6"/>
    <w:rsid w:val="00422046"/>
    <w:rsid w:val="0042243D"/>
    <w:rsid w:val="00422FB6"/>
    <w:rsid w:val="00423020"/>
    <w:rsid w:val="00423476"/>
    <w:rsid w:val="004237FE"/>
    <w:rsid w:val="00425102"/>
    <w:rsid w:val="00425580"/>
    <w:rsid w:val="00425BD4"/>
    <w:rsid w:val="00426EB0"/>
    <w:rsid w:val="00427985"/>
    <w:rsid w:val="00427A4D"/>
    <w:rsid w:val="00427EE1"/>
    <w:rsid w:val="00432369"/>
    <w:rsid w:val="00432AF5"/>
    <w:rsid w:val="004343BB"/>
    <w:rsid w:val="004348E5"/>
    <w:rsid w:val="0043708D"/>
    <w:rsid w:val="00437467"/>
    <w:rsid w:val="004376C2"/>
    <w:rsid w:val="004400C2"/>
    <w:rsid w:val="00440455"/>
    <w:rsid w:val="00440ED7"/>
    <w:rsid w:val="004466D8"/>
    <w:rsid w:val="0044681D"/>
    <w:rsid w:val="00447BEB"/>
    <w:rsid w:val="00450AF2"/>
    <w:rsid w:val="00451C2F"/>
    <w:rsid w:val="00452254"/>
    <w:rsid w:val="00452D6B"/>
    <w:rsid w:val="004534FE"/>
    <w:rsid w:val="00455353"/>
    <w:rsid w:val="00456290"/>
    <w:rsid w:val="00460C6A"/>
    <w:rsid w:val="00460F11"/>
    <w:rsid w:val="0046169B"/>
    <w:rsid w:val="00462757"/>
    <w:rsid w:val="004652C2"/>
    <w:rsid w:val="00467FDB"/>
    <w:rsid w:val="00471A20"/>
    <w:rsid w:val="004754F6"/>
    <w:rsid w:val="00475952"/>
    <w:rsid w:val="00475F53"/>
    <w:rsid w:val="004772C5"/>
    <w:rsid w:val="0048093A"/>
    <w:rsid w:val="004814DA"/>
    <w:rsid w:val="004823D8"/>
    <w:rsid w:val="00482B87"/>
    <w:rsid w:val="0048300D"/>
    <w:rsid w:val="004929FC"/>
    <w:rsid w:val="00493C17"/>
    <w:rsid w:val="00495753"/>
    <w:rsid w:val="004966E5"/>
    <w:rsid w:val="004A06B3"/>
    <w:rsid w:val="004A1873"/>
    <w:rsid w:val="004A2BCA"/>
    <w:rsid w:val="004A78CB"/>
    <w:rsid w:val="004B0196"/>
    <w:rsid w:val="004B1135"/>
    <w:rsid w:val="004B2117"/>
    <w:rsid w:val="004B2484"/>
    <w:rsid w:val="004B40A6"/>
    <w:rsid w:val="004B7EA9"/>
    <w:rsid w:val="004C1D8E"/>
    <w:rsid w:val="004C32DD"/>
    <w:rsid w:val="004C44AE"/>
    <w:rsid w:val="004C54CB"/>
    <w:rsid w:val="004C773C"/>
    <w:rsid w:val="004C7A37"/>
    <w:rsid w:val="004C7DE5"/>
    <w:rsid w:val="004C7E9A"/>
    <w:rsid w:val="004D0051"/>
    <w:rsid w:val="004D1FA9"/>
    <w:rsid w:val="004D3760"/>
    <w:rsid w:val="004D7249"/>
    <w:rsid w:val="004D7348"/>
    <w:rsid w:val="004D7870"/>
    <w:rsid w:val="004D78F2"/>
    <w:rsid w:val="004E0A96"/>
    <w:rsid w:val="004E1ABB"/>
    <w:rsid w:val="004E2935"/>
    <w:rsid w:val="004E51B9"/>
    <w:rsid w:val="004E595A"/>
    <w:rsid w:val="004F21AF"/>
    <w:rsid w:val="004F5408"/>
    <w:rsid w:val="004F65B2"/>
    <w:rsid w:val="00501D6D"/>
    <w:rsid w:val="005036E4"/>
    <w:rsid w:val="00505C1F"/>
    <w:rsid w:val="00506641"/>
    <w:rsid w:val="005066A2"/>
    <w:rsid w:val="00507AC6"/>
    <w:rsid w:val="00507B50"/>
    <w:rsid w:val="00510332"/>
    <w:rsid w:val="00510474"/>
    <w:rsid w:val="00510750"/>
    <w:rsid w:val="00513B52"/>
    <w:rsid w:val="00516260"/>
    <w:rsid w:val="005167A1"/>
    <w:rsid w:val="00520AE6"/>
    <w:rsid w:val="00522CE6"/>
    <w:rsid w:val="00523357"/>
    <w:rsid w:val="00523450"/>
    <w:rsid w:val="005263D8"/>
    <w:rsid w:val="00526680"/>
    <w:rsid w:val="00530C02"/>
    <w:rsid w:val="00530E32"/>
    <w:rsid w:val="00530EEC"/>
    <w:rsid w:val="00531012"/>
    <w:rsid w:val="005311F0"/>
    <w:rsid w:val="0053298F"/>
    <w:rsid w:val="00532D1D"/>
    <w:rsid w:val="00533EC4"/>
    <w:rsid w:val="0053499F"/>
    <w:rsid w:val="00534E42"/>
    <w:rsid w:val="005359FC"/>
    <w:rsid w:val="00535D43"/>
    <w:rsid w:val="005419E6"/>
    <w:rsid w:val="005429C6"/>
    <w:rsid w:val="005431D4"/>
    <w:rsid w:val="005512F2"/>
    <w:rsid w:val="00551713"/>
    <w:rsid w:val="00554C4D"/>
    <w:rsid w:val="00557A01"/>
    <w:rsid w:val="005602A8"/>
    <w:rsid w:val="005621AB"/>
    <w:rsid w:val="00562FD5"/>
    <w:rsid w:val="00563CB4"/>
    <w:rsid w:val="00565301"/>
    <w:rsid w:val="00570E90"/>
    <w:rsid w:val="00572108"/>
    <w:rsid w:val="0057346A"/>
    <w:rsid w:val="00574479"/>
    <w:rsid w:val="00577BA9"/>
    <w:rsid w:val="005814C6"/>
    <w:rsid w:val="0058182F"/>
    <w:rsid w:val="00583467"/>
    <w:rsid w:val="00583CEE"/>
    <w:rsid w:val="00584E32"/>
    <w:rsid w:val="005876C7"/>
    <w:rsid w:val="005932BA"/>
    <w:rsid w:val="0059704E"/>
    <w:rsid w:val="005A1FE6"/>
    <w:rsid w:val="005A39AD"/>
    <w:rsid w:val="005A47DD"/>
    <w:rsid w:val="005A5AE2"/>
    <w:rsid w:val="005B016D"/>
    <w:rsid w:val="005B0637"/>
    <w:rsid w:val="005B2448"/>
    <w:rsid w:val="005B7655"/>
    <w:rsid w:val="005C22DF"/>
    <w:rsid w:val="005C5ED3"/>
    <w:rsid w:val="005C70F4"/>
    <w:rsid w:val="005C7168"/>
    <w:rsid w:val="005D2E44"/>
    <w:rsid w:val="005D5985"/>
    <w:rsid w:val="005D6528"/>
    <w:rsid w:val="005E028C"/>
    <w:rsid w:val="005E135E"/>
    <w:rsid w:val="005E22AD"/>
    <w:rsid w:val="005E2628"/>
    <w:rsid w:val="005E33A6"/>
    <w:rsid w:val="005E4380"/>
    <w:rsid w:val="005E5A5D"/>
    <w:rsid w:val="005E6CDF"/>
    <w:rsid w:val="005E6DF2"/>
    <w:rsid w:val="005F1655"/>
    <w:rsid w:val="005F1B34"/>
    <w:rsid w:val="005F3260"/>
    <w:rsid w:val="005F5E40"/>
    <w:rsid w:val="00600BCA"/>
    <w:rsid w:val="00600C0F"/>
    <w:rsid w:val="00602281"/>
    <w:rsid w:val="00604186"/>
    <w:rsid w:val="00605F7D"/>
    <w:rsid w:val="00605FEF"/>
    <w:rsid w:val="006064FD"/>
    <w:rsid w:val="0060798D"/>
    <w:rsid w:val="006112EE"/>
    <w:rsid w:val="00611CF2"/>
    <w:rsid w:val="00614FE6"/>
    <w:rsid w:val="00616932"/>
    <w:rsid w:val="00620BBA"/>
    <w:rsid w:val="00620BFD"/>
    <w:rsid w:val="006221BF"/>
    <w:rsid w:val="00623E50"/>
    <w:rsid w:val="00624D37"/>
    <w:rsid w:val="00626834"/>
    <w:rsid w:val="00627D53"/>
    <w:rsid w:val="00630501"/>
    <w:rsid w:val="00630843"/>
    <w:rsid w:val="00630B32"/>
    <w:rsid w:val="006324C1"/>
    <w:rsid w:val="00634087"/>
    <w:rsid w:val="006347DB"/>
    <w:rsid w:val="00634E42"/>
    <w:rsid w:val="0063663B"/>
    <w:rsid w:val="00637961"/>
    <w:rsid w:val="006416C6"/>
    <w:rsid w:val="00641940"/>
    <w:rsid w:val="00641DCF"/>
    <w:rsid w:val="0064267A"/>
    <w:rsid w:val="0064300F"/>
    <w:rsid w:val="00643061"/>
    <w:rsid w:val="00643E70"/>
    <w:rsid w:val="00644E28"/>
    <w:rsid w:val="00645BC4"/>
    <w:rsid w:val="00646C46"/>
    <w:rsid w:val="00647E3C"/>
    <w:rsid w:val="0065210E"/>
    <w:rsid w:val="00653647"/>
    <w:rsid w:val="006564FB"/>
    <w:rsid w:val="00657611"/>
    <w:rsid w:val="00660A03"/>
    <w:rsid w:val="006654A8"/>
    <w:rsid w:val="00666CCD"/>
    <w:rsid w:val="0067266A"/>
    <w:rsid w:val="00673623"/>
    <w:rsid w:val="006739BD"/>
    <w:rsid w:val="00673AD6"/>
    <w:rsid w:val="00681376"/>
    <w:rsid w:val="006822A0"/>
    <w:rsid w:val="006826BC"/>
    <w:rsid w:val="00683CC1"/>
    <w:rsid w:val="00684621"/>
    <w:rsid w:val="0068499E"/>
    <w:rsid w:val="00685E08"/>
    <w:rsid w:val="00687400"/>
    <w:rsid w:val="006911EA"/>
    <w:rsid w:val="00692813"/>
    <w:rsid w:val="0069377E"/>
    <w:rsid w:val="00693BEC"/>
    <w:rsid w:val="00694D4A"/>
    <w:rsid w:val="00695C1F"/>
    <w:rsid w:val="006A0B8B"/>
    <w:rsid w:val="006A1E4E"/>
    <w:rsid w:val="006A2F8C"/>
    <w:rsid w:val="006A3EB2"/>
    <w:rsid w:val="006A483B"/>
    <w:rsid w:val="006A5679"/>
    <w:rsid w:val="006B34CE"/>
    <w:rsid w:val="006B43AD"/>
    <w:rsid w:val="006B5047"/>
    <w:rsid w:val="006B5350"/>
    <w:rsid w:val="006C169C"/>
    <w:rsid w:val="006C40B9"/>
    <w:rsid w:val="006C4B6C"/>
    <w:rsid w:val="006C7AAD"/>
    <w:rsid w:val="006D0FD4"/>
    <w:rsid w:val="006D14A1"/>
    <w:rsid w:val="006D1D42"/>
    <w:rsid w:val="006D4146"/>
    <w:rsid w:val="006D7228"/>
    <w:rsid w:val="006E0E78"/>
    <w:rsid w:val="006E148B"/>
    <w:rsid w:val="006E319D"/>
    <w:rsid w:val="006F240A"/>
    <w:rsid w:val="006F2B18"/>
    <w:rsid w:val="006F4EC9"/>
    <w:rsid w:val="006F6310"/>
    <w:rsid w:val="006F6904"/>
    <w:rsid w:val="006F7947"/>
    <w:rsid w:val="00706F82"/>
    <w:rsid w:val="00711449"/>
    <w:rsid w:val="007153AC"/>
    <w:rsid w:val="00716895"/>
    <w:rsid w:val="007178E7"/>
    <w:rsid w:val="007228D2"/>
    <w:rsid w:val="0072325A"/>
    <w:rsid w:val="007232E1"/>
    <w:rsid w:val="00723301"/>
    <w:rsid w:val="00724099"/>
    <w:rsid w:val="00725586"/>
    <w:rsid w:val="00731223"/>
    <w:rsid w:val="00732C80"/>
    <w:rsid w:val="0073321A"/>
    <w:rsid w:val="0073354B"/>
    <w:rsid w:val="00737044"/>
    <w:rsid w:val="0073746A"/>
    <w:rsid w:val="0073781C"/>
    <w:rsid w:val="00737BF9"/>
    <w:rsid w:val="007408B8"/>
    <w:rsid w:val="00741F2D"/>
    <w:rsid w:val="00746ECB"/>
    <w:rsid w:val="00746F7E"/>
    <w:rsid w:val="00747D47"/>
    <w:rsid w:val="00750ED8"/>
    <w:rsid w:val="0075206C"/>
    <w:rsid w:val="007520A6"/>
    <w:rsid w:val="007537FA"/>
    <w:rsid w:val="00753BA6"/>
    <w:rsid w:val="00755209"/>
    <w:rsid w:val="0075794C"/>
    <w:rsid w:val="00764527"/>
    <w:rsid w:val="00764766"/>
    <w:rsid w:val="0076776D"/>
    <w:rsid w:val="00767A7E"/>
    <w:rsid w:val="00767F72"/>
    <w:rsid w:val="00770463"/>
    <w:rsid w:val="00770A0A"/>
    <w:rsid w:val="007750E6"/>
    <w:rsid w:val="00780902"/>
    <w:rsid w:val="00780F23"/>
    <w:rsid w:val="00783D39"/>
    <w:rsid w:val="00783DF2"/>
    <w:rsid w:val="00784E10"/>
    <w:rsid w:val="00787E20"/>
    <w:rsid w:val="0079118A"/>
    <w:rsid w:val="00793367"/>
    <w:rsid w:val="00794D75"/>
    <w:rsid w:val="00795DE1"/>
    <w:rsid w:val="007A42E3"/>
    <w:rsid w:val="007A45D6"/>
    <w:rsid w:val="007A7407"/>
    <w:rsid w:val="007A7BEC"/>
    <w:rsid w:val="007B0DD7"/>
    <w:rsid w:val="007B1DAE"/>
    <w:rsid w:val="007B484E"/>
    <w:rsid w:val="007B568B"/>
    <w:rsid w:val="007B671C"/>
    <w:rsid w:val="007B71EF"/>
    <w:rsid w:val="007B777C"/>
    <w:rsid w:val="007C022C"/>
    <w:rsid w:val="007C2106"/>
    <w:rsid w:val="007C4628"/>
    <w:rsid w:val="007C4BA6"/>
    <w:rsid w:val="007C50E8"/>
    <w:rsid w:val="007C6A28"/>
    <w:rsid w:val="007D1892"/>
    <w:rsid w:val="007D32CB"/>
    <w:rsid w:val="007E0002"/>
    <w:rsid w:val="007E0EE4"/>
    <w:rsid w:val="007E28A7"/>
    <w:rsid w:val="007E2AC4"/>
    <w:rsid w:val="007E4D4D"/>
    <w:rsid w:val="007E77B4"/>
    <w:rsid w:val="007F038E"/>
    <w:rsid w:val="007F1589"/>
    <w:rsid w:val="007F6043"/>
    <w:rsid w:val="007F62A4"/>
    <w:rsid w:val="007F7824"/>
    <w:rsid w:val="008019C5"/>
    <w:rsid w:val="008053EC"/>
    <w:rsid w:val="00806F1D"/>
    <w:rsid w:val="00810409"/>
    <w:rsid w:val="008123EE"/>
    <w:rsid w:val="00813A00"/>
    <w:rsid w:val="00814716"/>
    <w:rsid w:val="00815D52"/>
    <w:rsid w:val="00816120"/>
    <w:rsid w:val="008205A6"/>
    <w:rsid w:val="00821F63"/>
    <w:rsid w:val="00822660"/>
    <w:rsid w:val="00822EA5"/>
    <w:rsid w:val="00823A03"/>
    <w:rsid w:val="00824944"/>
    <w:rsid w:val="00824D3C"/>
    <w:rsid w:val="0082742D"/>
    <w:rsid w:val="00827B2E"/>
    <w:rsid w:val="00830D43"/>
    <w:rsid w:val="00840F82"/>
    <w:rsid w:val="008411D2"/>
    <w:rsid w:val="008423E2"/>
    <w:rsid w:val="008439AF"/>
    <w:rsid w:val="00843CAE"/>
    <w:rsid w:val="008449C7"/>
    <w:rsid w:val="00852655"/>
    <w:rsid w:val="00853E36"/>
    <w:rsid w:val="0085634B"/>
    <w:rsid w:val="00856EDF"/>
    <w:rsid w:val="00860FDD"/>
    <w:rsid w:val="0086322E"/>
    <w:rsid w:val="00863432"/>
    <w:rsid w:val="00864173"/>
    <w:rsid w:val="008725A0"/>
    <w:rsid w:val="00873169"/>
    <w:rsid w:val="00876291"/>
    <w:rsid w:val="00876E5D"/>
    <w:rsid w:val="00877F2A"/>
    <w:rsid w:val="00881185"/>
    <w:rsid w:val="008813D8"/>
    <w:rsid w:val="00881F47"/>
    <w:rsid w:val="00883AA2"/>
    <w:rsid w:val="008841F5"/>
    <w:rsid w:val="0088565D"/>
    <w:rsid w:val="00885AEE"/>
    <w:rsid w:val="008937A7"/>
    <w:rsid w:val="008946A1"/>
    <w:rsid w:val="00896139"/>
    <w:rsid w:val="008967B2"/>
    <w:rsid w:val="008975AC"/>
    <w:rsid w:val="008A07B3"/>
    <w:rsid w:val="008A3074"/>
    <w:rsid w:val="008A540F"/>
    <w:rsid w:val="008A564B"/>
    <w:rsid w:val="008A5D93"/>
    <w:rsid w:val="008B0ADF"/>
    <w:rsid w:val="008B2FB3"/>
    <w:rsid w:val="008B698E"/>
    <w:rsid w:val="008B6D10"/>
    <w:rsid w:val="008B7CDA"/>
    <w:rsid w:val="008C180E"/>
    <w:rsid w:val="008C1A6E"/>
    <w:rsid w:val="008C43F6"/>
    <w:rsid w:val="008C6C2B"/>
    <w:rsid w:val="008D1D84"/>
    <w:rsid w:val="008D1EE4"/>
    <w:rsid w:val="008D3378"/>
    <w:rsid w:val="008D3F5E"/>
    <w:rsid w:val="008D4746"/>
    <w:rsid w:val="008D71F0"/>
    <w:rsid w:val="008E123D"/>
    <w:rsid w:val="008E2B6F"/>
    <w:rsid w:val="008E3CD6"/>
    <w:rsid w:val="008E459E"/>
    <w:rsid w:val="008E64AB"/>
    <w:rsid w:val="008E6AA9"/>
    <w:rsid w:val="008E6BDE"/>
    <w:rsid w:val="008F02D8"/>
    <w:rsid w:val="008F3D32"/>
    <w:rsid w:val="008F618B"/>
    <w:rsid w:val="008F75C3"/>
    <w:rsid w:val="0090041E"/>
    <w:rsid w:val="0090043D"/>
    <w:rsid w:val="00904C0C"/>
    <w:rsid w:val="00911122"/>
    <w:rsid w:val="00911449"/>
    <w:rsid w:val="00912548"/>
    <w:rsid w:val="00913075"/>
    <w:rsid w:val="009155F2"/>
    <w:rsid w:val="00915B4F"/>
    <w:rsid w:val="00915D0B"/>
    <w:rsid w:val="009164EF"/>
    <w:rsid w:val="00917625"/>
    <w:rsid w:val="00922E64"/>
    <w:rsid w:val="00923A41"/>
    <w:rsid w:val="00923B18"/>
    <w:rsid w:val="009263CA"/>
    <w:rsid w:val="00926B4C"/>
    <w:rsid w:val="00930843"/>
    <w:rsid w:val="0093128D"/>
    <w:rsid w:val="009314B2"/>
    <w:rsid w:val="00931E34"/>
    <w:rsid w:val="00932862"/>
    <w:rsid w:val="00933E23"/>
    <w:rsid w:val="00934A0F"/>
    <w:rsid w:val="00935B26"/>
    <w:rsid w:val="00937388"/>
    <w:rsid w:val="00937CEA"/>
    <w:rsid w:val="009414AD"/>
    <w:rsid w:val="009434FE"/>
    <w:rsid w:val="00944338"/>
    <w:rsid w:val="00944AD8"/>
    <w:rsid w:val="00944D3B"/>
    <w:rsid w:val="00945181"/>
    <w:rsid w:val="0094544C"/>
    <w:rsid w:val="00946DD7"/>
    <w:rsid w:val="00950675"/>
    <w:rsid w:val="00950B4B"/>
    <w:rsid w:val="00951C5A"/>
    <w:rsid w:val="00952699"/>
    <w:rsid w:val="00952861"/>
    <w:rsid w:val="00953FA3"/>
    <w:rsid w:val="00954130"/>
    <w:rsid w:val="009542DF"/>
    <w:rsid w:val="00954344"/>
    <w:rsid w:val="00954C9F"/>
    <w:rsid w:val="009567C1"/>
    <w:rsid w:val="00961A8D"/>
    <w:rsid w:val="00966803"/>
    <w:rsid w:val="00966FAB"/>
    <w:rsid w:val="00966FBF"/>
    <w:rsid w:val="0096775F"/>
    <w:rsid w:val="009739F4"/>
    <w:rsid w:val="009751DD"/>
    <w:rsid w:val="00975A08"/>
    <w:rsid w:val="00975C80"/>
    <w:rsid w:val="00976CC6"/>
    <w:rsid w:val="00980691"/>
    <w:rsid w:val="00983948"/>
    <w:rsid w:val="009846AC"/>
    <w:rsid w:val="009861EF"/>
    <w:rsid w:val="00986653"/>
    <w:rsid w:val="00986D61"/>
    <w:rsid w:val="00987C43"/>
    <w:rsid w:val="009907C4"/>
    <w:rsid w:val="0099123F"/>
    <w:rsid w:val="00991851"/>
    <w:rsid w:val="00991E89"/>
    <w:rsid w:val="00993ACD"/>
    <w:rsid w:val="0099470A"/>
    <w:rsid w:val="00995DE9"/>
    <w:rsid w:val="009A102C"/>
    <w:rsid w:val="009A11BD"/>
    <w:rsid w:val="009A1858"/>
    <w:rsid w:val="009A3AB9"/>
    <w:rsid w:val="009A4329"/>
    <w:rsid w:val="009A4F5D"/>
    <w:rsid w:val="009A552E"/>
    <w:rsid w:val="009A651D"/>
    <w:rsid w:val="009A7D83"/>
    <w:rsid w:val="009B092B"/>
    <w:rsid w:val="009B12AB"/>
    <w:rsid w:val="009B1E3F"/>
    <w:rsid w:val="009B30D9"/>
    <w:rsid w:val="009B30E4"/>
    <w:rsid w:val="009B40CB"/>
    <w:rsid w:val="009B42E2"/>
    <w:rsid w:val="009B59A6"/>
    <w:rsid w:val="009B63CF"/>
    <w:rsid w:val="009C1C61"/>
    <w:rsid w:val="009C25C1"/>
    <w:rsid w:val="009C42D4"/>
    <w:rsid w:val="009C44E7"/>
    <w:rsid w:val="009C52A2"/>
    <w:rsid w:val="009C6793"/>
    <w:rsid w:val="009C7EFC"/>
    <w:rsid w:val="009D2B05"/>
    <w:rsid w:val="009D2BDD"/>
    <w:rsid w:val="009D3013"/>
    <w:rsid w:val="009D31E9"/>
    <w:rsid w:val="009D38D3"/>
    <w:rsid w:val="009D59BB"/>
    <w:rsid w:val="009E21CD"/>
    <w:rsid w:val="009E32F4"/>
    <w:rsid w:val="009E43A2"/>
    <w:rsid w:val="009E6DE7"/>
    <w:rsid w:val="009E7184"/>
    <w:rsid w:val="009F0346"/>
    <w:rsid w:val="009F1942"/>
    <w:rsid w:val="009F203D"/>
    <w:rsid w:val="009F2159"/>
    <w:rsid w:val="009F6532"/>
    <w:rsid w:val="009F69FD"/>
    <w:rsid w:val="00A01267"/>
    <w:rsid w:val="00A04D02"/>
    <w:rsid w:val="00A06C2C"/>
    <w:rsid w:val="00A06FD4"/>
    <w:rsid w:val="00A0719E"/>
    <w:rsid w:val="00A071CC"/>
    <w:rsid w:val="00A11365"/>
    <w:rsid w:val="00A1273B"/>
    <w:rsid w:val="00A15848"/>
    <w:rsid w:val="00A16FFD"/>
    <w:rsid w:val="00A17680"/>
    <w:rsid w:val="00A21BF8"/>
    <w:rsid w:val="00A23D70"/>
    <w:rsid w:val="00A24A6D"/>
    <w:rsid w:val="00A24EA3"/>
    <w:rsid w:val="00A24F23"/>
    <w:rsid w:val="00A279C4"/>
    <w:rsid w:val="00A32EF2"/>
    <w:rsid w:val="00A33E06"/>
    <w:rsid w:val="00A40BE4"/>
    <w:rsid w:val="00A421EF"/>
    <w:rsid w:val="00A42606"/>
    <w:rsid w:val="00A42AA2"/>
    <w:rsid w:val="00A4779E"/>
    <w:rsid w:val="00A50949"/>
    <w:rsid w:val="00A518AC"/>
    <w:rsid w:val="00A53303"/>
    <w:rsid w:val="00A53F86"/>
    <w:rsid w:val="00A57676"/>
    <w:rsid w:val="00A63F26"/>
    <w:rsid w:val="00A649F0"/>
    <w:rsid w:val="00A66D16"/>
    <w:rsid w:val="00A70DAD"/>
    <w:rsid w:val="00A71088"/>
    <w:rsid w:val="00A723E6"/>
    <w:rsid w:val="00A7272A"/>
    <w:rsid w:val="00A72A86"/>
    <w:rsid w:val="00A73A7F"/>
    <w:rsid w:val="00A74625"/>
    <w:rsid w:val="00A757D7"/>
    <w:rsid w:val="00A75F64"/>
    <w:rsid w:val="00A76E4C"/>
    <w:rsid w:val="00A80AD1"/>
    <w:rsid w:val="00A82AC4"/>
    <w:rsid w:val="00A84BA8"/>
    <w:rsid w:val="00A902B7"/>
    <w:rsid w:val="00A91669"/>
    <w:rsid w:val="00A94A9D"/>
    <w:rsid w:val="00A95945"/>
    <w:rsid w:val="00AA0B59"/>
    <w:rsid w:val="00AA0C80"/>
    <w:rsid w:val="00AA108C"/>
    <w:rsid w:val="00AA11D2"/>
    <w:rsid w:val="00AA1C52"/>
    <w:rsid w:val="00AA44BE"/>
    <w:rsid w:val="00AA4A21"/>
    <w:rsid w:val="00AA6ABF"/>
    <w:rsid w:val="00AA7FFC"/>
    <w:rsid w:val="00AB1A77"/>
    <w:rsid w:val="00AB1ADD"/>
    <w:rsid w:val="00AB2922"/>
    <w:rsid w:val="00AB29AC"/>
    <w:rsid w:val="00AB334B"/>
    <w:rsid w:val="00AB4880"/>
    <w:rsid w:val="00AB578D"/>
    <w:rsid w:val="00AC1184"/>
    <w:rsid w:val="00AC534C"/>
    <w:rsid w:val="00AC5BD1"/>
    <w:rsid w:val="00AC6CF1"/>
    <w:rsid w:val="00AD63BA"/>
    <w:rsid w:val="00AD7449"/>
    <w:rsid w:val="00AD7B46"/>
    <w:rsid w:val="00AE481B"/>
    <w:rsid w:val="00AE4FCE"/>
    <w:rsid w:val="00AE6221"/>
    <w:rsid w:val="00AE735E"/>
    <w:rsid w:val="00AF0A4D"/>
    <w:rsid w:val="00AF2BD8"/>
    <w:rsid w:val="00AF38D2"/>
    <w:rsid w:val="00AF38E0"/>
    <w:rsid w:val="00AF6D71"/>
    <w:rsid w:val="00AF762A"/>
    <w:rsid w:val="00AF7E2B"/>
    <w:rsid w:val="00B00FFB"/>
    <w:rsid w:val="00B0416F"/>
    <w:rsid w:val="00B06FAD"/>
    <w:rsid w:val="00B070AF"/>
    <w:rsid w:val="00B102B2"/>
    <w:rsid w:val="00B1212C"/>
    <w:rsid w:val="00B1511C"/>
    <w:rsid w:val="00B17146"/>
    <w:rsid w:val="00B1720A"/>
    <w:rsid w:val="00B17CD0"/>
    <w:rsid w:val="00B20C95"/>
    <w:rsid w:val="00B21BA5"/>
    <w:rsid w:val="00B30E44"/>
    <w:rsid w:val="00B320FC"/>
    <w:rsid w:val="00B347D5"/>
    <w:rsid w:val="00B360D3"/>
    <w:rsid w:val="00B37671"/>
    <w:rsid w:val="00B405AA"/>
    <w:rsid w:val="00B419E0"/>
    <w:rsid w:val="00B44D4A"/>
    <w:rsid w:val="00B47149"/>
    <w:rsid w:val="00B53C4A"/>
    <w:rsid w:val="00B54DA2"/>
    <w:rsid w:val="00B558B1"/>
    <w:rsid w:val="00B57D35"/>
    <w:rsid w:val="00B61609"/>
    <w:rsid w:val="00B62717"/>
    <w:rsid w:val="00B6452D"/>
    <w:rsid w:val="00B64C47"/>
    <w:rsid w:val="00B65B8C"/>
    <w:rsid w:val="00B66EB3"/>
    <w:rsid w:val="00B6706F"/>
    <w:rsid w:val="00B67395"/>
    <w:rsid w:val="00B67F79"/>
    <w:rsid w:val="00B70A89"/>
    <w:rsid w:val="00B71898"/>
    <w:rsid w:val="00B73035"/>
    <w:rsid w:val="00B73FBC"/>
    <w:rsid w:val="00B75DE1"/>
    <w:rsid w:val="00B75ECF"/>
    <w:rsid w:val="00B76F6B"/>
    <w:rsid w:val="00B774CC"/>
    <w:rsid w:val="00B809BC"/>
    <w:rsid w:val="00B80E47"/>
    <w:rsid w:val="00B8244F"/>
    <w:rsid w:val="00B83FB3"/>
    <w:rsid w:val="00B8443C"/>
    <w:rsid w:val="00B8707A"/>
    <w:rsid w:val="00B870E2"/>
    <w:rsid w:val="00B87137"/>
    <w:rsid w:val="00B90137"/>
    <w:rsid w:val="00B902F2"/>
    <w:rsid w:val="00B905F3"/>
    <w:rsid w:val="00B928D3"/>
    <w:rsid w:val="00B93CDB"/>
    <w:rsid w:val="00B952A7"/>
    <w:rsid w:val="00B96916"/>
    <w:rsid w:val="00B97463"/>
    <w:rsid w:val="00BA10A0"/>
    <w:rsid w:val="00BA12E7"/>
    <w:rsid w:val="00BA3103"/>
    <w:rsid w:val="00BA41C1"/>
    <w:rsid w:val="00BA4E55"/>
    <w:rsid w:val="00BA58E6"/>
    <w:rsid w:val="00BA65AC"/>
    <w:rsid w:val="00BA6B60"/>
    <w:rsid w:val="00BA725A"/>
    <w:rsid w:val="00BA7413"/>
    <w:rsid w:val="00BB1D5A"/>
    <w:rsid w:val="00BB1EE6"/>
    <w:rsid w:val="00BB302B"/>
    <w:rsid w:val="00BB43EC"/>
    <w:rsid w:val="00BC1102"/>
    <w:rsid w:val="00BC18A8"/>
    <w:rsid w:val="00BC482A"/>
    <w:rsid w:val="00BC4918"/>
    <w:rsid w:val="00BC4A00"/>
    <w:rsid w:val="00BC4FFA"/>
    <w:rsid w:val="00BC6319"/>
    <w:rsid w:val="00BC71E0"/>
    <w:rsid w:val="00BD18C3"/>
    <w:rsid w:val="00BD36A1"/>
    <w:rsid w:val="00BD6389"/>
    <w:rsid w:val="00BD6D58"/>
    <w:rsid w:val="00BE2A3A"/>
    <w:rsid w:val="00BE6012"/>
    <w:rsid w:val="00BF78AC"/>
    <w:rsid w:val="00C00364"/>
    <w:rsid w:val="00C0416F"/>
    <w:rsid w:val="00C0483B"/>
    <w:rsid w:val="00C048A1"/>
    <w:rsid w:val="00C05538"/>
    <w:rsid w:val="00C0579A"/>
    <w:rsid w:val="00C05B03"/>
    <w:rsid w:val="00C06595"/>
    <w:rsid w:val="00C10707"/>
    <w:rsid w:val="00C10C0B"/>
    <w:rsid w:val="00C11DE6"/>
    <w:rsid w:val="00C13C44"/>
    <w:rsid w:val="00C1422A"/>
    <w:rsid w:val="00C152C1"/>
    <w:rsid w:val="00C165D6"/>
    <w:rsid w:val="00C20013"/>
    <w:rsid w:val="00C202C6"/>
    <w:rsid w:val="00C208AF"/>
    <w:rsid w:val="00C20ABC"/>
    <w:rsid w:val="00C2213B"/>
    <w:rsid w:val="00C24D95"/>
    <w:rsid w:val="00C3107D"/>
    <w:rsid w:val="00C31368"/>
    <w:rsid w:val="00C32EAB"/>
    <w:rsid w:val="00C32F23"/>
    <w:rsid w:val="00C34261"/>
    <w:rsid w:val="00C3660C"/>
    <w:rsid w:val="00C3728E"/>
    <w:rsid w:val="00C400C7"/>
    <w:rsid w:val="00C4077A"/>
    <w:rsid w:val="00C411E1"/>
    <w:rsid w:val="00C430F3"/>
    <w:rsid w:val="00C46225"/>
    <w:rsid w:val="00C466A3"/>
    <w:rsid w:val="00C47074"/>
    <w:rsid w:val="00C51417"/>
    <w:rsid w:val="00C57C12"/>
    <w:rsid w:val="00C62544"/>
    <w:rsid w:val="00C62AD9"/>
    <w:rsid w:val="00C63043"/>
    <w:rsid w:val="00C64779"/>
    <w:rsid w:val="00C65100"/>
    <w:rsid w:val="00C651B4"/>
    <w:rsid w:val="00C6701C"/>
    <w:rsid w:val="00C71885"/>
    <w:rsid w:val="00C72B43"/>
    <w:rsid w:val="00C73CAA"/>
    <w:rsid w:val="00C74D6F"/>
    <w:rsid w:val="00C75CD5"/>
    <w:rsid w:val="00C76B97"/>
    <w:rsid w:val="00C77B44"/>
    <w:rsid w:val="00C82B46"/>
    <w:rsid w:val="00C82CC7"/>
    <w:rsid w:val="00C83C7A"/>
    <w:rsid w:val="00C840AB"/>
    <w:rsid w:val="00C84C75"/>
    <w:rsid w:val="00C850A6"/>
    <w:rsid w:val="00C86EBB"/>
    <w:rsid w:val="00C9004B"/>
    <w:rsid w:val="00C92251"/>
    <w:rsid w:val="00C941EF"/>
    <w:rsid w:val="00C961E4"/>
    <w:rsid w:val="00C97807"/>
    <w:rsid w:val="00CA2944"/>
    <w:rsid w:val="00CA2C7E"/>
    <w:rsid w:val="00CA3B64"/>
    <w:rsid w:val="00CA432A"/>
    <w:rsid w:val="00CA54E6"/>
    <w:rsid w:val="00CA581A"/>
    <w:rsid w:val="00CA597D"/>
    <w:rsid w:val="00CA735C"/>
    <w:rsid w:val="00CB0BB4"/>
    <w:rsid w:val="00CB22EA"/>
    <w:rsid w:val="00CB33DF"/>
    <w:rsid w:val="00CB4545"/>
    <w:rsid w:val="00CB4682"/>
    <w:rsid w:val="00CC29F7"/>
    <w:rsid w:val="00CC3869"/>
    <w:rsid w:val="00CC5211"/>
    <w:rsid w:val="00CC7758"/>
    <w:rsid w:val="00CD0505"/>
    <w:rsid w:val="00CD16A4"/>
    <w:rsid w:val="00CD1E71"/>
    <w:rsid w:val="00CD2DFC"/>
    <w:rsid w:val="00CD3328"/>
    <w:rsid w:val="00CD44CF"/>
    <w:rsid w:val="00CD52EC"/>
    <w:rsid w:val="00CD5FAE"/>
    <w:rsid w:val="00CD6C91"/>
    <w:rsid w:val="00CD73A1"/>
    <w:rsid w:val="00CD7B63"/>
    <w:rsid w:val="00CD7D53"/>
    <w:rsid w:val="00CE01ED"/>
    <w:rsid w:val="00CE330D"/>
    <w:rsid w:val="00CE6DED"/>
    <w:rsid w:val="00CE6FAB"/>
    <w:rsid w:val="00CF0386"/>
    <w:rsid w:val="00CF34AE"/>
    <w:rsid w:val="00D030D7"/>
    <w:rsid w:val="00D04BDD"/>
    <w:rsid w:val="00D05DDD"/>
    <w:rsid w:val="00D066CA"/>
    <w:rsid w:val="00D07F4E"/>
    <w:rsid w:val="00D10E0D"/>
    <w:rsid w:val="00D17498"/>
    <w:rsid w:val="00D178D2"/>
    <w:rsid w:val="00D2197E"/>
    <w:rsid w:val="00D25AEF"/>
    <w:rsid w:val="00D302DE"/>
    <w:rsid w:val="00D333EF"/>
    <w:rsid w:val="00D3759D"/>
    <w:rsid w:val="00D40045"/>
    <w:rsid w:val="00D405B2"/>
    <w:rsid w:val="00D42342"/>
    <w:rsid w:val="00D437B9"/>
    <w:rsid w:val="00D44FA8"/>
    <w:rsid w:val="00D45521"/>
    <w:rsid w:val="00D45A66"/>
    <w:rsid w:val="00D46EF0"/>
    <w:rsid w:val="00D602B2"/>
    <w:rsid w:val="00D60A07"/>
    <w:rsid w:val="00D60CFD"/>
    <w:rsid w:val="00D61265"/>
    <w:rsid w:val="00D614CA"/>
    <w:rsid w:val="00D6240C"/>
    <w:rsid w:val="00D633DF"/>
    <w:rsid w:val="00D63C82"/>
    <w:rsid w:val="00D64178"/>
    <w:rsid w:val="00D65A19"/>
    <w:rsid w:val="00D66AD4"/>
    <w:rsid w:val="00D70AAB"/>
    <w:rsid w:val="00D71194"/>
    <w:rsid w:val="00D7129D"/>
    <w:rsid w:val="00D7419C"/>
    <w:rsid w:val="00D75028"/>
    <w:rsid w:val="00D761AD"/>
    <w:rsid w:val="00D76A17"/>
    <w:rsid w:val="00D770AD"/>
    <w:rsid w:val="00D77B06"/>
    <w:rsid w:val="00D80693"/>
    <w:rsid w:val="00D818A3"/>
    <w:rsid w:val="00D83380"/>
    <w:rsid w:val="00D8542D"/>
    <w:rsid w:val="00D859F0"/>
    <w:rsid w:val="00D8722D"/>
    <w:rsid w:val="00D93026"/>
    <w:rsid w:val="00D94F96"/>
    <w:rsid w:val="00D958E3"/>
    <w:rsid w:val="00D97DCA"/>
    <w:rsid w:val="00DA14E1"/>
    <w:rsid w:val="00DA28EE"/>
    <w:rsid w:val="00DA28F1"/>
    <w:rsid w:val="00DA5917"/>
    <w:rsid w:val="00DA7AAE"/>
    <w:rsid w:val="00DB2A13"/>
    <w:rsid w:val="00DB39FF"/>
    <w:rsid w:val="00DB481D"/>
    <w:rsid w:val="00DB6D70"/>
    <w:rsid w:val="00DB6E6A"/>
    <w:rsid w:val="00DC05CB"/>
    <w:rsid w:val="00DC1503"/>
    <w:rsid w:val="00DC1844"/>
    <w:rsid w:val="00DC2DBA"/>
    <w:rsid w:val="00DC32C6"/>
    <w:rsid w:val="00DC3334"/>
    <w:rsid w:val="00DC4426"/>
    <w:rsid w:val="00DC47DD"/>
    <w:rsid w:val="00DC6AAE"/>
    <w:rsid w:val="00DC6B9B"/>
    <w:rsid w:val="00DC6F6E"/>
    <w:rsid w:val="00DC7E59"/>
    <w:rsid w:val="00DD0890"/>
    <w:rsid w:val="00DD0CD2"/>
    <w:rsid w:val="00DD29B1"/>
    <w:rsid w:val="00DD3896"/>
    <w:rsid w:val="00DD3F67"/>
    <w:rsid w:val="00DD77F9"/>
    <w:rsid w:val="00DD7C0E"/>
    <w:rsid w:val="00DD7D0D"/>
    <w:rsid w:val="00DE1599"/>
    <w:rsid w:val="00DE3484"/>
    <w:rsid w:val="00DE5568"/>
    <w:rsid w:val="00DE5F9E"/>
    <w:rsid w:val="00DE60A9"/>
    <w:rsid w:val="00DE61A2"/>
    <w:rsid w:val="00DE6C80"/>
    <w:rsid w:val="00DF063B"/>
    <w:rsid w:val="00DF082E"/>
    <w:rsid w:val="00DF1C95"/>
    <w:rsid w:val="00DF3BCF"/>
    <w:rsid w:val="00DF4B72"/>
    <w:rsid w:val="00E01A40"/>
    <w:rsid w:val="00E02BDC"/>
    <w:rsid w:val="00E0330B"/>
    <w:rsid w:val="00E063EB"/>
    <w:rsid w:val="00E06BC1"/>
    <w:rsid w:val="00E06C5B"/>
    <w:rsid w:val="00E1034F"/>
    <w:rsid w:val="00E1109F"/>
    <w:rsid w:val="00E160C5"/>
    <w:rsid w:val="00E178D3"/>
    <w:rsid w:val="00E20D74"/>
    <w:rsid w:val="00E23D3E"/>
    <w:rsid w:val="00E24756"/>
    <w:rsid w:val="00E27D91"/>
    <w:rsid w:val="00E31E64"/>
    <w:rsid w:val="00E32067"/>
    <w:rsid w:val="00E322D5"/>
    <w:rsid w:val="00E34747"/>
    <w:rsid w:val="00E34E6A"/>
    <w:rsid w:val="00E357D4"/>
    <w:rsid w:val="00E409DD"/>
    <w:rsid w:val="00E40A1F"/>
    <w:rsid w:val="00E41B98"/>
    <w:rsid w:val="00E4341C"/>
    <w:rsid w:val="00E44BFC"/>
    <w:rsid w:val="00E47DA2"/>
    <w:rsid w:val="00E506BB"/>
    <w:rsid w:val="00E524FF"/>
    <w:rsid w:val="00E55C34"/>
    <w:rsid w:val="00E6084B"/>
    <w:rsid w:val="00E60F08"/>
    <w:rsid w:val="00E63E1C"/>
    <w:rsid w:val="00E6443C"/>
    <w:rsid w:val="00E64675"/>
    <w:rsid w:val="00E66ED5"/>
    <w:rsid w:val="00E73ED9"/>
    <w:rsid w:val="00E75728"/>
    <w:rsid w:val="00E827DB"/>
    <w:rsid w:val="00E82CDE"/>
    <w:rsid w:val="00E830F8"/>
    <w:rsid w:val="00E8319D"/>
    <w:rsid w:val="00E904BC"/>
    <w:rsid w:val="00E91DA8"/>
    <w:rsid w:val="00E92927"/>
    <w:rsid w:val="00E93286"/>
    <w:rsid w:val="00E93442"/>
    <w:rsid w:val="00E93501"/>
    <w:rsid w:val="00E93A81"/>
    <w:rsid w:val="00E93CCB"/>
    <w:rsid w:val="00E93D3B"/>
    <w:rsid w:val="00E9602C"/>
    <w:rsid w:val="00E96B25"/>
    <w:rsid w:val="00E97083"/>
    <w:rsid w:val="00EA047E"/>
    <w:rsid w:val="00EA0942"/>
    <w:rsid w:val="00EA1A38"/>
    <w:rsid w:val="00EA4F16"/>
    <w:rsid w:val="00EA5E26"/>
    <w:rsid w:val="00EB2981"/>
    <w:rsid w:val="00EB5068"/>
    <w:rsid w:val="00EB6CC4"/>
    <w:rsid w:val="00EB6DC3"/>
    <w:rsid w:val="00EB6E37"/>
    <w:rsid w:val="00EC049D"/>
    <w:rsid w:val="00EC1540"/>
    <w:rsid w:val="00EC1CB6"/>
    <w:rsid w:val="00EC1DF9"/>
    <w:rsid w:val="00EC3A1D"/>
    <w:rsid w:val="00EC4F9E"/>
    <w:rsid w:val="00EC64F8"/>
    <w:rsid w:val="00EC662B"/>
    <w:rsid w:val="00EC6A54"/>
    <w:rsid w:val="00EC7AEF"/>
    <w:rsid w:val="00ED13DF"/>
    <w:rsid w:val="00ED423E"/>
    <w:rsid w:val="00EE1ACB"/>
    <w:rsid w:val="00EE3D1D"/>
    <w:rsid w:val="00EE7C1F"/>
    <w:rsid w:val="00EF1DA4"/>
    <w:rsid w:val="00EF3722"/>
    <w:rsid w:val="00EF6A9F"/>
    <w:rsid w:val="00EF6C57"/>
    <w:rsid w:val="00EF7737"/>
    <w:rsid w:val="00EF7BC1"/>
    <w:rsid w:val="00F011F9"/>
    <w:rsid w:val="00F01226"/>
    <w:rsid w:val="00F01EA2"/>
    <w:rsid w:val="00F02D58"/>
    <w:rsid w:val="00F13A4B"/>
    <w:rsid w:val="00F14CB3"/>
    <w:rsid w:val="00F20405"/>
    <w:rsid w:val="00F20779"/>
    <w:rsid w:val="00F2136A"/>
    <w:rsid w:val="00F22F1D"/>
    <w:rsid w:val="00F23977"/>
    <w:rsid w:val="00F27465"/>
    <w:rsid w:val="00F279CD"/>
    <w:rsid w:val="00F308C4"/>
    <w:rsid w:val="00F30F22"/>
    <w:rsid w:val="00F314D2"/>
    <w:rsid w:val="00F31BD7"/>
    <w:rsid w:val="00F32DB4"/>
    <w:rsid w:val="00F402BA"/>
    <w:rsid w:val="00F40C04"/>
    <w:rsid w:val="00F421C1"/>
    <w:rsid w:val="00F45509"/>
    <w:rsid w:val="00F47F12"/>
    <w:rsid w:val="00F521E7"/>
    <w:rsid w:val="00F524C4"/>
    <w:rsid w:val="00F55A49"/>
    <w:rsid w:val="00F56351"/>
    <w:rsid w:val="00F57D48"/>
    <w:rsid w:val="00F63876"/>
    <w:rsid w:val="00F63935"/>
    <w:rsid w:val="00F63D8F"/>
    <w:rsid w:val="00F64FAD"/>
    <w:rsid w:val="00F652C5"/>
    <w:rsid w:val="00F65FB8"/>
    <w:rsid w:val="00F71B6A"/>
    <w:rsid w:val="00F71E8F"/>
    <w:rsid w:val="00F74170"/>
    <w:rsid w:val="00F75031"/>
    <w:rsid w:val="00F76657"/>
    <w:rsid w:val="00F77FC1"/>
    <w:rsid w:val="00F81938"/>
    <w:rsid w:val="00F823B7"/>
    <w:rsid w:val="00F8256C"/>
    <w:rsid w:val="00F8401C"/>
    <w:rsid w:val="00F84995"/>
    <w:rsid w:val="00F905BF"/>
    <w:rsid w:val="00F90885"/>
    <w:rsid w:val="00F915C4"/>
    <w:rsid w:val="00F918B0"/>
    <w:rsid w:val="00F94C64"/>
    <w:rsid w:val="00F94D28"/>
    <w:rsid w:val="00F95D53"/>
    <w:rsid w:val="00F97436"/>
    <w:rsid w:val="00FA0442"/>
    <w:rsid w:val="00FB0E01"/>
    <w:rsid w:val="00FB0F9B"/>
    <w:rsid w:val="00FB2360"/>
    <w:rsid w:val="00FB2920"/>
    <w:rsid w:val="00FB2E4A"/>
    <w:rsid w:val="00FB3073"/>
    <w:rsid w:val="00FB33AA"/>
    <w:rsid w:val="00FB3DD5"/>
    <w:rsid w:val="00FB6965"/>
    <w:rsid w:val="00FB75C5"/>
    <w:rsid w:val="00FC0A1E"/>
    <w:rsid w:val="00FC2109"/>
    <w:rsid w:val="00FC3229"/>
    <w:rsid w:val="00FC4312"/>
    <w:rsid w:val="00FC479F"/>
    <w:rsid w:val="00FD1A54"/>
    <w:rsid w:val="00FD1FDE"/>
    <w:rsid w:val="00FD329D"/>
    <w:rsid w:val="00FD717B"/>
    <w:rsid w:val="00FE1138"/>
    <w:rsid w:val="00FE113F"/>
    <w:rsid w:val="00FE4A2F"/>
    <w:rsid w:val="00FE6B12"/>
    <w:rsid w:val="00FE7F83"/>
    <w:rsid w:val="00FF1E2E"/>
    <w:rsid w:val="00FF24F6"/>
    <w:rsid w:val="00FF33F0"/>
    <w:rsid w:val="00FF5FE7"/>
    <w:rsid w:val="00FF72D6"/>
    <w:rsid w:val="01062221"/>
    <w:rsid w:val="015168D4"/>
    <w:rsid w:val="0163731D"/>
    <w:rsid w:val="01EB446E"/>
    <w:rsid w:val="01FF7B3D"/>
    <w:rsid w:val="02062742"/>
    <w:rsid w:val="02266BA9"/>
    <w:rsid w:val="02551C51"/>
    <w:rsid w:val="02657F74"/>
    <w:rsid w:val="026E698A"/>
    <w:rsid w:val="028F01C3"/>
    <w:rsid w:val="029132FA"/>
    <w:rsid w:val="02AD4894"/>
    <w:rsid w:val="02CA6C2D"/>
    <w:rsid w:val="02DC0874"/>
    <w:rsid w:val="030440EC"/>
    <w:rsid w:val="030A0BE6"/>
    <w:rsid w:val="03137B49"/>
    <w:rsid w:val="034C54A3"/>
    <w:rsid w:val="035417E0"/>
    <w:rsid w:val="038366F5"/>
    <w:rsid w:val="03900297"/>
    <w:rsid w:val="039C0636"/>
    <w:rsid w:val="03A437B0"/>
    <w:rsid w:val="0420101B"/>
    <w:rsid w:val="04267315"/>
    <w:rsid w:val="04322D48"/>
    <w:rsid w:val="047339F9"/>
    <w:rsid w:val="04B067FA"/>
    <w:rsid w:val="04B5503C"/>
    <w:rsid w:val="04C15C8D"/>
    <w:rsid w:val="04C73555"/>
    <w:rsid w:val="04F96746"/>
    <w:rsid w:val="04FE74C6"/>
    <w:rsid w:val="05187FA9"/>
    <w:rsid w:val="053416B5"/>
    <w:rsid w:val="05457B0D"/>
    <w:rsid w:val="054B72C0"/>
    <w:rsid w:val="057D25E3"/>
    <w:rsid w:val="057E16D6"/>
    <w:rsid w:val="05896517"/>
    <w:rsid w:val="05E448C1"/>
    <w:rsid w:val="05E47EB1"/>
    <w:rsid w:val="05E659E4"/>
    <w:rsid w:val="05F84BCD"/>
    <w:rsid w:val="0618582E"/>
    <w:rsid w:val="061B40BC"/>
    <w:rsid w:val="061C1E57"/>
    <w:rsid w:val="062B071E"/>
    <w:rsid w:val="064A32E0"/>
    <w:rsid w:val="06AF45A5"/>
    <w:rsid w:val="06ED7A2E"/>
    <w:rsid w:val="07344590"/>
    <w:rsid w:val="073A773D"/>
    <w:rsid w:val="07571308"/>
    <w:rsid w:val="07682B4A"/>
    <w:rsid w:val="077D1708"/>
    <w:rsid w:val="07DB1E0E"/>
    <w:rsid w:val="07ED14FC"/>
    <w:rsid w:val="08272E9F"/>
    <w:rsid w:val="083E41E1"/>
    <w:rsid w:val="083F2668"/>
    <w:rsid w:val="085040DF"/>
    <w:rsid w:val="086460D1"/>
    <w:rsid w:val="086A598C"/>
    <w:rsid w:val="0884054F"/>
    <w:rsid w:val="08914353"/>
    <w:rsid w:val="08A64BF3"/>
    <w:rsid w:val="08C37522"/>
    <w:rsid w:val="08FB447E"/>
    <w:rsid w:val="09063B46"/>
    <w:rsid w:val="091E5010"/>
    <w:rsid w:val="093422FA"/>
    <w:rsid w:val="09586381"/>
    <w:rsid w:val="09845756"/>
    <w:rsid w:val="09904037"/>
    <w:rsid w:val="09C83A53"/>
    <w:rsid w:val="09F275CE"/>
    <w:rsid w:val="0A8436EB"/>
    <w:rsid w:val="0AA54876"/>
    <w:rsid w:val="0ADF0316"/>
    <w:rsid w:val="0AF72A7C"/>
    <w:rsid w:val="0B017318"/>
    <w:rsid w:val="0B0E575A"/>
    <w:rsid w:val="0B122EBE"/>
    <w:rsid w:val="0B186B9C"/>
    <w:rsid w:val="0B20501C"/>
    <w:rsid w:val="0B3108C7"/>
    <w:rsid w:val="0B8C72B9"/>
    <w:rsid w:val="0BAF391E"/>
    <w:rsid w:val="0BB842EB"/>
    <w:rsid w:val="0BE37A8B"/>
    <w:rsid w:val="0C017020"/>
    <w:rsid w:val="0C52127F"/>
    <w:rsid w:val="0C5225E2"/>
    <w:rsid w:val="0C5239CF"/>
    <w:rsid w:val="0C626747"/>
    <w:rsid w:val="0C6541CE"/>
    <w:rsid w:val="0C944546"/>
    <w:rsid w:val="0CAB379C"/>
    <w:rsid w:val="0CCE44E1"/>
    <w:rsid w:val="0D3222E4"/>
    <w:rsid w:val="0D6B7147"/>
    <w:rsid w:val="0D75053A"/>
    <w:rsid w:val="0D807F46"/>
    <w:rsid w:val="0D97167E"/>
    <w:rsid w:val="0E0C17EA"/>
    <w:rsid w:val="0E1B2CD2"/>
    <w:rsid w:val="0E292FEA"/>
    <w:rsid w:val="0E512C11"/>
    <w:rsid w:val="0E534127"/>
    <w:rsid w:val="0E725375"/>
    <w:rsid w:val="0E9065D3"/>
    <w:rsid w:val="0EED06A2"/>
    <w:rsid w:val="0F2E3582"/>
    <w:rsid w:val="0F355DFC"/>
    <w:rsid w:val="0F3A5D3E"/>
    <w:rsid w:val="0F7816AE"/>
    <w:rsid w:val="0F7A17F9"/>
    <w:rsid w:val="0F7E3B9F"/>
    <w:rsid w:val="0F8B3D80"/>
    <w:rsid w:val="0FA004C4"/>
    <w:rsid w:val="0FC06D8C"/>
    <w:rsid w:val="0FC7336B"/>
    <w:rsid w:val="0FE37E5C"/>
    <w:rsid w:val="10A077EC"/>
    <w:rsid w:val="10A10587"/>
    <w:rsid w:val="10C00D1B"/>
    <w:rsid w:val="10E7753B"/>
    <w:rsid w:val="10F70B4F"/>
    <w:rsid w:val="110F602B"/>
    <w:rsid w:val="11576782"/>
    <w:rsid w:val="115B5D49"/>
    <w:rsid w:val="117D0F6D"/>
    <w:rsid w:val="11810B5F"/>
    <w:rsid w:val="11911E82"/>
    <w:rsid w:val="11B673DA"/>
    <w:rsid w:val="11C70797"/>
    <w:rsid w:val="11D9126D"/>
    <w:rsid w:val="120D6561"/>
    <w:rsid w:val="123755E1"/>
    <w:rsid w:val="12495E52"/>
    <w:rsid w:val="12645F1D"/>
    <w:rsid w:val="12944602"/>
    <w:rsid w:val="12C15CFE"/>
    <w:rsid w:val="12CA4241"/>
    <w:rsid w:val="12DB57C3"/>
    <w:rsid w:val="133C30F1"/>
    <w:rsid w:val="134341F5"/>
    <w:rsid w:val="13437237"/>
    <w:rsid w:val="137417FB"/>
    <w:rsid w:val="13AA6755"/>
    <w:rsid w:val="13AD2256"/>
    <w:rsid w:val="13B37C34"/>
    <w:rsid w:val="140D03DF"/>
    <w:rsid w:val="141476C6"/>
    <w:rsid w:val="1415578E"/>
    <w:rsid w:val="141D2FC3"/>
    <w:rsid w:val="145C13DE"/>
    <w:rsid w:val="145D6918"/>
    <w:rsid w:val="1466238B"/>
    <w:rsid w:val="148523A2"/>
    <w:rsid w:val="149D048E"/>
    <w:rsid w:val="14AC066D"/>
    <w:rsid w:val="14B211FA"/>
    <w:rsid w:val="14C7348A"/>
    <w:rsid w:val="150B3B99"/>
    <w:rsid w:val="15240FC1"/>
    <w:rsid w:val="152F140E"/>
    <w:rsid w:val="158075BF"/>
    <w:rsid w:val="15B515B5"/>
    <w:rsid w:val="15CC4578"/>
    <w:rsid w:val="15D113F4"/>
    <w:rsid w:val="15EB52F5"/>
    <w:rsid w:val="15ED6725"/>
    <w:rsid w:val="16674C57"/>
    <w:rsid w:val="16AB070C"/>
    <w:rsid w:val="16E2571D"/>
    <w:rsid w:val="16E35FB8"/>
    <w:rsid w:val="16F645CA"/>
    <w:rsid w:val="17AA2460"/>
    <w:rsid w:val="17D00F93"/>
    <w:rsid w:val="17D27064"/>
    <w:rsid w:val="17D95DEE"/>
    <w:rsid w:val="17DF2AD9"/>
    <w:rsid w:val="181B5808"/>
    <w:rsid w:val="18406C3F"/>
    <w:rsid w:val="184436C8"/>
    <w:rsid w:val="187E73EB"/>
    <w:rsid w:val="18A42F91"/>
    <w:rsid w:val="18A85C05"/>
    <w:rsid w:val="18DC6585"/>
    <w:rsid w:val="18F72F81"/>
    <w:rsid w:val="19011429"/>
    <w:rsid w:val="195A3ABA"/>
    <w:rsid w:val="196C7844"/>
    <w:rsid w:val="19DF2052"/>
    <w:rsid w:val="19E27320"/>
    <w:rsid w:val="1A003BE4"/>
    <w:rsid w:val="1A155821"/>
    <w:rsid w:val="1A8C6254"/>
    <w:rsid w:val="1AC51981"/>
    <w:rsid w:val="1AD10754"/>
    <w:rsid w:val="1ADB2CD2"/>
    <w:rsid w:val="1B201EEE"/>
    <w:rsid w:val="1B2E6652"/>
    <w:rsid w:val="1B937375"/>
    <w:rsid w:val="1B9B4F86"/>
    <w:rsid w:val="1B9F7F74"/>
    <w:rsid w:val="1BB20ACC"/>
    <w:rsid w:val="1BB5254E"/>
    <w:rsid w:val="1BB54E2B"/>
    <w:rsid w:val="1BEF0010"/>
    <w:rsid w:val="1C090E37"/>
    <w:rsid w:val="1C231FFD"/>
    <w:rsid w:val="1C2C1561"/>
    <w:rsid w:val="1C5966FC"/>
    <w:rsid w:val="1CA13522"/>
    <w:rsid w:val="1CA81597"/>
    <w:rsid w:val="1D014138"/>
    <w:rsid w:val="1D1604B0"/>
    <w:rsid w:val="1D75144A"/>
    <w:rsid w:val="1D7C7282"/>
    <w:rsid w:val="1D9F4564"/>
    <w:rsid w:val="1DA14A07"/>
    <w:rsid w:val="1DD90B9C"/>
    <w:rsid w:val="1DF6142E"/>
    <w:rsid w:val="1E631417"/>
    <w:rsid w:val="1E8D6458"/>
    <w:rsid w:val="1E921591"/>
    <w:rsid w:val="1E9D1B8E"/>
    <w:rsid w:val="1EA43ED3"/>
    <w:rsid w:val="1EB47BB3"/>
    <w:rsid w:val="1EFC2518"/>
    <w:rsid w:val="1F156CCC"/>
    <w:rsid w:val="1F302121"/>
    <w:rsid w:val="1F38171E"/>
    <w:rsid w:val="1F401602"/>
    <w:rsid w:val="1F4366BD"/>
    <w:rsid w:val="1F793959"/>
    <w:rsid w:val="1F8B4E63"/>
    <w:rsid w:val="1FCF3C6C"/>
    <w:rsid w:val="1FDC35CD"/>
    <w:rsid w:val="1FF60A13"/>
    <w:rsid w:val="200B49D1"/>
    <w:rsid w:val="200F0EB1"/>
    <w:rsid w:val="202C5074"/>
    <w:rsid w:val="20332EC1"/>
    <w:rsid w:val="205F33EA"/>
    <w:rsid w:val="206A50CE"/>
    <w:rsid w:val="20834206"/>
    <w:rsid w:val="209D5B5E"/>
    <w:rsid w:val="20A47F08"/>
    <w:rsid w:val="20AB3CF1"/>
    <w:rsid w:val="20C76FDB"/>
    <w:rsid w:val="211225E2"/>
    <w:rsid w:val="21213CB1"/>
    <w:rsid w:val="21427E1B"/>
    <w:rsid w:val="21742C3E"/>
    <w:rsid w:val="21B62526"/>
    <w:rsid w:val="21BB601D"/>
    <w:rsid w:val="221F19BD"/>
    <w:rsid w:val="22300E88"/>
    <w:rsid w:val="22880DC4"/>
    <w:rsid w:val="22A62471"/>
    <w:rsid w:val="22CF03CF"/>
    <w:rsid w:val="22D372A5"/>
    <w:rsid w:val="23084603"/>
    <w:rsid w:val="231A181A"/>
    <w:rsid w:val="235A3876"/>
    <w:rsid w:val="239A4E4F"/>
    <w:rsid w:val="23B875FE"/>
    <w:rsid w:val="24154B34"/>
    <w:rsid w:val="241C65CB"/>
    <w:rsid w:val="2420226A"/>
    <w:rsid w:val="24503199"/>
    <w:rsid w:val="24866257"/>
    <w:rsid w:val="24B56373"/>
    <w:rsid w:val="24C2384F"/>
    <w:rsid w:val="24CB5103"/>
    <w:rsid w:val="24E80756"/>
    <w:rsid w:val="252466BE"/>
    <w:rsid w:val="252929EF"/>
    <w:rsid w:val="252B6DDB"/>
    <w:rsid w:val="25713DAE"/>
    <w:rsid w:val="25802EC3"/>
    <w:rsid w:val="25952CA1"/>
    <w:rsid w:val="259C3B39"/>
    <w:rsid w:val="25A378E4"/>
    <w:rsid w:val="25CB7DED"/>
    <w:rsid w:val="25E12F48"/>
    <w:rsid w:val="261F05BB"/>
    <w:rsid w:val="2643663F"/>
    <w:rsid w:val="265968AA"/>
    <w:rsid w:val="26763D50"/>
    <w:rsid w:val="26D45F87"/>
    <w:rsid w:val="26E951F8"/>
    <w:rsid w:val="27092B33"/>
    <w:rsid w:val="2713695B"/>
    <w:rsid w:val="27432B9D"/>
    <w:rsid w:val="27BB18BF"/>
    <w:rsid w:val="27CA2F6F"/>
    <w:rsid w:val="27F47C0E"/>
    <w:rsid w:val="27F72B50"/>
    <w:rsid w:val="28000E59"/>
    <w:rsid w:val="280406EC"/>
    <w:rsid w:val="28044B2D"/>
    <w:rsid w:val="28097EA4"/>
    <w:rsid w:val="28200C38"/>
    <w:rsid w:val="28295801"/>
    <w:rsid w:val="282C396C"/>
    <w:rsid w:val="28384E21"/>
    <w:rsid w:val="285F6236"/>
    <w:rsid w:val="288F65DA"/>
    <w:rsid w:val="28A35BF2"/>
    <w:rsid w:val="28A579D4"/>
    <w:rsid w:val="28BB1E9C"/>
    <w:rsid w:val="28BB7DB5"/>
    <w:rsid w:val="2907490E"/>
    <w:rsid w:val="29675C26"/>
    <w:rsid w:val="299A73EC"/>
    <w:rsid w:val="29A80BDF"/>
    <w:rsid w:val="29AF019B"/>
    <w:rsid w:val="29BB1CF0"/>
    <w:rsid w:val="29CE150F"/>
    <w:rsid w:val="29E816A8"/>
    <w:rsid w:val="29FC1C4B"/>
    <w:rsid w:val="2A131067"/>
    <w:rsid w:val="2A5658ED"/>
    <w:rsid w:val="2A7D7D99"/>
    <w:rsid w:val="2ADC249B"/>
    <w:rsid w:val="2B316BCB"/>
    <w:rsid w:val="2B461C67"/>
    <w:rsid w:val="2B6A4D02"/>
    <w:rsid w:val="2B9164CD"/>
    <w:rsid w:val="2BC2634A"/>
    <w:rsid w:val="2BD204AE"/>
    <w:rsid w:val="2BE24B50"/>
    <w:rsid w:val="2BF645DB"/>
    <w:rsid w:val="2BFA527A"/>
    <w:rsid w:val="2C1500FC"/>
    <w:rsid w:val="2C530529"/>
    <w:rsid w:val="2C53598A"/>
    <w:rsid w:val="2C54545C"/>
    <w:rsid w:val="2C5D348C"/>
    <w:rsid w:val="2C6C2D89"/>
    <w:rsid w:val="2C7B066B"/>
    <w:rsid w:val="2CD20ADC"/>
    <w:rsid w:val="2CDE1EEF"/>
    <w:rsid w:val="2CDE4211"/>
    <w:rsid w:val="2D0C580D"/>
    <w:rsid w:val="2D2F5D15"/>
    <w:rsid w:val="2D346089"/>
    <w:rsid w:val="2D9055B5"/>
    <w:rsid w:val="2D9622B9"/>
    <w:rsid w:val="2DBD5E7A"/>
    <w:rsid w:val="2DE84CB4"/>
    <w:rsid w:val="2DED5720"/>
    <w:rsid w:val="2DF179E3"/>
    <w:rsid w:val="2E0E3C1D"/>
    <w:rsid w:val="2E253F37"/>
    <w:rsid w:val="2E660B85"/>
    <w:rsid w:val="2E8E269D"/>
    <w:rsid w:val="2ED12B52"/>
    <w:rsid w:val="2F083383"/>
    <w:rsid w:val="2F2F3556"/>
    <w:rsid w:val="2F72330B"/>
    <w:rsid w:val="2FA529CB"/>
    <w:rsid w:val="2FE40627"/>
    <w:rsid w:val="2FF35154"/>
    <w:rsid w:val="302B3178"/>
    <w:rsid w:val="306F435A"/>
    <w:rsid w:val="30A026F6"/>
    <w:rsid w:val="30A92DF6"/>
    <w:rsid w:val="30B149ED"/>
    <w:rsid w:val="30E52DCE"/>
    <w:rsid w:val="30F45B00"/>
    <w:rsid w:val="31025457"/>
    <w:rsid w:val="311637D1"/>
    <w:rsid w:val="31221FD7"/>
    <w:rsid w:val="31371D57"/>
    <w:rsid w:val="31404F12"/>
    <w:rsid w:val="314B3599"/>
    <w:rsid w:val="315011C5"/>
    <w:rsid w:val="3160019A"/>
    <w:rsid w:val="31927345"/>
    <w:rsid w:val="31B04F01"/>
    <w:rsid w:val="31D418E1"/>
    <w:rsid w:val="31E461A6"/>
    <w:rsid w:val="31FC68F7"/>
    <w:rsid w:val="32045388"/>
    <w:rsid w:val="321A6AC4"/>
    <w:rsid w:val="3231326E"/>
    <w:rsid w:val="323E0EFD"/>
    <w:rsid w:val="32851814"/>
    <w:rsid w:val="32C97755"/>
    <w:rsid w:val="32DD7B88"/>
    <w:rsid w:val="3336616B"/>
    <w:rsid w:val="333D107F"/>
    <w:rsid w:val="33630C19"/>
    <w:rsid w:val="33706FCB"/>
    <w:rsid w:val="339B68B0"/>
    <w:rsid w:val="33AD6D29"/>
    <w:rsid w:val="33DC08A0"/>
    <w:rsid w:val="33F3432C"/>
    <w:rsid w:val="340C2335"/>
    <w:rsid w:val="34274426"/>
    <w:rsid w:val="342C5181"/>
    <w:rsid w:val="342F52CF"/>
    <w:rsid w:val="348430A5"/>
    <w:rsid w:val="34A80006"/>
    <w:rsid w:val="34A91841"/>
    <w:rsid w:val="350F624C"/>
    <w:rsid w:val="351F6355"/>
    <w:rsid w:val="352424B3"/>
    <w:rsid w:val="355C4D81"/>
    <w:rsid w:val="355F0C53"/>
    <w:rsid w:val="357F0CEF"/>
    <w:rsid w:val="35975193"/>
    <w:rsid w:val="35A269CD"/>
    <w:rsid w:val="35B52F1A"/>
    <w:rsid w:val="35D34278"/>
    <w:rsid w:val="35D43C78"/>
    <w:rsid w:val="35E40635"/>
    <w:rsid w:val="361C6F45"/>
    <w:rsid w:val="362460E8"/>
    <w:rsid w:val="363226F2"/>
    <w:rsid w:val="363C0CE0"/>
    <w:rsid w:val="36590E74"/>
    <w:rsid w:val="366D1EA7"/>
    <w:rsid w:val="369741DB"/>
    <w:rsid w:val="369D59B9"/>
    <w:rsid w:val="36C94918"/>
    <w:rsid w:val="36EE41BF"/>
    <w:rsid w:val="372D1FB4"/>
    <w:rsid w:val="37377A36"/>
    <w:rsid w:val="37451195"/>
    <w:rsid w:val="375D70B9"/>
    <w:rsid w:val="37617265"/>
    <w:rsid w:val="376A2E25"/>
    <w:rsid w:val="379770E6"/>
    <w:rsid w:val="37C70C29"/>
    <w:rsid w:val="37E76F39"/>
    <w:rsid w:val="38040E8F"/>
    <w:rsid w:val="38092458"/>
    <w:rsid w:val="383330AB"/>
    <w:rsid w:val="388C36DF"/>
    <w:rsid w:val="38A2012C"/>
    <w:rsid w:val="38B82BA8"/>
    <w:rsid w:val="38CD6970"/>
    <w:rsid w:val="38F958DF"/>
    <w:rsid w:val="39132B6E"/>
    <w:rsid w:val="39644AAC"/>
    <w:rsid w:val="39734374"/>
    <w:rsid w:val="39805DDA"/>
    <w:rsid w:val="39A14B16"/>
    <w:rsid w:val="39DD5477"/>
    <w:rsid w:val="3A073FA1"/>
    <w:rsid w:val="3A07781C"/>
    <w:rsid w:val="3A470BF5"/>
    <w:rsid w:val="3A650541"/>
    <w:rsid w:val="3A8131C5"/>
    <w:rsid w:val="3A873A4D"/>
    <w:rsid w:val="3A8E52EF"/>
    <w:rsid w:val="3A9C705E"/>
    <w:rsid w:val="3AAB59D9"/>
    <w:rsid w:val="3AB53A3B"/>
    <w:rsid w:val="3AD018F7"/>
    <w:rsid w:val="3AE95AF4"/>
    <w:rsid w:val="3B002A8E"/>
    <w:rsid w:val="3B182639"/>
    <w:rsid w:val="3B241964"/>
    <w:rsid w:val="3B270FFA"/>
    <w:rsid w:val="3B36000F"/>
    <w:rsid w:val="3B420D6B"/>
    <w:rsid w:val="3B4234E4"/>
    <w:rsid w:val="3B4535B3"/>
    <w:rsid w:val="3B4E4503"/>
    <w:rsid w:val="3B613DC0"/>
    <w:rsid w:val="3B6F6B0C"/>
    <w:rsid w:val="3B7B35C7"/>
    <w:rsid w:val="3BA85192"/>
    <w:rsid w:val="3BBA3C89"/>
    <w:rsid w:val="3BBA79EC"/>
    <w:rsid w:val="3BCF2ACB"/>
    <w:rsid w:val="3BD03A2F"/>
    <w:rsid w:val="3C130E56"/>
    <w:rsid w:val="3C160AE3"/>
    <w:rsid w:val="3C1B66EC"/>
    <w:rsid w:val="3C67092A"/>
    <w:rsid w:val="3CA259E8"/>
    <w:rsid w:val="3CC356A5"/>
    <w:rsid w:val="3CFF2C79"/>
    <w:rsid w:val="3CFF76EE"/>
    <w:rsid w:val="3D1300D3"/>
    <w:rsid w:val="3D1E07B9"/>
    <w:rsid w:val="3D1E1E25"/>
    <w:rsid w:val="3D556F78"/>
    <w:rsid w:val="3D644A2C"/>
    <w:rsid w:val="3D697EFC"/>
    <w:rsid w:val="3D774E98"/>
    <w:rsid w:val="3D79684D"/>
    <w:rsid w:val="3DE2644A"/>
    <w:rsid w:val="3DE6075E"/>
    <w:rsid w:val="3E0A092E"/>
    <w:rsid w:val="3E262061"/>
    <w:rsid w:val="3E3E6503"/>
    <w:rsid w:val="3E5F5D92"/>
    <w:rsid w:val="3E822B6E"/>
    <w:rsid w:val="3E8777FA"/>
    <w:rsid w:val="3E9772D9"/>
    <w:rsid w:val="3EA15B00"/>
    <w:rsid w:val="3EA964E8"/>
    <w:rsid w:val="3EAA6C0A"/>
    <w:rsid w:val="3F2872CB"/>
    <w:rsid w:val="3F2C14A7"/>
    <w:rsid w:val="3F2F7EAE"/>
    <w:rsid w:val="3F4D5BC9"/>
    <w:rsid w:val="3F7C1A00"/>
    <w:rsid w:val="3F9009BA"/>
    <w:rsid w:val="3F95790A"/>
    <w:rsid w:val="3F9D6FD2"/>
    <w:rsid w:val="3FC85B57"/>
    <w:rsid w:val="3FDB2DA0"/>
    <w:rsid w:val="3FEA0FD4"/>
    <w:rsid w:val="3FEB5EFC"/>
    <w:rsid w:val="3FFB2426"/>
    <w:rsid w:val="40167FAA"/>
    <w:rsid w:val="40330FBB"/>
    <w:rsid w:val="404F4100"/>
    <w:rsid w:val="406354F8"/>
    <w:rsid w:val="4063750E"/>
    <w:rsid w:val="408175D7"/>
    <w:rsid w:val="409B25A4"/>
    <w:rsid w:val="40AA547D"/>
    <w:rsid w:val="40B91F53"/>
    <w:rsid w:val="40BD73E0"/>
    <w:rsid w:val="40C87A36"/>
    <w:rsid w:val="40D36A85"/>
    <w:rsid w:val="40D433B5"/>
    <w:rsid w:val="40D755AD"/>
    <w:rsid w:val="41044BDC"/>
    <w:rsid w:val="41177CAD"/>
    <w:rsid w:val="412B4C01"/>
    <w:rsid w:val="41694ED5"/>
    <w:rsid w:val="41810E66"/>
    <w:rsid w:val="41950B85"/>
    <w:rsid w:val="41A44842"/>
    <w:rsid w:val="41AE5006"/>
    <w:rsid w:val="41FC37E8"/>
    <w:rsid w:val="42047392"/>
    <w:rsid w:val="4206455E"/>
    <w:rsid w:val="42245C01"/>
    <w:rsid w:val="422B3884"/>
    <w:rsid w:val="423820CD"/>
    <w:rsid w:val="42452EA0"/>
    <w:rsid w:val="4248648F"/>
    <w:rsid w:val="424F4325"/>
    <w:rsid w:val="42556E86"/>
    <w:rsid w:val="426B3B60"/>
    <w:rsid w:val="4293173D"/>
    <w:rsid w:val="42A004C0"/>
    <w:rsid w:val="42B4195B"/>
    <w:rsid w:val="42EE661C"/>
    <w:rsid w:val="42F80340"/>
    <w:rsid w:val="430744AF"/>
    <w:rsid w:val="432207B8"/>
    <w:rsid w:val="43415C4F"/>
    <w:rsid w:val="43460BE6"/>
    <w:rsid w:val="436323E8"/>
    <w:rsid w:val="438A0F7C"/>
    <w:rsid w:val="43AE5E8C"/>
    <w:rsid w:val="43C01C69"/>
    <w:rsid w:val="43E7756F"/>
    <w:rsid w:val="43EA2F08"/>
    <w:rsid w:val="44354F3D"/>
    <w:rsid w:val="44485BEE"/>
    <w:rsid w:val="4458272D"/>
    <w:rsid w:val="4462615A"/>
    <w:rsid w:val="44DF7128"/>
    <w:rsid w:val="45084B3E"/>
    <w:rsid w:val="4576120F"/>
    <w:rsid w:val="459736EF"/>
    <w:rsid w:val="45AA1460"/>
    <w:rsid w:val="45D509AC"/>
    <w:rsid w:val="45F84C79"/>
    <w:rsid w:val="461A6EB3"/>
    <w:rsid w:val="461D3A30"/>
    <w:rsid w:val="462828C8"/>
    <w:rsid w:val="462E52F8"/>
    <w:rsid w:val="46437798"/>
    <w:rsid w:val="464D1056"/>
    <w:rsid w:val="46653FA3"/>
    <w:rsid w:val="467605E0"/>
    <w:rsid w:val="468F2919"/>
    <w:rsid w:val="46C23866"/>
    <w:rsid w:val="46E1400E"/>
    <w:rsid w:val="46E52877"/>
    <w:rsid w:val="46EF6CFB"/>
    <w:rsid w:val="47053E16"/>
    <w:rsid w:val="47301ADA"/>
    <w:rsid w:val="473B1F56"/>
    <w:rsid w:val="474A14F7"/>
    <w:rsid w:val="475A7E0E"/>
    <w:rsid w:val="477E561E"/>
    <w:rsid w:val="478B3BE4"/>
    <w:rsid w:val="47F80340"/>
    <w:rsid w:val="48163A23"/>
    <w:rsid w:val="48570F03"/>
    <w:rsid w:val="485976B9"/>
    <w:rsid w:val="485D60EA"/>
    <w:rsid w:val="48823DF3"/>
    <w:rsid w:val="4890657F"/>
    <w:rsid w:val="48B35097"/>
    <w:rsid w:val="48C55D82"/>
    <w:rsid w:val="48E344C7"/>
    <w:rsid w:val="491C0A6D"/>
    <w:rsid w:val="49531889"/>
    <w:rsid w:val="4957018E"/>
    <w:rsid w:val="497517B4"/>
    <w:rsid w:val="4985713C"/>
    <w:rsid w:val="49A117E9"/>
    <w:rsid w:val="49D3442F"/>
    <w:rsid w:val="49D8769F"/>
    <w:rsid w:val="49E92A5D"/>
    <w:rsid w:val="4A056F9E"/>
    <w:rsid w:val="4A117EFD"/>
    <w:rsid w:val="4A4E215B"/>
    <w:rsid w:val="4A5440C8"/>
    <w:rsid w:val="4A6D3640"/>
    <w:rsid w:val="4A744037"/>
    <w:rsid w:val="4AB7258D"/>
    <w:rsid w:val="4ADB0050"/>
    <w:rsid w:val="4AF34DA9"/>
    <w:rsid w:val="4B484AAE"/>
    <w:rsid w:val="4B4D5859"/>
    <w:rsid w:val="4B557A9F"/>
    <w:rsid w:val="4B6A34C1"/>
    <w:rsid w:val="4B860FD2"/>
    <w:rsid w:val="4B985697"/>
    <w:rsid w:val="4BAE6D64"/>
    <w:rsid w:val="4C001CD5"/>
    <w:rsid w:val="4C26485D"/>
    <w:rsid w:val="4C5653C9"/>
    <w:rsid w:val="4CA66281"/>
    <w:rsid w:val="4D17239F"/>
    <w:rsid w:val="4D340A5D"/>
    <w:rsid w:val="4D382D70"/>
    <w:rsid w:val="4D4169AD"/>
    <w:rsid w:val="4D456B33"/>
    <w:rsid w:val="4D5627C3"/>
    <w:rsid w:val="4D66719A"/>
    <w:rsid w:val="4D7C1D3D"/>
    <w:rsid w:val="4D891C82"/>
    <w:rsid w:val="4D916FED"/>
    <w:rsid w:val="4DDC3547"/>
    <w:rsid w:val="4DE74AB4"/>
    <w:rsid w:val="4DEF15BC"/>
    <w:rsid w:val="4DF009D1"/>
    <w:rsid w:val="4DF35B5D"/>
    <w:rsid w:val="4E1A02B4"/>
    <w:rsid w:val="4E2F4DF2"/>
    <w:rsid w:val="4E3560BE"/>
    <w:rsid w:val="4E7253CA"/>
    <w:rsid w:val="4E967BF7"/>
    <w:rsid w:val="4E9767BF"/>
    <w:rsid w:val="4E9E565D"/>
    <w:rsid w:val="4EB070E4"/>
    <w:rsid w:val="4EE45FA8"/>
    <w:rsid w:val="4F053A10"/>
    <w:rsid w:val="4F2D0A7A"/>
    <w:rsid w:val="4F5464A1"/>
    <w:rsid w:val="4F6473B7"/>
    <w:rsid w:val="4F711FE1"/>
    <w:rsid w:val="4F9F7C2D"/>
    <w:rsid w:val="4FA6489D"/>
    <w:rsid w:val="4FC54C2D"/>
    <w:rsid w:val="500C588D"/>
    <w:rsid w:val="503B111D"/>
    <w:rsid w:val="505F0B1D"/>
    <w:rsid w:val="50686B9F"/>
    <w:rsid w:val="50695923"/>
    <w:rsid w:val="50755175"/>
    <w:rsid w:val="50A5256D"/>
    <w:rsid w:val="50B94A01"/>
    <w:rsid w:val="50E23067"/>
    <w:rsid w:val="50EC3EF4"/>
    <w:rsid w:val="50FF3F2B"/>
    <w:rsid w:val="510C5DD3"/>
    <w:rsid w:val="5110152A"/>
    <w:rsid w:val="514A778C"/>
    <w:rsid w:val="514B24F3"/>
    <w:rsid w:val="51572AB4"/>
    <w:rsid w:val="5161780A"/>
    <w:rsid w:val="517530EA"/>
    <w:rsid w:val="51774FC0"/>
    <w:rsid w:val="517B3112"/>
    <w:rsid w:val="517C2B16"/>
    <w:rsid w:val="51832F4F"/>
    <w:rsid w:val="5194314F"/>
    <w:rsid w:val="51996815"/>
    <w:rsid w:val="51C12B8F"/>
    <w:rsid w:val="51D70655"/>
    <w:rsid w:val="51E9387B"/>
    <w:rsid w:val="51FC4F06"/>
    <w:rsid w:val="520A134B"/>
    <w:rsid w:val="521179BA"/>
    <w:rsid w:val="52294531"/>
    <w:rsid w:val="52534D89"/>
    <w:rsid w:val="528C44F7"/>
    <w:rsid w:val="52A7586B"/>
    <w:rsid w:val="52DE002F"/>
    <w:rsid w:val="532778BF"/>
    <w:rsid w:val="53607171"/>
    <w:rsid w:val="53665358"/>
    <w:rsid w:val="536C5D9D"/>
    <w:rsid w:val="539B4644"/>
    <w:rsid w:val="53AA0115"/>
    <w:rsid w:val="53B97F88"/>
    <w:rsid w:val="53BE2A46"/>
    <w:rsid w:val="54092523"/>
    <w:rsid w:val="54304395"/>
    <w:rsid w:val="54343823"/>
    <w:rsid w:val="545F4991"/>
    <w:rsid w:val="548C4052"/>
    <w:rsid w:val="54927156"/>
    <w:rsid w:val="54AF0784"/>
    <w:rsid w:val="54C32689"/>
    <w:rsid w:val="54CE6F93"/>
    <w:rsid w:val="54D538A4"/>
    <w:rsid w:val="54D968C3"/>
    <w:rsid w:val="55220C45"/>
    <w:rsid w:val="553545BC"/>
    <w:rsid w:val="554E2520"/>
    <w:rsid w:val="556410DC"/>
    <w:rsid w:val="55A93CAC"/>
    <w:rsid w:val="55C13DCF"/>
    <w:rsid w:val="55D51005"/>
    <w:rsid w:val="55D920AE"/>
    <w:rsid w:val="563E15C0"/>
    <w:rsid w:val="564F16DA"/>
    <w:rsid w:val="56840A85"/>
    <w:rsid w:val="56A017D8"/>
    <w:rsid w:val="56E4283B"/>
    <w:rsid w:val="56ED469B"/>
    <w:rsid w:val="56F50E3C"/>
    <w:rsid w:val="56FF7CF7"/>
    <w:rsid w:val="57293EF3"/>
    <w:rsid w:val="574874D1"/>
    <w:rsid w:val="576203B1"/>
    <w:rsid w:val="576D099E"/>
    <w:rsid w:val="57743D36"/>
    <w:rsid w:val="579E1B5F"/>
    <w:rsid w:val="57C57B87"/>
    <w:rsid w:val="57DE3686"/>
    <w:rsid w:val="57F02A9D"/>
    <w:rsid w:val="584A4995"/>
    <w:rsid w:val="5852108A"/>
    <w:rsid w:val="585E04B4"/>
    <w:rsid w:val="586D7CCD"/>
    <w:rsid w:val="586F7714"/>
    <w:rsid w:val="58906BD6"/>
    <w:rsid w:val="589C61FB"/>
    <w:rsid w:val="58B612DB"/>
    <w:rsid w:val="58BD35AC"/>
    <w:rsid w:val="58BE0F5E"/>
    <w:rsid w:val="58E126FC"/>
    <w:rsid w:val="58F6796A"/>
    <w:rsid w:val="590F4537"/>
    <w:rsid w:val="591447BA"/>
    <w:rsid w:val="591F4AB6"/>
    <w:rsid w:val="593A4C28"/>
    <w:rsid w:val="593B0B4D"/>
    <w:rsid w:val="594671DD"/>
    <w:rsid w:val="59483A16"/>
    <w:rsid w:val="59506B59"/>
    <w:rsid w:val="59722724"/>
    <w:rsid w:val="597352CB"/>
    <w:rsid w:val="5973597F"/>
    <w:rsid w:val="59923AA3"/>
    <w:rsid w:val="59A31EB4"/>
    <w:rsid w:val="59F5007D"/>
    <w:rsid w:val="5A1A1941"/>
    <w:rsid w:val="5A235512"/>
    <w:rsid w:val="5A2D5893"/>
    <w:rsid w:val="5AAA5DE5"/>
    <w:rsid w:val="5AAA6B92"/>
    <w:rsid w:val="5AF00E42"/>
    <w:rsid w:val="5B014A87"/>
    <w:rsid w:val="5B016014"/>
    <w:rsid w:val="5B275CBE"/>
    <w:rsid w:val="5B862D7F"/>
    <w:rsid w:val="5B9300E5"/>
    <w:rsid w:val="5B9A18DD"/>
    <w:rsid w:val="5BBD0985"/>
    <w:rsid w:val="5BC7267C"/>
    <w:rsid w:val="5BCD7C27"/>
    <w:rsid w:val="5BDC6D82"/>
    <w:rsid w:val="5BE60EA3"/>
    <w:rsid w:val="5C6D3180"/>
    <w:rsid w:val="5C910F26"/>
    <w:rsid w:val="5CAD1436"/>
    <w:rsid w:val="5CF64548"/>
    <w:rsid w:val="5D82142D"/>
    <w:rsid w:val="5E1E2696"/>
    <w:rsid w:val="5E3E33F2"/>
    <w:rsid w:val="5E573D0F"/>
    <w:rsid w:val="5E774D54"/>
    <w:rsid w:val="5E811C54"/>
    <w:rsid w:val="5E9328C9"/>
    <w:rsid w:val="5ECB66D7"/>
    <w:rsid w:val="5ED30389"/>
    <w:rsid w:val="5F59255F"/>
    <w:rsid w:val="5F701A07"/>
    <w:rsid w:val="5F7D3EAF"/>
    <w:rsid w:val="5F983F53"/>
    <w:rsid w:val="5FB03B93"/>
    <w:rsid w:val="5FB37B5F"/>
    <w:rsid w:val="60514222"/>
    <w:rsid w:val="60532D94"/>
    <w:rsid w:val="605B310A"/>
    <w:rsid w:val="60B341F2"/>
    <w:rsid w:val="60BD3A4A"/>
    <w:rsid w:val="60D979C5"/>
    <w:rsid w:val="60EE116D"/>
    <w:rsid w:val="6117700E"/>
    <w:rsid w:val="61184ABB"/>
    <w:rsid w:val="61325623"/>
    <w:rsid w:val="6140797B"/>
    <w:rsid w:val="6153300D"/>
    <w:rsid w:val="61806A44"/>
    <w:rsid w:val="61B720EA"/>
    <w:rsid w:val="61D764C3"/>
    <w:rsid w:val="61E76DA9"/>
    <w:rsid w:val="621F5CA5"/>
    <w:rsid w:val="625D0819"/>
    <w:rsid w:val="6291659B"/>
    <w:rsid w:val="62A57508"/>
    <w:rsid w:val="63543244"/>
    <w:rsid w:val="6364626A"/>
    <w:rsid w:val="63FB2287"/>
    <w:rsid w:val="64056E67"/>
    <w:rsid w:val="642E5EA8"/>
    <w:rsid w:val="642F4540"/>
    <w:rsid w:val="6450746D"/>
    <w:rsid w:val="646B2DCC"/>
    <w:rsid w:val="64BF414B"/>
    <w:rsid w:val="64F631CF"/>
    <w:rsid w:val="65254B4A"/>
    <w:rsid w:val="654B59A3"/>
    <w:rsid w:val="657E0180"/>
    <w:rsid w:val="65A1351E"/>
    <w:rsid w:val="65A7297E"/>
    <w:rsid w:val="65A84440"/>
    <w:rsid w:val="65BD28DA"/>
    <w:rsid w:val="660A59DF"/>
    <w:rsid w:val="662B7C68"/>
    <w:rsid w:val="662D7E52"/>
    <w:rsid w:val="66375DC8"/>
    <w:rsid w:val="66525166"/>
    <w:rsid w:val="666E1EA4"/>
    <w:rsid w:val="668D5C01"/>
    <w:rsid w:val="668D5FF5"/>
    <w:rsid w:val="6690440C"/>
    <w:rsid w:val="66A13B60"/>
    <w:rsid w:val="66D567ED"/>
    <w:rsid w:val="66EE54CA"/>
    <w:rsid w:val="66F528EC"/>
    <w:rsid w:val="66FA3A90"/>
    <w:rsid w:val="6714424B"/>
    <w:rsid w:val="67215981"/>
    <w:rsid w:val="672569C4"/>
    <w:rsid w:val="677536AB"/>
    <w:rsid w:val="679E03E2"/>
    <w:rsid w:val="679F4104"/>
    <w:rsid w:val="67A369A6"/>
    <w:rsid w:val="67D0748E"/>
    <w:rsid w:val="67E76A41"/>
    <w:rsid w:val="68074A7C"/>
    <w:rsid w:val="6846287D"/>
    <w:rsid w:val="684A3667"/>
    <w:rsid w:val="688226BA"/>
    <w:rsid w:val="689506EE"/>
    <w:rsid w:val="68A4504E"/>
    <w:rsid w:val="68AB7764"/>
    <w:rsid w:val="68AE191B"/>
    <w:rsid w:val="68B109F4"/>
    <w:rsid w:val="68B51FE3"/>
    <w:rsid w:val="68C65929"/>
    <w:rsid w:val="68D7350F"/>
    <w:rsid w:val="68DC3235"/>
    <w:rsid w:val="68EF06E0"/>
    <w:rsid w:val="6906030D"/>
    <w:rsid w:val="691F3985"/>
    <w:rsid w:val="69362E4B"/>
    <w:rsid w:val="693A106E"/>
    <w:rsid w:val="69A64D6F"/>
    <w:rsid w:val="69D66945"/>
    <w:rsid w:val="69E15B16"/>
    <w:rsid w:val="69EB3423"/>
    <w:rsid w:val="69F2762E"/>
    <w:rsid w:val="6A227570"/>
    <w:rsid w:val="6A2E1B3A"/>
    <w:rsid w:val="6A38352F"/>
    <w:rsid w:val="6A4D657B"/>
    <w:rsid w:val="6A6E7DC4"/>
    <w:rsid w:val="6A814883"/>
    <w:rsid w:val="6AB443BA"/>
    <w:rsid w:val="6AB80B73"/>
    <w:rsid w:val="6AC71050"/>
    <w:rsid w:val="6AC81E3E"/>
    <w:rsid w:val="6B144C33"/>
    <w:rsid w:val="6B281239"/>
    <w:rsid w:val="6B6B741C"/>
    <w:rsid w:val="6B91724F"/>
    <w:rsid w:val="6BB165E8"/>
    <w:rsid w:val="6BB877A8"/>
    <w:rsid w:val="6BBC2184"/>
    <w:rsid w:val="6BC252A8"/>
    <w:rsid w:val="6C210F05"/>
    <w:rsid w:val="6C356A40"/>
    <w:rsid w:val="6C48672F"/>
    <w:rsid w:val="6C566DD7"/>
    <w:rsid w:val="6C625A49"/>
    <w:rsid w:val="6C9A6C41"/>
    <w:rsid w:val="6CA4382C"/>
    <w:rsid w:val="6CDD04B6"/>
    <w:rsid w:val="6CFD2AD0"/>
    <w:rsid w:val="6D030798"/>
    <w:rsid w:val="6D1330B6"/>
    <w:rsid w:val="6D69799C"/>
    <w:rsid w:val="6D6D714F"/>
    <w:rsid w:val="6D7910FD"/>
    <w:rsid w:val="6D940831"/>
    <w:rsid w:val="6DA87157"/>
    <w:rsid w:val="6DAB04C5"/>
    <w:rsid w:val="6DB674FB"/>
    <w:rsid w:val="6DB95B98"/>
    <w:rsid w:val="6DCD1AF6"/>
    <w:rsid w:val="6DE33432"/>
    <w:rsid w:val="6E2772A8"/>
    <w:rsid w:val="6E36696E"/>
    <w:rsid w:val="6E3C6454"/>
    <w:rsid w:val="6E5E3F16"/>
    <w:rsid w:val="6E7264D7"/>
    <w:rsid w:val="6E7E5CF9"/>
    <w:rsid w:val="6E817F48"/>
    <w:rsid w:val="6E860CD1"/>
    <w:rsid w:val="6E915318"/>
    <w:rsid w:val="6EC51173"/>
    <w:rsid w:val="6ECB0AF4"/>
    <w:rsid w:val="6EE77408"/>
    <w:rsid w:val="6EEF1A2B"/>
    <w:rsid w:val="6EEF1D52"/>
    <w:rsid w:val="6F20088F"/>
    <w:rsid w:val="6F2B61FD"/>
    <w:rsid w:val="6F4E0886"/>
    <w:rsid w:val="6F653F97"/>
    <w:rsid w:val="6F8C331D"/>
    <w:rsid w:val="6F91214C"/>
    <w:rsid w:val="6F94095F"/>
    <w:rsid w:val="6F9529AB"/>
    <w:rsid w:val="6FB1130A"/>
    <w:rsid w:val="6FBB6548"/>
    <w:rsid w:val="6FE91D3D"/>
    <w:rsid w:val="701D0C93"/>
    <w:rsid w:val="701D7BFA"/>
    <w:rsid w:val="704104C9"/>
    <w:rsid w:val="7082421B"/>
    <w:rsid w:val="7090247E"/>
    <w:rsid w:val="709E0190"/>
    <w:rsid w:val="70BD0C62"/>
    <w:rsid w:val="70C96D6C"/>
    <w:rsid w:val="70CA0624"/>
    <w:rsid w:val="70E57060"/>
    <w:rsid w:val="70FC5BD1"/>
    <w:rsid w:val="711B3CE4"/>
    <w:rsid w:val="71C4118E"/>
    <w:rsid w:val="722D5509"/>
    <w:rsid w:val="72527F71"/>
    <w:rsid w:val="72671DE5"/>
    <w:rsid w:val="728D7128"/>
    <w:rsid w:val="729678CB"/>
    <w:rsid w:val="72B459D6"/>
    <w:rsid w:val="72B5763B"/>
    <w:rsid w:val="72D95F69"/>
    <w:rsid w:val="731D2612"/>
    <w:rsid w:val="73275F4A"/>
    <w:rsid w:val="73314E33"/>
    <w:rsid w:val="736E0387"/>
    <w:rsid w:val="738B0A9C"/>
    <w:rsid w:val="73921942"/>
    <w:rsid w:val="73950D76"/>
    <w:rsid w:val="739C2D95"/>
    <w:rsid w:val="73C441F7"/>
    <w:rsid w:val="73D225E0"/>
    <w:rsid w:val="73D868FC"/>
    <w:rsid w:val="73E87F1D"/>
    <w:rsid w:val="7405553D"/>
    <w:rsid w:val="740D1DA8"/>
    <w:rsid w:val="74103A69"/>
    <w:rsid w:val="742879CD"/>
    <w:rsid w:val="74451E13"/>
    <w:rsid w:val="744B6323"/>
    <w:rsid w:val="746B5F16"/>
    <w:rsid w:val="746C4C28"/>
    <w:rsid w:val="746F772F"/>
    <w:rsid w:val="748567C4"/>
    <w:rsid w:val="748C214F"/>
    <w:rsid w:val="749413FE"/>
    <w:rsid w:val="74C45CE5"/>
    <w:rsid w:val="74DE2824"/>
    <w:rsid w:val="750066AF"/>
    <w:rsid w:val="751F24AC"/>
    <w:rsid w:val="753E1025"/>
    <w:rsid w:val="755F5C34"/>
    <w:rsid w:val="75767976"/>
    <w:rsid w:val="75AF12FD"/>
    <w:rsid w:val="75B64008"/>
    <w:rsid w:val="75BF1AED"/>
    <w:rsid w:val="75E032FC"/>
    <w:rsid w:val="75FA2FF4"/>
    <w:rsid w:val="7650398A"/>
    <w:rsid w:val="766F7765"/>
    <w:rsid w:val="76830C64"/>
    <w:rsid w:val="768A2A51"/>
    <w:rsid w:val="76AE132A"/>
    <w:rsid w:val="76BC0E3C"/>
    <w:rsid w:val="76C16453"/>
    <w:rsid w:val="76E4743C"/>
    <w:rsid w:val="76EB54E3"/>
    <w:rsid w:val="76F0408C"/>
    <w:rsid w:val="770533B3"/>
    <w:rsid w:val="771242B9"/>
    <w:rsid w:val="77220BEF"/>
    <w:rsid w:val="77294CC7"/>
    <w:rsid w:val="77355C07"/>
    <w:rsid w:val="7772092A"/>
    <w:rsid w:val="77B80C6E"/>
    <w:rsid w:val="77C30776"/>
    <w:rsid w:val="77EE330C"/>
    <w:rsid w:val="7823775E"/>
    <w:rsid w:val="78666F1A"/>
    <w:rsid w:val="78D72C61"/>
    <w:rsid w:val="78EC10BA"/>
    <w:rsid w:val="790710D0"/>
    <w:rsid w:val="791E434A"/>
    <w:rsid w:val="797053C2"/>
    <w:rsid w:val="798B483F"/>
    <w:rsid w:val="79EB0C0F"/>
    <w:rsid w:val="79F36554"/>
    <w:rsid w:val="79F81553"/>
    <w:rsid w:val="7A2A676E"/>
    <w:rsid w:val="7A2F0238"/>
    <w:rsid w:val="7A5553F0"/>
    <w:rsid w:val="7A891D14"/>
    <w:rsid w:val="7A8D207C"/>
    <w:rsid w:val="7A99323A"/>
    <w:rsid w:val="7AAA37D2"/>
    <w:rsid w:val="7AB83574"/>
    <w:rsid w:val="7B190939"/>
    <w:rsid w:val="7B1B363E"/>
    <w:rsid w:val="7B410ED2"/>
    <w:rsid w:val="7B42736E"/>
    <w:rsid w:val="7B5735E1"/>
    <w:rsid w:val="7B9F299F"/>
    <w:rsid w:val="7BB124CC"/>
    <w:rsid w:val="7BB15B23"/>
    <w:rsid w:val="7BCC2ADD"/>
    <w:rsid w:val="7BF06FC0"/>
    <w:rsid w:val="7C1951D4"/>
    <w:rsid w:val="7C926956"/>
    <w:rsid w:val="7CD931FF"/>
    <w:rsid w:val="7CF21F79"/>
    <w:rsid w:val="7CF91457"/>
    <w:rsid w:val="7D245E9D"/>
    <w:rsid w:val="7D260072"/>
    <w:rsid w:val="7D307C67"/>
    <w:rsid w:val="7D346F0E"/>
    <w:rsid w:val="7D6D25F2"/>
    <w:rsid w:val="7D6E27A6"/>
    <w:rsid w:val="7D806799"/>
    <w:rsid w:val="7D861AAD"/>
    <w:rsid w:val="7D914A59"/>
    <w:rsid w:val="7D984D36"/>
    <w:rsid w:val="7DE76069"/>
    <w:rsid w:val="7E044653"/>
    <w:rsid w:val="7E121028"/>
    <w:rsid w:val="7E161774"/>
    <w:rsid w:val="7E3274B9"/>
    <w:rsid w:val="7E3B2340"/>
    <w:rsid w:val="7E3F6BF8"/>
    <w:rsid w:val="7E550E22"/>
    <w:rsid w:val="7E5A1805"/>
    <w:rsid w:val="7E5F74BF"/>
    <w:rsid w:val="7E9C2437"/>
    <w:rsid w:val="7E9F746B"/>
    <w:rsid w:val="7EAD4566"/>
    <w:rsid w:val="7EB65284"/>
    <w:rsid w:val="7ECE04CB"/>
    <w:rsid w:val="7F116518"/>
    <w:rsid w:val="7F4F03CE"/>
    <w:rsid w:val="7F547B98"/>
    <w:rsid w:val="7F5C5BEB"/>
    <w:rsid w:val="7F6B107D"/>
    <w:rsid w:val="7FAF0E8C"/>
    <w:rsid w:val="7FB9241A"/>
    <w:rsid w:val="7FCC2EAA"/>
    <w:rsid w:val="7FCD380E"/>
    <w:rsid w:val="7FDA4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line="360" w:lineRule="auto"/>
      <w:ind w:firstLine="482" w:firstLineChars="200"/>
      <w:outlineLvl w:val="2"/>
    </w:pPr>
    <w:rPr>
      <w:rFonts w:ascii="宋体" w:hAnsi="宋体" w:cs="宋体"/>
      <w:b/>
      <w:sz w:val="24"/>
      <w:szCs w:val="24"/>
      <w:lang w:val="zh-CN"/>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13">
    <w:name w:val="Normal Indent"/>
    <w:basedOn w:val="1"/>
    <w:qFormat/>
    <w:uiPriority w:val="0"/>
    <w:pPr>
      <w:spacing w:after="120" w:line="360" w:lineRule="auto"/>
      <w:ind w:firstLine="420"/>
    </w:pPr>
    <w:rPr>
      <w:sz w:val="24"/>
    </w:rPr>
  </w:style>
  <w:style w:type="paragraph" w:styleId="14">
    <w:name w:val="caption"/>
    <w:basedOn w:val="1"/>
    <w:next w:val="1"/>
    <w:semiHidden/>
    <w:qFormat/>
    <w:uiPriority w:val="0"/>
    <w:rPr>
      <w:rFonts w:ascii="Cambria" w:hAnsi="Cambria" w:eastAsia="黑体"/>
      <w:sz w:val="20"/>
      <w:szCs w:val="22"/>
    </w:rPr>
  </w:style>
  <w:style w:type="paragraph" w:styleId="15">
    <w:name w:val="Body Text Indent"/>
    <w:basedOn w:val="1"/>
    <w:next w:val="16"/>
    <w:qFormat/>
    <w:uiPriority w:val="0"/>
    <w:pPr>
      <w:spacing w:after="120"/>
      <w:ind w:left="420" w:leftChars="200"/>
    </w:pPr>
  </w:style>
  <w:style w:type="paragraph" w:styleId="16">
    <w:name w:val="envelope return"/>
    <w:basedOn w:val="1"/>
    <w:qFormat/>
    <w:uiPriority w:val="0"/>
    <w:pPr>
      <w:snapToGrid w:val="0"/>
    </w:pPr>
    <w:rPr>
      <w:rFonts w:ascii="Arial" w:hAnsi="Arial"/>
    </w:rPr>
  </w:style>
  <w:style w:type="paragraph" w:styleId="17">
    <w:name w:val="toc 3"/>
    <w:basedOn w:val="1"/>
    <w:next w:val="1"/>
    <w:semiHidden/>
    <w:qFormat/>
    <w:uiPriority w:val="0"/>
    <w:pPr>
      <w:ind w:left="840" w:leftChars="400"/>
    </w:pPr>
    <w:rPr>
      <w:szCs w:val="24"/>
    </w:rPr>
  </w:style>
  <w:style w:type="paragraph" w:styleId="18">
    <w:name w:val="Plain Text"/>
    <w:basedOn w:val="1"/>
    <w:link w:val="39"/>
    <w:qFormat/>
    <w:uiPriority w:val="0"/>
    <w:pPr>
      <w:adjustRightInd w:val="0"/>
      <w:spacing w:line="335" w:lineRule="atLeast"/>
      <w:textAlignment w:val="baseline"/>
    </w:pPr>
    <w:rPr>
      <w:rFonts w:ascii="宋体" w:hAnsi="Courier New" w:eastAsia="Times New Roman"/>
      <w:szCs w:val="21"/>
    </w:rPr>
  </w:style>
  <w:style w:type="paragraph" w:styleId="19">
    <w:name w:val="Date"/>
    <w:basedOn w:val="1"/>
    <w:next w:val="1"/>
    <w:qFormat/>
    <w:uiPriority w:val="0"/>
    <w:pPr>
      <w:ind w:left="100" w:leftChars="2500"/>
    </w:pPr>
    <w:rPr>
      <w:sz w:val="28"/>
      <w:szCs w:val="24"/>
    </w:rPr>
  </w:style>
  <w:style w:type="paragraph" w:styleId="20">
    <w:name w:val="Body Text Indent 2"/>
    <w:basedOn w:val="1"/>
    <w:qFormat/>
    <w:uiPriority w:val="0"/>
    <w:pPr>
      <w:spacing w:line="460" w:lineRule="exact"/>
      <w:ind w:firstLine="570"/>
    </w:pPr>
    <w:rPr>
      <w:sz w:val="28"/>
    </w:rPr>
  </w:style>
  <w:style w:type="paragraph" w:styleId="21">
    <w:name w:val="Balloon Text"/>
    <w:basedOn w:val="1"/>
    <w:semiHidden/>
    <w:qFormat/>
    <w:uiPriority w:val="0"/>
    <w:rPr>
      <w:sz w:val="18"/>
      <w:szCs w:val="18"/>
    </w:rPr>
  </w:style>
  <w:style w:type="paragraph" w:styleId="22">
    <w:name w:val="footer"/>
    <w:basedOn w:val="1"/>
    <w:link w:val="40"/>
    <w:qFormat/>
    <w:uiPriority w:val="0"/>
    <w:pPr>
      <w:tabs>
        <w:tab w:val="center" w:pos="4153"/>
        <w:tab w:val="right" w:pos="8306"/>
      </w:tabs>
      <w:snapToGrid w:val="0"/>
      <w:jc w:val="left"/>
    </w:pPr>
    <w:rPr>
      <w:sz w:val="18"/>
    </w:rPr>
  </w:style>
  <w:style w:type="paragraph" w:styleId="23">
    <w:name w:val="header"/>
    <w:basedOn w:val="1"/>
    <w:link w:val="41"/>
    <w:qFormat/>
    <w:uiPriority w:val="0"/>
    <w:pP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344"/>
      </w:tabs>
    </w:pPr>
    <w:rPr>
      <w:szCs w:val="24"/>
    </w:rPr>
  </w:style>
  <w:style w:type="paragraph" w:styleId="25">
    <w:name w:val="Body Text Indent 3"/>
    <w:basedOn w:val="1"/>
    <w:qFormat/>
    <w:uiPriority w:val="0"/>
    <w:pPr>
      <w:spacing w:after="120"/>
      <w:ind w:left="420"/>
    </w:pPr>
    <w:rPr>
      <w:sz w:val="16"/>
      <w:szCs w:val="16"/>
    </w:rPr>
  </w:style>
  <w:style w:type="paragraph" w:styleId="26">
    <w:name w:val="toc 2"/>
    <w:basedOn w:val="1"/>
    <w:next w:val="1"/>
    <w:semiHidden/>
    <w:qFormat/>
    <w:uiPriority w:val="0"/>
    <w:pPr>
      <w:ind w:left="420" w:leftChars="200"/>
    </w:pPr>
    <w:rPr>
      <w:szCs w:val="24"/>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8">
    <w:name w:val="Body Text First Indent 2"/>
    <w:basedOn w:val="15"/>
    <w:qFormat/>
    <w:uiPriority w:val="0"/>
    <w:pPr>
      <w:spacing w:after="120" w:line="240" w:lineRule="auto"/>
      <w:ind w:left="420" w:leftChars="200" w:firstLine="420" w:firstLineChars="200"/>
    </w:pPr>
    <w:rPr>
      <w:sz w:val="21"/>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Hyperlink"/>
    <w:basedOn w:val="31"/>
    <w:qFormat/>
    <w:uiPriority w:val="0"/>
    <w:rPr>
      <w:color w:val="0000FF"/>
      <w:u w:val="single"/>
    </w:rPr>
  </w:style>
  <w:style w:type="character" w:styleId="36">
    <w:name w:val="annotation reference"/>
    <w:semiHidden/>
    <w:qFormat/>
    <w:uiPriority w:val="0"/>
    <w:rPr>
      <w:sz w:val="21"/>
      <w:szCs w:val="21"/>
    </w:rPr>
  </w:style>
  <w:style w:type="paragraph" w:customStyle="1" w:styleId="37">
    <w:name w:val="TOC 标题1"/>
    <w:basedOn w:val="4"/>
    <w:next w:val="1"/>
    <w:qFormat/>
    <w:uiPriority w:val="99"/>
    <w:pPr>
      <w:widowControl/>
      <w:spacing w:line="259" w:lineRule="auto"/>
      <w:jc w:val="left"/>
      <w:outlineLvl w:val="9"/>
    </w:pPr>
    <w:rPr>
      <w:rFonts w:ascii="Calibri Light" w:hAnsi="Calibri Light"/>
      <w:color w:val="2E74B5"/>
      <w:kern w:val="0"/>
    </w:rPr>
  </w:style>
  <w:style w:type="character" w:customStyle="1" w:styleId="38">
    <w:name w:val="标题 2 Char"/>
    <w:basedOn w:val="31"/>
    <w:link w:val="5"/>
    <w:qFormat/>
    <w:uiPriority w:val="0"/>
    <w:rPr>
      <w:rFonts w:ascii="Arial" w:hAnsi="Arial" w:eastAsia="黑体"/>
      <w:b/>
      <w:bCs/>
      <w:kern w:val="2"/>
      <w:sz w:val="32"/>
      <w:szCs w:val="32"/>
      <w:lang w:val="en-US" w:eastAsia="zh-CN" w:bidi="ar-SA"/>
    </w:rPr>
  </w:style>
  <w:style w:type="character" w:customStyle="1" w:styleId="39">
    <w:name w:val="纯文本 Char"/>
    <w:link w:val="18"/>
    <w:qFormat/>
    <w:uiPriority w:val="0"/>
    <w:rPr>
      <w:rFonts w:ascii="宋体" w:hAnsi="Courier New"/>
      <w:kern w:val="2"/>
      <w:sz w:val="21"/>
      <w:szCs w:val="21"/>
      <w:lang w:bidi="ar-SA"/>
    </w:rPr>
  </w:style>
  <w:style w:type="character" w:customStyle="1" w:styleId="40">
    <w:name w:val="页脚 Char"/>
    <w:link w:val="22"/>
    <w:semiHidden/>
    <w:qFormat/>
    <w:uiPriority w:val="0"/>
    <w:rPr>
      <w:rFonts w:eastAsia="宋体"/>
      <w:kern w:val="2"/>
      <w:sz w:val="18"/>
      <w:lang w:val="en-US" w:eastAsia="zh-CN" w:bidi="ar-SA"/>
    </w:rPr>
  </w:style>
  <w:style w:type="character" w:customStyle="1" w:styleId="41">
    <w:name w:val="页眉 Char"/>
    <w:link w:val="23"/>
    <w:semiHidden/>
    <w:qFormat/>
    <w:uiPriority w:val="0"/>
    <w:rPr>
      <w:rFonts w:eastAsia="宋体"/>
      <w:kern w:val="2"/>
      <w:sz w:val="18"/>
      <w:szCs w:val="18"/>
      <w:lang w:val="en-US" w:eastAsia="zh-CN" w:bidi="ar-SA"/>
    </w:rPr>
  </w:style>
  <w:style w:type="character" w:customStyle="1" w:styleId="42">
    <w:name w:val="font61"/>
    <w:basedOn w:val="31"/>
    <w:qFormat/>
    <w:uiPriority w:val="0"/>
    <w:rPr>
      <w:rFonts w:hint="eastAsia" w:ascii="宋体" w:hAnsi="宋体" w:eastAsia="宋体" w:cs="宋体"/>
      <w:color w:val="000000"/>
      <w:sz w:val="24"/>
      <w:szCs w:val="24"/>
      <w:u w:val="none"/>
    </w:rPr>
  </w:style>
  <w:style w:type="character" w:customStyle="1" w:styleId="43">
    <w:name w:val="fontstyle01"/>
    <w:basedOn w:val="31"/>
    <w:qFormat/>
    <w:uiPriority w:val="0"/>
    <w:rPr>
      <w:rFonts w:hint="eastAsia" w:ascii="宋体" w:hAnsi="宋体" w:eastAsia="宋体" w:cs="宋体"/>
      <w:color w:val="000000"/>
      <w:sz w:val="44"/>
      <w:szCs w:val="44"/>
    </w:rPr>
  </w:style>
  <w:style w:type="character" w:customStyle="1" w:styleId="44">
    <w:name w:val=" Char Char"/>
    <w:qFormat/>
    <w:uiPriority w:val="0"/>
    <w:rPr>
      <w:rFonts w:ascii="Arial" w:hAnsi="Arial" w:eastAsia="宋体"/>
      <w:b/>
      <w:bCs/>
      <w:kern w:val="2"/>
      <w:sz w:val="48"/>
      <w:szCs w:val="32"/>
      <w:lang w:val="en-US" w:eastAsia="zh-CN" w:bidi="ar-SA"/>
    </w:rPr>
  </w:style>
  <w:style w:type="character" w:customStyle="1" w:styleId="45">
    <w:name w:val=" Char Char1"/>
    <w:qFormat/>
    <w:uiPriority w:val="0"/>
    <w:rPr>
      <w:rFonts w:eastAsia="宋体"/>
      <w:b/>
      <w:bCs/>
      <w:kern w:val="44"/>
      <w:sz w:val="52"/>
      <w:szCs w:val="44"/>
      <w:lang w:val="en-US" w:eastAsia="zh-CN" w:bidi="ar-SA"/>
    </w:rPr>
  </w:style>
  <w:style w:type="character" w:customStyle="1" w:styleId="46">
    <w:name w:val="fontstyle21"/>
    <w:basedOn w:val="31"/>
    <w:qFormat/>
    <w:uiPriority w:val="0"/>
    <w:rPr>
      <w:rFonts w:hint="default" w:ascii="Times New Roman" w:hAnsi="Times New Roman" w:cs="Times New Roman"/>
      <w:color w:val="000000"/>
      <w:sz w:val="18"/>
      <w:szCs w:val="18"/>
    </w:rPr>
  </w:style>
  <w:style w:type="paragraph" w:customStyle="1" w:styleId="47">
    <w:name w:val="List Paragraph"/>
    <w:basedOn w:val="1"/>
    <w:qFormat/>
    <w:uiPriority w:val="0"/>
    <w:pPr>
      <w:ind w:firstLine="420" w:firstLineChars="200"/>
    </w:pPr>
    <w:rPr>
      <w:szCs w:val="24"/>
    </w:rPr>
  </w:style>
  <w:style w:type="paragraph" w:customStyle="1" w:styleId="48">
    <w:name w:val="-"/>
    <w:basedOn w:val="1"/>
    <w:qFormat/>
    <w:uiPriority w:val="0"/>
    <w:pPr>
      <w:numPr>
        <w:ilvl w:val="0"/>
        <w:numId w:val="1"/>
      </w:numPr>
      <w:spacing w:line="360" w:lineRule="auto"/>
    </w:pPr>
    <w:rPr>
      <w:rFonts w:ascii="Arial" w:hAnsi="Arial" w:cs="Arial"/>
      <w:b/>
      <w:bCs/>
      <w:sz w:val="24"/>
      <w:szCs w:val="32"/>
    </w:rPr>
  </w:style>
  <w:style w:type="paragraph" w:customStyle="1" w:styleId="49">
    <w:name w:val="标题4"/>
    <w:basedOn w:val="1"/>
    <w:qFormat/>
    <w:uiPriority w:val="0"/>
    <w:pPr>
      <w:spacing w:before="100" w:beforeLines="100" w:after="100" w:afterLines="100" w:line="360" w:lineRule="auto"/>
    </w:pPr>
    <w:rPr>
      <w:sz w:val="28"/>
      <w:szCs w:val="24"/>
    </w:rPr>
  </w:style>
  <w:style w:type="paragraph" w:customStyle="1" w:styleId="50">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szCs w:val="24"/>
      <w:lang w:val="fr-FR"/>
    </w:rPr>
  </w:style>
  <w:style w:type="paragraph" w:customStyle="1" w:styleId="51">
    <w:name w:val="17"/>
    <w:basedOn w:val="1"/>
    <w:qFormat/>
    <w:uiPriority w:val="0"/>
    <w:pPr>
      <w:widowControl/>
      <w:snapToGrid w:val="0"/>
      <w:spacing w:before="100" w:beforeLines="0" w:beforeAutospacing="1" w:after="100" w:afterLines="0" w:afterAutospacing="1"/>
    </w:pPr>
    <w:rPr>
      <w:kern w:val="0"/>
    </w:rPr>
  </w:style>
  <w:style w:type="paragraph" w:customStyle="1" w:styleId="52">
    <w:name w:val="五级条标题"/>
    <w:basedOn w:val="53"/>
    <w:next w:val="58"/>
    <w:qFormat/>
    <w:uiPriority w:val="0"/>
    <w:pPr>
      <w:numPr>
        <w:ilvl w:val="6"/>
        <w:numId w:val="0"/>
      </w:numPr>
      <w:outlineLvl w:val="6"/>
    </w:pPr>
  </w:style>
  <w:style w:type="paragraph" w:customStyle="1" w:styleId="53">
    <w:name w:val="四级条标题"/>
    <w:basedOn w:val="54"/>
    <w:next w:val="58"/>
    <w:qFormat/>
    <w:uiPriority w:val="0"/>
    <w:pPr>
      <w:outlineLvl w:val="5"/>
    </w:pPr>
  </w:style>
  <w:style w:type="paragraph" w:customStyle="1" w:styleId="54">
    <w:name w:val="三级条标题"/>
    <w:basedOn w:val="55"/>
    <w:next w:val="58"/>
    <w:qFormat/>
    <w:uiPriority w:val="0"/>
    <w:pPr>
      <w:outlineLvl w:val="4"/>
    </w:pPr>
  </w:style>
  <w:style w:type="paragraph" w:customStyle="1" w:styleId="55">
    <w:name w:val="二级条标题"/>
    <w:basedOn w:val="56"/>
    <w:next w:val="58"/>
    <w:qFormat/>
    <w:uiPriority w:val="0"/>
    <w:pPr>
      <w:outlineLvl w:val="3"/>
    </w:pPr>
  </w:style>
  <w:style w:type="paragraph" w:customStyle="1" w:styleId="56">
    <w:name w:val="一级条标题"/>
    <w:basedOn w:val="57"/>
    <w:next w:val="58"/>
    <w:qFormat/>
    <w:uiPriority w:val="0"/>
    <w:pPr>
      <w:spacing w:before="0" w:beforeLines="0" w:after="0" w:afterLines="0"/>
      <w:outlineLvl w:val="2"/>
    </w:pPr>
  </w:style>
  <w:style w:type="paragraph" w:customStyle="1" w:styleId="57">
    <w:name w:val="章标题"/>
    <w:next w:val="58"/>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60">
    <w:name w:val="Char"/>
    <w:basedOn w:val="1"/>
    <w:qFormat/>
    <w:uiPriority w:val="0"/>
    <w:pPr>
      <w:widowControl/>
      <w:spacing w:after="160" w:line="240" w:lineRule="exact"/>
      <w:jc w:val="left"/>
    </w:pPr>
    <w:rPr>
      <w:rFonts w:ascii="Verdana" w:hAnsi="Verdana"/>
      <w:kern w:val="0"/>
      <w:sz w:val="20"/>
      <w:lang w:eastAsia="en-US"/>
    </w:rPr>
  </w:style>
  <w:style w:type="paragraph" w:customStyle="1" w:styleId="61">
    <w:name w:val="前言、引言标题"/>
    <w:next w:val="1"/>
    <w:qFormat/>
    <w:uiPriority w:val="0"/>
    <w:pPr>
      <w:shd w:val="clear" w:color="FFFFFF" w:fill="FFFFFF"/>
      <w:tabs>
        <w:tab w:val="left" w:pos="900"/>
      </w:tabs>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62">
    <w:name w:val="注"/>
    <w:basedOn w:val="1"/>
    <w:qFormat/>
    <w:uiPriority w:val="0"/>
    <w:pPr>
      <w:adjustRightInd w:val="0"/>
      <w:spacing w:line="420" w:lineRule="atLeast"/>
      <w:ind w:firstLine="340"/>
      <w:textAlignment w:val="baseline"/>
    </w:pPr>
    <w:rPr>
      <w:kern w:val="0"/>
      <w:sz w:val="18"/>
    </w:rPr>
  </w:style>
  <w:style w:type="paragraph" w:customStyle="1" w:styleId="63">
    <w:name w:val="0"/>
    <w:basedOn w:val="1"/>
    <w:qFormat/>
    <w:uiPriority w:val="0"/>
    <w:pPr>
      <w:widowControl/>
      <w:snapToGrid w:val="0"/>
    </w:pPr>
    <w:rPr>
      <w:kern w:val="0"/>
    </w:rPr>
  </w:style>
  <w:style w:type="paragraph" w:customStyle="1" w:styleId="64">
    <w:name w:val="表中"/>
    <w:basedOn w:val="1"/>
    <w:qFormat/>
    <w:uiPriority w:val="0"/>
    <w:pPr>
      <w:adjustRightInd w:val="0"/>
      <w:snapToGrid w:val="0"/>
      <w:spacing w:line="420" w:lineRule="atLeast"/>
      <w:jc w:val="center"/>
      <w:textAlignment w:val="baseline"/>
    </w:pPr>
    <w:rPr>
      <w:snapToGrid w:val="0"/>
      <w:kern w:val="0"/>
    </w:rPr>
  </w:style>
  <w:style w:type="paragraph" w:customStyle="1" w:styleId="65">
    <w:name w:val="18"/>
    <w:basedOn w:val="1"/>
    <w:qFormat/>
    <w:uiPriority w:val="0"/>
    <w:pPr>
      <w:widowControl/>
      <w:snapToGrid w:val="0"/>
      <w:spacing w:before="100" w:beforeLines="0" w:beforeAutospacing="0" w:after="100" w:afterLines="0" w:afterAutospacing="0"/>
    </w:pPr>
    <w:rPr>
      <w:kern w:val="0"/>
    </w:rPr>
  </w:style>
  <w:style w:type="paragraph" w:customStyle="1" w:styleId="66">
    <w:name w:val="1"/>
    <w:basedOn w:val="1"/>
    <w:next w:val="3"/>
    <w:qFormat/>
    <w:uiPriority w:val="0"/>
    <w:pPr>
      <w:autoSpaceDE w:val="0"/>
      <w:autoSpaceDN w:val="0"/>
      <w:adjustRightInd w:val="0"/>
      <w:jc w:val="left"/>
      <w:textAlignment w:val="baseline"/>
    </w:pPr>
    <w:rPr>
      <w:rFonts w:ascii="宋体"/>
      <w:kern w:val="0"/>
      <w:sz w:val="28"/>
    </w:rPr>
  </w:style>
  <w:style w:type="paragraph" w:customStyle="1" w:styleId="67">
    <w:name w:val="ptdl"/>
    <w:basedOn w:val="1"/>
    <w:qFormat/>
    <w:uiPriority w:val="0"/>
    <w:pPr>
      <w:spacing w:after="156"/>
      <w:ind w:firstLine="480"/>
    </w:pPr>
    <w:rPr>
      <w:sz w:val="24"/>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9">
    <w:name w:val="itemlist"/>
    <w:basedOn w:val="1"/>
    <w:qFormat/>
    <w:uiPriority w:val="0"/>
    <w:pPr>
      <w:widowControl/>
      <w:snapToGrid w:val="0"/>
      <w:spacing w:after="20"/>
      <w:ind w:left="675" w:hanging="175"/>
    </w:pPr>
    <w:rPr>
      <w:rFonts w:ascii="Arial" w:hAnsi="Arial" w:cs="Arial"/>
      <w:kern w:val="0"/>
      <w:szCs w:val="21"/>
    </w:rPr>
  </w:style>
  <w:style w:type="paragraph" w:customStyle="1" w:styleId="70">
    <w:name w:val="itemlist-"/>
    <w:basedOn w:val="1"/>
    <w:qFormat/>
    <w:uiPriority w:val="0"/>
    <w:pPr>
      <w:widowControl/>
      <w:snapToGrid w:val="0"/>
      <w:spacing w:after="80"/>
      <w:ind w:left="675" w:hanging="175"/>
    </w:pPr>
    <w:rPr>
      <w:rFonts w:ascii="Arial" w:hAnsi="Arial" w:cs="Arial"/>
      <w:kern w:val="0"/>
      <w:szCs w:val="21"/>
    </w:rPr>
  </w:style>
  <w:style w:type="paragraph" w:customStyle="1" w:styleId="71">
    <w:name w:val="正文（缩进）"/>
    <w:basedOn w:val="1"/>
    <w:qFormat/>
    <w:uiPriority w:val="0"/>
    <w:pPr>
      <w:spacing w:beforeLines="50" w:afterLines="50"/>
      <w:ind w:firstLine="480"/>
    </w:pPr>
    <w:rPr>
      <w:sz w:val="24"/>
    </w:rPr>
  </w:style>
  <w:style w:type="paragraph" w:customStyle="1" w:styleId="72">
    <w:name w:val=" Char1 Char Char Char"/>
    <w:basedOn w:val="1"/>
    <w:qFormat/>
    <w:uiPriority w:val="0"/>
    <w:rPr>
      <w:rFonts w:ascii="Tahoma" w:hAnsi="Tahoma"/>
      <w:sz w:val="24"/>
    </w:rPr>
  </w:style>
  <w:style w:type="paragraph" w:customStyle="1" w:styleId="73">
    <w:name w:val="Char1 Char Char Char"/>
    <w:basedOn w:val="1"/>
    <w:qFormat/>
    <w:uiPriority w:val="0"/>
    <w:rPr>
      <w:rFonts w:ascii="Tahoma" w:hAnsi="Tahoma"/>
      <w:sz w:val="24"/>
    </w:rPr>
  </w:style>
  <w:style w:type="paragraph" w:customStyle="1" w:styleId="74">
    <w:name w:val=" Char"/>
    <w:basedOn w:val="1"/>
    <w:qFormat/>
    <w:uiPriority w:val="0"/>
    <w:pPr>
      <w:widowControl/>
      <w:spacing w:after="160" w:line="240" w:lineRule="exact"/>
      <w:jc w:val="left"/>
    </w:pPr>
    <w:rPr>
      <w:rFonts w:ascii="Verdana" w:hAnsi="Verdana"/>
      <w:kern w:val="0"/>
      <w:sz w:val="20"/>
      <w:lang w:eastAsia="en-US"/>
    </w:rPr>
  </w:style>
  <w:style w:type="paragraph" w:customStyle="1" w:styleId="75">
    <w:name w:val="样式 (西文) 宋体 小四 居中 行距: 1.5 倍行距"/>
    <w:basedOn w:val="1"/>
    <w:qFormat/>
    <w:uiPriority w:val="0"/>
    <w:pPr>
      <w:spacing w:line="360" w:lineRule="auto"/>
      <w:jc w:val="center"/>
    </w:pPr>
    <w:rPr>
      <w:rFonts w:ascii="宋体" w:hAnsi="宋体" w:cs="宋体"/>
      <w:color w:val="000000"/>
      <w:kern w:val="44"/>
      <w:sz w:val="28"/>
      <w:szCs w:val="20"/>
    </w:rPr>
  </w:style>
  <w:style w:type="paragraph" w:customStyle="1" w:styleId="7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5817</Words>
  <Characters>33158</Characters>
  <Lines>276</Lines>
  <Paragraphs>77</Paragraphs>
  <TotalTime>6</TotalTime>
  <ScaleCrop>false</ScaleCrop>
  <LinksUpToDate>false</LinksUpToDate>
  <CharactersWithSpaces>38898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2020-03-02T01:38:00Z</dcterms:created>
  <dc:creator>大云办</dc:creator>
  <cp:lastModifiedBy>Lee</cp:lastModifiedBy>
  <cp:lastPrinted>2021-07-30T01:31:00Z</cp:lastPrinted>
  <dcterms:modified xsi:type="dcterms:W3CDTF">2021-07-30T04:27:11Z</dcterms:modified>
  <dc:title>大云寺博物馆舍利塔电梯</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C62A9AA4043140EEA336842B31F47529</vt:lpwstr>
  </property>
</Properties>
</file>