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jc w:val="center"/>
        <w:rPr>
          <w:rFonts w:hint="eastAsia" w:ascii="宋体" w:hAnsi="宋体" w:cs="仿宋"/>
          <w:b/>
          <w:sz w:val="52"/>
          <w:szCs w:val="52"/>
        </w:rPr>
      </w:pPr>
    </w:p>
    <w:p>
      <w:pPr>
        <w:ind w:firstLine="1446"/>
        <w:jc w:val="center"/>
        <w:rPr>
          <w:rFonts w:ascii="宋体" w:hAnsi="宋体"/>
          <w:b/>
          <w:sz w:val="72"/>
        </w:rPr>
      </w:pPr>
      <w:r>
        <w:rPr>
          <w:rFonts w:hint="eastAsia" w:ascii="方正小标宋简体" w:hAnsi="黑体" w:eastAsia="方正小标宋简体"/>
          <w:bCs/>
          <w:kern w:val="44"/>
          <w:sz w:val="44"/>
          <w:szCs w:val="44"/>
        </w:rPr>
        <w:t>白银市靖远县刘川镇人民政府2019年度村级公益事业建设“一事一议”赵埫村道路亮化工程项目</w:t>
      </w:r>
    </w:p>
    <w:p>
      <w:pPr>
        <w:ind w:firstLine="2154" w:firstLineChars="298"/>
        <w:rPr>
          <w:rFonts w:hint="eastAsia" w:ascii="宋体" w:hAnsi="宋体"/>
          <w:b/>
          <w:sz w:val="72"/>
        </w:rPr>
      </w:pPr>
      <w:r>
        <w:rPr>
          <w:rFonts w:hint="eastAsia" w:ascii="宋体" w:hAnsi="宋体"/>
          <w:b/>
          <w:sz w:val="72"/>
        </w:rPr>
        <w:t>政府采购招标文件</w:t>
      </w:r>
    </w:p>
    <w:p>
      <w:pPr>
        <w:spacing w:line="540" w:lineRule="exact"/>
        <w:ind w:firstLine="3052" w:firstLineChars="950"/>
        <w:rPr>
          <w:rFonts w:hint="default" w:ascii="宋体" w:hAnsi="宋体" w:eastAsia="宋体"/>
          <w:b/>
          <w:sz w:val="32"/>
          <w:lang w:val="en-US" w:eastAsia="zh-CN"/>
        </w:rPr>
      </w:pPr>
      <w:r>
        <w:rPr>
          <w:rFonts w:hint="eastAsia" w:ascii="宋体" w:hAnsi="宋体"/>
          <w:b/>
          <w:sz w:val="32"/>
        </w:rPr>
        <w:t>招标编号：</w:t>
      </w:r>
      <w:r>
        <w:rPr>
          <w:rFonts w:ascii="宋体" w:hAnsi="宋体"/>
          <w:b/>
          <w:sz w:val="32"/>
        </w:rPr>
        <w:t>JYCG-ZC1</w:t>
      </w:r>
      <w:r>
        <w:rPr>
          <w:rFonts w:hint="eastAsia" w:ascii="宋体" w:hAnsi="宋体"/>
          <w:b/>
          <w:sz w:val="32"/>
          <w:lang w:val="en-US" w:eastAsia="zh-CN"/>
        </w:rPr>
        <w:t>9070</w:t>
      </w:r>
    </w:p>
    <w:p>
      <w:pPr>
        <w:ind w:firstLine="1606" w:firstLineChars="500"/>
        <w:rPr>
          <w:rFonts w:ascii="宋体" w:hAnsi="宋体"/>
          <w:b/>
          <w:sz w:val="32"/>
        </w:rPr>
      </w:pPr>
    </w:p>
    <w:p>
      <w:pPr>
        <w:ind w:firstLine="1606" w:firstLineChars="500"/>
        <w:rPr>
          <w:rFonts w:ascii="宋体" w:hAnsi="宋体"/>
          <w:b/>
          <w:sz w:val="32"/>
        </w:rPr>
      </w:pPr>
    </w:p>
    <w:p>
      <w:pPr>
        <w:ind w:firstLine="1606" w:firstLineChars="500"/>
        <w:rPr>
          <w:rFonts w:ascii="宋体" w:hAnsi="宋体"/>
          <w:b/>
          <w:sz w:val="32"/>
        </w:rPr>
      </w:pPr>
    </w:p>
    <w:p>
      <w:pPr>
        <w:ind w:firstLine="1606" w:firstLineChars="500"/>
        <w:rPr>
          <w:rFonts w:ascii="宋体" w:hAnsi="宋体"/>
          <w:b/>
          <w:sz w:val="32"/>
        </w:rPr>
      </w:pPr>
    </w:p>
    <w:p>
      <w:pPr>
        <w:ind w:right="-422" w:rightChars="-201" w:firstLine="2605" w:firstLineChars="811"/>
        <w:jc w:val="left"/>
        <w:rPr>
          <w:rFonts w:hint="eastAsia" w:ascii="宋体" w:hAnsi="宋体"/>
          <w:b/>
          <w:sz w:val="32"/>
          <w:szCs w:val="32"/>
          <w:u w:val="single"/>
        </w:rPr>
      </w:pPr>
      <w:r>
        <w:rPr>
          <w:rFonts w:hint="eastAsia" w:ascii="宋体" w:hAnsi="宋体"/>
          <w:b/>
          <w:sz w:val="32"/>
          <w:szCs w:val="32"/>
        </w:rPr>
        <w:t>采购单位：靖远县刘川镇人民政府</w:t>
      </w:r>
    </w:p>
    <w:p>
      <w:pPr>
        <w:ind w:firstLine="2605" w:firstLineChars="811"/>
        <w:rPr>
          <w:b/>
          <w:u w:val="single"/>
        </w:rPr>
      </w:pPr>
      <w:r>
        <w:rPr>
          <w:rFonts w:hint="eastAsia" w:ascii="宋体" w:hAnsi="宋体"/>
          <w:b/>
          <w:sz w:val="32"/>
          <w:szCs w:val="32"/>
        </w:rPr>
        <w:t>代理机构：靖远县政府采购中心</w:t>
      </w:r>
    </w:p>
    <w:p>
      <w:pPr>
        <w:pStyle w:val="22"/>
        <w:ind w:left="5250" w:firstLine="562"/>
        <w:jc w:val="center"/>
        <w:rPr>
          <w:b/>
        </w:rPr>
      </w:pPr>
    </w:p>
    <w:p>
      <w:pPr>
        <w:pStyle w:val="22"/>
        <w:ind w:left="99" w:leftChars="47" w:firstLine="3788" w:firstLineChars="1572"/>
        <w:rPr>
          <w:rFonts w:hint="eastAsia"/>
          <w:b/>
          <w:sz w:val="24"/>
        </w:rPr>
      </w:pPr>
    </w:p>
    <w:p>
      <w:pPr>
        <w:pStyle w:val="22"/>
        <w:ind w:left="99" w:leftChars="47" w:firstLine="3788" w:firstLineChars="1572"/>
        <w:rPr>
          <w:rFonts w:hint="eastAsia"/>
          <w:b/>
          <w:sz w:val="24"/>
        </w:rPr>
      </w:pPr>
    </w:p>
    <w:p>
      <w:pPr>
        <w:pStyle w:val="22"/>
        <w:ind w:left="99" w:leftChars="47" w:firstLine="3788" w:firstLineChars="1572"/>
        <w:rPr>
          <w:rFonts w:hint="eastAsia"/>
          <w:b/>
          <w:sz w:val="24"/>
        </w:rPr>
      </w:pPr>
    </w:p>
    <w:p>
      <w:pPr>
        <w:pStyle w:val="22"/>
        <w:ind w:left="99" w:leftChars="47" w:firstLine="3788" w:firstLineChars="1572"/>
        <w:rPr>
          <w:rFonts w:hint="eastAsia"/>
          <w:b/>
          <w:sz w:val="24"/>
        </w:rPr>
      </w:pPr>
    </w:p>
    <w:p>
      <w:pPr>
        <w:pStyle w:val="22"/>
        <w:ind w:left="99" w:leftChars="47" w:firstLine="3788" w:firstLineChars="1572"/>
        <w:rPr>
          <w:rFonts w:hint="eastAsia"/>
          <w:b/>
          <w:sz w:val="24"/>
        </w:rPr>
      </w:pPr>
    </w:p>
    <w:p>
      <w:pPr>
        <w:pStyle w:val="22"/>
        <w:ind w:left="99" w:leftChars="47" w:firstLine="3788" w:firstLineChars="1572"/>
        <w:rPr>
          <w:rFonts w:hint="eastAsia"/>
          <w:b/>
          <w:sz w:val="24"/>
        </w:rPr>
      </w:pPr>
    </w:p>
    <w:p>
      <w:pPr>
        <w:pStyle w:val="22"/>
        <w:ind w:left="99" w:leftChars="47" w:firstLine="3788" w:firstLineChars="1572"/>
        <w:rPr>
          <w:rFonts w:hint="eastAsia"/>
          <w:b/>
          <w:sz w:val="24"/>
        </w:rPr>
      </w:pPr>
    </w:p>
    <w:p>
      <w:pPr>
        <w:pStyle w:val="22"/>
        <w:ind w:left="99" w:leftChars="47" w:firstLine="3788" w:firstLineChars="1572"/>
        <w:rPr>
          <w:rFonts w:hint="eastAsia"/>
          <w:b/>
          <w:sz w:val="24"/>
        </w:rPr>
      </w:pPr>
    </w:p>
    <w:p>
      <w:pPr>
        <w:pStyle w:val="22"/>
        <w:ind w:left="99" w:leftChars="47" w:firstLine="3788" w:firstLineChars="1572"/>
        <w:rPr>
          <w:rFonts w:hint="eastAsia"/>
          <w:b/>
          <w:sz w:val="24"/>
        </w:rPr>
      </w:pPr>
      <w:r>
        <w:rPr>
          <w:rFonts w:hint="eastAsia"/>
          <w:b/>
          <w:sz w:val="24"/>
        </w:rPr>
        <w:t>201</w:t>
      </w:r>
      <w:r>
        <w:rPr>
          <w:rFonts w:hint="eastAsia"/>
          <w:b/>
          <w:sz w:val="24"/>
          <w:lang w:val="en-US" w:eastAsia="zh-CN"/>
        </w:rPr>
        <w:t>9</w:t>
      </w:r>
      <w:r>
        <w:rPr>
          <w:rFonts w:hint="eastAsia"/>
          <w:b/>
          <w:sz w:val="24"/>
        </w:rPr>
        <w:t>年</w:t>
      </w:r>
      <w:r>
        <w:rPr>
          <w:rFonts w:hint="eastAsia"/>
          <w:b/>
          <w:sz w:val="24"/>
          <w:lang w:val="en-US" w:eastAsia="zh-CN"/>
        </w:rPr>
        <w:t xml:space="preserve"> 12</w:t>
      </w:r>
      <w:r>
        <w:rPr>
          <w:rFonts w:hint="eastAsia"/>
          <w:b/>
          <w:sz w:val="24"/>
        </w:rPr>
        <w:t>月</w:t>
      </w:r>
    </w:p>
    <w:p>
      <w:pPr>
        <w:ind w:firstLine="482"/>
        <w:rPr>
          <w:rFonts w:hint="eastAsia"/>
          <w:b/>
          <w:sz w:val="24"/>
        </w:rPr>
      </w:pPr>
    </w:p>
    <w:p>
      <w:pPr>
        <w:ind w:firstLine="482"/>
        <w:rPr>
          <w:rFonts w:hint="eastAsia"/>
          <w:b/>
          <w:sz w:val="24"/>
        </w:rPr>
      </w:pPr>
    </w:p>
    <w:p>
      <w:pPr>
        <w:ind w:left="0" w:leftChars="0" w:firstLine="0" w:firstLineChars="0"/>
        <w:rPr>
          <w:rFonts w:hint="eastAsia"/>
          <w:b/>
          <w:sz w:val="24"/>
        </w:rPr>
      </w:pPr>
    </w:p>
    <w:p>
      <w:pPr>
        <w:widowControl/>
        <w:ind w:firstLine="640"/>
        <w:jc w:val="center"/>
        <w:rPr>
          <w:sz w:val="32"/>
          <w:szCs w:val="32"/>
        </w:rPr>
      </w:pPr>
      <w:r>
        <w:rPr>
          <w:sz w:val="32"/>
          <w:szCs w:val="32"/>
          <w:lang w:val="zh-CN"/>
        </w:rPr>
        <w:t>目</w:t>
      </w:r>
      <w:r>
        <w:rPr>
          <w:rFonts w:hint="eastAsia"/>
          <w:sz w:val="32"/>
          <w:szCs w:val="32"/>
          <w:lang w:val="zh-CN"/>
        </w:rPr>
        <w:t xml:space="preserve">  </w:t>
      </w:r>
      <w:r>
        <w:rPr>
          <w:sz w:val="32"/>
          <w:szCs w:val="32"/>
          <w:lang w:val="zh-CN"/>
        </w:rPr>
        <w:t>录</w:t>
      </w:r>
    </w:p>
    <w:p>
      <w:pPr>
        <w:pStyle w:val="27"/>
        <w:tabs>
          <w:tab w:val="right" w:leader="dot" w:pos="10026"/>
        </w:tabs>
        <w:ind w:firstLine="420"/>
        <w:rPr>
          <w:rStyle w:val="44"/>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r>
        <w:fldChar w:fldCharType="begin"/>
      </w:r>
      <w:r>
        <w:rPr>
          <w:rStyle w:val="44"/>
        </w:rPr>
        <w:instrText xml:space="preserve"> HYPERLINK \l "_Toc526878881" </w:instrText>
      </w:r>
      <w:r>
        <w:fldChar w:fldCharType="separate"/>
      </w:r>
      <w:r>
        <w:rPr>
          <w:rStyle w:val="44"/>
          <w:rFonts w:hint="eastAsia"/>
        </w:rPr>
        <w:t>第一章</w:t>
      </w:r>
      <w:r>
        <w:rPr>
          <w:rStyle w:val="44"/>
        </w:rPr>
        <w:t xml:space="preserve">  </w:t>
      </w:r>
      <w:r>
        <w:rPr>
          <w:rStyle w:val="44"/>
          <w:rFonts w:hint="eastAsia"/>
        </w:rPr>
        <w:t>招标公告</w:t>
      </w:r>
      <w:r>
        <w:rPr>
          <w:rStyle w:val="44"/>
        </w:rPr>
        <w:tab/>
      </w:r>
      <w:r>
        <w:fldChar w:fldCharType="begin"/>
      </w:r>
      <w:r>
        <w:rPr>
          <w:rStyle w:val="44"/>
        </w:rPr>
        <w:instrText xml:space="preserve"> PAGEREF _Toc526878881 \h </w:instrText>
      </w:r>
      <w:r>
        <w:fldChar w:fldCharType="separate"/>
      </w:r>
      <w:r>
        <w:rPr>
          <w:rStyle w:val="44"/>
        </w:rPr>
        <w:t>5</w:t>
      </w:r>
      <w:r>
        <w:fldChar w:fldCharType="end"/>
      </w:r>
      <w:r>
        <w:fldChar w:fldCharType="end"/>
      </w:r>
    </w:p>
    <w:p>
      <w:pPr>
        <w:pStyle w:val="27"/>
        <w:tabs>
          <w:tab w:val="right" w:leader="dot" w:pos="10026"/>
        </w:tabs>
        <w:ind w:firstLine="420"/>
        <w:rPr>
          <w:rStyle w:val="44"/>
        </w:rPr>
      </w:pPr>
      <w:r>
        <w:fldChar w:fldCharType="begin"/>
      </w:r>
      <w:r>
        <w:rPr>
          <w:rStyle w:val="44"/>
        </w:rPr>
        <w:instrText xml:space="preserve"> HYPERLINK \l "_Toc526878882" </w:instrText>
      </w:r>
      <w:r>
        <w:fldChar w:fldCharType="separate"/>
      </w:r>
      <w:r>
        <w:rPr>
          <w:rStyle w:val="44"/>
          <w:rFonts w:hint="eastAsia"/>
        </w:rPr>
        <w:t>第二章</w:t>
      </w:r>
      <w:r>
        <w:rPr>
          <w:rStyle w:val="44"/>
        </w:rPr>
        <w:t xml:space="preserve"> </w:t>
      </w:r>
      <w:r>
        <w:rPr>
          <w:rStyle w:val="44"/>
          <w:rFonts w:hint="eastAsia"/>
        </w:rPr>
        <w:t>投标人须知前附表</w:t>
      </w:r>
      <w:r>
        <w:rPr>
          <w:rStyle w:val="44"/>
        </w:rPr>
        <w:tab/>
      </w:r>
      <w:r>
        <w:fldChar w:fldCharType="begin"/>
      </w:r>
      <w:r>
        <w:rPr>
          <w:rStyle w:val="44"/>
        </w:rPr>
        <w:instrText xml:space="preserve"> PAGEREF _Toc526878882 \h </w:instrText>
      </w:r>
      <w:r>
        <w:fldChar w:fldCharType="separate"/>
      </w:r>
      <w:r>
        <w:rPr>
          <w:rStyle w:val="44"/>
        </w:rPr>
        <w:t>8</w:t>
      </w:r>
      <w:r>
        <w:fldChar w:fldCharType="end"/>
      </w:r>
      <w:r>
        <w:fldChar w:fldCharType="end"/>
      </w:r>
    </w:p>
    <w:p>
      <w:pPr>
        <w:pStyle w:val="27"/>
        <w:tabs>
          <w:tab w:val="right" w:leader="dot" w:pos="10026"/>
        </w:tabs>
        <w:ind w:firstLine="420"/>
        <w:rPr>
          <w:rStyle w:val="44"/>
        </w:rPr>
      </w:pPr>
      <w:r>
        <w:fldChar w:fldCharType="begin"/>
      </w:r>
      <w:r>
        <w:rPr>
          <w:rStyle w:val="44"/>
        </w:rPr>
        <w:instrText xml:space="preserve"> HYPERLINK \l "_Toc526878883" </w:instrText>
      </w:r>
      <w:r>
        <w:fldChar w:fldCharType="separate"/>
      </w:r>
      <w:r>
        <w:rPr>
          <w:rStyle w:val="44"/>
          <w:rFonts w:hint="eastAsia"/>
        </w:rPr>
        <w:t>第三章</w:t>
      </w:r>
      <w:r>
        <w:rPr>
          <w:rStyle w:val="44"/>
        </w:rPr>
        <w:t xml:space="preserve">  </w:t>
      </w:r>
      <w:r>
        <w:rPr>
          <w:rStyle w:val="44"/>
          <w:rFonts w:hint="eastAsia"/>
        </w:rPr>
        <w:t>投标人须知</w:t>
      </w:r>
      <w:r>
        <w:rPr>
          <w:rStyle w:val="44"/>
        </w:rPr>
        <w:tab/>
      </w:r>
      <w:r>
        <w:fldChar w:fldCharType="begin"/>
      </w:r>
      <w:r>
        <w:rPr>
          <w:rStyle w:val="44"/>
        </w:rPr>
        <w:instrText xml:space="preserve"> PAGEREF _Toc526878883 \h </w:instrText>
      </w:r>
      <w:r>
        <w:fldChar w:fldCharType="separate"/>
      </w:r>
      <w:r>
        <w:rPr>
          <w:rStyle w:val="44"/>
        </w:rPr>
        <w:t>11</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"_Toc526878884" </w:instrText>
      </w:r>
      <w:r>
        <w:fldChar w:fldCharType="separate"/>
      </w:r>
      <w:r>
        <w:rPr>
          <w:rStyle w:val="44"/>
        </w:rPr>
        <w:t xml:space="preserve">3.1 </w:t>
      </w:r>
      <w:r>
        <w:rPr>
          <w:rStyle w:val="44"/>
          <w:rFonts w:hint="eastAsia"/>
        </w:rPr>
        <w:t>招标文件涉及术语的内涵及解释</w:t>
      </w:r>
      <w:r>
        <w:rPr>
          <w:rStyle w:val="44"/>
        </w:rPr>
        <w:tab/>
      </w:r>
      <w:r>
        <w:fldChar w:fldCharType="begin"/>
      </w:r>
      <w:r>
        <w:rPr>
          <w:rStyle w:val="44"/>
        </w:rPr>
        <w:instrText xml:space="preserve"> PAGEREF _Toc526878884 \h </w:instrText>
      </w:r>
      <w:r>
        <w:fldChar w:fldCharType="separate"/>
      </w:r>
      <w:r>
        <w:rPr>
          <w:rStyle w:val="44"/>
        </w:rPr>
        <w:t>11</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"_Toc526878885" </w:instrText>
      </w:r>
      <w:r>
        <w:fldChar w:fldCharType="separate"/>
      </w:r>
      <w:r>
        <w:rPr>
          <w:rStyle w:val="44"/>
        </w:rPr>
        <w:t xml:space="preserve">3.2 </w:t>
      </w:r>
      <w:r>
        <w:rPr>
          <w:rStyle w:val="44"/>
          <w:rFonts w:hint="eastAsia"/>
        </w:rPr>
        <w:t>招标项目概况及投标人资格要求</w:t>
      </w:r>
      <w:r>
        <w:rPr>
          <w:rStyle w:val="44"/>
        </w:rPr>
        <w:tab/>
      </w:r>
      <w:r>
        <w:fldChar w:fldCharType="begin"/>
      </w:r>
      <w:r>
        <w:rPr>
          <w:rStyle w:val="44"/>
        </w:rPr>
        <w:instrText xml:space="preserve"> PAGEREF _Toc526878885 \h </w:instrText>
      </w:r>
      <w:r>
        <w:fldChar w:fldCharType="separate"/>
      </w:r>
      <w:r>
        <w:rPr>
          <w:rStyle w:val="44"/>
        </w:rPr>
        <w:t>11</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"_Toc526878886" </w:instrText>
      </w:r>
      <w:r>
        <w:fldChar w:fldCharType="separate"/>
      </w:r>
      <w:r>
        <w:rPr>
          <w:rStyle w:val="44"/>
        </w:rPr>
        <w:t>3.2.1</w:t>
      </w:r>
      <w:r>
        <w:rPr>
          <w:rStyle w:val="44"/>
          <w:rFonts w:hint="eastAsia"/>
        </w:rPr>
        <w:t>招标项目基本信息</w:t>
      </w:r>
      <w:r>
        <w:rPr>
          <w:rStyle w:val="44"/>
        </w:rPr>
        <w:tab/>
      </w:r>
      <w:r>
        <w:fldChar w:fldCharType="begin"/>
      </w:r>
      <w:r>
        <w:rPr>
          <w:rStyle w:val="44"/>
        </w:rPr>
        <w:instrText xml:space="preserve"> PAGEREF _Toc526878886 \h </w:instrText>
      </w:r>
      <w:r>
        <w:fldChar w:fldCharType="separate"/>
      </w:r>
      <w:r>
        <w:rPr>
          <w:rStyle w:val="44"/>
        </w:rPr>
        <w:t>11</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"_Toc526878887" </w:instrText>
      </w:r>
      <w:r>
        <w:fldChar w:fldCharType="separate"/>
      </w:r>
      <w:r>
        <w:rPr>
          <w:rStyle w:val="44"/>
        </w:rPr>
        <w:t>3.2.2</w:t>
      </w:r>
      <w:r>
        <w:rPr>
          <w:rStyle w:val="44"/>
          <w:rFonts w:hint="eastAsia"/>
        </w:rPr>
        <w:t>投标人资格要求</w:t>
      </w:r>
      <w:r>
        <w:rPr>
          <w:rStyle w:val="44"/>
        </w:rPr>
        <w:tab/>
      </w:r>
      <w:r>
        <w:fldChar w:fldCharType="begin"/>
      </w:r>
      <w:r>
        <w:rPr>
          <w:rStyle w:val="44"/>
        </w:rPr>
        <w:instrText xml:space="preserve"> PAGEREF _Toc526878887 \h </w:instrText>
      </w:r>
      <w:r>
        <w:fldChar w:fldCharType="separate"/>
      </w:r>
      <w:r>
        <w:rPr>
          <w:rStyle w:val="44"/>
        </w:rPr>
        <w:t>12</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"_Toc526878888" </w:instrText>
      </w:r>
      <w:r>
        <w:fldChar w:fldCharType="separate"/>
      </w:r>
      <w:r>
        <w:rPr>
          <w:rStyle w:val="44"/>
        </w:rPr>
        <w:t>3.3</w:t>
      </w:r>
      <w:r>
        <w:rPr>
          <w:rStyle w:val="44"/>
          <w:rFonts w:hint="eastAsia"/>
        </w:rPr>
        <w:t>招标</w:t>
      </w:r>
      <w:r>
        <w:rPr>
          <w:rStyle w:val="44"/>
        </w:rPr>
        <w:tab/>
      </w:r>
      <w:r>
        <w:fldChar w:fldCharType="begin"/>
      </w:r>
      <w:r>
        <w:rPr>
          <w:rStyle w:val="44"/>
        </w:rPr>
        <w:instrText xml:space="preserve"> PAGEREF _Toc526878888 \h </w:instrText>
      </w:r>
      <w:r>
        <w:fldChar w:fldCharType="separate"/>
      </w:r>
      <w:r>
        <w:rPr>
          <w:rStyle w:val="44"/>
        </w:rPr>
        <w:t>13</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"_Toc526878889" </w:instrText>
      </w:r>
      <w:r>
        <w:fldChar w:fldCharType="separate"/>
      </w:r>
      <w:r>
        <w:rPr>
          <w:rStyle w:val="44"/>
        </w:rPr>
        <w:t xml:space="preserve">3.3.1 </w:t>
      </w:r>
      <w:r>
        <w:rPr>
          <w:rStyle w:val="44"/>
          <w:rFonts w:hint="eastAsia"/>
        </w:rPr>
        <w:t>综合说明</w:t>
      </w:r>
      <w:r>
        <w:rPr>
          <w:rStyle w:val="44"/>
        </w:rPr>
        <w:tab/>
      </w:r>
      <w:r>
        <w:fldChar w:fldCharType="begin"/>
      </w:r>
      <w:r>
        <w:rPr>
          <w:rStyle w:val="44"/>
        </w:rPr>
        <w:instrText xml:space="preserve"> PAGEREF _Toc526878889 \h </w:instrText>
      </w:r>
      <w:r>
        <w:fldChar w:fldCharType="separate"/>
      </w:r>
      <w:r>
        <w:rPr>
          <w:rStyle w:val="44"/>
        </w:rPr>
        <w:t>13</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"_Toc526878890" </w:instrText>
      </w:r>
      <w:r>
        <w:fldChar w:fldCharType="separate"/>
      </w:r>
      <w:r>
        <w:rPr>
          <w:rStyle w:val="44"/>
        </w:rPr>
        <w:t xml:space="preserve">3.3.2  </w:t>
      </w:r>
      <w:r>
        <w:rPr>
          <w:rStyle w:val="44"/>
          <w:rFonts w:hint="eastAsia"/>
        </w:rPr>
        <w:t>招标公告时间</w:t>
      </w:r>
      <w:r>
        <w:rPr>
          <w:rStyle w:val="44"/>
        </w:rPr>
        <w:tab/>
      </w:r>
      <w:r>
        <w:fldChar w:fldCharType="begin"/>
      </w:r>
      <w:r>
        <w:rPr>
          <w:rStyle w:val="44"/>
        </w:rPr>
        <w:instrText xml:space="preserve"> PAGEREF _Toc526878890 \h </w:instrText>
      </w:r>
      <w:r>
        <w:fldChar w:fldCharType="separate"/>
      </w:r>
      <w:r>
        <w:rPr>
          <w:rStyle w:val="44"/>
        </w:rPr>
        <w:t>13</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"_Toc526878891" </w:instrText>
      </w:r>
      <w:r>
        <w:fldChar w:fldCharType="separate"/>
      </w:r>
      <w:r>
        <w:rPr>
          <w:rStyle w:val="44"/>
        </w:rPr>
        <w:t xml:space="preserve">3.3.3  </w:t>
      </w:r>
      <w:r>
        <w:rPr>
          <w:rStyle w:val="44"/>
          <w:rFonts w:hint="eastAsia"/>
        </w:rPr>
        <w:t>招标文件的构成</w:t>
      </w:r>
      <w:r>
        <w:rPr>
          <w:rStyle w:val="44"/>
        </w:rPr>
        <w:tab/>
      </w:r>
      <w:r>
        <w:fldChar w:fldCharType="begin"/>
      </w:r>
      <w:r>
        <w:rPr>
          <w:rStyle w:val="44"/>
        </w:rPr>
        <w:instrText xml:space="preserve"> PAGEREF _Toc526878891 \h </w:instrText>
      </w:r>
      <w:r>
        <w:fldChar w:fldCharType="separate"/>
      </w:r>
      <w:r>
        <w:rPr>
          <w:rStyle w:val="44"/>
        </w:rPr>
        <w:t>13</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"_Toc526878892" </w:instrText>
      </w:r>
      <w:r>
        <w:fldChar w:fldCharType="separate"/>
      </w:r>
      <w:r>
        <w:rPr>
          <w:rStyle w:val="44"/>
        </w:rPr>
        <w:t xml:space="preserve">3.3.4   </w:t>
      </w:r>
      <w:r>
        <w:rPr>
          <w:rStyle w:val="44"/>
          <w:rFonts w:hint="eastAsia"/>
        </w:rPr>
        <w:t>需要落实的政府采购政策</w:t>
      </w:r>
      <w:r>
        <w:rPr>
          <w:rStyle w:val="44"/>
        </w:rPr>
        <w:tab/>
      </w:r>
      <w:r>
        <w:fldChar w:fldCharType="begin"/>
      </w:r>
      <w:r>
        <w:rPr>
          <w:rStyle w:val="44"/>
        </w:rPr>
        <w:instrText xml:space="preserve"> PAGEREF _Toc526878892 \h </w:instrText>
      </w:r>
      <w:r>
        <w:fldChar w:fldCharType="separate"/>
      </w:r>
      <w:r>
        <w:rPr>
          <w:rStyle w:val="44"/>
        </w:rPr>
        <w:t>13</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"_Toc526878893" </w:instrText>
      </w:r>
      <w:r>
        <w:fldChar w:fldCharType="separate"/>
      </w:r>
      <w:r>
        <w:rPr>
          <w:rStyle w:val="44"/>
        </w:rPr>
        <w:t xml:space="preserve">3.3.5   </w:t>
      </w:r>
      <w:r>
        <w:rPr>
          <w:rStyle w:val="44"/>
          <w:rFonts w:hint="eastAsia"/>
        </w:rPr>
        <w:t>招标文件的修改与补充</w:t>
      </w:r>
      <w:r>
        <w:rPr>
          <w:rStyle w:val="44"/>
        </w:rPr>
        <w:tab/>
      </w:r>
      <w:r>
        <w:fldChar w:fldCharType="begin"/>
      </w:r>
      <w:r>
        <w:rPr>
          <w:rStyle w:val="44"/>
        </w:rPr>
        <w:instrText xml:space="preserve"> PAGEREF _Toc526878893 \h </w:instrText>
      </w:r>
      <w:r>
        <w:fldChar w:fldCharType="separate"/>
      </w:r>
      <w:r>
        <w:rPr>
          <w:rStyle w:val="44"/>
        </w:rPr>
        <w:t>14</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"_Toc526878894" </w:instrText>
      </w:r>
      <w:r>
        <w:fldChar w:fldCharType="separate"/>
      </w:r>
      <w:r>
        <w:rPr>
          <w:rStyle w:val="44"/>
        </w:rPr>
        <w:t xml:space="preserve">3.3.6 </w:t>
      </w:r>
      <w:r>
        <w:rPr>
          <w:rStyle w:val="44"/>
          <w:rFonts w:hint="eastAsia"/>
        </w:rPr>
        <w:t>答疑会和现场考察</w:t>
      </w:r>
      <w:r>
        <w:rPr>
          <w:rStyle w:val="44"/>
        </w:rPr>
        <w:tab/>
      </w:r>
      <w:r>
        <w:fldChar w:fldCharType="begin"/>
      </w:r>
      <w:r>
        <w:rPr>
          <w:rStyle w:val="44"/>
        </w:rPr>
        <w:instrText xml:space="preserve"> PAGEREF _Toc526878894 \h </w:instrText>
      </w:r>
      <w:r>
        <w:fldChar w:fldCharType="separate"/>
      </w:r>
      <w:r>
        <w:rPr>
          <w:rStyle w:val="44"/>
        </w:rPr>
        <w:t>14</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"_Toc526878895" </w:instrText>
      </w:r>
      <w:r>
        <w:fldChar w:fldCharType="separate"/>
      </w:r>
      <w:r>
        <w:rPr>
          <w:rStyle w:val="44"/>
        </w:rPr>
        <w:t xml:space="preserve">3.4  </w:t>
      </w:r>
      <w:r>
        <w:rPr>
          <w:rStyle w:val="44"/>
          <w:rFonts w:hint="eastAsia"/>
        </w:rPr>
        <w:t>投标</w:t>
      </w:r>
      <w:r>
        <w:rPr>
          <w:rStyle w:val="44"/>
        </w:rPr>
        <w:tab/>
      </w:r>
      <w:r>
        <w:fldChar w:fldCharType="begin"/>
      </w:r>
      <w:r>
        <w:rPr>
          <w:rStyle w:val="44"/>
        </w:rPr>
        <w:instrText xml:space="preserve"> PAGEREF _Toc526878895 \h </w:instrText>
      </w:r>
      <w:r>
        <w:fldChar w:fldCharType="separate"/>
      </w:r>
      <w:r>
        <w:rPr>
          <w:rStyle w:val="44"/>
        </w:rPr>
        <w:t>14</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"_Toc526878896" </w:instrText>
      </w:r>
      <w:r>
        <w:fldChar w:fldCharType="separate"/>
      </w:r>
      <w:r>
        <w:rPr>
          <w:rStyle w:val="44"/>
        </w:rPr>
        <w:t>3.4.1</w:t>
      </w:r>
      <w:r>
        <w:rPr>
          <w:rStyle w:val="44"/>
          <w:rFonts w:hint="eastAsia"/>
        </w:rPr>
        <w:t>投标综合要求及说明</w:t>
      </w:r>
      <w:r>
        <w:rPr>
          <w:rStyle w:val="44"/>
        </w:rPr>
        <w:tab/>
      </w:r>
      <w:r>
        <w:fldChar w:fldCharType="begin"/>
      </w:r>
      <w:r>
        <w:rPr>
          <w:rStyle w:val="44"/>
        </w:rPr>
        <w:instrText xml:space="preserve"> PAGEREF _Toc526878896 \h </w:instrText>
      </w:r>
      <w:r>
        <w:fldChar w:fldCharType="separate"/>
      </w:r>
      <w:r>
        <w:rPr>
          <w:rStyle w:val="44"/>
        </w:rPr>
        <w:t>14</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"_Toc526878897" </w:instrText>
      </w:r>
      <w:r>
        <w:fldChar w:fldCharType="separate"/>
      </w:r>
      <w:r>
        <w:rPr>
          <w:rStyle w:val="44"/>
        </w:rPr>
        <w:t>3.4.2</w:t>
      </w:r>
      <w:r>
        <w:rPr>
          <w:rStyle w:val="44"/>
          <w:rFonts w:hint="eastAsia"/>
        </w:rPr>
        <w:t>投标文件的语言</w:t>
      </w:r>
      <w:r>
        <w:rPr>
          <w:rStyle w:val="44"/>
        </w:rPr>
        <w:tab/>
      </w:r>
      <w:r>
        <w:fldChar w:fldCharType="begin"/>
      </w:r>
      <w:r>
        <w:rPr>
          <w:rStyle w:val="44"/>
        </w:rPr>
        <w:instrText xml:space="preserve"> PAGEREF _Toc526878897 \h </w:instrText>
      </w:r>
      <w:r>
        <w:fldChar w:fldCharType="separate"/>
      </w:r>
      <w:r>
        <w:rPr>
          <w:rStyle w:val="44"/>
        </w:rPr>
        <w:t>15</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"_Toc526878898" </w:instrText>
      </w:r>
      <w:r>
        <w:fldChar w:fldCharType="separate"/>
      </w:r>
      <w:r>
        <w:rPr>
          <w:rStyle w:val="44"/>
        </w:rPr>
        <w:t>3.4.3</w:t>
      </w:r>
      <w:r>
        <w:rPr>
          <w:rStyle w:val="44"/>
          <w:rFonts w:hint="eastAsia"/>
        </w:rPr>
        <w:t>计量单位</w:t>
      </w:r>
      <w:r>
        <w:rPr>
          <w:rStyle w:val="44"/>
        </w:rPr>
        <w:tab/>
      </w:r>
      <w:r>
        <w:fldChar w:fldCharType="begin"/>
      </w:r>
      <w:r>
        <w:rPr>
          <w:rStyle w:val="44"/>
        </w:rPr>
        <w:instrText xml:space="preserve"> PAGEREF _Toc526878898 \h </w:instrText>
      </w:r>
      <w:r>
        <w:fldChar w:fldCharType="separate"/>
      </w:r>
      <w:r>
        <w:rPr>
          <w:rStyle w:val="44"/>
        </w:rPr>
        <w:t>15</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"_Toc526878899" </w:instrText>
      </w:r>
      <w:r>
        <w:fldChar w:fldCharType="separate"/>
      </w:r>
      <w:r>
        <w:rPr>
          <w:rStyle w:val="44"/>
        </w:rPr>
        <w:t>3.4.4</w:t>
      </w:r>
      <w:r>
        <w:rPr>
          <w:rStyle w:val="44"/>
          <w:rFonts w:hint="eastAsia"/>
        </w:rPr>
        <w:t>投标货币</w:t>
      </w:r>
      <w:r>
        <w:rPr>
          <w:rStyle w:val="44"/>
        </w:rPr>
        <w:tab/>
      </w:r>
      <w:r>
        <w:fldChar w:fldCharType="begin"/>
      </w:r>
      <w:r>
        <w:rPr>
          <w:rStyle w:val="44"/>
        </w:rPr>
        <w:instrText xml:space="preserve"> PAGEREF _Toc526878899 \h </w:instrText>
      </w:r>
      <w:r>
        <w:fldChar w:fldCharType="separate"/>
      </w:r>
      <w:r>
        <w:rPr>
          <w:rStyle w:val="44"/>
        </w:rPr>
        <w:t>15</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"_Toc526878900" </w:instrText>
      </w:r>
      <w:r>
        <w:fldChar w:fldCharType="separate"/>
      </w:r>
      <w:r>
        <w:rPr>
          <w:rStyle w:val="44"/>
        </w:rPr>
        <w:t>3.4.5</w:t>
      </w:r>
      <w:r>
        <w:rPr>
          <w:rStyle w:val="44"/>
          <w:rFonts w:hint="eastAsia"/>
        </w:rPr>
        <w:t>联合体投标</w:t>
      </w:r>
      <w:r>
        <w:rPr>
          <w:rStyle w:val="44"/>
        </w:rPr>
        <w:tab/>
      </w:r>
      <w:r>
        <w:fldChar w:fldCharType="begin"/>
      </w:r>
      <w:r>
        <w:rPr>
          <w:rStyle w:val="44"/>
        </w:rPr>
        <w:instrText xml:space="preserve"> PAGEREF _Toc526878900 \h </w:instrText>
      </w:r>
      <w:r>
        <w:fldChar w:fldCharType="separate"/>
      </w:r>
      <w:r>
        <w:rPr>
          <w:rStyle w:val="44"/>
        </w:rPr>
        <w:t>15</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"_Toc526878901" </w:instrText>
      </w:r>
      <w:r>
        <w:fldChar w:fldCharType="separate"/>
      </w:r>
      <w:r>
        <w:rPr>
          <w:rStyle w:val="44"/>
        </w:rPr>
        <w:t>3.4.6</w:t>
      </w:r>
      <w:r>
        <w:rPr>
          <w:rStyle w:val="44"/>
          <w:rFonts w:hint="eastAsia"/>
        </w:rPr>
        <w:t>知识产权</w:t>
      </w:r>
      <w:r>
        <w:rPr>
          <w:rStyle w:val="44"/>
        </w:rPr>
        <w:tab/>
      </w:r>
      <w:r>
        <w:fldChar w:fldCharType="begin"/>
      </w:r>
      <w:r>
        <w:rPr>
          <w:rStyle w:val="44"/>
        </w:rPr>
        <w:instrText xml:space="preserve"> PAGEREF _Toc526878901 \h </w:instrText>
      </w:r>
      <w:r>
        <w:fldChar w:fldCharType="separate"/>
      </w:r>
      <w:r>
        <w:rPr>
          <w:rStyle w:val="44"/>
        </w:rPr>
        <w:t>16</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"_Toc526878902" </w:instrText>
      </w:r>
      <w:r>
        <w:fldChar w:fldCharType="separate"/>
      </w:r>
      <w:r>
        <w:rPr>
          <w:rStyle w:val="44"/>
        </w:rPr>
        <w:t>3.4.7</w:t>
      </w:r>
      <w:r>
        <w:rPr>
          <w:rStyle w:val="44"/>
          <w:rFonts w:hint="eastAsia"/>
        </w:rPr>
        <w:t>投标文件的组成</w:t>
      </w:r>
      <w:r>
        <w:rPr>
          <w:rStyle w:val="44"/>
        </w:rPr>
        <w:tab/>
      </w:r>
      <w:r>
        <w:fldChar w:fldCharType="begin"/>
      </w:r>
      <w:r>
        <w:rPr>
          <w:rStyle w:val="44"/>
        </w:rPr>
        <w:instrText xml:space="preserve"> PAGEREF _Toc526878902 \h </w:instrText>
      </w:r>
      <w:r>
        <w:fldChar w:fldCharType="separate"/>
      </w:r>
      <w:r>
        <w:rPr>
          <w:rStyle w:val="44"/>
        </w:rPr>
        <w:t>16</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"_Toc526878903" </w:instrText>
      </w:r>
      <w:r>
        <w:fldChar w:fldCharType="separate"/>
      </w:r>
      <w:r>
        <w:rPr>
          <w:rStyle w:val="44"/>
        </w:rPr>
        <w:t>3.4.8</w:t>
      </w:r>
      <w:r>
        <w:rPr>
          <w:rStyle w:val="44"/>
          <w:rFonts w:hint="eastAsia"/>
        </w:rPr>
        <w:t>投标文件格式</w:t>
      </w:r>
      <w:r>
        <w:rPr>
          <w:rStyle w:val="44"/>
        </w:rPr>
        <w:tab/>
      </w:r>
      <w:r>
        <w:fldChar w:fldCharType="begin"/>
      </w:r>
      <w:r>
        <w:rPr>
          <w:rStyle w:val="44"/>
        </w:rPr>
        <w:instrText xml:space="preserve"> PAGEREF _Toc526878903 \h </w:instrText>
      </w:r>
      <w:r>
        <w:fldChar w:fldCharType="separate"/>
      </w:r>
      <w:r>
        <w:rPr>
          <w:rStyle w:val="44"/>
        </w:rPr>
        <w:t>18</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"_Toc526878904" </w:instrText>
      </w:r>
      <w:r>
        <w:fldChar w:fldCharType="separate"/>
      </w:r>
      <w:r>
        <w:rPr>
          <w:rStyle w:val="44"/>
        </w:rPr>
        <w:t>3.4.9</w:t>
      </w:r>
      <w:r>
        <w:rPr>
          <w:rStyle w:val="44"/>
          <w:rFonts w:hint="eastAsia"/>
        </w:rPr>
        <w:t>投标有效期</w:t>
      </w:r>
      <w:r>
        <w:rPr>
          <w:rStyle w:val="44"/>
        </w:rPr>
        <w:tab/>
      </w:r>
      <w:r>
        <w:fldChar w:fldCharType="begin"/>
      </w:r>
      <w:r>
        <w:rPr>
          <w:rStyle w:val="44"/>
        </w:rPr>
        <w:instrText xml:space="preserve"> PAGEREF _Toc526878904 \h </w:instrText>
      </w:r>
      <w:r>
        <w:fldChar w:fldCharType="separate"/>
      </w:r>
      <w:r>
        <w:rPr>
          <w:rStyle w:val="44"/>
        </w:rPr>
        <w:t>18</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"_Toc526878905" </w:instrText>
      </w:r>
      <w:r>
        <w:fldChar w:fldCharType="separate"/>
      </w:r>
      <w:r>
        <w:rPr>
          <w:rStyle w:val="44"/>
        </w:rPr>
        <w:t>3.4.10</w:t>
      </w:r>
      <w:r>
        <w:rPr>
          <w:rStyle w:val="44"/>
          <w:rFonts w:hint="eastAsia"/>
        </w:rPr>
        <w:t>投标保证金</w:t>
      </w:r>
      <w:r>
        <w:rPr>
          <w:rStyle w:val="44"/>
        </w:rPr>
        <w:tab/>
      </w:r>
      <w:r>
        <w:fldChar w:fldCharType="begin"/>
      </w:r>
      <w:r>
        <w:rPr>
          <w:rStyle w:val="44"/>
        </w:rPr>
        <w:instrText xml:space="preserve"> PAGEREF _Toc526878905 \h </w:instrText>
      </w:r>
      <w:r>
        <w:fldChar w:fldCharType="separate"/>
      </w:r>
      <w:r>
        <w:rPr>
          <w:rStyle w:val="44"/>
        </w:rPr>
        <w:t>18</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"_Toc526878906" </w:instrText>
      </w:r>
      <w:r>
        <w:fldChar w:fldCharType="separate"/>
      </w:r>
      <w:r>
        <w:rPr>
          <w:rStyle w:val="44"/>
        </w:rPr>
        <w:t>3.4.11</w:t>
      </w:r>
      <w:r>
        <w:rPr>
          <w:rStyle w:val="44"/>
          <w:rFonts w:hint="eastAsia"/>
        </w:rPr>
        <w:t>投标文件的份数和签署</w:t>
      </w:r>
      <w:r>
        <w:rPr>
          <w:rStyle w:val="44"/>
        </w:rPr>
        <w:tab/>
      </w:r>
      <w:r>
        <w:fldChar w:fldCharType="begin"/>
      </w:r>
      <w:r>
        <w:rPr>
          <w:rStyle w:val="44"/>
        </w:rPr>
        <w:instrText xml:space="preserve"> PAGEREF _Toc526878906 \h </w:instrText>
      </w:r>
      <w:r>
        <w:fldChar w:fldCharType="separate"/>
      </w:r>
      <w:r>
        <w:rPr>
          <w:rStyle w:val="44"/>
        </w:rPr>
        <w:t>19</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"_Toc526878907" </w:instrText>
      </w:r>
      <w:r>
        <w:fldChar w:fldCharType="separate"/>
      </w:r>
      <w:r>
        <w:rPr>
          <w:rStyle w:val="44"/>
        </w:rPr>
        <w:t>3.4.12</w:t>
      </w:r>
      <w:r>
        <w:rPr>
          <w:rStyle w:val="44"/>
          <w:rFonts w:hint="eastAsia"/>
        </w:rPr>
        <w:t>投标文件的密封</w:t>
      </w:r>
      <w:r>
        <w:rPr>
          <w:rStyle w:val="44"/>
        </w:rPr>
        <w:tab/>
      </w:r>
      <w:r>
        <w:fldChar w:fldCharType="begin"/>
      </w:r>
      <w:r>
        <w:rPr>
          <w:rStyle w:val="44"/>
        </w:rPr>
        <w:instrText xml:space="preserve"> PAGEREF _Toc526878907 \h </w:instrText>
      </w:r>
      <w:r>
        <w:fldChar w:fldCharType="separate"/>
      </w:r>
      <w:r>
        <w:rPr>
          <w:rStyle w:val="44"/>
        </w:rPr>
        <w:t>19</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"_Toc526878908" </w:instrText>
      </w:r>
      <w:r>
        <w:fldChar w:fldCharType="separate"/>
      </w:r>
      <w:r>
        <w:rPr>
          <w:rStyle w:val="44"/>
        </w:rPr>
        <w:t>3.4.13</w:t>
      </w:r>
      <w:r>
        <w:rPr>
          <w:rStyle w:val="44"/>
          <w:rFonts w:hint="eastAsia"/>
        </w:rPr>
        <w:t>投标文件递交</w:t>
      </w:r>
      <w:r>
        <w:rPr>
          <w:rStyle w:val="44"/>
        </w:rPr>
        <w:tab/>
      </w:r>
      <w:r>
        <w:fldChar w:fldCharType="begin"/>
      </w:r>
      <w:r>
        <w:rPr>
          <w:rStyle w:val="44"/>
        </w:rPr>
        <w:instrText xml:space="preserve"> PAGEREF _Toc526878908 \h </w:instrText>
      </w:r>
      <w:r>
        <w:fldChar w:fldCharType="separate"/>
      </w:r>
      <w:r>
        <w:rPr>
          <w:rStyle w:val="44"/>
        </w:rPr>
        <w:t>19</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"_Toc526878909" </w:instrText>
      </w:r>
      <w:r>
        <w:fldChar w:fldCharType="separate"/>
      </w:r>
      <w:r>
        <w:rPr>
          <w:rStyle w:val="44"/>
        </w:rPr>
        <w:t>3.4.14</w:t>
      </w:r>
      <w:r>
        <w:rPr>
          <w:rStyle w:val="44"/>
          <w:rFonts w:hint="eastAsia"/>
        </w:rPr>
        <w:t>投标文件递交截止时间</w:t>
      </w:r>
      <w:r>
        <w:rPr>
          <w:rStyle w:val="44"/>
        </w:rPr>
        <w:tab/>
      </w:r>
      <w:r>
        <w:fldChar w:fldCharType="begin"/>
      </w:r>
      <w:r>
        <w:rPr>
          <w:rStyle w:val="44"/>
        </w:rPr>
        <w:instrText xml:space="preserve"> PAGEREF _Toc526878909 \h </w:instrText>
      </w:r>
      <w:r>
        <w:fldChar w:fldCharType="separate"/>
      </w:r>
      <w:r>
        <w:rPr>
          <w:rStyle w:val="44"/>
        </w:rPr>
        <w:t>19</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"_Toc526878910" </w:instrText>
      </w:r>
      <w:r>
        <w:fldChar w:fldCharType="separate"/>
      </w:r>
      <w:r>
        <w:rPr>
          <w:rStyle w:val="44"/>
        </w:rPr>
        <w:t>3.4.15</w:t>
      </w:r>
      <w:r>
        <w:rPr>
          <w:rStyle w:val="44"/>
          <w:rFonts w:hint="eastAsia"/>
        </w:rPr>
        <w:t>投标文件的修改与撤回</w:t>
      </w:r>
      <w:r>
        <w:rPr>
          <w:rStyle w:val="44"/>
        </w:rPr>
        <w:tab/>
      </w:r>
      <w:r>
        <w:fldChar w:fldCharType="begin"/>
      </w:r>
      <w:r>
        <w:rPr>
          <w:rStyle w:val="44"/>
        </w:rPr>
        <w:instrText xml:space="preserve"> PAGEREF _Toc526878910 \h </w:instrText>
      </w:r>
      <w:r>
        <w:fldChar w:fldCharType="separate"/>
      </w:r>
      <w:r>
        <w:rPr>
          <w:rStyle w:val="44"/>
        </w:rPr>
        <w:t>20</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"_Toc526878911" </w:instrText>
      </w:r>
      <w:r>
        <w:fldChar w:fldCharType="separate"/>
      </w:r>
      <w:r>
        <w:rPr>
          <w:rStyle w:val="44"/>
        </w:rPr>
        <w:t>3.4.16</w:t>
      </w:r>
      <w:r>
        <w:rPr>
          <w:rStyle w:val="44"/>
          <w:rFonts w:hint="eastAsia"/>
        </w:rPr>
        <w:t>特殊情形的规定</w:t>
      </w:r>
      <w:r>
        <w:rPr>
          <w:rStyle w:val="44"/>
        </w:rPr>
        <w:tab/>
      </w:r>
      <w:r>
        <w:fldChar w:fldCharType="begin"/>
      </w:r>
      <w:r>
        <w:rPr>
          <w:rStyle w:val="44"/>
        </w:rPr>
        <w:instrText xml:space="preserve"> PAGEREF _Toc526878911 \h </w:instrText>
      </w:r>
      <w:r>
        <w:fldChar w:fldCharType="separate"/>
      </w:r>
      <w:r>
        <w:rPr>
          <w:rStyle w:val="44"/>
        </w:rPr>
        <w:t>20</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"_Toc526878912" </w:instrText>
      </w:r>
      <w:r>
        <w:fldChar w:fldCharType="separate"/>
      </w:r>
      <w:r>
        <w:rPr>
          <w:rStyle w:val="44"/>
        </w:rPr>
        <w:t>3.4.17</w:t>
      </w:r>
      <w:r>
        <w:rPr>
          <w:rStyle w:val="44"/>
          <w:rFonts w:hint="eastAsia"/>
        </w:rPr>
        <w:t>投标人出现以下情况，采购人（代理机构）将拒收其递交的投标文件。</w:t>
      </w:r>
      <w:r>
        <w:rPr>
          <w:rStyle w:val="44"/>
        </w:rPr>
        <w:tab/>
      </w:r>
      <w:r>
        <w:fldChar w:fldCharType="begin"/>
      </w:r>
      <w:r>
        <w:rPr>
          <w:rStyle w:val="44"/>
        </w:rPr>
        <w:instrText xml:space="preserve"> PAGEREF _Toc526878912 \h </w:instrText>
      </w:r>
      <w:r>
        <w:fldChar w:fldCharType="separate"/>
      </w:r>
      <w:r>
        <w:rPr>
          <w:rStyle w:val="44"/>
        </w:rPr>
        <w:t>20</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"_Toc526878913" </w:instrText>
      </w:r>
      <w:r>
        <w:fldChar w:fldCharType="separate"/>
      </w:r>
      <w:r>
        <w:rPr>
          <w:rStyle w:val="44"/>
        </w:rPr>
        <w:t xml:space="preserve">3.5 </w:t>
      </w:r>
      <w:r>
        <w:rPr>
          <w:rStyle w:val="44"/>
          <w:rFonts w:hint="eastAsia"/>
        </w:rPr>
        <w:t>开标</w:t>
      </w:r>
      <w:r>
        <w:rPr>
          <w:rStyle w:val="44"/>
        </w:rPr>
        <w:tab/>
      </w:r>
      <w:r>
        <w:fldChar w:fldCharType="begin"/>
      </w:r>
      <w:r>
        <w:rPr>
          <w:rStyle w:val="44"/>
        </w:rPr>
        <w:instrText xml:space="preserve"> PAGEREF _Toc526878913 \h </w:instrText>
      </w:r>
      <w:r>
        <w:fldChar w:fldCharType="separate"/>
      </w:r>
      <w:r>
        <w:rPr>
          <w:rStyle w:val="44"/>
        </w:rPr>
        <w:t>21</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"_Toc526878914" </w:instrText>
      </w:r>
      <w:r>
        <w:fldChar w:fldCharType="separate"/>
      </w:r>
      <w:r>
        <w:rPr>
          <w:rStyle w:val="44"/>
        </w:rPr>
        <w:t xml:space="preserve">3.5.1  </w:t>
      </w:r>
      <w:r>
        <w:rPr>
          <w:rStyle w:val="44"/>
          <w:rFonts w:hint="eastAsia"/>
        </w:rPr>
        <w:t>开标内容及注意事项</w:t>
      </w:r>
      <w:r>
        <w:rPr>
          <w:rStyle w:val="44"/>
        </w:rPr>
        <w:tab/>
      </w:r>
      <w:r>
        <w:fldChar w:fldCharType="begin"/>
      </w:r>
      <w:r>
        <w:rPr>
          <w:rStyle w:val="44"/>
        </w:rPr>
        <w:instrText xml:space="preserve"> PAGEREF _Toc526878914 \h </w:instrText>
      </w:r>
      <w:r>
        <w:fldChar w:fldCharType="separate"/>
      </w:r>
      <w:r>
        <w:rPr>
          <w:rStyle w:val="44"/>
        </w:rPr>
        <w:t>21</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"_Toc526878915" </w:instrText>
      </w:r>
      <w:r>
        <w:fldChar w:fldCharType="separate"/>
      </w:r>
      <w:r>
        <w:rPr>
          <w:rStyle w:val="44"/>
        </w:rPr>
        <w:t xml:space="preserve">3.6 </w:t>
      </w:r>
      <w:r>
        <w:rPr>
          <w:rStyle w:val="44"/>
          <w:rFonts w:hint="eastAsia"/>
        </w:rPr>
        <w:t>评标</w:t>
      </w:r>
      <w:r>
        <w:rPr>
          <w:rStyle w:val="44"/>
        </w:rPr>
        <w:tab/>
      </w:r>
      <w:r>
        <w:fldChar w:fldCharType="begin"/>
      </w:r>
      <w:r>
        <w:rPr>
          <w:rStyle w:val="44"/>
        </w:rPr>
        <w:instrText xml:space="preserve"> PAGEREF _Toc526878915 \h </w:instrText>
      </w:r>
      <w:r>
        <w:fldChar w:fldCharType="separate"/>
      </w:r>
      <w:r>
        <w:rPr>
          <w:rStyle w:val="44"/>
        </w:rPr>
        <w:t>21</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"_Toc526878916" </w:instrText>
      </w:r>
      <w:r>
        <w:fldChar w:fldCharType="separate"/>
      </w:r>
      <w:r>
        <w:rPr>
          <w:rStyle w:val="44"/>
        </w:rPr>
        <w:t>3.6.1</w:t>
      </w:r>
      <w:r>
        <w:rPr>
          <w:rStyle w:val="44"/>
          <w:rFonts w:hint="eastAsia"/>
        </w:rPr>
        <w:t>评标流程</w:t>
      </w:r>
      <w:r>
        <w:rPr>
          <w:rStyle w:val="44"/>
        </w:rPr>
        <w:tab/>
      </w:r>
      <w:r>
        <w:fldChar w:fldCharType="begin"/>
      </w:r>
      <w:r>
        <w:rPr>
          <w:rStyle w:val="44"/>
        </w:rPr>
        <w:instrText xml:space="preserve"> PAGEREF _Toc526878916 \h </w:instrText>
      </w:r>
      <w:r>
        <w:fldChar w:fldCharType="separate"/>
      </w:r>
      <w:r>
        <w:rPr>
          <w:rStyle w:val="44"/>
        </w:rPr>
        <w:t>21</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"_Toc526878917" </w:instrText>
      </w:r>
      <w:r>
        <w:fldChar w:fldCharType="separate"/>
      </w:r>
      <w:r>
        <w:rPr>
          <w:rStyle w:val="44"/>
        </w:rPr>
        <w:t>3.6.2</w:t>
      </w:r>
      <w:r>
        <w:rPr>
          <w:rStyle w:val="44"/>
          <w:rFonts w:hint="eastAsia"/>
        </w:rPr>
        <w:t>注意事项</w:t>
      </w:r>
      <w:r>
        <w:rPr>
          <w:rStyle w:val="44"/>
        </w:rPr>
        <w:tab/>
      </w:r>
      <w:r>
        <w:fldChar w:fldCharType="begin"/>
      </w:r>
      <w:r>
        <w:rPr>
          <w:rStyle w:val="44"/>
        </w:rPr>
        <w:instrText xml:space="preserve"> PAGEREF _Toc526878917 \h </w:instrText>
      </w:r>
      <w:r>
        <w:fldChar w:fldCharType="separate"/>
      </w:r>
      <w:r>
        <w:rPr>
          <w:rStyle w:val="44"/>
        </w:rPr>
        <w:t>22</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"_Toc526878918" </w:instrText>
      </w:r>
      <w:r>
        <w:fldChar w:fldCharType="separate"/>
      </w:r>
      <w:r>
        <w:rPr>
          <w:rStyle w:val="44"/>
        </w:rPr>
        <w:t xml:space="preserve">3.6.3 </w:t>
      </w:r>
      <w:r>
        <w:rPr>
          <w:rStyle w:val="44"/>
          <w:rFonts w:hint="eastAsia"/>
        </w:rPr>
        <w:t>投标人家数计算</w:t>
      </w:r>
      <w:r>
        <w:rPr>
          <w:rStyle w:val="44"/>
        </w:rPr>
        <w:tab/>
      </w:r>
      <w:r>
        <w:fldChar w:fldCharType="begin"/>
      </w:r>
      <w:r>
        <w:rPr>
          <w:rStyle w:val="44"/>
        </w:rPr>
        <w:instrText xml:space="preserve"> PAGEREF _Toc526878918 \h </w:instrText>
      </w:r>
      <w:r>
        <w:fldChar w:fldCharType="separate"/>
      </w:r>
      <w:r>
        <w:rPr>
          <w:rStyle w:val="44"/>
        </w:rPr>
        <w:t>22</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"_Toc526878919" </w:instrText>
      </w:r>
      <w:r>
        <w:fldChar w:fldCharType="separate"/>
      </w:r>
      <w:r>
        <w:rPr>
          <w:rStyle w:val="44"/>
        </w:rPr>
        <w:t xml:space="preserve">3.7 </w:t>
      </w:r>
      <w:r>
        <w:rPr>
          <w:rStyle w:val="44"/>
          <w:rFonts w:hint="eastAsia"/>
        </w:rPr>
        <w:t>定标</w:t>
      </w:r>
      <w:r>
        <w:rPr>
          <w:rStyle w:val="44"/>
        </w:rPr>
        <w:tab/>
      </w:r>
      <w:r>
        <w:fldChar w:fldCharType="begin"/>
      </w:r>
      <w:r>
        <w:rPr>
          <w:rStyle w:val="44"/>
        </w:rPr>
        <w:instrText xml:space="preserve"> PAGEREF _Toc526878919 \h </w:instrText>
      </w:r>
      <w:r>
        <w:fldChar w:fldCharType="separate"/>
      </w:r>
      <w:r>
        <w:rPr>
          <w:rStyle w:val="44"/>
        </w:rPr>
        <w:t>22</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"_Toc526878920" </w:instrText>
      </w:r>
      <w:r>
        <w:fldChar w:fldCharType="separate"/>
      </w:r>
      <w:r>
        <w:rPr>
          <w:rStyle w:val="44"/>
        </w:rPr>
        <w:t xml:space="preserve">3.7.1 </w:t>
      </w:r>
      <w:r>
        <w:rPr>
          <w:rStyle w:val="44"/>
          <w:rFonts w:hint="eastAsia"/>
        </w:rPr>
        <w:t>定标原则</w:t>
      </w:r>
      <w:r>
        <w:rPr>
          <w:rStyle w:val="44"/>
        </w:rPr>
        <w:tab/>
      </w:r>
      <w:r>
        <w:fldChar w:fldCharType="begin"/>
      </w:r>
      <w:r>
        <w:rPr>
          <w:rStyle w:val="44"/>
        </w:rPr>
        <w:instrText xml:space="preserve"> PAGEREF _Toc526878920 \h </w:instrText>
      </w:r>
      <w:r>
        <w:fldChar w:fldCharType="separate"/>
      </w:r>
      <w:r>
        <w:rPr>
          <w:rStyle w:val="44"/>
        </w:rPr>
        <w:t>22</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"_Toc526878921" </w:instrText>
      </w:r>
      <w:r>
        <w:fldChar w:fldCharType="separate"/>
      </w:r>
      <w:r>
        <w:rPr>
          <w:rStyle w:val="44"/>
        </w:rPr>
        <w:t xml:space="preserve">3.7.2 </w:t>
      </w:r>
      <w:r>
        <w:rPr>
          <w:rStyle w:val="44"/>
          <w:rFonts w:hint="eastAsia"/>
        </w:rPr>
        <w:t>定标程序</w:t>
      </w:r>
      <w:r>
        <w:rPr>
          <w:rStyle w:val="44"/>
        </w:rPr>
        <w:tab/>
      </w:r>
      <w:r>
        <w:fldChar w:fldCharType="begin"/>
      </w:r>
      <w:r>
        <w:rPr>
          <w:rStyle w:val="44"/>
        </w:rPr>
        <w:instrText xml:space="preserve"> PAGEREF _Toc526878921 \h </w:instrText>
      </w:r>
      <w:r>
        <w:fldChar w:fldCharType="separate"/>
      </w:r>
      <w:r>
        <w:rPr>
          <w:rStyle w:val="44"/>
        </w:rPr>
        <w:t>22</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"_Toc526878922" </w:instrText>
      </w:r>
      <w:r>
        <w:fldChar w:fldCharType="separate"/>
      </w:r>
      <w:r>
        <w:rPr>
          <w:rStyle w:val="44"/>
        </w:rPr>
        <w:t xml:space="preserve">3.8 </w:t>
      </w:r>
      <w:r>
        <w:rPr>
          <w:rStyle w:val="44"/>
          <w:rFonts w:hint="eastAsia"/>
        </w:rPr>
        <w:t>发放中标通知书</w:t>
      </w:r>
      <w:r>
        <w:rPr>
          <w:rStyle w:val="44"/>
        </w:rPr>
        <w:tab/>
      </w:r>
      <w:r>
        <w:fldChar w:fldCharType="begin"/>
      </w:r>
      <w:r>
        <w:rPr>
          <w:rStyle w:val="44"/>
        </w:rPr>
        <w:instrText xml:space="preserve"> PAGEREF _Toc526878922 \h </w:instrText>
      </w:r>
      <w:r>
        <w:fldChar w:fldCharType="separate"/>
      </w:r>
      <w:r>
        <w:rPr>
          <w:rStyle w:val="44"/>
        </w:rPr>
        <w:t>23</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"_Toc526878923" </w:instrText>
      </w:r>
      <w:r>
        <w:fldChar w:fldCharType="separate"/>
      </w:r>
      <w:r>
        <w:rPr>
          <w:rStyle w:val="44"/>
        </w:rPr>
        <w:t xml:space="preserve">3.9 </w:t>
      </w:r>
      <w:r>
        <w:rPr>
          <w:rStyle w:val="44"/>
          <w:rFonts w:hint="eastAsia"/>
        </w:rPr>
        <w:t>签订政府采购合同</w:t>
      </w:r>
      <w:r>
        <w:rPr>
          <w:rStyle w:val="44"/>
        </w:rPr>
        <w:tab/>
      </w:r>
      <w:r>
        <w:fldChar w:fldCharType="begin"/>
      </w:r>
      <w:r>
        <w:rPr>
          <w:rStyle w:val="44"/>
        </w:rPr>
        <w:instrText xml:space="preserve"> PAGEREF _Toc526878923 \h </w:instrText>
      </w:r>
      <w:r>
        <w:fldChar w:fldCharType="separate"/>
      </w:r>
      <w:r>
        <w:rPr>
          <w:rStyle w:val="44"/>
        </w:rPr>
        <w:t>23</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"_Toc526878924" </w:instrText>
      </w:r>
      <w:r>
        <w:fldChar w:fldCharType="separate"/>
      </w:r>
      <w:r>
        <w:rPr>
          <w:rStyle w:val="44"/>
        </w:rPr>
        <w:t>3.9.1</w:t>
      </w:r>
      <w:r>
        <w:rPr>
          <w:rStyle w:val="44"/>
          <w:rFonts w:hint="eastAsia"/>
        </w:rPr>
        <w:t>合同授予原则</w:t>
      </w:r>
      <w:r>
        <w:rPr>
          <w:rStyle w:val="44"/>
        </w:rPr>
        <w:tab/>
      </w:r>
      <w:r>
        <w:fldChar w:fldCharType="begin"/>
      </w:r>
      <w:r>
        <w:rPr>
          <w:rStyle w:val="44"/>
        </w:rPr>
        <w:instrText xml:space="preserve"> PAGEREF _Toc526878924 \h </w:instrText>
      </w:r>
      <w:r>
        <w:fldChar w:fldCharType="separate"/>
      </w:r>
      <w:r>
        <w:rPr>
          <w:rStyle w:val="44"/>
        </w:rPr>
        <w:t>23</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"_Toc526878925" </w:instrText>
      </w:r>
      <w:r>
        <w:fldChar w:fldCharType="separate"/>
      </w:r>
      <w:r>
        <w:rPr>
          <w:rStyle w:val="44"/>
        </w:rPr>
        <w:t>3.9.2</w:t>
      </w:r>
      <w:r>
        <w:rPr>
          <w:rStyle w:val="44"/>
          <w:rFonts w:hint="eastAsia"/>
        </w:rPr>
        <w:t>合同的签署、履行及验收</w:t>
      </w:r>
      <w:r>
        <w:rPr>
          <w:rStyle w:val="44"/>
        </w:rPr>
        <w:tab/>
      </w:r>
      <w:r>
        <w:fldChar w:fldCharType="begin"/>
      </w:r>
      <w:r>
        <w:rPr>
          <w:rStyle w:val="44"/>
        </w:rPr>
        <w:instrText xml:space="preserve"> PAGEREF _Toc526878925 \h </w:instrText>
      </w:r>
      <w:r>
        <w:fldChar w:fldCharType="separate"/>
      </w:r>
      <w:r>
        <w:rPr>
          <w:rStyle w:val="44"/>
        </w:rPr>
        <w:t>23</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"_Toc526878926" </w:instrText>
      </w:r>
      <w:r>
        <w:fldChar w:fldCharType="separate"/>
      </w:r>
      <w:r>
        <w:rPr>
          <w:rStyle w:val="44"/>
        </w:rPr>
        <w:t>3.9.3</w:t>
      </w:r>
      <w:r>
        <w:rPr>
          <w:rStyle w:val="44"/>
          <w:rFonts w:hint="eastAsia"/>
        </w:rPr>
        <w:t>其他</w:t>
      </w:r>
      <w:r>
        <w:rPr>
          <w:rStyle w:val="44"/>
        </w:rPr>
        <w:tab/>
      </w:r>
      <w:r>
        <w:fldChar w:fldCharType="begin"/>
      </w:r>
      <w:r>
        <w:rPr>
          <w:rStyle w:val="44"/>
        </w:rPr>
        <w:instrText xml:space="preserve"> PAGEREF _Toc526878926 \h </w:instrText>
      </w:r>
      <w:r>
        <w:fldChar w:fldCharType="separate"/>
      </w:r>
      <w:r>
        <w:rPr>
          <w:rStyle w:val="44"/>
        </w:rPr>
        <w:t>24</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"_Toc526878927" </w:instrText>
      </w:r>
      <w:r>
        <w:fldChar w:fldCharType="separate"/>
      </w:r>
      <w:r>
        <w:rPr>
          <w:rStyle w:val="44"/>
        </w:rPr>
        <w:t>3.10</w:t>
      </w:r>
      <w:r>
        <w:rPr>
          <w:rStyle w:val="44"/>
          <w:rFonts w:hint="eastAsia"/>
        </w:rPr>
        <w:t>、质疑与答复</w:t>
      </w:r>
      <w:r>
        <w:rPr>
          <w:rStyle w:val="44"/>
        </w:rPr>
        <w:tab/>
      </w:r>
      <w:r>
        <w:fldChar w:fldCharType="begin"/>
      </w:r>
      <w:r>
        <w:rPr>
          <w:rStyle w:val="44"/>
        </w:rPr>
        <w:instrText xml:space="preserve"> PAGEREF _Toc526878927 \h </w:instrText>
      </w:r>
      <w:r>
        <w:fldChar w:fldCharType="separate"/>
      </w:r>
      <w:r>
        <w:rPr>
          <w:rStyle w:val="44"/>
        </w:rPr>
        <w:t>24</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"_Toc526878928" </w:instrText>
      </w:r>
      <w:r>
        <w:fldChar w:fldCharType="separate"/>
      </w:r>
      <w:r>
        <w:rPr>
          <w:rStyle w:val="44"/>
        </w:rPr>
        <w:t xml:space="preserve">3.10.1 </w:t>
      </w:r>
      <w:r>
        <w:rPr>
          <w:rStyle w:val="44"/>
          <w:rFonts w:hint="eastAsia"/>
        </w:rPr>
        <w:t>综合说明</w:t>
      </w:r>
      <w:r>
        <w:rPr>
          <w:rStyle w:val="44"/>
        </w:rPr>
        <w:tab/>
      </w:r>
      <w:r>
        <w:fldChar w:fldCharType="begin"/>
      </w:r>
      <w:r>
        <w:rPr>
          <w:rStyle w:val="44"/>
        </w:rPr>
        <w:instrText xml:space="preserve"> PAGEREF _Toc526878928 \h </w:instrText>
      </w:r>
      <w:r>
        <w:fldChar w:fldCharType="separate"/>
      </w:r>
      <w:r>
        <w:rPr>
          <w:rStyle w:val="44"/>
        </w:rPr>
        <w:t>24</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"_Toc526878929" </w:instrText>
      </w:r>
      <w:r>
        <w:fldChar w:fldCharType="separate"/>
      </w:r>
      <w:r>
        <w:rPr>
          <w:rStyle w:val="44"/>
        </w:rPr>
        <w:t>3.10.2</w:t>
      </w:r>
      <w:r>
        <w:rPr>
          <w:rStyle w:val="44"/>
          <w:rFonts w:hint="eastAsia"/>
        </w:rPr>
        <w:t>质疑和答复的时限</w:t>
      </w:r>
      <w:r>
        <w:rPr>
          <w:rStyle w:val="44"/>
        </w:rPr>
        <w:tab/>
      </w:r>
      <w:r>
        <w:fldChar w:fldCharType="begin"/>
      </w:r>
      <w:r>
        <w:rPr>
          <w:rStyle w:val="44"/>
        </w:rPr>
        <w:instrText xml:space="preserve"> PAGEREF _Toc526878929 \h </w:instrText>
      </w:r>
      <w:r>
        <w:fldChar w:fldCharType="separate"/>
      </w:r>
      <w:r>
        <w:rPr>
          <w:rStyle w:val="44"/>
        </w:rPr>
        <w:t>24</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"_Toc526878930" </w:instrText>
      </w:r>
      <w:r>
        <w:fldChar w:fldCharType="separate"/>
      </w:r>
      <w:r>
        <w:rPr>
          <w:rStyle w:val="44"/>
        </w:rPr>
        <w:t>3.10.3</w:t>
      </w:r>
      <w:r>
        <w:rPr>
          <w:rStyle w:val="44"/>
          <w:rFonts w:hint="eastAsia"/>
        </w:rPr>
        <w:t>投标人提起质疑应当符合下列条件：</w:t>
      </w:r>
      <w:r>
        <w:rPr>
          <w:rStyle w:val="44"/>
        </w:rPr>
        <w:tab/>
      </w:r>
      <w:r>
        <w:fldChar w:fldCharType="begin"/>
      </w:r>
      <w:r>
        <w:rPr>
          <w:rStyle w:val="44"/>
        </w:rPr>
        <w:instrText xml:space="preserve"> PAGEREF _Toc526878930 \h </w:instrText>
      </w:r>
      <w:r>
        <w:fldChar w:fldCharType="separate"/>
      </w:r>
      <w:r>
        <w:rPr>
          <w:rStyle w:val="44"/>
        </w:rPr>
        <w:t>25</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"_Toc526878931" </w:instrText>
      </w:r>
      <w:r>
        <w:fldChar w:fldCharType="separate"/>
      </w:r>
      <w:r>
        <w:rPr>
          <w:rStyle w:val="44"/>
        </w:rPr>
        <w:t>3.10.4</w:t>
      </w:r>
      <w:r>
        <w:rPr>
          <w:rStyle w:val="44"/>
          <w:rFonts w:hint="eastAsia"/>
        </w:rPr>
        <w:t>质疑函的递交及地点</w:t>
      </w:r>
      <w:r>
        <w:rPr>
          <w:rStyle w:val="44"/>
        </w:rPr>
        <w:tab/>
      </w:r>
      <w:r>
        <w:fldChar w:fldCharType="begin"/>
      </w:r>
      <w:r>
        <w:rPr>
          <w:rStyle w:val="44"/>
        </w:rPr>
        <w:instrText xml:space="preserve"> PAGEREF _Toc526878931 \h </w:instrText>
      </w:r>
      <w:r>
        <w:fldChar w:fldCharType="separate"/>
      </w:r>
      <w:r>
        <w:rPr>
          <w:rStyle w:val="44"/>
        </w:rPr>
        <w:t>25</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"_Toc526878932" </w:instrText>
      </w:r>
      <w:r>
        <w:fldChar w:fldCharType="separate"/>
      </w:r>
      <w:r>
        <w:rPr>
          <w:rStyle w:val="44"/>
        </w:rPr>
        <w:t>3.10.5</w:t>
      </w:r>
      <w:r>
        <w:rPr>
          <w:rStyle w:val="44"/>
          <w:rFonts w:hint="eastAsia"/>
        </w:rPr>
        <w:t>对投标人质疑的答复</w:t>
      </w:r>
      <w:r>
        <w:rPr>
          <w:rStyle w:val="44"/>
        </w:rPr>
        <w:tab/>
      </w:r>
      <w:r>
        <w:fldChar w:fldCharType="begin"/>
      </w:r>
      <w:r>
        <w:rPr>
          <w:rStyle w:val="44"/>
        </w:rPr>
        <w:instrText xml:space="preserve"> PAGEREF _Toc526878932 \h </w:instrText>
      </w:r>
      <w:r>
        <w:fldChar w:fldCharType="separate"/>
      </w:r>
      <w:r>
        <w:rPr>
          <w:rStyle w:val="44"/>
        </w:rPr>
        <w:t>26</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"_Toc526878933" </w:instrText>
      </w:r>
      <w:r>
        <w:fldChar w:fldCharType="separate"/>
      </w:r>
      <w:r>
        <w:rPr>
          <w:rStyle w:val="44"/>
        </w:rPr>
        <w:t>3.10.6</w:t>
      </w:r>
      <w:r>
        <w:rPr>
          <w:rStyle w:val="44"/>
          <w:rFonts w:hint="eastAsia"/>
        </w:rPr>
        <w:t>质疑不予受理的情况</w:t>
      </w:r>
      <w:r>
        <w:rPr>
          <w:rStyle w:val="44"/>
        </w:rPr>
        <w:tab/>
      </w:r>
      <w:r>
        <w:fldChar w:fldCharType="begin"/>
      </w:r>
      <w:r>
        <w:rPr>
          <w:rStyle w:val="44"/>
        </w:rPr>
        <w:instrText xml:space="preserve"> PAGEREF _Toc526878933 \h </w:instrText>
      </w:r>
      <w:r>
        <w:fldChar w:fldCharType="separate"/>
      </w:r>
      <w:r>
        <w:rPr>
          <w:rStyle w:val="44"/>
        </w:rPr>
        <w:t>26</w:t>
      </w:r>
      <w:r>
        <w:fldChar w:fldCharType="end"/>
      </w:r>
      <w:r>
        <w:fldChar w:fldCharType="end"/>
      </w:r>
    </w:p>
    <w:p>
      <w:pPr>
        <w:pStyle w:val="19"/>
        <w:tabs>
          <w:tab w:val="right" w:leader="dot" w:pos="10026"/>
        </w:tabs>
        <w:ind w:firstLine="420"/>
        <w:rPr>
          <w:rStyle w:val="44"/>
        </w:rPr>
      </w:pPr>
      <w:r>
        <w:fldChar w:fldCharType="begin"/>
      </w:r>
      <w:r>
        <w:rPr>
          <w:rStyle w:val="44"/>
        </w:rPr>
        <w:instrText xml:space="preserve"> HYPERLINK \l "_Toc526878934" </w:instrText>
      </w:r>
      <w:r>
        <w:fldChar w:fldCharType="separate"/>
      </w:r>
      <w:r>
        <w:rPr>
          <w:rStyle w:val="44"/>
        </w:rPr>
        <w:t>3.10.7</w:t>
      </w:r>
      <w:r>
        <w:rPr>
          <w:rStyle w:val="44"/>
          <w:rFonts w:hint="eastAsia"/>
        </w:rPr>
        <w:t>投诉</w:t>
      </w:r>
      <w:r>
        <w:rPr>
          <w:rStyle w:val="44"/>
        </w:rPr>
        <w:tab/>
      </w:r>
      <w:r>
        <w:fldChar w:fldCharType="begin"/>
      </w:r>
      <w:r>
        <w:rPr>
          <w:rStyle w:val="44"/>
        </w:rPr>
        <w:instrText xml:space="preserve"> PAGEREF _Toc526878934 \h </w:instrText>
      </w:r>
      <w:r>
        <w:fldChar w:fldCharType="separate"/>
      </w:r>
      <w:r>
        <w:rPr>
          <w:rStyle w:val="44"/>
        </w:rPr>
        <w:t>26</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"_Toc526878935" </w:instrText>
      </w:r>
      <w:r>
        <w:fldChar w:fldCharType="separate"/>
      </w:r>
      <w:r>
        <w:rPr>
          <w:rStyle w:val="44"/>
        </w:rPr>
        <w:t>3.11</w:t>
      </w:r>
      <w:r>
        <w:rPr>
          <w:rStyle w:val="44"/>
          <w:rFonts w:hint="eastAsia"/>
        </w:rPr>
        <w:t>、招标代理费</w:t>
      </w:r>
      <w:r>
        <w:rPr>
          <w:rStyle w:val="44"/>
        </w:rPr>
        <w:tab/>
      </w:r>
      <w:r>
        <w:fldChar w:fldCharType="begin"/>
      </w:r>
      <w:r>
        <w:rPr>
          <w:rStyle w:val="44"/>
        </w:rPr>
        <w:instrText xml:space="preserve"> PAGEREF _Toc526878935 \h </w:instrText>
      </w:r>
      <w:r>
        <w:fldChar w:fldCharType="separate"/>
      </w:r>
      <w:r>
        <w:rPr>
          <w:rStyle w:val="44"/>
        </w:rPr>
        <w:t>26</w:t>
      </w:r>
      <w:r>
        <w:fldChar w:fldCharType="end"/>
      </w:r>
      <w:r>
        <w:fldChar w:fldCharType="end"/>
      </w:r>
    </w:p>
    <w:p>
      <w:pPr>
        <w:pStyle w:val="27"/>
        <w:tabs>
          <w:tab w:val="right" w:leader="dot" w:pos="10026"/>
        </w:tabs>
        <w:ind w:firstLine="420"/>
        <w:rPr>
          <w:rStyle w:val="44"/>
        </w:rPr>
      </w:pPr>
      <w:r>
        <w:fldChar w:fldCharType="begin"/>
      </w:r>
      <w:r>
        <w:rPr>
          <w:rStyle w:val="44"/>
        </w:rPr>
        <w:instrText xml:space="preserve"> HYPERLINK \l "_Toc526878936" </w:instrText>
      </w:r>
      <w:r>
        <w:fldChar w:fldCharType="separate"/>
      </w:r>
      <w:r>
        <w:rPr>
          <w:rStyle w:val="44"/>
          <w:rFonts w:hint="eastAsia"/>
        </w:rPr>
        <w:t>第四章</w:t>
      </w:r>
      <w:r>
        <w:rPr>
          <w:rStyle w:val="44"/>
        </w:rPr>
        <w:t xml:space="preserve">  </w:t>
      </w:r>
      <w:r>
        <w:rPr>
          <w:rStyle w:val="44"/>
          <w:rFonts w:hint="eastAsia"/>
        </w:rPr>
        <w:t>项目需求</w:t>
      </w:r>
      <w:r>
        <w:rPr>
          <w:rStyle w:val="44"/>
        </w:rPr>
        <w:tab/>
      </w:r>
      <w:r>
        <w:fldChar w:fldCharType="begin"/>
      </w:r>
      <w:r>
        <w:rPr>
          <w:rStyle w:val="44"/>
        </w:rPr>
        <w:instrText xml:space="preserve"> PAGEREF _Toc526878936 \h </w:instrText>
      </w:r>
      <w:r>
        <w:fldChar w:fldCharType="separate"/>
      </w:r>
      <w:r>
        <w:rPr>
          <w:rStyle w:val="44"/>
        </w:rPr>
        <w:t>27</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"_Toc526878937" </w:instrText>
      </w:r>
      <w:r>
        <w:fldChar w:fldCharType="separate"/>
      </w:r>
      <w:r>
        <w:rPr>
          <w:rStyle w:val="44"/>
        </w:rPr>
        <w:t xml:space="preserve">4.1 </w:t>
      </w:r>
      <w:r>
        <w:rPr>
          <w:rStyle w:val="44"/>
          <w:rFonts w:hint="eastAsia"/>
        </w:rPr>
        <w:t>货物需求及参数要求一览表</w:t>
      </w:r>
      <w:r>
        <w:rPr>
          <w:rStyle w:val="44"/>
        </w:rPr>
        <w:tab/>
      </w:r>
      <w:r>
        <w:fldChar w:fldCharType="begin"/>
      </w:r>
      <w:r>
        <w:rPr>
          <w:rStyle w:val="44"/>
        </w:rPr>
        <w:instrText xml:space="preserve"> PAGEREF _Toc526878937 \h </w:instrText>
      </w:r>
      <w:r>
        <w:fldChar w:fldCharType="separate"/>
      </w:r>
      <w:r>
        <w:rPr>
          <w:rStyle w:val="44"/>
        </w:rPr>
        <w:t>27</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"_Toc526878938" </w:instrText>
      </w:r>
      <w:r>
        <w:fldChar w:fldCharType="separate"/>
      </w:r>
      <w:r>
        <w:rPr>
          <w:rStyle w:val="44"/>
        </w:rPr>
        <w:t>4.2</w:t>
      </w:r>
      <w:r>
        <w:rPr>
          <w:rStyle w:val="44"/>
          <w:rFonts w:hint="eastAsia"/>
        </w:rPr>
        <w:t>工作范围</w:t>
      </w:r>
      <w:r>
        <w:rPr>
          <w:rStyle w:val="44"/>
        </w:rPr>
        <w:tab/>
      </w:r>
      <w:r>
        <w:fldChar w:fldCharType="begin"/>
      </w:r>
      <w:r>
        <w:rPr>
          <w:rStyle w:val="44"/>
        </w:rPr>
        <w:instrText xml:space="preserve"> PAGEREF _Toc526878938 \h </w:instrText>
      </w:r>
      <w:r>
        <w:fldChar w:fldCharType="separate"/>
      </w:r>
      <w:r>
        <w:rPr>
          <w:rStyle w:val="44"/>
        </w:rPr>
        <w:t>29</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"_Toc526878939" </w:instrText>
      </w:r>
      <w:r>
        <w:fldChar w:fldCharType="separate"/>
      </w:r>
      <w:r>
        <w:rPr>
          <w:rStyle w:val="44"/>
        </w:rPr>
        <w:t>4.3</w:t>
      </w:r>
      <w:r>
        <w:rPr>
          <w:rStyle w:val="44"/>
          <w:rFonts w:hint="eastAsia"/>
        </w:rPr>
        <w:t>技术资格和能力</w:t>
      </w:r>
      <w:r>
        <w:rPr>
          <w:rStyle w:val="44"/>
        </w:rPr>
        <w:tab/>
      </w:r>
      <w:r>
        <w:fldChar w:fldCharType="begin"/>
      </w:r>
      <w:r>
        <w:rPr>
          <w:rStyle w:val="44"/>
        </w:rPr>
        <w:instrText xml:space="preserve"> PAGEREF _Toc526878939 \h </w:instrText>
      </w:r>
      <w:r>
        <w:fldChar w:fldCharType="separate"/>
      </w:r>
      <w:r>
        <w:rPr>
          <w:rStyle w:val="44"/>
        </w:rPr>
        <w:t>29</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"_Toc526878940" </w:instrText>
      </w:r>
      <w:r>
        <w:fldChar w:fldCharType="separate"/>
      </w:r>
      <w:r>
        <w:rPr>
          <w:rStyle w:val="44"/>
        </w:rPr>
        <w:t>4.4</w:t>
      </w:r>
      <w:r>
        <w:rPr>
          <w:rStyle w:val="44"/>
          <w:rFonts w:hint="eastAsia"/>
        </w:rPr>
        <w:t>到货验收</w:t>
      </w:r>
      <w:r>
        <w:rPr>
          <w:rStyle w:val="44"/>
        </w:rPr>
        <w:tab/>
      </w:r>
      <w:r>
        <w:fldChar w:fldCharType="begin"/>
      </w:r>
      <w:r>
        <w:rPr>
          <w:rStyle w:val="44"/>
        </w:rPr>
        <w:instrText xml:space="preserve"> PAGEREF _Toc526878940 \h </w:instrText>
      </w:r>
      <w:r>
        <w:fldChar w:fldCharType="separate"/>
      </w:r>
      <w:r>
        <w:rPr>
          <w:rStyle w:val="44"/>
        </w:rPr>
        <w:t>29</w:t>
      </w:r>
      <w:r>
        <w:fldChar w:fldCharType="end"/>
      </w:r>
      <w:r>
        <w:fldChar w:fldCharType="end"/>
      </w:r>
    </w:p>
    <w:p>
      <w:pPr>
        <w:pStyle w:val="31"/>
        <w:tabs>
          <w:tab w:val="right" w:leader="dot" w:pos="10026"/>
        </w:tabs>
        <w:ind w:firstLine="420"/>
        <w:rPr>
          <w:rStyle w:val="44"/>
        </w:rPr>
      </w:pPr>
      <w:r>
        <w:fldChar w:fldCharType="begin"/>
      </w:r>
      <w:r>
        <w:rPr>
          <w:rStyle w:val="44"/>
        </w:rPr>
        <w:instrText xml:space="preserve"> HYPERLINK \l "_Toc526878941" </w:instrText>
      </w:r>
      <w:r>
        <w:fldChar w:fldCharType="separate"/>
      </w:r>
      <w:r>
        <w:rPr>
          <w:rStyle w:val="44"/>
        </w:rPr>
        <w:t>4.5</w:t>
      </w:r>
      <w:r>
        <w:rPr>
          <w:rStyle w:val="44"/>
          <w:rFonts w:hint="eastAsia"/>
        </w:rPr>
        <w:t>验收合格的条件</w:t>
      </w:r>
      <w:r>
        <w:rPr>
          <w:rStyle w:val="44"/>
        </w:rPr>
        <w:tab/>
      </w:r>
      <w:r>
        <w:fldChar w:fldCharType="begin"/>
      </w:r>
      <w:r>
        <w:rPr>
          <w:rStyle w:val="44"/>
        </w:rPr>
        <w:instrText xml:space="preserve"> PAGEREF _Toc526878941 \h </w:instrText>
      </w:r>
      <w:r>
        <w:fldChar w:fldCharType="separate"/>
      </w:r>
      <w:r>
        <w:rPr>
          <w:rStyle w:val="44"/>
        </w:rPr>
        <w:t>29</w:t>
      </w:r>
      <w:r>
        <w:fldChar w:fldCharType="end"/>
      </w:r>
      <w:r>
        <w:fldChar w:fldCharType="end"/>
      </w:r>
    </w:p>
    <w:p>
      <w:pPr>
        <w:pStyle w:val="31"/>
        <w:tabs>
          <w:tab w:val="right" w:leader="dot" w:pos="10026"/>
        </w:tabs>
        <w:ind w:firstLine="420"/>
        <w:rPr>
          <w:rFonts w:ascii="Calibri" w:hAnsi="Calibri"/>
        </w:rPr>
      </w:pPr>
      <w:r>
        <w:fldChar w:fldCharType="begin"/>
      </w:r>
      <w:r>
        <w:rPr>
          <w:rStyle w:val="44"/>
        </w:rPr>
        <w:instrText xml:space="preserve"> HYPERLINK \l "_Toc526878942" </w:instrText>
      </w:r>
      <w:r>
        <w:fldChar w:fldCharType="separate"/>
      </w:r>
      <w:r>
        <w:rPr>
          <w:rStyle w:val="44"/>
        </w:rPr>
        <w:t>4.6</w:t>
      </w:r>
      <w:r>
        <w:rPr>
          <w:rStyle w:val="44"/>
          <w:rFonts w:hint="eastAsia"/>
        </w:rPr>
        <w:t>售后服务</w:t>
      </w:r>
      <w:r>
        <w:rPr>
          <w:rStyle w:val="44"/>
        </w:rPr>
        <w:tab/>
      </w:r>
      <w:r>
        <w:fldChar w:fldCharType="begin"/>
      </w:r>
      <w:r>
        <w:rPr>
          <w:rStyle w:val="44"/>
        </w:rPr>
        <w:instrText xml:space="preserve"> PAGEREF _Toc526878942 \h </w:instrText>
      </w:r>
      <w:r>
        <w:fldChar w:fldCharType="separate"/>
      </w:r>
      <w:r>
        <w:rPr>
          <w:rStyle w:val="44"/>
        </w:rPr>
        <w:t>29</w:t>
      </w:r>
      <w:r>
        <w:fldChar w:fldCharType="end"/>
      </w:r>
      <w:r>
        <w:fldChar w:fldCharType="end"/>
      </w:r>
    </w:p>
    <w:p>
      <w:pPr>
        <w:pStyle w:val="31"/>
        <w:tabs>
          <w:tab w:val="right" w:leader="dot" w:pos="10026"/>
        </w:tabs>
        <w:ind w:firstLine="420"/>
        <w:rPr>
          <w:rFonts w:ascii="Calibri" w:hAnsi="Calibri"/>
        </w:rPr>
      </w:pPr>
      <w:r>
        <w:fldChar w:fldCharType="begin"/>
      </w:r>
      <w:r>
        <w:rPr>
          <w:rStyle w:val="44"/>
        </w:rPr>
        <w:instrText xml:space="preserve"> </w:instrText>
      </w:r>
      <w:r>
        <w:instrText xml:space="preserve">HYPERLINK \l "_Toc526878943"</w:instrText>
      </w:r>
      <w:r>
        <w:rPr>
          <w:rStyle w:val="44"/>
        </w:rPr>
        <w:instrText xml:space="preserve"> </w:instrText>
      </w:r>
      <w:r>
        <w:fldChar w:fldCharType="separate"/>
      </w:r>
      <w:r>
        <w:rPr>
          <w:rStyle w:val="44"/>
        </w:rPr>
        <w:t xml:space="preserve">4.7 </w:t>
      </w:r>
      <w:r>
        <w:rPr>
          <w:rStyle w:val="44"/>
          <w:rFonts w:hint="eastAsia"/>
        </w:rPr>
        <w:t>交货时间及地点</w:t>
      </w:r>
      <w:r>
        <w:tab/>
      </w:r>
      <w:r>
        <w:fldChar w:fldCharType="begin"/>
      </w:r>
      <w:r>
        <w:instrText xml:space="preserve"> PAGEREF _Toc526878943 \h </w:instrText>
      </w:r>
      <w:r>
        <w:fldChar w:fldCharType="separate"/>
      </w:r>
      <w:r>
        <w:t>30</w:t>
      </w:r>
      <w:r>
        <w:fldChar w:fldCharType="end"/>
      </w:r>
      <w:r>
        <w:fldChar w:fldCharType="end"/>
      </w:r>
    </w:p>
    <w:p>
      <w:pPr>
        <w:pStyle w:val="31"/>
        <w:tabs>
          <w:tab w:val="right" w:leader="dot" w:pos="10026"/>
        </w:tabs>
        <w:ind w:firstLine="420"/>
        <w:rPr>
          <w:rFonts w:ascii="Calibri" w:hAnsi="Calibri"/>
        </w:rPr>
      </w:pPr>
      <w:r>
        <w:fldChar w:fldCharType="begin"/>
      </w:r>
      <w:r>
        <w:rPr>
          <w:rStyle w:val="44"/>
        </w:rPr>
        <w:instrText xml:space="preserve"> </w:instrText>
      </w:r>
      <w:r>
        <w:instrText xml:space="preserve">HYPERLINK \l "_Toc526878944"</w:instrText>
      </w:r>
      <w:r>
        <w:rPr>
          <w:rStyle w:val="44"/>
        </w:rPr>
        <w:instrText xml:space="preserve"> </w:instrText>
      </w:r>
      <w:r>
        <w:fldChar w:fldCharType="separate"/>
      </w:r>
      <w:r>
        <w:rPr>
          <w:rStyle w:val="44"/>
          <w:rFonts w:ascii="宋体" w:hAnsi="宋体"/>
        </w:rPr>
        <w:t>4.8</w:t>
      </w:r>
      <w:r>
        <w:rPr>
          <w:rStyle w:val="44"/>
          <w:rFonts w:hint="eastAsia" w:ascii="宋体" w:hAnsi="宋体"/>
        </w:rPr>
        <w:t>交货时间及地点</w:t>
      </w:r>
      <w:r>
        <w:tab/>
      </w:r>
      <w:r>
        <w:fldChar w:fldCharType="begin"/>
      </w:r>
      <w:r>
        <w:instrText xml:space="preserve"> PAGEREF _Toc526878944 \h </w:instrText>
      </w:r>
      <w:r>
        <w:fldChar w:fldCharType="separate"/>
      </w:r>
      <w:r>
        <w:t>30</w:t>
      </w:r>
      <w:r>
        <w:fldChar w:fldCharType="end"/>
      </w:r>
      <w:r>
        <w:fldChar w:fldCharType="end"/>
      </w:r>
    </w:p>
    <w:p>
      <w:pPr>
        <w:pStyle w:val="31"/>
        <w:tabs>
          <w:tab w:val="right" w:leader="dot" w:pos="10026"/>
        </w:tabs>
        <w:ind w:firstLine="420"/>
        <w:rPr>
          <w:rFonts w:ascii="Calibri" w:hAnsi="Calibri"/>
        </w:rPr>
      </w:pPr>
      <w:r>
        <w:fldChar w:fldCharType="begin"/>
      </w:r>
      <w:r>
        <w:rPr>
          <w:rStyle w:val="44"/>
        </w:rPr>
        <w:instrText xml:space="preserve"> </w:instrText>
      </w:r>
      <w:r>
        <w:instrText xml:space="preserve">HYPERLINK \l "_Toc526878945"</w:instrText>
      </w:r>
      <w:r>
        <w:rPr>
          <w:rStyle w:val="44"/>
        </w:rPr>
        <w:instrText xml:space="preserve"> </w:instrText>
      </w:r>
      <w:r>
        <w:fldChar w:fldCharType="separate"/>
      </w:r>
      <w:r>
        <w:rPr>
          <w:rStyle w:val="44"/>
          <w:rFonts w:ascii="宋体" w:hAnsi="宋体"/>
        </w:rPr>
        <w:t>4.9</w:t>
      </w:r>
      <w:r>
        <w:rPr>
          <w:rStyle w:val="44"/>
          <w:rFonts w:hint="eastAsia" w:ascii="宋体" w:hAnsi="宋体"/>
        </w:rPr>
        <w:t>特别声明</w:t>
      </w:r>
      <w:r>
        <w:tab/>
      </w:r>
      <w:r>
        <w:fldChar w:fldCharType="begin"/>
      </w:r>
      <w:r>
        <w:instrText xml:space="preserve"> PAGEREF _Toc526878945 \h </w:instrText>
      </w:r>
      <w:r>
        <w:fldChar w:fldCharType="separate"/>
      </w:r>
      <w:r>
        <w:t>30</w:t>
      </w:r>
      <w:r>
        <w:fldChar w:fldCharType="end"/>
      </w:r>
      <w:r>
        <w:fldChar w:fldCharType="end"/>
      </w:r>
    </w:p>
    <w:p>
      <w:pPr>
        <w:pStyle w:val="27"/>
        <w:tabs>
          <w:tab w:val="right" w:leader="dot" w:pos="10026"/>
        </w:tabs>
        <w:ind w:firstLine="420"/>
        <w:rPr>
          <w:rFonts w:ascii="Calibri" w:hAnsi="Calibri"/>
        </w:rPr>
      </w:pPr>
      <w:r>
        <w:fldChar w:fldCharType="begin"/>
      </w:r>
      <w:r>
        <w:rPr>
          <w:rStyle w:val="44"/>
        </w:rPr>
        <w:instrText xml:space="preserve"> </w:instrText>
      </w:r>
      <w:r>
        <w:instrText xml:space="preserve">HYPERLINK \l "_Toc526878946"</w:instrText>
      </w:r>
      <w:r>
        <w:rPr>
          <w:rStyle w:val="44"/>
        </w:rPr>
        <w:instrText xml:space="preserve"> </w:instrText>
      </w:r>
      <w:r>
        <w:fldChar w:fldCharType="separate"/>
      </w:r>
      <w:r>
        <w:rPr>
          <w:rStyle w:val="44"/>
          <w:rFonts w:hint="eastAsia"/>
        </w:rPr>
        <w:t>第五章</w:t>
      </w:r>
      <w:r>
        <w:rPr>
          <w:rStyle w:val="44"/>
        </w:rPr>
        <w:t xml:space="preserve">  </w:t>
      </w:r>
      <w:r>
        <w:rPr>
          <w:rStyle w:val="44"/>
          <w:rFonts w:hint="eastAsia"/>
        </w:rPr>
        <w:t>评标办法</w:t>
      </w:r>
      <w:r>
        <w:tab/>
      </w:r>
      <w:r>
        <w:fldChar w:fldCharType="begin"/>
      </w:r>
      <w:r>
        <w:instrText xml:space="preserve"> PAGEREF _Toc526878946 \h </w:instrText>
      </w:r>
      <w:r>
        <w:fldChar w:fldCharType="separate"/>
      </w:r>
      <w:r>
        <w:t>31</w:t>
      </w:r>
      <w:r>
        <w:fldChar w:fldCharType="end"/>
      </w:r>
      <w:r>
        <w:fldChar w:fldCharType="end"/>
      </w:r>
    </w:p>
    <w:p>
      <w:pPr>
        <w:pStyle w:val="31"/>
        <w:tabs>
          <w:tab w:val="right" w:leader="dot" w:pos="10026"/>
        </w:tabs>
        <w:ind w:firstLine="420"/>
        <w:rPr>
          <w:rFonts w:ascii="Calibri" w:hAnsi="Calibri"/>
        </w:rPr>
      </w:pPr>
      <w:r>
        <w:fldChar w:fldCharType="begin"/>
      </w:r>
      <w:r>
        <w:rPr>
          <w:rStyle w:val="44"/>
        </w:rPr>
        <w:instrText xml:space="preserve"> </w:instrText>
      </w:r>
      <w:r>
        <w:instrText xml:space="preserve">HYPERLINK \l "_Toc526878947"</w:instrText>
      </w:r>
      <w:r>
        <w:rPr>
          <w:rStyle w:val="44"/>
        </w:rPr>
        <w:instrText xml:space="preserve"> </w:instrText>
      </w:r>
      <w:r>
        <w:fldChar w:fldCharType="separate"/>
      </w:r>
      <w:r>
        <w:rPr>
          <w:rStyle w:val="44"/>
        </w:rPr>
        <w:t xml:space="preserve">5.1 </w:t>
      </w:r>
      <w:r>
        <w:rPr>
          <w:rStyle w:val="44"/>
          <w:rFonts w:hint="eastAsia"/>
        </w:rPr>
        <w:t>评标原则及组织</w:t>
      </w:r>
      <w:r>
        <w:tab/>
      </w:r>
      <w:r>
        <w:fldChar w:fldCharType="begin"/>
      </w:r>
      <w:r>
        <w:instrText xml:space="preserve"> PAGEREF _Toc526878947 \h </w:instrText>
      </w:r>
      <w:r>
        <w:fldChar w:fldCharType="separate"/>
      </w:r>
      <w:r>
        <w:t>31</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"_Toc526878948"</w:instrText>
      </w:r>
      <w:r>
        <w:rPr>
          <w:rStyle w:val="44"/>
        </w:rPr>
        <w:instrText xml:space="preserve"> </w:instrText>
      </w:r>
      <w:r>
        <w:fldChar w:fldCharType="separate"/>
      </w:r>
      <w:r>
        <w:rPr>
          <w:rStyle w:val="44"/>
        </w:rPr>
        <w:t>5.1.1</w:t>
      </w:r>
      <w:r>
        <w:rPr>
          <w:rStyle w:val="44"/>
          <w:rFonts w:hint="eastAsia"/>
        </w:rPr>
        <w:t>原则</w:t>
      </w:r>
      <w:r>
        <w:tab/>
      </w:r>
      <w:r>
        <w:fldChar w:fldCharType="begin"/>
      </w:r>
      <w:r>
        <w:instrText xml:space="preserve"> PAGEREF _Toc526878948 \h </w:instrText>
      </w:r>
      <w:r>
        <w:fldChar w:fldCharType="separate"/>
      </w:r>
      <w:r>
        <w:t>31</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"_Toc526878949"</w:instrText>
      </w:r>
      <w:r>
        <w:rPr>
          <w:rStyle w:val="44"/>
        </w:rPr>
        <w:instrText xml:space="preserve"> </w:instrText>
      </w:r>
      <w:r>
        <w:fldChar w:fldCharType="separate"/>
      </w:r>
      <w:r>
        <w:rPr>
          <w:rStyle w:val="44"/>
        </w:rPr>
        <w:t xml:space="preserve">5.1.2 </w:t>
      </w:r>
      <w:r>
        <w:rPr>
          <w:rStyle w:val="44"/>
          <w:rFonts w:hint="eastAsia"/>
        </w:rPr>
        <w:t>组织</w:t>
      </w:r>
      <w:r>
        <w:tab/>
      </w:r>
      <w:r>
        <w:fldChar w:fldCharType="begin"/>
      </w:r>
      <w:r>
        <w:instrText xml:space="preserve"> PAGEREF _Toc526878949 \h </w:instrText>
      </w:r>
      <w:r>
        <w:fldChar w:fldCharType="separate"/>
      </w:r>
      <w:r>
        <w:t>31</w:t>
      </w:r>
      <w:r>
        <w:fldChar w:fldCharType="end"/>
      </w:r>
      <w:r>
        <w:fldChar w:fldCharType="end"/>
      </w:r>
    </w:p>
    <w:p>
      <w:pPr>
        <w:pStyle w:val="31"/>
        <w:tabs>
          <w:tab w:val="right" w:leader="dot" w:pos="10026"/>
        </w:tabs>
        <w:ind w:firstLine="420"/>
        <w:rPr>
          <w:rFonts w:ascii="Calibri" w:hAnsi="Calibri"/>
        </w:rPr>
      </w:pPr>
      <w:r>
        <w:fldChar w:fldCharType="begin"/>
      </w:r>
      <w:r>
        <w:rPr>
          <w:rStyle w:val="44"/>
        </w:rPr>
        <w:instrText xml:space="preserve"> </w:instrText>
      </w:r>
      <w:r>
        <w:instrText xml:space="preserve">HYPERLINK \l "_Toc526878950"</w:instrText>
      </w:r>
      <w:r>
        <w:rPr>
          <w:rStyle w:val="44"/>
        </w:rPr>
        <w:instrText xml:space="preserve"> </w:instrText>
      </w:r>
      <w:r>
        <w:fldChar w:fldCharType="separate"/>
      </w:r>
      <w:r>
        <w:rPr>
          <w:rStyle w:val="44"/>
          <w:rFonts w:ascii="宋体" w:hAnsi="宋体"/>
        </w:rPr>
        <w:t xml:space="preserve">5.2 </w:t>
      </w:r>
      <w:r>
        <w:rPr>
          <w:rStyle w:val="44"/>
          <w:rFonts w:hint="eastAsia" w:ascii="宋体" w:hAnsi="宋体"/>
        </w:rPr>
        <w:t>评标程序</w:t>
      </w:r>
      <w:r>
        <w:tab/>
      </w:r>
      <w:r>
        <w:fldChar w:fldCharType="begin"/>
      </w:r>
      <w:r>
        <w:instrText xml:space="preserve"> PAGEREF _Toc526878950 \h </w:instrText>
      </w:r>
      <w:r>
        <w:fldChar w:fldCharType="separate"/>
      </w:r>
      <w:r>
        <w:t>31</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"_Toc526878951"</w:instrText>
      </w:r>
      <w:r>
        <w:rPr>
          <w:rStyle w:val="44"/>
        </w:rPr>
        <w:instrText xml:space="preserve"> </w:instrText>
      </w:r>
      <w:r>
        <w:fldChar w:fldCharType="separate"/>
      </w:r>
      <w:r>
        <w:rPr>
          <w:rStyle w:val="44"/>
        </w:rPr>
        <w:t>5.2.1</w:t>
      </w:r>
      <w:r>
        <w:rPr>
          <w:rStyle w:val="44"/>
          <w:rFonts w:hint="eastAsia"/>
        </w:rPr>
        <w:t>投标文件的初审</w:t>
      </w:r>
      <w:r>
        <w:tab/>
      </w:r>
      <w:r>
        <w:fldChar w:fldCharType="begin"/>
      </w:r>
      <w:r>
        <w:instrText xml:space="preserve"> PAGEREF _Toc526878951 \h </w:instrText>
      </w:r>
      <w:r>
        <w:fldChar w:fldCharType="separate"/>
      </w:r>
      <w:r>
        <w:t>31</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"_Toc526878952"</w:instrText>
      </w:r>
      <w:r>
        <w:rPr>
          <w:rStyle w:val="44"/>
        </w:rPr>
        <w:instrText xml:space="preserve"> </w:instrText>
      </w:r>
      <w:r>
        <w:fldChar w:fldCharType="separate"/>
      </w:r>
      <w:r>
        <w:rPr>
          <w:rStyle w:val="44"/>
        </w:rPr>
        <w:t>5.2.2</w:t>
      </w:r>
      <w:r>
        <w:rPr>
          <w:rStyle w:val="44"/>
          <w:rFonts w:hint="eastAsia"/>
        </w:rPr>
        <w:t>比较与评价</w:t>
      </w:r>
      <w:r>
        <w:tab/>
      </w:r>
      <w:r>
        <w:fldChar w:fldCharType="begin"/>
      </w:r>
      <w:r>
        <w:instrText xml:space="preserve"> PAGEREF _Toc526878952 \h </w:instrText>
      </w:r>
      <w:r>
        <w:fldChar w:fldCharType="separate"/>
      </w:r>
      <w:r>
        <w:t>34</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"_Toc526878953"</w:instrText>
      </w:r>
      <w:r>
        <w:rPr>
          <w:rStyle w:val="44"/>
        </w:rPr>
        <w:instrText xml:space="preserve"> </w:instrText>
      </w:r>
      <w:r>
        <w:fldChar w:fldCharType="separate"/>
      </w:r>
      <w:r>
        <w:rPr>
          <w:rStyle w:val="44"/>
        </w:rPr>
        <w:t>5.2.3</w:t>
      </w:r>
      <w:r>
        <w:rPr>
          <w:rStyle w:val="44"/>
          <w:rFonts w:hint="eastAsia"/>
        </w:rPr>
        <w:t>评标方法</w:t>
      </w:r>
      <w:r>
        <w:tab/>
      </w:r>
      <w:r>
        <w:fldChar w:fldCharType="begin"/>
      </w:r>
      <w:r>
        <w:instrText xml:space="preserve"> PAGEREF _Toc526878953 \h </w:instrText>
      </w:r>
      <w:r>
        <w:fldChar w:fldCharType="separate"/>
      </w:r>
      <w:r>
        <w:t>34</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"_Toc526878954"</w:instrText>
      </w:r>
      <w:r>
        <w:rPr>
          <w:rStyle w:val="44"/>
        </w:rPr>
        <w:instrText xml:space="preserve"> </w:instrText>
      </w:r>
      <w:r>
        <w:fldChar w:fldCharType="separate"/>
      </w:r>
      <w:r>
        <w:rPr>
          <w:rStyle w:val="44"/>
        </w:rPr>
        <w:t xml:space="preserve">5.2.4 </w:t>
      </w:r>
      <w:r>
        <w:rPr>
          <w:rStyle w:val="44"/>
          <w:rFonts w:hint="eastAsia"/>
        </w:rPr>
        <w:t>变更采购方式后采用的评标方法</w:t>
      </w:r>
      <w:r>
        <w:tab/>
      </w:r>
      <w:r>
        <w:fldChar w:fldCharType="begin"/>
      </w:r>
      <w:r>
        <w:instrText xml:space="preserve"> PAGEREF _Toc526878954 \h </w:instrText>
      </w:r>
      <w:r>
        <w:fldChar w:fldCharType="separate"/>
      </w:r>
      <w:r>
        <w:t>37</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"_Toc526878955"</w:instrText>
      </w:r>
      <w:r>
        <w:rPr>
          <w:rStyle w:val="44"/>
        </w:rPr>
        <w:instrText xml:space="preserve"> </w:instrText>
      </w:r>
      <w:r>
        <w:fldChar w:fldCharType="separate"/>
      </w:r>
      <w:r>
        <w:rPr>
          <w:rStyle w:val="44"/>
        </w:rPr>
        <w:t xml:space="preserve">5.2.5 </w:t>
      </w:r>
      <w:r>
        <w:rPr>
          <w:rStyle w:val="44"/>
          <w:rFonts w:hint="eastAsia"/>
        </w:rPr>
        <w:t>评标报告</w:t>
      </w:r>
      <w:r>
        <w:tab/>
      </w:r>
      <w:r>
        <w:fldChar w:fldCharType="begin"/>
      </w:r>
      <w:r>
        <w:instrText xml:space="preserve"> PAGEREF _Toc526878955 \h </w:instrText>
      </w:r>
      <w:r>
        <w:fldChar w:fldCharType="separate"/>
      </w:r>
      <w:r>
        <w:t>37</w:t>
      </w:r>
      <w:r>
        <w:fldChar w:fldCharType="end"/>
      </w:r>
      <w:r>
        <w:fldChar w:fldCharType="end"/>
      </w:r>
    </w:p>
    <w:p>
      <w:pPr>
        <w:pStyle w:val="31"/>
        <w:tabs>
          <w:tab w:val="right" w:leader="dot" w:pos="10026"/>
        </w:tabs>
        <w:ind w:firstLine="420"/>
        <w:rPr>
          <w:rFonts w:ascii="Calibri" w:hAnsi="Calibri"/>
        </w:rPr>
      </w:pPr>
      <w:r>
        <w:fldChar w:fldCharType="begin"/>
      </w:r>
      <w:r>
        <w:rPr>
          <w:rStyle w:val="44"/>
        </w:rPr>
        <w:instrText xml:space="preserve"> </w:instrText>
      </w:r>
      <w:r>
        <w:instrText xml:space="preserve">HYPERLINK \l "_Toc526878956"</w:instrText>
      </w:r>
      <w:r>
        <w:rPr>
          <w:rStyle w:val="44"/>
        </w:rPr>
        <w:instrText xml:space="preserve"> </w:instrText>
      </w:r>
      <w:r>
        <w:fldChar w:fldCharType="separate"/>
      </w:r>
      <w:r>
        <w:rPr>
          <w:rStyle w:val="44"/>
          <w:rFonts w:ascii="宋体" w:hAnsi="宋体"/>
        </w:rPr>
        <w:t>5.3</w:t>
      </w:r>
      <w:r>
        <w:rPr>
          <w:rStyle w:val="44"/>
          <w:rFonts w:hint="eastAsia" w:ascii="宋体" w:hAnsi="宋体"/>
        </w:rPr>
        <w:t>废标</w:t>
      </w:r>
      <w:r>
        <w:tab/>
      </w:r>
      <w:r>
        <w:fldChar w:fldCharType="begin"/>
      </w:r>
      <w:r>
        <w:instrText xml:space="preserve"> PAGEREF _Toc526878956 \h </w:instrText>
      </w:r>
      <w:r>
        <w:fldChar w:fldCharType="separate"/>
      </w:r>
      <w:r>
        <w:t>38</w:t>
      </w:r>
      <w:r>
        <w:fldChar w:fldCharType="end"/>
      </w:r>
      <w:r>
        <w:fldChar w:fldCharType="end"/>
      </w:r>
    </w:p>
    <w:p>
      <w:pPr>
        <w:pStyle w:val="27"/>
        <w:tabs>
          <w:tab w:val="right" w:leader="dot" w:pos="10026"/>
        </w:tabs>
        <w:ind w:firstLine="420"/>
        <w:rPr>
          <w:rFonts w:ascii="Calibri" w:hAnsi="Calibri"/>
        </w:rPr>
      </w:pPr>
      <w:r>
        <w:fldChar w:fldCharType="begin"/>
      </w:r>
      <w:r>
        <w:rPr>
          <w:rStyle w:val="44"/>
        </w:rPr>
        <w:instrText xml:space="preserve"> </w:instrText>
      </w:r>
      <w:r>
        <w:instrText xml:space="preserve">HYPERLINK \l "_Toc526878957"</w:instrText>
      </w:r>
      <w:r>
        <w:rPr>
          <w:rStyle w:val="44"/>
        </w:rPr>
        <w:instrText xml:space="preserve"> </w:instrText>
      </w:r>
      <w:r>
        <w:fldChar w:fldCharType="separate"/>
      </w:r>
      <w:r>
        <w:rPr>
          <w:rStyle w:val="44"/>
          <w:rFonts w:hint="eastAsia"/>
        </w:rPr>
        <w:t>第六章</w:t>
      </w:r>
      <w:r>
        <w:rPr>
          <w:rStyle w:val="44"/>
        </w:rPr>
        <w:t xml:space="preserve">  </w:t>
      </w:r>
      <w:r>
        <w:rPr>
          <w:rStyle w:val="44"/>
          <w:rFonts w:hint="eastAsia"/>
        </w:rPr>
        <w:t>附件</w:t>
      </w:r>
      <w:r>
        <w:tab/>
      </w:r>
      <w:r>
        <w:fldChar w:fldCharType="begin"/>
      </w:r>
      <w:r>
        <w:instrText xml:space="preserve"> PAGEREF _Toc526878957 \h </w:instrText>
      </w:r>
      <w:r>
        <w:fldChar w:fldCharType="separate"/>
      </w:r>
      <w:r>
        <w:t>39</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"_Toc526878958"</w:instrText>
      </w:r>
      <w:r>
        <w:rPr>
          <w:rStyle w:val="44"/>
        </w:rPr>
        <w:instrText xml:space="preserve"> </w:instrText>
      </w:r>
      <w:r>
        <w:fldChar w:fldCharType="separate"/>
      </w:r>
      <w:r>
        <w:rPr>
          <w:rStyle w:val="44"/>
          <w:rFonts w:hint="eastAsia"/>
        </w:rPr>
        <w:t>附件</w:t>
      </w:r>
      <w:r>
        <w:rPr>
          <w:rStyle w:val="44"/>
        </w:rPr>
        <w:t>1</w:t>
      </w:r>
      <w:r>
        <w:rPr>
          <w:rStyle w:val="44"/>
          <w:rFonts w:hint="eastAsia"/>
        </w:rPr>
        <w:t>：合同格式及条款</w:t>
      </w:r>
      <w:r>
        <w:tab/>
      </w:r>
      <w:r>
        <w:fldChar w:fldCharType="begin"/>
      </w:r>
      <w:r>
        <w:instrText xml:space="preserve"> PAGEREF _Toc526878958 \h </w:instrText>
      </w:r>
      <w:r>
        <w:fldChar w:fldCharType="separate"/>
      </w:r>
      <w:r>
        <w:t>40</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"_Toc526878959"</w:instrText>
      </w:r>
      <w:r>
        <w:rPr>
          <w:rStyle w:val="44"/>
        </w:rPr>
        <w:instrText xml:space="preserve"> </w:instrText>
      </w:r>
      <w:r>
        <w:fldChar w:fldCharType="separate"/>
      </w:r>
      <w:r>
        <w:rPr>
          <w:rStyle w:val="44"/>
          <w:rFonts w:hint="eastAsia"/>
        </w:rPr>
        <w:t>附件</w:t>
      </w:r>
      <w:r>
        <w:rPr>
          <w:rStyle w:val="44"/>
        </w:rPr>
        <w:t>2</w:t>
      </w:r>
      <w:r>
        <w:rPr>
          <w:rStyle w:val="44"/>
          <w:rFonts w:hint="eastAsia"/>
        </w:rPr>
        <w:t>：投标函</w:t>
      </w:r>
      <w:r>
        <w:tab/>
      </w:r>
      <w:r>
        <w:fldChar w:fldCharType="begin"/>
      </w:r>
      <w:r>
        <w:instrText xml:space="preserve"> PAGEREF _Toc526878959 \h </w:instrText>
      </w:r>
      <w:r>
        <w:fldChar w:fldCharType="separate"/>
      </w:r>
      <w:r>
        <w:t>43</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"_Toc526878960"</w:instrText>
      </w:r>
      <w:r>
        <w:rPr>
          <w:rStyle w:val="44"/>
        </w:rPr>
        <w:instrText xml:space="preserve"> </w:instrText>
      </w:r>
      <w:r>
        <w:fldChar w:fldCharType="separate"/>
      </w:r>
      <w:r>
        <w:rPr>
          <w:rStyle w:val="44"/>
          <w:rFonts w:hint="eastAsia"/>
        </w:rPr>
        <w:t>附件</w:t>
      </w:r>
      <w:r>
        <w:rPr>
          <w:rStyle w:val="44"/>
        </w:rPr>
        <w:t>3</w:t>
      </w:r>
      <w:r>
        <w:rPr>
          <w:rStyle w:val="44"/>
          <w:rFonts w:hint="eastAsia"/>
        </w:rPr>
        <w:t>：法定代表人资格证明书</w:t>
      </w:r>
      <w:r>
        <w:tab/>
      </w:r>
      <w:r>
        <w:fldChar w:fldCharType="begin"/>
      </w:r>
      <w:r>
        <w:instrText xml:space="preserve"> PAGEREF _Toc526878960 \h </w:instrText>
      </w:r>
      <w:r>
        <w:fldChar w:fldCharType="separate"/>
      </w:r>
      <w:r>
        <w:t>44</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"_Toc526878961"</w:instrText>
      </w:r>
      <w:r>
        <w:rPr>
          <w:rStyle w:val="44"/>
        </w:rPr>
        <w:instrText xml:space="preserve"> </w:instrText>
      </w:r>
      <w:r>
        <w:fldChar w:fldCharType="separate"/>
      </w:r>
      <w:r>
        <w:rPr>
          <w:rStyle w:val="44"/>
          <w:rFonts w:hint="eastAsia"/>
        </w:rPr>
        <w:t>附件</w:t>
      </w:r>
      <w:r>
        <w:rPr>
          <w:rStyle w:val="44"/>
        </w:rPr>
        <w:t>4</w:t>
      </w:r>
      <w:r>
        <w:rPr>
          <w:rStyle w:val="44"/>
          <w:rFonts w:hint="eastAsia"/>
        </w:rPr>
        <w:t>：法人授权函</w:t>
      </w:r>
      <w:r>
        <w:tab/>
      </w:r>
      <w:r>
        <w:fldChar w:fldCharType="begin"/>
      </w:r>
      <w:r>
        <w:instrText xml:space="preserve"> PAGEREF _Toc526878961 \h </w:instrText>
      </w:r>
      <w:r>
        <w:fldChar w:fldCharType="separate"/>
      </w:r>
      <w:r>
        <w:t>45</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"_Toc526878962"</w:instrText>
      </w:r>
      <w:r>
        <w:rPr>
          <w:rStyle w:val="44"/>
        </w:rPr>
        <w:instrText xml:space="preserve"> </w:instrText>
      </w:r>
      <w:r>
        <w:fldChar w:fldCharType="separate"/>
      </w:r>
      <w:r>
        <w:rPr>
          <w:rStyle w:val="44"/>
          <w:rFonts w:hint="eastAsia"/>
        </w:rPr>
        <w:t>附件</w:t>
      </w:r>
      <w:r>
        <w:rPr>
          <w:rStyle w:val="44"/>
        </w:rPr>
        <w:t>5</w:t>
      </w:r>
      <w:r>
        <w:rPr>
          <w:rStyle w:val="44"/>
          <w:rFonts w:hint="eastAsia"/>
        </w:rPr>
        <w:t>：开标一览表</w:t>
      </w:r>
      <w:r>
        <w:tab/>
      </w:r>
      <w:r>
        <w:fldChar w:fldCharType="begin"/>
      </w:r>
      <w:r>
        <w:instrText xml:space="preserve"> PAGEREF _Toc526878962 \h </w:instrText>
      </w:r>
      <w:r>
        <w:fldChar w:fldCharType="separate"/>
      </w:r>
      <w:r>
        <w:t>46</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"_Toc526878963"</w:instrText>
      </w:r>
      <w:r>
        <w:rPr>
          <w:rStyle w:val="44"/>
        </w:rPr>
        <w:instrText xml:space="preserve"> </w:instrText>
      </w:r>
      <w:r>
        <w:fldChar w:fldCharType="separate"/>
      </w:r>
      <w:r>
        <w:rPr>
          <w:rStyle w:val="44"/>
          <w:rFonts w:hint="eastAsia"/>
        </w:rPr>
        <w:t>附件</w:t>
      </w:r>
      <w:r>
        <w:rPr>
          <w:rStyle w:val="44"/>
        </w:rPr>
        <w:t>6</w:t>
      </w:r>
      <w:r>
        <w:rPr>
          <w:rStyle w:val="44"/>
          <w:rFonts w:hint="eastAsia"/>
        </w:rPr>
        <w:t>：分项报价表</w:t>
      </w:r>
      <w:r>
        <w:tab/>
      </w:r>
      <w:r>
        <w:fldChar w:fldCharType="begin"/>
      </w:r>
      <w:r>
        <w:instrText xml:space="preserve"> PAGEREF _Toc526878963 \h </w:instrText>
      </w:r>
      <w:r>
        <w:fldChar w:fldCharType="separate"/>
      </w:r>
      <w:r>
        <w:t>47</w:t>
      </w:r>
      <w:r>
        <w:fldChar w:fldCharType="end"/>
      </w:r>
      <w:r>
        <w:fldChar w:fldCharType="end"/>
      </w:r>
    </w:p>
    <w:p>
      <w:pPr>
        <w:pStyle w:val="19"/>
        <w:tabs>
          <w:tab w:val="right" w:leader="dot" w:pos="10026"/>
        </w:tabs>
        <w:ind w:firstLine="420"/>
        <w:rPr>
          <w:rFonts w:ascii="Calibri" w:hAnsi="Calibri"/>
        </w:rPr>
      </w:pPr>
      <w:r>
        <w:fldChar w:fldCharType="begin"/>
      </w:r>
      <w:r>
        <w:rPr>
          <w:rStyle w:val="44"/>
        </w:rPr>
        <w:instrText xml:space="preserve"> </w:instrText>
      </w:r>
      <w:r>
        <w:instrText xml:space="preserve">HYPERLINK \l "_Toc526878964"</w:instrText>
      </w:r>
      <w:r>
        <w:rPr>
          <w:rStyle w:val="44"/>
        </w:rPr>
        <w:instrText xml:space="preserve"> </w:instrText>
      </w:r>
      <w:r>
        <w:fldChar w:fldCharType="separate"/>
      </w:r>
      <w:r>
        <w:rPr>
          <w:rStyle w:val="44"/>
          <w:rFonts w:hint="eastAsia"/>
        </w:rPr>
        <w:t>附件</w:t>
      </w:r>
      <w:r>
        <w:rPr>
          <w:rStyle w:val="44"/>
        </w:rPr>
        <w:t>7</w:t>
      </w:r>
      <w:r>
        <w:rPr>
          <w:rStyle w:val="44"/>
          <w:rFonts w:hint="eastAsia"/>
        </w:rPr>
        <w:t>：投标商务、货物偏离表</w:t>
      </w:r>
      <w:r>
        <w:tab/>
      </w:r>
      <w:r>
        <w:fldChar w:fldCharType="begin"/>
      </w:r>
      <w:r>
        <w:instrText xml:space="preserve"> PAGEREF _Toc526878964 \h </w:instrText>
      </w:r>
      <w:r>
        <w:fldChar w:fldCharType="separate"/>
      </w:r>
      <w:r>
        <w:t>48</w:t>
      </w:r>
      <w:r>
        <w:fldChar w:fldCharType="end"/>
      </w:r>
      <w:r>
        <w:fldChar w:fldCharType="end"/>
      </w:r>
    </w:p>
    <w:p>
      <w:pPr>
        <w:ind w:firstLine="420"/>
      </w:pPr>
      <w:r>
        <w:rPr>
          <w:rFonts w:ascii="宋体" w:hAnsi="宋体"/>
          <w:szCs w:val="21"/>
        </w:rPr>
        <w:fldChar w:fldCharType="end"/>
      </w:r>
    </w:p>
    <w:p>
      <w:pPr>
        <w:widowControl/>
        <w:ind w:firstLine="420"/>
        <w:jc w:val="left"/>
      </w:pPr>
    </w:p>
    <w:p>
      <w:pPr>
        <w:widowControl/>
        <w:ind w:firstLine="420"/>
        <w:jc w:val="left"/>
      </w:pPr>
    </w:p>
    <w:p>
      <w:pPr>
        <w:pStyle w:val="4"/>
        <w:spacing w:line="640" w:lineRule="exact"/>
        <w:ind w:firstLine="3052" w:firstLineChars="950"/>
        <w:jc w:val="both"/>
        <w:rPr>
          <w:rFonts w:hint="eastAsia" w:ascii="方正小标宋简体" w:hAnsi="黑体" w:eastAsia="方正小标宋简体"/>
          <w:b w:val="0"/>
          <w:kern w:val="2"/>
          <w:sz w:val="44"/>
          <w:szCs w:val="44"/>
        </w:rPr>
      </w:pPr>
      <w:bookmarkStart w:id="0" w:name="_Toc493008662"/>
      <w:r>
        <w:br w:type="page"/>
      </w:r>
      <w:bookmarkStart w:id="1" w:name="_Toc526878881"/>
      <w:r>
        <w:rPr>
          <w:rFonts w:hint="eastAsia" w:ascii="方正小标宋简体" w:hAnsi="黑体" w:eastAsia="方正小标宋简体"/>
          <w:b w:val="0"/>
          <w:sz w:val="44"/>
          <w:szCs w:val="44"/>
        </w:rPr>
        <w:t xml:space="preserve">第一章  </w:t>
      </w:r>
      <w:r>
        <w:rPr>
          <w:rFonts w:hint="eastAsia" w:ascii="方正小标宋简体" w:hAnsi="黑体" w:eastAsia="方正小标宋简体"/>
          <w:b w:val="0"/>
          <w:kern w:val="2"/>
          <w:sz w:val="44"/>
          <w:szCs w:val="44"/>
        </w:rPr>
        <w:t>招标公告</w:t>
      </w:r>
      <w:bookmarkEnd w:id="0"/>
      <w:bookmarkEnd w:id="1"/>
    </w:p>
    <w:p>
      <w:pPr>
        <w:keepNext w:val="0"/>
        <w:keepLines w:val="0"/>
        <w:pageBreakBefore w:val="0"/>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sz w:val="32"/>
          <w:szCs w:val="32"/>
        </w:rPr>
      </w:pPr>
      <w:bookmarkStart w:id="2" w:name="_Toc493008663"/>
      <w:r>
        <w:rPr>
          <w:rFonts w:hint="eastAsia" w:ascii="仿宋_GB2312" w:hAnsi="仿宋_GB2312" w:eastAsia="仿宋_GB2312" w:cs="仿宋_GB2312"/>
          <w:sz w:val="32"/>
          <w:szCs w:val="32"/>
        </w:rPr>
        <w:t>靖远县政府采购中心受</w:t>
      </w:r>
      <w:bookmarkStart w:id="3" w:name="_Toc526878882"/>
      <w:r>
        <w:rPr>
          <w:rFonts w:hint="eastAsia" w:ascii="仿宋_GB2312" w:hAnsi="仿宋_GB2312" w:eastAsia="仿宋_GB2312" w:cs="仿宋_GB2312"/>
          <w:sz w:val="32"/>
          <w:szCs w:val="32"/>
        </w:rPr>
        <w:t>靖远县刘川镇人民政府的委托，对白银市靖远县刘川镇人民政府2019年度村级公益事业建设“一事一议”赵埫村道路亮化工程项目以公开招标方式进行采购，欢迎符合条件的供应商前来参加。</w:t>
      </w:r>
    </w:p>
    <w:p>
      <w:pPr>
        <w:keepNext w:val="0"/>
        <w:keepLines w:val="0"/>
        <w:pageBreakBefore w:val="0"/>
        <w:kinsoku/>
        <w:wordWrap/>
        <w:overflowPunct/>
        <w:topLinePunct w:val="0"/>
        <w:autoSpaceDE/>
        <w:autoSpaceDN/>
        <w:bidi w:val="0"/>
        <w:spacing w:line="540" w:lineRule="exact"/>
        <w:ind w:firstLine="640"/>
        <w:jc w:val="left"/>
        <w:textAlignment w:val="auto"/>
        <w:outlineLvl w:val="9"/>
        <w:rPr>
          <w:rFonts w:hint="default" w:ascii="仿宋_GB2312" w:hAnsi="仿宋" w:eastAsia="仿宋_GB2312" w:cs="仿宋"/>
          <w:sz w:val="32"/>
          <w:szCs w:val="32"/>
          <w:lang w:val="en-US"/>
        </w:rPr>
      </w:pPr>
      <w:r>
        <w:rPr>
          <w:rFonts w:hint="eastAsia" w:ascii="黑体" w:hAnsi="黑体" w:eastAsia="黑体" w:cs="黑体"/>
          <w:sz w:val="32"/>
          <w:szCs w:val="32"/>
        </w:rPr>
        <w:t>一、项目编号：</w:t>
      </w:r>
      <w:r>
        <w:rPr>
          <w:rFonts w:hint="eastAsia" w:ascii="仿宋_GB2312" w:hAnsi="仿宋" w:eastAsia="仿宋_GB2312" w:cs="仿宋"/>
          <w:sz w:val="32"/>
          <w:szCs w:val="32"/>
        </w:rPr>
        <w:t>JYCG-ZC</w:t>
      </w:r>
      <w:r>
        <w:rPr>
          <w:rFonts w:hint="eastAsia" w:ascii="仿宋_GB2312" w:hAnsi="仿宋" w:eastAsia="仿宋_GB2312" w:cs="仿宋"/>
          <w:sz w:val="32"/>
          <w:szCs w:val="32"/>
          <w:lang w:val="en-US" w:eastAsia="zh-CN"/>
        </w:rPr>
        <w:t>19070</w:t>
      </w:r>
    </w:p>
    <w:p>
      <w:pPr>
        <w:keepNext w:val="0"/>
        <w:keepLines w:val="0"/>
        <w:pageBreakBefore w:val="0"/>
        <w:kinsoku/>
        <w:wordWrap/>
        <w:overflowPunct/>
        <w:topLinePunct w:val="0"/>
        <w:autoSpaceDE/>
        <w:autoSpaceDN/>
        <w:bidi w:val="0"/>
        <w:spacing w:line="540" w:lineRule="exact"/>
        <w:ind w:firstLine="640"/>
        <w:jc w:val="left"/>
        <w:textAlignment w:val="auto"/>
        <w:outlineLvl w:val="9"/>
        <w:rPr>
          <w:rFonts w:ascii="仿宋_GB2312" w:hAnsi="仿宋" w:eastAsia="仿宋_GB2312" w:cs="仿宋"/>
          <w:sz w:val="32"/>
          <w:szCs w:val="32"/>
        </w:rPr>
      </w:pPr>
      <w:r>
        <w:rPr>
          <w:rFonts w:hint="eastAsia" w:ascii="黑体" w:hAnsi="黑体" w:eastAsia="黑体" w:cs="黑体"/>
          <w:sz w:val="32"/>
          <w:szCs w:val="32"/>
        </w:rPr>
        <w:t>二、采购方式：</w:t>
      </w:r>
      <w:r>
        <w:rPr>
          <w:rFonts w:hint="eastAsia" w:ascii="仿宋_GB2312" w:hAnsi="仿宋" w:eastAsia="仿宋_GB2312" w:cs="仿宋"/>
          <w:sz w:val="32"/>
          <w:szCs w:val="32"/>
        </w:rPr>
        <w:t>公开招标</w:t>
      </w:r>
    </w:p>
    <w:p>
      <w:pPr>
        <w:keepNext w:val="0"/>
        <w:keepLines w:val="0"/>
        <w:pageBreakBefore w:val="0"/>
        <w:kinsoku/>
        <w:wordWrap/>
        <w:overflowPunct/>
        <w:topLinePunct w:val="0"/>
        <w:autoSpaceDE/>
        <w:autoSpaceDN/>
        <w:bidi w:val="0"/>
        <w:spacing w:line="540" w:lineRule="exact"/>
        <w:ind w:firstLine="640"/>
        <w:jc w:val="left"/>
        <w:textAlignment w:val="auto"/>
        <w:outlineLvl w:val="9"/>
        <w:rPr>
          <w:rFonts w:ascii="黑体" w:hAnsi="黑体" w:eastAsia="黑体" w:cs="黑体"/>
          <w:sz w:val="32"/>
          <w:szCs w:val="32"/>
        </w:rPr>
      </w:pPr>
      <w:r>
        <w:rPr>
          <w:rFonts w:hint="eastAsia" w:ascii="黑体" w:hAnsi="黑体" w:eastAsia="黑体" w:cs="黑体"/>
          <w:sz w:val="32"/>
          <w:szCs w:val="32"/>
        </w:rPr>
        <w:t>三、项目简介：</w:t>
      </w:r>
    </w:p>
    <w:p>
      <w:pPr>
        <w:pStyle w:val="98"/>
        <w:keepNext w:val="0"/>
        <w:keepLines w:val="0"/>
        <w:pageBreakBefore w:val="0"/>
        <w:kinsoku/>
        <w:wordWrap/>
        <w:overflowPunct/>
        <w:topLinePunct w:val="0"/>
        <w:autoSpaceDE/>
        <w:autoSpaceDN/>
        <w:bidi w:val="0"/>
        <w:adjustRightInd w:val="0"/>
        <w:snapToGrid w:val="0"/>
        <w:spacing w:line="540" w:lineRule="exact"/>
        <w:ind w:firstLine="640"/>
        <w:jc w:val="left"/>
        <w:textAlignment w:val="auto"/>
        <w:outlineLvl w:val="9"/>
        <w:rPr>
          <w:rFonts w:hint="default" w:ascii="仿宋_GB2312" w:hAnsi="仿宋" w:eastAsia="仿宋_GB2312" w:cs="仿宋"/>
          <w:sz w:val="32"/>
          <w:szCs w:val="32"/>
          <w:lang w:val="en-US"/>
        </w:rPr>
      </w:pPr>
      <w:r>
        <w:rPr>
          <w:rFonts w:hint="eastAsia" w:ascii="仿宋_GB2312" w:hAnsi="仿宋" w:eastAsia="仿宋_GB2312" w:cs="仿宋"/>
          <w:sz w:val="32"/>
          <w:szCs w:val="32"/>
        </w:rPr>
        <w:t>（一）采购内容：</w:t>
      </w:r>
      <w:r>
        <w:rPr>
          <w:rFonts w:hint="eastAsia" w:ascii="仿宋_GB2312" w:hAnsi="仿宋" w:eastAsia="仿宋_GB2312" w:cs="仿宋"/>
          <w:sz w:val="32"/>
          <w:szCs w:val="32"/>
          <w:lang w:eastAsia="zh-CN"/>
        </w:rPr>
        <w:t>太阳能路灯</w:t>
      </w:r>
      <w:r>
        <w:rPr>
          <w:rFonts w:hint="eastAsia" w:ascii="仿宋_GB2312" w:hAnsi="仿宋" w:eastAsia="仿宋_GB2312" w:cs="仿宋"/>
          <w:sz w:val="32"/>
          <w:szCs w:val="32"/>
          <w:lang w:val="en-US" w:eastAsia="zh-CN"/>
        </w:rPr>
        <w:t>120盏</w:t>
      </w:r>
    </w:p>
    <w:p>
      <w:pPr>
        <w:pStyle w:val="98"/>
        <w:keepNext w:val="0"/>
        <w:keepLines w:val="0"/>
        <w:pageBreakBefore w:val="0"/>
        <w:numPr>
          <w:ilvl w:val="0"/>
          <w:numId w:val="1"/>
        </w:numPr>
        <w:kinsoku/>
        <w:wordWrap/>
        <w:overflowPunct/>
        <w:topLinePunct w:val="0"/>
        <w:autoSpaceDE/>
        <w:autoSpaceDN/>
        <w:bidi w:val="0"/>
        <w:adjustRightInd w:val="0"/>
        <w:snapToGrid w:val="0"/>
        <w:spacing w:line="540" w:lineRule="exact"/>
        <w:ind w:firstLine="640"/>
        <w:jc w:val="left"/>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采购预算：</w:t>
      </w:r>
      <w:r>
        <w:rPr>
          <w:rFonts w:hint="eastAsia" w:ascii="仿宋_GB2312" w:hAnsi="宋体" w:eastAsia="仿宋_GB2312"/>
          <w:sz w:val="32"/>
          <w:szCs w:val="32"/>
          <w:lang w:val="en-US" w:eastAsia="zh-CN"/>
        </w:rPr>
        <w:t>48</w:t>
      </w:r>
      <w:r>
        <w:rPr>
          <w:rFonts w:hint="eastAsia" w:ascii="仿宋_GB2312" w:hAnsi="仿宋" w:eastAsia="仿宋_GB2312" w:cs="仿宋"/>
          <w:sz w:val="32"/>
          <w:szCs w:val="32"/>
        </w:rPr>
        <w:t>万元。</w:t>
      </w:r>
    </w:p>
    <w:p>
      <w:pPr>
        <w:pStyle w:val="98"/>
        <w:keepNext w:val="0"/>
        <w:keepLines w:val="0"/>
        <w:pageBreakBefore w:val="0"/>
        <w:kinsoku/>
        <w:wordWrap/>
        <w:overflowPunct/>
        <w:topLinePunct w:val="0"/>
        <w:autoSpaceDE/>
        <w:autoSpaceDN/>
        <w:bidi w:val="0"/>
        <w:adjustRightInd w:val="0"/>
        <w:snapToGrid w:val="0"/>
        <w:spacing w:line="540" w:lineRule="exact"/>
        <w:ind w:firstLine="640"/>
        <w:jc w:val="left"/>
        <w:textAlignment w:val="auto"/>
        <w:outlineLvl w:val="9"/>
        <w:rPr>
          <w:rFonts w:ascii="仿宋_GB2312" w:eastAsia="仿宋_GB2312"/>
          <w:sz w:val="32"/>
          <w:szCs w:val="32"/>
        </w:rPr>
      </w:pPr>
      <w:r>
        <w:rPr>
          <w:rFonts w:hint="eastAsia" w:ascii="仿宋_GB2312" w:hAnsi="仿宋" w:eastAsia="仿宋_GB2312" w:cs="仿宋"/>
          <w:sz w:val="32"/>
          <w:szCs w:val="32"/>
        </w:rPr>
        <w:t>（三）</w:t>
      </w:r>
      <w:r>
        <w:rPr>
          <w:rFonts w:hint="eastAsia" w:ascii="仿宋_GB2312" w:eastAsia="仿宋_GB2312"/>
          <w:sz w:val="32"/>
          <w:szCs w:val="32"/>
        </w:rPr>
        <w:t>评审办法：综合评分法</w:t>
      </w:r>
      <w:r>
        <w:rPr>
          <w:rFonts w:ascii="仿宋_GB2312" w:eastAsia="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40" w:lineRule="exact"/>
        <w:ind w:firstLine="640"/>
        <w:jc w:val="left"/>
        <w:textAlignment w:val="auto"/>
        <w:outlineLvl w:val="9"/>
        <w:rPr>
          <w:rFonts w:ascii="仿宋_GB2312" w:eastAsia="仿宋_GB2312"/>
          <w:sz w:val="32"/>
          <w:szCs w:val="32"/>
        </w:rPr>
      </w:pPr>
      <w:r>
        <w:rPr>
          <w:rFonts w:hint="eastAsia" w:ascii="黑体" w:hAnsi="黑体" w:eastAsia="黑体" w:cs="黑体"/>
          <w:sz w:val="32"/>
          <w:szCs w:val="32"/>
        </w:rPr>
        <w:t>四、供应商资格要求：（所有复印件加盖鲜章并提供原件备查）</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ascii="仿宋_GB2312" w:hAnsi="仿宋_GB2312" w:eastAsia="仿宋_GB2312" w:cs="仿宋_GB2312"/>
          <w:kern w:val="0"/>
          <w:sz w:val="32"/>
          <w:szCs w:val="32"/>
          <w:shd w:val="clear" w:color="auto" w:fill="FFFFFF"/>
        </w:rPr>
      </w:pPr>
      <w:bookmarkStart w:id="4" w:name="OLE_LINK15"/>
      <w:r>
        <w:rPr>
          <w:rFonts w:hint="eastAsia" w:ascii="仿宋_GB2312" w:hAnsi="仿宋_GB2312" w:eastAsia="仿宋_GB2312" w:cs="仿宋_GB2312"/>
          <w:kern w:val="0"/>
          <w:sz w:val="32"/>
          <w:szCs w:val="32"/>
          <w:shd w:val="clear" w:color="auto" w:fill="FFFFFF"/>
        </w:rPr>
        <w:t>（一）</w:t>
      </w:r>
      <w:r>
        <w:rPr>
          <w:rFonts w:hint="eastAsia" w:ascii="仿宋_GB2312" w:hAnsi="仿宋_GB2312" w:eastAsia="仿宋_GB2312" w:cs="仿宋_GB2312"/>
          <w:kern w:val="0"/>
          <w:sz w:val="32"/>
          <w:szCs w:val="32"/>
          <w:shd w:val="clear" w:color="auto" w:fill="FFFFFF"/>
          <w:lang w:val="en-US" w:eastAsia="zh-CN"/>
        </w:rPr>
        <w:t xml:space="preserve">符合《政府采购法》第二十二条规定，并提供《中华人民共和国政府采购法实施条例》第十七条所要求的材料 </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spacing w:line="540" w:lineRule="exact"/>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lang w:val="en-US" w:eastAsia="zh-CN"/>
        </w:rPr>
        <w:t>二</w:t>
      </w:r>
      <w:r>
        <w:rPr>
          <w:rFonts w:hint="eastAsia"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lang w:val="en-US" w:eastAsia="zh-CN"/>
        </w:rPr>
        <w:t>投标供应商须为未被列入“信用中国”网站(www.creditchina.gov.cn) 记录失信被执行人或“重大税收违法案件当事人名单或政府采购严重违法失信行为”记录名单；不处于中国政府采购网(www.ccgp.gov.cn)政府采购严 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w:t>
      </w:r>
      <w:r>
        <w:rPr>
          <w:rFonts w:hint="eastAsia" w:ascii="仿宋_GB2312" w:hAnsi="仿宋_GB2312" w:eastAsia="仿宋_GB2312" w:cs="仿宋_GB2312"/>
          <w:color w:val="333333"/>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lang w:val="en-US" w:eastAsia="zh-CN"/>
        </w:rPr>
        <w:t>三</w:t>
      </w:r>
      <w:r>
        <w:rPr>
          <w:rFonts w:hint="eastAsia" w:ascii="仿宋_GB2312" w:hAnsi="仿宋_GB2312" w:eastAsia="仿宋_GB2312" w:cs="仿宋_GB2312"/>
          <w:color w:val="333333"/>
          <w:kern w:val="0"/>
          <w:sz w:val="32"/>
          <w:szCs w:val="32"/>
          <w:shd w:val="clear" w:color="auto" w:fill="FFFFFF"/>
        </w:rPr>
        <w:t>）本项目</w:t>
      </w:r>
      <w:r>
        <w:rPr>
          <w:rFonts w:hint="eastAsia" w:ascii="仿宋_GB2312" w:hAnsi="仿宋_GB2312" w:eastAsia="仿宋_GB2312" w:cs="仿宋_GB2312"/>
          <w:color w:val="333333"/>
          <w:kern w:val="0"/>
          <w:sz w:val="32"/>
          <w:szCs w:val="32"/>
          <w:shd w:val="clear" w:color="auto" w:fill="FFFFFF"/>
          <w:lang w:eastAsia="zh-CN"/>
        </w:rPr>
        <w:t>不</w:t>
      </w:r>
      <w:r>
        <w:rPr>
          <w:rFonts w:hint="eastAsia" w:ascii="仿宋_GB2312" w:hAnsi="仿宋_GB2312" w:eastAsia="仿宋_GB2312" w:cs="仿宋_GB2312"/>
          <w:color w:val="auto"/>
          <w:kern w:val="0"/>
          <w:sz w:val="32"/>
          <w:szCs w:val="32"/>
          <w:shd w:val="clear" w:color="auto" w:fill="FFFFFF"/>
        </w:rPr>
        <w:t>接受</w:t>
      </w:r>
      <w:r>
        <w:rPr>
          <w:rFonts w:hint="eastAsia" w:ascii="仿宋_GB2312" w:hAnsi="仿宋_GB2312" w:eastAsia="仿宋_GB2312" w:cs="仿宋_GB2312"/>
          <w:color w:val="333333"/>
          <w:kern w:val="0"/>
          <w:sz w:val="32"/>
          <w:szCs w:val="32"/>
          <w:shd w:val="clear" w:color="auto" w:fill="FFFFFF"/>
        </w:rPr>
        <w:t>联合体投标。（以是否提交联合体协议为审查依据）</w:t>
      </w:r>
    </w:p>
    <w:bookmarkEnd w:id="4"/>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ascii="黑体" w:hAnsi="宋体" w:eastAsia="黑体" w:cs="黑体"/>
          <w:color w:val="333333"/>
          <w:kern w:val="0"/>
          <w:sz w:val="32"/>
          <w:szCs w:val="32"/>
          <w:shd w:val="clear" w:color="auto" w:fill="FFFFFF"/>
        </w:rPr>
      </w:pPr>
      <w:r>
        <w:rPr>
          <w:rFonts w:hint="eastAsia" w:ascii="黑体" w:hAnsi="宋体" w:eastAsia="黑体" w:cs="黑体"/>
          <w:color w:val="333333"/>
          <w:kern w:val="0"/>
          <w:sz w:val="32"/>
          <w:szCs w:val="32"/>
          <w:shd w:val="clear" w:color="auto" w:fill="FFFFFF"/>
        </w:rPr>
        <w:t>五、招标文件公告期限、获取时间、方式：</w:t>
      </w:r>
    </w:p>
    <w:p>
      <w:pPr>
        <w:keepNext w:val="0"/>
        <w:keepLines w:val="0"/>
        <w:pageBreakBefore w:val="0"/>
        <w:widowControl/>
        <w:shd w:val="clear" w:color="auto" w:fill="FFFFFF"/>
        <w:kinsoku/>
        <w:wordWrap/>
        <w:overflowPunct/>
        <w:topLinePunct w:val="0"/>
        <w:autoSpaceDE/>
        <w:autoSpaceDN/>
        <w:bidi w:val="0"/>
        <w:spacing w:line="540" w:lineRule="exact"/>
        <w:ind w:left="319" w:leftChars="152" w:firstLine="320" w:firstLineChars="10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（一）</w:t>
      </w:r>
      <w:r>
        <w:rPr>
          <w:rFonts w:hint="eastAsia" w:ascii="仿宋_GB2312" w:hAnsi="仿宋_GB2312" w:eastAsia="仿宋_GB2312" w:cs="仿宋_GB2312"/>
          <w:color w:val="333333"/>
          <w:kern w:val="0"/>
          <w:sz w:val="32"/>
          <w:szCs w:val="32"/>
          <w:shd w:val="clear" w:color="auto" w:fill="FFFFFF"/>
          <w:lang w:eastAsia="zh-CN"/>
        </w:rPr>
        <w:t>招标</w:t>
      </w:r>
      <w:r>
        <w:rPr>
          <w:rFonts w:hint="eastAsia" w:ascii="仿宋_GB2312" w:hAnsi="宋体" w:eastAsia="仿宋_GB2312" w:cs="宋体"/>
          <w:sz w:val="32"/>
          <w:szCs w:val="30"/>
        </w:rPr>
        <w:t>文件公告期限</w:t>
      </w:r>
      <w:r>
        <w:rPr>
          <w:rFonts w:hint="eastAsia" w:ascii="仿宋_GB2312" w:hAnsi="仿宋_GB2312" w:eastAsia="仿宋_GB2312" w:cs="仿宋_GB2312"/>
          <w:color w:val="333333"/>
          <w:kern w:val="0"/>
          <w:sz w:val="32"/>
          <w:szCs w:val="32"/>
          <w:shd w:val="clear" w:color="auto" w:fill="FFFFFF"/>
        </w:rPr>
        <w:t>：2019年12月20日至2019年12月26日。</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color w:val="333333"/>
          <w:kern w:val="0"/>
          <w:sz w:val="32"/>
          <w:szCs w:val="32"/>
          <w:shd w:val="clear" w:color="auto" w:fill="FFFFFF"/>
          <w:lang w:eastAsia="zh-CN"/>
        </w:rPr>
      </w:pPr>
      <w:r>
        <w:rPr>
          <w:rFonts w:hint="eastAsia" w:ascii="仿宋_GB2312" w:hAnsi="仿宋_GB2312" w:eastAsia="仿宋_GB2312" w:cs="仿宋_GB2312"/>
          <w:color w:val="333333"/>
          <w:kern w:val="0"/>
          <w:sz w:val="32"/>
          <w:szCs w:val="32"/>
          <w:shd w:val="clear" w:color="auto" w:fill="FFFFFF"/>
        </w:rPr>
        <w:t>（二）</w:t>
      </w:r>
      <w:r>
        <w:rPr>
          <w:rFonts w:hint="eastAsia" w:ascii="仿宋_GB2312" w:hAnsi="宋体" w:eastAsia="仿宋_GB2312" w:cs="宋体"/>
          <w:sz w:val="32"/>
          <w:szCs w:val="30"/>
        </w:rPr>
        <w:t>获取时间：自项目公告发布之日起至</w:t>
      </w:r>
      <w:r>
        <w:rPr>
          <w:rFonts w:hint="eastAsia" w:ascii="仿宋_GB2312" w:hAnsi="宋体" w:eastAsia="仿宋_GB2312" w:cs="宋体"/>
          <w:sz w:val="32"/>
          <w:szCs w:val="30"/>
          <w:lang w:eastAsia="zh-CN"/>
        </w:rPr>
        <w:t>投标</w:t>
      </w:r>
      <w:r>
        <w:rPr>
          <w:rFonts w:hint="eastAsia" w:ascii="仿宋_GB2312" w:hAnsi="宋体" w:eastAsia="仿宋_GB2312" w:cs="宋体"/>
          <w:sz w:val="32"/>
          <w:szCs w:val="30"/>
        </w:rPr>
        <w:t>文件递交截止日期均可获取</w:t>
      </w:r>
      <w:r>
        <w:rPr>
          <w:rFonts w:hint="eastAsia" w:ascii="仿宋_GB2312" w:hAnsi="宋体" w:eastAsia="仿宋_GB2312" w:cs="宋体"/>
          <w:sz w:val="32"/>
          <w:szCs w:val="30"/>
          <w:lang w:eastAsia="zh-CN"/>
        </w:rPr>
        <w:t>。</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（三）</w:t>
      </w:r>
      <w:r>
        <w:rPr>
          <w:rFonts w:hint="eastAsia" w:ascii="仿宋_GB2312" w:hAnsi="仿宋_GB2312" w:eastAsia="仿宋_GB2312" w:cs="仿宋_GB2312"/>
          <w:color w:val="333333"/>
          <w:kern w:val="0"/>
          <w:sz w:val="32"/>
          <w:szCs w:val="32"/>
          <w:shd w:val="clear" w:color="auto" w:fill="FFFFFF"/>
          <w:lang w:eastAsia="zh-CN"/>
        </w:rPr>
        <w:t>获取</w:t>
      </w:r>
      <w:r>
        <w:rPr>
          <w:rFonts w:hint="eastAsia" w:ascii="仿宋_GB2312" w:hAnsi="仿宋_GB2312" w:eastAsia="仿宋_GB2312" w:cs="仿宋_GB2312"/>
          <w:color w:val="333333"/>
          <w:kern w:val="0"/>
          <w:sz w:val="32"/>
          <w:szCs w:val="32"/>
          <w:shd w:val="clear" w:color="auto" w:fill="FFFFFF"/>
        </w:rPr>
        <w:t>方式：登录甘肃政府采购网站免费下载</w:t>
      </w:r>
      <w:r>
        <w:rPr>
          <w:rFonts w:hint="eastAsia" w:ascii="仿宋_GB2312" w:hAnsi="仿宋_GB2312" w:eastAsia="仿宋_GB2312" w:cs="仿宋_GB2312"/>
          <w:color w:val="333333"/>
          <w:kern w:val="0"/>
          <w:sz w:val="32"/>
          <w:szCs w:val="32"/>
          <w:shd w:val="clear" w:color="auto" w:fill="FFFFFF"/>
          <w:lang w:eastAsia="zh-CN"/>
        </w:rPr>
        <w:t>，</w:t>
      </w:r>
      <w:r>
        <w:rPr>
          <w:rFonts w:hint="eastAsia" w:ascii="仿宋_GB2312" w:hAnsi="仿宋_GB2312" w:eastAsia="仿宋_GB2312" w:cs="仿宋_GB2312"/>
          <w:color w:val="333333"/>
          <w:kern w:val="0"/>
          <w:sz w:val="32"/>
          <w:szCs w:val="32"/>
          <w:shd w:val="clear" w:color="auto" w:fill="FFFFFF"/>
        </w:rPr>
        <w:t>网址：甘肃政府采购网： www.gszfcg.gansu.gov.cn。</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ascii="黑体" w:hAnsi="宋体" w:eastAsia="黑体" w:cs="黑体"/>
          <w:color w:val="333333"/>
          <w:kern w:val="0"/>
          <w:sz w:val="32"/>
          <w:szCs w:val="32"/>
          <w:shd w:val="clear" w:color="auto" w:fill="FFFFFF"/>
        </w:rPr>
      </w:pPr>
      <w:r>
        <w:rPr>
          <w:rFonts w:hint="eastAsia" w:ascii="黑体" w:hAnsi="宋体" w:eastAsia="黑体" w:cs="黑体"/>
          <w:color w:val="333333"/>
          <w:kern w:val="0"/>
          <w:sz w:val="32"/>
          <w:szCs w:val="32"/>
          <w:shd w:val="clear" w:color="auto" w:fill="FFFFFF"/>
          <w:lang w:eastAsia="zh-CN"/>
        </w:rPr>
        <w:t>六</w:t>
      </w:r>
      <w:r>
        <w:rPr>
          <w:rFonts w:hint="eastAsia" w:ascii="黑体" w:hAnsi="宋体" w:eastAsia="黑体" w:cs="黑体"/>
          <w:color w:val="333333"/>
          <w:kern w:val="0"/>
          <w:sz w:val="32"/>
          <w:szCs w:val="32"/>
          <w:shd w:val="clear" w:color="auto" w:fill="FFFFFF"/>
        </w:rPr>
        <w:t>、投标文件递交截止时间及地点：</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（一）投标截止时间：20</w:t>
      </w:r>
      <w:r>
        <w:rPr>
          <w:rFonts w:hint="eastAsia" w:ascii="仿宋_GB2312" w:hAnsi="仿宋_GB2312" w:eastAsia="仿宋_GB2312" w:cs="仿宋_GB2312"/>
          <w:color w:val="333333"/>
          <w:kern w:val="0"/>
          <w:sz w:val="32"/>
          <w:szCs w:val="32"/>
          <w:shd w:val="clear" w:color="auto" w:fill="FFFFFF"/>
          <w:lang w:val="en-US" w:eastAsia="zh-CN"/>
        </w:rPr>
        <w:t>20</w:t>
      </w:r>
      <w:r>
        <w:rPr>
          <w:rFonts w:hint="eastAsia" w:ascii="仿宋_GB2312" w:hAnsi="仿宋_GB2312" w:eastAsia="仿宋_GB2312" w:cs="仿宋_GB2312"/>
          <w:color w:val="333333"/>
          <w:kern w:val="0"/>
          <w:sz w:val="32"/>
          <w:szCs w:val="32"/>
          <w:shd w:val="clear" w:color="auto" w:fill="FFFFFF"/>
        </w:rPr>
        <w:t>年</w:t>
      </w:r>
      <w:r>
        <w:rPr>
          <w:rFonts w:hint="eastAsia" w:ascii="仿宋_GB2312" w:hAnsi="仿宋_GB2312" w:eastAsia="仿宋_GB2312" w:cs="仿宋_GB2312"/>
          <w:color w:val="333333"/>
          <w:kern w:val="0"/>
          <w:sz w:val="32"/>
          <w:szCs w:val="32"/>
          <w:shd w:val="clear" w:color="auto" w:fill="FFFFFF"/>
          <w:lang w:val="en-US" w:eastAsia="zh-CN"/>
        </w:rPr>
        <w:t>1</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8</w:t>
      </w:r>
      <w:r>
        <w:rPr>
          <w:rFonts w:hint="eastAsia" w:ascii="仿宋_GB2312" w:hAnsi="仿宋_GB2312" w:eastAsia="仿宋_GB2312" w:cs="仿宋_GB2312"/>
          <w:color w:val="333333"/>
          <w:kern w:val="0"/>
          <w:sz w:val="32"/>
          <w:szCs w:val="32"/>
          <w:shd w:val="clear" w:color="auto" w:fill="FFFFFF"/>
        </w:rPr>
        <w:t>日</w:t>
      </w:r>
      <w:r>
        <w:rPr>
          <w:rFonts w:hint="eastAsia" w:ascii="仿宋_GB2312" w:hAnsi="仿宋_GB2312" w:eastAsia="仿宋_GB2312" w:cs="仿宋_GB2312"/>
          <w:color w:val="333333"/>
          <w:kern w:val="0"/>
          <w:sz w:val="32"/>
          <w:szCs w:val="32"/>
          <w:shd w:val="clear" w:color="auto" w:fill="FFFFFF"/>
          <w:lang w:val="en-US" w:eastAsia="zh-CN"/>
        </w:rPr>
        <w:t>9:00</w:t>
      </w:r>
      <w:r>
        <w:rPr>
          <w:rFonts w:hint="eastAsia" w:ascii="仿宋_GB2312" w:hAnsi="仿宋_GB2312" w:eastAsia="仿宋_GB2312" w:cs="仿宋_GB2312"/>
          <w:color w:val="333333"/>
          <w:kern w:val="0"/>
          <w:sz w:val="32"/>
          <w:szCs w:val="32"/>
          <w:shd w:val="clear" w:color="auto" w:fill="FFFFFF"/>
        </w:rPr>
        <w:t>整</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投标人在投标文件递交截止时间前应主动登录甘肃政府采购网，以便及时了解相关招标信息和补充信息。如因未主动登录网站而未获取相关信息，对其产生的不利因素由投标人自行承担。</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（二）开标时间：20</w:t>
      </w:r>
      <w:r>
        <w:rPr>
          <w:rFonts w:hint="eastAsia" w:ascii="仿宋_GB2312" w:hAnsi="仿宋_GB2312" w:eastAsia="仿宋_GB2312" w:cs="仿宋_GB2312"/>
          <w:color w:val="333333"/>
          <w:kern w:val="0"/>
          <w:sz w:val="32"/>
          <w:szCs w:val="32"/>
          <w:shd w:val="clear" w:color="auto" w:fill="FFFFFF"/>
          <w:lang w:val="en-US" w:eastAsia="zh-CN"/>
        </w:rPr>
        <w:t>20</w:t>
      </w:r>
      <w:r>
        <w:rPr>
          <w:rFonts w:hint="eastAsia" w:ascii="仿宋_GB2312" w:hAnsi="仿宋_GB2312" w:eastAsia="仿宋_GB2312" w:cs="仿宋_GB2312"/>
          <w:color w:val="333333"/>
          <w:kern w:val="0"/>
          <w:sz w:val="32"/>
          <w:szCs w:val="32"/>
          <w:shd w:val="clear" w:color="auto" w:fill="FFFFFF"/>
        </w:rPr>
        <w:t>年</w:t>
      </w:r>
      <w:r>
        <w:rPr>
          <w:rFonts w:hint="eastAsia" w:ascii="仿宋_GB2312" w:hAnsi="仿宋_GB2312" w:eastAsia="仿宋_GB2312" w:cs="仿宋_GB2312"/>
          <w:color w:val="333333"/>
          <w:kern w:val="0"/>
          <w:sz w:val="32"/>
          <w:szCs w:val="32"/>
          <w:shd w:val="clear" w:color="auto" w:fill="FFFFFF"/>
          <w:lang w:val="en-US" w:eastAsia="zh-CN"/>
        </w:rPr>
        <w:t>1</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8</w:t>
      </w:r>
      <w:r>
        <w:rPr>
          <w:rFonts w:hint="eastAsia" w:ascii="仿宋_GB2312" w:hAnsi="仿宋_GB2312" w:eastAsia="仿宋_GB2312" w:cs="仿宋_GB2312"/>
          <w:color w:val="333333"/>
          <w:kern w:val="0"/>
          <w:sz w:val="32"/>
          <w:szCs w:val="32"/>
          <w:shd w:val="clear" w:color="auto" w:fill="FFFFFF"/>
        </w:rPr>
        <w:t>日</w:t>
      </w:r>
      <w:r>
        <w:rPr>
          <w:rFonts w:hint="eastAsia" w:ascii="仿宋_GB2312" w:hAnsi="仿宋_GB2312" w:eastAsia="仿宋_GB2312" w:cs="仿宋_GB2312"/>
          <w:color w:val="333333"/>
          <w:kern w:val="0"/>
          <w:sz w:val="32"/>
          <w:szCs w:val="32"/>
          <w:shd w:val="clear" w:color="auto" w:fill="FFFFFF"/>
          <w:lang w:val="en-US" w:eastAsia="zh-CN"/>
        </w:rPr>
        <w:t>9:00</w:t>
      </w:r>
      <w:r>
        <w:rPr>
          <w:rFonts w:hint="eastAsia" w:ascii="仿宋_GB2312" w:hAnsi="仿宋_GB2312" w:eastAsia="仿宋_GB2312" w:cs="仿宋_GB2312"/>
          <w:color w:val="333333"/>
          <w:kern w:val="0"/>
          <w:sz w:val="32"/>
          <w:szCs w:val="32"/>
          <w:shd w:val="clear" w:color="auto" w:fill="FFFFFF"/>
        </w:rPr>
        <w:t>整</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（三）开标地点：在靖远县财政局会议室开标（靖远县政府1号统办楼119室）。</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投标文件必须在投标截止时间前送达靖远县政府采购中心 (靖远县财政局119室）。逾期送达或密封和标注不符合招标文件规定的投标文件恕不接受。本次招标不接受邮寄的投标文件。</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ascii="黑体" w:hAnsi="黑体" w:eastAsia="黑体" w:cs="黑体"/>
          <w:sz w:val="32"/>
          <w:szCs w:val="32"/>
        </w:rPr>
      </w:pPr>
      <w:r>
        <w:rPr>
          <w:rFonts w:hint="eastAsia" w:ascii="黑体" w:hAnsi="黑体" w:eastAsia="黑体" w:cs="黑体"/>
          <w:color w:val="333333"/>
          <w:kern w:val="0"/>
          <w:sz w:val="32"/>
          <w:szCs w:val="32"/>
          <w:shd w:val="clear" w:color="auto" w:fill="FFFFFF"/>
          <w:lang w:eastAsia="zh-CN"/>
        </w:rPr>
        <w:t>七</w:t>
      </w:r>
      <w:r>
        <w:rPr>
          <w:rFonts w:hint="eastAsia" w:ascii="黑体" w:hAnsi="黑体" w:eastAsia="黑体" w:cs="黑体"/>
          <w:color w:val="333333"/>
          <w:kern w:val="0"/>
          <w:sz w:val="32"/>
          <w:szCs w:val="32"/>
          <w:shd w:val="clear" w:color="auto" w:fill="FFFFFF"/>
        </w:rPr>
        <w:t>、采购项目联系人及电话：</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采 购 单 位：</w:t>
      </w:r>
      <w:r>
        <w:rPr>
          <w:rFonts w:hint="eastAsia" w:ascii="仿宋_GB2312" w:hAnsi="仿宋_GB2312" w:eastAsia="仿宋_GB2312" w:cs="仿宋_GB2312"/>
          <w:sz w:val="32"/>
          <w:szCs w:val="32"/>
        </w:rPr>
        <w:t>靖远县刘川镇人民政府</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default" w:ascii="仿宋_GB2312" w:hAnsi="仿宋_GB2312" w:eastAsia="仿宋_GB2312" w:cs="仿宋_GB2312"/>
          <w:color w:val="333333"/>
          <w:kern w:val="0"/>
          <w:sz w:val="32"/>
          <w:szCs w:val="32"/>
          <w:shd w:val="clear" w:color="auto" w:fill="FFFFFF"/>
          <w:lang w:val="en-US" w:eastAsia="zh-CN"/>
        </w:rPr>
      </w:pPr>
      <w:r>
        <w:rPr>
          <w:rFonts w:hint="eastAsia" w:ascii="仿宋_GB2312" w:hAnsi="仿宋_GB2312" w:eastAsia="仿宋_GB2312" w:cs="仿宋_GB2312"/>
          <w:color w:val="333333"/>
          <w:kern w:val="0"/>
          <w:sz w:val="32"/>
          <w:szCs w:val="32"/>
          <w:shd w:val="clear" w:color="auto" w:fill="FFFFFF"/>
        </w:rPr>
        <w:t>联   系  人：</w:t>
      </w:r>
      <w:r>
        <w:rPr>
          <w:rFonts w:hint="eastAsia" w:ascii="仿宋_GB2312" w:hAnsi="仿宋_GB2312" w:eastAsia="仿宋_GB2312" w:cs="仿宋_GB2312"/>
          <w:color w:val="333333"/>
          <w:kern w:val="0"/>
          <w:sz w:val="32"/>
          <w:szCs w:val="32"/>
          <w:shd w:val="clear" w:color="auto" w:fill="FFFFFF"/>
          <w:lang w:eastAsia="zh-CN"/>
        </w:rPr>
        <w:t>房世旺</w:t>
      </w:r>
      <w:r>
        <w:rPr>
          <w:rFonts w:hint="eastAsia" w:ascii="仿宋_GB2312" w:hAnsi="仿宋_GB2312" w:eastAsia="仿宋_GB2312" w:cs="仿宋_GB2312"/>
          <w:color w:val="333333"/>
          <w:kern w:val="0"/>
          <w:sz w:val="32"/>
          <w:szCs w:val="32"/>
          <w:shd w:val="clear" w:color="auto" w:fill="FFFFFF"/>
        </w:rPr>
        <w:t xml:space="preserve">    联系电话：</w:t>
      </w:r>
      <w:r>
        <w:rPr>
          <w:rFonts w:hint="eastAsia" w:ascii="仿宋_GB2312" w:hAnsi="仿宋_GB2312" w:eastAsia="仿宋_GB2312" w:cs="仿宋_GB2312"/>
          <w:color w:val="333333"/>
          <w:kern w:val="0"/>
          <w:sz w:val="32"/>
          <w:szCs w:val="32"/>
          <w:shd w:val="clear" w:color="auto" w:fill="FFFFFF"/>
          <w:lang w:val="en-US" w:eastAsia="zh-CN"/>
        </w:rPr>
        <w:t>18298776275</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联 系 地 址：</w:t>
      </w:r>
      <w:r>
        <w:rPr>
          <w:rFonts w:hint="eastAsia" w:ascii="仿宋_GB2312" w:hAnsi="仿宋_GB2312" w:eastAsia="仿宋_GB2312" w:cs="仿宋_GB2312"/>
          <w:sz w:val="32"/>
          <w:szCs w:val="32"/>
        </w:rPr>
        <w:t>靖远县刘川镇人民政府</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 xml:space="preserve">代理机构名称：靖远县政府采购中心 </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联   系   人：</w:t>
      </w:r>
      <w:r>
        <w:rPr>
          <w:rFonts w:hint="eastAsia" w:ascii="仿宋_GB2312" w:hAnsi="仿宋_GB2312" w:eastAsia="仿宋_GB2312" w:cs="仿宋_GB2312"/>
          <w:color w:val="333333"/>
          <w:kern w:val="0"/>
          <w:sz w:val="32"/>
          <w:szCs w:val="32"/>
          <w:shd w:val="clear" w:color="auto" w:fill="FFFFFF"/>
          <w:lang w:eastAsia="zh-CN"/>
        </w:rPr>
        <w:t>杨磊</w:t>
      </w:r>
      <w:r>
        <w:rPr>
          <w:rFonts w:hint="eastAsia" w:ascii="仿宋_GB2312" w:hAnsi="仿宋_GB2312" w:eastAsia="仿宋_GB2312" w:cs="仿宋_GB2312"/>
          <w:color w:val="333333"/>
          <w:kern w:val="0"/>
          <w:sz w:val="32"/>
          <w:szCs w:val="32"/>
          <w:shd w:val="clear" w:color="auto" w:fill="FFFFFF"/>
          <w:lang w:val="en-US" w:eastAsia="zh-CN"/>
        </w:rPr>
        <w:t xml:space="preserve">  </w:t>
      </w:r>
      <w:r>
        <w:rPr>
          <w:rFonts w:hint="eastAsia" w:ascii="仿宋_GB2312" w:hAnsi="仿宋_GB2312" w:eastAsia="仿宋_GB2312" w:cs="仿宋_GB2312"/>
          <w:color w:val="333333"/>
          <w:kern w:val="0"/>
          <w:sz w:val="32"/>
          <w:szCs w:val="32"/>
          <w:shd w:val="clear" w:color="auto" w:fill="FFFFFF"/>
        </w:rPr>
        <w:t xml:space="preserve">   联系电话：09436120764</w:t>
      </w:r>
    </w:p>
    <w:p>
      <w:pPr>
        <w:keepNext w:val="0"/>
        <w:keepLines w:val="0"/>
        <w:pageBreakBefore w:val="0"/>
        <w:widowControl/>
        <w:shd w:val="clear" w:color="auto" w:fill="FFFFFF"/>
        <w:kinsoku/>
        <w:wordWrap/>
        <w:overflowPunct/>
        <w:topLinePunct w:val="0"/>
        <w:autoSpaceDE/>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 xml:space="preserve">联 系 地 址： 靖远县政府1号统办楼315室 </w:t>
      </w:r>
    </w:p>
    <w:p>
      <w:pPr>
        <w:keepNext w:val="0"/>
        <w:keepLines w:val="0"/>
        <w:pageBreakBefore w:val="0"/>
        <w:widowControl/>
        <w:shd w:val="clear" w:color="auto" w:fill="FFFFFF"/>
        <w:kinsoku/>
        <w:wordWrap/>
        <w:overflowPunct/>
        <w:topLinePunct w:val="0"/>
        <w:autoSpaceDE/>
        <w:autoSpaceDN/>
        <w:bidi w:val="0"/>
        <w:spacing w:line="540" w:lineRule="exact"/>
        <w:ind w:left="0" w:leftChars="0" w:firstLine="0" w:firstLineChars="0"/>
        <w:textAlignment w:val="auto"/>
        <w:outlineLvl w:val="9"/>
        <w:rPr>
          <w:rFonts w:hint="eastAsia" w:ascii="仿宋_GB2312" w:hAnsi="仿宋_GB2312" w:eastAsia="仿宋_GB2312" w:cs="仿宋_GB2312"/>
          <w:color w:val="333333"/>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spacing w:line="540" w:lineRule="exact"/>
        <w:ind w:firstLine="4448" w:firstLineChars="139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靖远县政府采购中心</w:t>
      </w:r>
    </w:p>
    <w:p>
      <w:pPr>
        <w:keepNext w:val="0"/>
        <w:keepLines w:val="0"/>
        <w:pageBreakBefore w:val="0"/>
        <w:widowControl/>
        <w:shd w:val="clear" w:color="auto" w:fill="FFFFFF"/>
        <w:kinsoku/>
        <w:wordWrap/>
        <w:overflowPunct/>
        <w:topLinePunct w:val="0"/>
        <w:autoSpaceDE/>
        <w:autoSpaceDN/>
        <w:bidi w:val="0"/>
        <w:spacing w:line="540" w:lineRule="exact"/>
        <w:ind w:firstLine="4608" w:firstLineChars="1440"/>
        <w:textAlignment w:val="auto"/>
        <w:outlineLvl w:val="9"/>
      </w:pPr>
      <w:r>
        <w:rPr>
          <w:rFonts w:hint="eastAsia" w:ascii="仿宋_GB2312" w:hAnsi="仿宋_GB2312" w:eastAsia="仿宋_GB2312" w:cs="仿宋_GB2312"/>
          <w:color w:val="333333"/>
          <w:kern w:val="0"/>
          <w:sz w:val="32"/>
          <w:szCs w:val="32"/>
          <w:shd w:val="clear" w:color="auto" w:fill="FFFFFF"/>
        </w:rPr>
        <w:t>201</w:t>
      </w:r>
      <w:r>
        <w:rPr>
          <w:rFonts w:hint="eastAsia" w:ascii="仿宋_GB2312" w:hAnsi="仿宋_GB2312" w:eastAsia="仿宋_GB2312" w:cs="仿宋_GB2312"/>
          <w:color w:val="333333"/>
          <w:kern w:val="0"/>
          <w:sz w:val="32"/>
          <w:szCs w:val="32"/>
          <w:shd w:val="clear" w:color="auto" w:fill="FFFFFF"/>
          <w:lang w:val="en-US" w:eastAsia="zh-CN"/>
        </w:rPr>
        <w:t>9</w:t>
      </w:r>
      <w:r>
        <w:rPr>
          <w:rFonts w:hint="eastAsia" w:ascii="仿宋_GB2312" w:hAnsi="仿宋_GB2312" w:eastAsia="仿宋_GB2312" w:cs="仿宋_GB2312"/>
          <w:color w:val="333333"/>
          <w:kern w:val="0"/>
          <w:sz w:val="32"/>
          <w:szCs w:val="32"/>
          <w:shd w:val="clear" w:color="auto" w:fill="FFFFFF"/>
        </w:rPr>
        <w:t>年</w:t>
      </w:r>
      <w:r>
        <w:rPr>
          <w:rFonts w:hint="eastAsia" w:ascii="仿宋_GB2312" w:hAnsi="仿宋_GB2312" w:eastAsia="仿宋_GB2312" w:cs="仿宋_GB2312"/>
          <w:color w:val="333333"/>
          <w:kern w:val="0"/>
          <w:sz w:val="32"/>
          <w:szCs w:val="32"/>
          <w:shd w:val="clear" w:color="auto" w:fill="FFFFFF"/>
          <w:lang w:val="en-US" w:eastAsia="zh-CN"/>
        </w:rPr>
        <w:t>12</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19</w:t>
      </w:r>
      <w:r>
        <w:rPr>
          <w:rFonts w:hint="eastAsia" w:ascii="仿宋_GB2312" w:hAnsi="仿宋_GB2312" w:eastAsia="仿宋_GB2312" w:cs="仿宋_GB2312"/>
          <w:color w:val="333333"/>
          <w:kern w:val="0"/>
          <w:sz w:val="32"/>
          <w:szCs w:val="32"/>
          <w:shd w:val="clear" w:color="auto" w:fill="FFFFFF"/>
        </w:rPr>
        <w:t xml:space="preserve">日 </w:t>
      </w: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p>
    <w:p>
      <w:pPr>
        <w:pStyle w:val="4"/>
        <w:ind w:firstLine="643"/>
      </w:pPr>
      <w:r>
        <w:t>第二章</w:t>
      </w:r>
      <w:r>
        <w:rPr>
          <w:rFonts w:hint="eastAsia"/>
        </w:rPr>
        <w:t xml:space="preserve"> 投标人须知前附表</w:t>
      </w:r>
      <w:bookmarkEnd w:id="2"/>
      <w:bookmarkEnd w:id="3"/>
    </w:p>
    <w:p>
      <w:pPr>
        <w:ind w:firstLine="360" w:firstLineChars="150"/>
        <w:rPr>
          <w:sz w:val="24"/>
        </w:rPr>
      </w:pPr>
      <w:r>
        <w:rPr>
          <w:rFonts w:hint="eastAsia"/>
          <w:sz w:val="24"/>
        </w:rPr>
        <w:t>下述关于要采购的内容的具体资料是对投标人须知的具体补充和修改，如果有矛盾的话，应以本资料为准。</w:t>
      </w:r>
    </w:p>
    <w:tbl>
      <w:tblPr>
        <w:tblStyle w:val="38"/>
        <w:tblW w:w="9827"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418"/>
        <w:gridCol w:w="7442"/>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67" w:type="dxa"/>
            <w:noWrap w:val="0"/>
            <w:vAlign w:val="center"/>
          </w:tcPr>
          <w:p>
            <w:pPr>
              <w:ind w:firstLine="0" w:firstLineChars="0"/>
              <w:jc w:val="center"/>
              <w:rPr>
                <w:rFonts w:ascii="宋体" w:hAnsi="宋体"/>
                <w:b/>
                <w:szCs w:val="21"/>
              </w:rPr>
            </w:pPr>
            <w:r>
              <w:rPr>
                <w:rFonts w:hint="eastAsia" w:ascii="宋体" w:hAnsi="宋体"/>
                <w:b/>
                <w:szCs w:val="21"/>
              </w:rPr>
              <w:t>条款号</w:t>
            </w:r>
          </w:p>
        </w:tc>
        <w:tc>
          <w:tcPr>
            <w:tcW w:w="1418" w:type="dxa"/>
            <w:noWrap w:val="0"/>
            <w:vAlign w:val="center"/>
          </w:tcPr>
          <w:p>
            <w:pPr>
              <w:ind w:firstLine="0" w:firstLineChars="0"/>
              <w:jc w:val="center"/>
              <w:rPr>
                <w:rFonts w:ascii="宋体" w:hAnsi="宋体"/>
                <w:b/>
                <w:szCs w:val="21"/>
              </w:rPr>
            </w:pPr>
            <w:r>
              <w:rPr>
                <w:rFonts w:hint="eastAsia" w:ascii="宋体" w:hAnsi="宋体"/>
                <w:b/>
                <w:szCs w:val="21"/>
              </w:rPr>
              <w:t>条 款 名 称</w:t>
            </w:r>
          </w:p>
        </w:tc>
        <w:tc>
          <w:tcPr>
            <w:tcW w:w="7442" w:type="dxa"/>
            <w:noWrap w:val="0"/>
            <w:vAlign w:val="center"/>
          </w:tcPr>
          <w:p>
            <w:pPr>
              <w:ind w:firstLine="422"/>
              <w:jc w:val="center"/>
              <w:rPr>
                <w:rFonts w:ascii="宋体" w:hAnsi="宋体"/>
                <w:b/>
                <w:szCs w:val="21"/>
              </w:rPr>
            </w:pPr>
            <w:r>
              <w:rPr>
                <w:rFonts w:ascii="宋体" w:hAnsi="宋体"/>
                <w:b/>
                <w:szCs w:val="21"/>
              </w:rPr>
              <w:t>内   容   规   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139" w:hRule="exac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2.1</w:t>
            </w:r>
          </w:p>
        </w:tc>
        <w:tc>
          <w:tcPr>
            <w:tcW w:w="1418" w:type="dxa"/>
            <w:noWrap w:val="0"/>
            <w:vAlign w:val="center"/>
          </w:tcPr>
          <w:p>
            <w:pPr>
              <w:spacing w:line="400" w:lineRule="exact"/>
              <w:ind w:firstLine="0" w:firstLineChars="0"/>
              <w:rPr>
                <w:rFonts w:ascii="宋体" w:hAnsi="宋体" w:cs="宋体"/>
                <w:szCs w:val="21"/>
              </w:rPr>
            </w:pPr>
            <w:r>
              <w:rPr>
                <w:rFonts w:ascii="宋体" w:hAnsi="宋体" w:cs="宋体"/>
                <w:szCs w:val="21"/>
              </w:rPr>
              <w:t>综合说明</w:t>
            </w:r>
          </w:p>
        </w:tc>
        <w:tc>
          <w:tcPr>
            <w:tcW w:w="7442" w:type="dxa"/>
            <w:noWrap w:val="0"/>
            <w:vAlign w:val="center"/>
          </w:tcPr>
          <w:p>
            <w:pPr>
              <w:numPr>
                <w:ilvl w:val="0"/>
                <w:numId w:val="2"/>
              </w:numPr>
              <w:spacing w:line="360" w:lineRule="auto"/>
              <w:ind w:firstLine="420"/>
              <w:rPr>
                <w:rFonts w:hint="eastAsia" w:ascii="宋体" w:hAnsi="宋体" w:cs="宋体"/>
                <w:szCs w:val="21"/>
              </w:rPr>
            </w:pPr>
            <w:r>
              <w:rPr>
                <w:rFonts w:hint="eastAsia" w:ascii="宋体" w:hAnsi="宋体" w:cs="宋体"/>
                <w:szCs w:val="21"/>
              </w:rPr>
              <w:t>项目名称：白银市靖远县刘川镇人民政府2019年度村级公益事业建设“一事一议”赵埫村道路亮化工程项目</w:t>
            </w:r>
          </w:p>
          <w:p>
            <w:pPr>
              <w:numPr>
                <w:ilvl w:val="0"/>
                <w:numId w:val="2"/>
              </w:numPr>
              <w:spacing w:line="360" w:lineRule="auto"/>
              <w:ind w:firstLine="420"/>
              <w:rPr>
                <w:rFonts w:hint="eastAsia" w:ascii="宋体" w:hAnsi="宋体" w:cs="宋体"/>
                <w:szCs w:val="21"/>
              </w:rPr>
            </w:pPr>
            <w:r>
              <w:rPr>
                <w:rFonts w:hint="eastAsia" w:ascii="宋体" w:hAnsi="宋体" w:cs="宋体"/>
                <w:szCs w:val="21"/>
              </w:rPr>
              <w:t>交货时间：按合同签订时间</w:t>
            </w:r>
          </w:p>
          <w:p>
            <w:pPr>
              <w:spacing w:line="360" w:lineRule="auto"/>
              <w:ind w:firstLine="420"/>
              <w:rPr>
                <w:rFonts w:hint="eastAsia" w:ascii="宋体" w:hAnsi="宋体" w:cs="宋体"/>
                <w:szCs w:val="21"/>
              </w:rPr>
            </w:pPr>
            <w:r>
              <w:rPr>
                <w:rFonts w:hint="eastAsia" w:ascii="宋体" w:hAnsi="宋体" w:cs="宋体"/>
                <w:szCs w:val="21"/>
              </w:rPr>
              <w:t>3）交货地点和方式：按合同签订地点供货</w:t>
            </w:r>
          </w:p>
          <w:p>
            <w:pPr>
              <w:spacing w:line="360" w:lineRule="auto"/>
              <w:ind w:firstLine="420"/>
              <w:rPr>
                <w:rFonts w:hint="eastAsia" w:ascii="宋体" w:hAnsi="宋体" w:cs="宋体"/>
                <w:szCs w:val="21"/>
              </w:rPr>
            </w:pPr>
            <w:r>
              <w:rPr>
                <w:rFonts w:hint="eastAsia" w:ascii="宋体" w:hAnsi="宋体" w:cs="宋体"/>
                <w:szCs w:val="21"/>
              </w:rPr>
              <w:t>4）招标内容：太阳能路灯</w:t>
            </w:r>
            <w:r>
              <w:rPr>
                <w:rFonts w:hint="eastAsia" w:ascii="宋体" w:hAnsi="宋体" w:cs="宋体"/>
                <w:szCs w:val="21"/>
                <w:lang w:val="en-US" w:eastAsia="zh-CN"/>
              </w:rPr>
              <w:t>12</w:t>
            </w:r>
            <w:r>
              <w:rPr>
                <w:rFonts w:hint="eastAsia" w:ascii="宋体" w:hAnsi="宋体" w:cs="宋体"/>
                <w:szCs w:val="21"/>
              </w:rPr>
              <w:t>0盏</w:t>
            </w:r>
          </w:p>
          <w:p>
            <w:pPr>
              <w:spacing w:line="360" w:lineRule="auto"/>
              <w:ind w:firstLine="420"/>
              <w:rPr>
                <w:rFonts w:hint="eastAsia" w:ascii="宋体" w:hAnsi="宋体" w:cs="宋体"/>
                <w:szCs w:val="21"/>
              </w:rPr>
            </w:pPr>
            <w:r>
              <w:rPr>
                <w:rFonts w:hint="eastAsia" w:ascii="宋体" w:hAnsi="宋体" w:cs="宋体"/>
                <w:szCs w:val="21"/>
              </w:rPr>
              <w:t>5）招标方式：公开招标</w:t>
            </w:r>
          </w:p>
          <w:p>
            <w:pPr>
              <w:spacing w:line="360" w:lineRule="auto"/>
              <w:ind w:firstLine="420"/>
              <w:rPr>
                <w:rFonts w:hint="eastAsia" w:ascii="宋体" w:hAnsi="宋体" w:cs="宋体"/>
                <w:szCs w:val="21"/>
              </w:rPr>
            </w:pPr>
            <w:r>
              <w:rPr>
                <w:rFonts w:hint="eastAsia" w:ascii="宋体" w:hAnsi="宋体" w:cs="宋体"/>
                <w:szCs w:val="21"/>
              </w:rPr>
              <w:t>6）评标方法：综合评分</w:t>
            </w:r>
          </w:p>
          <w:p>
            <w:pPr>
              <w:spacing w:line="360" w:lineRule="auto"/>
              <w:ind w:firstLine="420"/>
              <w:rPr>
                <w:rFonts w:hint="eastAsia" w:ascii="宋体" w:hAnsi="宋体" w:cs="宋体"/>
                <w:szCs w:val="21"/>
              </w:rPr>
            </w:pPr>
            <w:r>
              <w:rPr>
                <w:rFonts w:hint="eastAsia" w:ascii="宋体" w:hAnsi="宋体" w:cs="宋体"/>
                <w:szCs w:val="21"/>
              </w:rPr>
              <w:t>7）采购预算：</w:t>
            </w:r>
            <w:r>
              <w:rPr>
                <w:rFonts w:hint="eastAsia" w:ascii="宋体" w:hAnsi="宋体" w:cs="宋体"/>
                <w:szCs w:val="21"/>
                <w:lang w:val="en-US" w:eastAsia="zh-CN"/>
              </w:rPr>
              <w:t>48</w:t>
            </w:r>
            <w:r>
              <w:rPr>
                <w:rFonts w:hint="eastAsia" w:ascii="宋体" w:hAnsi="宋体" w:cs="宋体"/>
                <w:szCs w:val="21"/>
              </w:rPr>
              <w:t>万元</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2.2</w:t>
            </w:r>
          </w:p>
        </w:tc>
        <w:tc>
          <w:tcPr>
            <w:tcW w:w="1418" w:type="dxa"/>
            <w:noWrap w:val="0"/>
            <w:vAlign w:val="center"/>
          </w:tcPr>
          <w:p>
            <w:pPr>
              <w:spacing w:line="400" w:lineRule="exact"/>
              <w:ind w:firstLine="0" w:firstLineChars="0"/>
              <w:jc w:val="center"/>
              <w:rPr>
                <w:rFonts w:ascii="宋体" w:hAnsi="宋体"/>
                <w:szCs w:val="21"/>
              </w:rPr>
            </w:pPr>
            <w:r>
              <w:rPr>
                <w:rFonts w:hint="eastAsia" w:ascii="宋体" w:hAnsi="宋体"/>
                <w:szCs w:val="21"/>
              </w:rPr>
              <w:t>采购人</w:t>
            </w:r>
          </w:p>
        </w:tc>
        <w:tc>
          <w:tcPr>
            <w:tcW w:w="7442" w:type="dxa"/>
            <w:noWrap w:val="0"/>
            <w:vAlign w:val="center"/>
          </w:tcPr>
          <w:p>
            <w:pPr>
              <w:ind w:firstLine="413" w:firstLineChars="197"/>
              <w:rPr>
                <w:rFonts w:hint="eastAsia" w:ascii="宋体" w:hAnsi="宋体" w:cs="宋体"/>
                <w:color w:val="000000"/>
                <w:szCs w:val="21"/>
              </w:rPr>
            </w:pPr>
            <w:r>
              <w:rPr>
                <w:rFonts w:hint="eastAsia" w:ascii="宋体" w:hAnsi="宋体" w:cs="宋体"/>
                <w:color w:val="000000"/>
                <w:szCs w:val="21"/>
              </w:rPr>
              <w:t>1）单位名称：靖远县刘川镇人民政府</w:t>
            </w:r>
          </w:p>
          <w:p>
            <w:pPr>
              <w:tabs>
                <w:tab w:val="left" w:pos="0"/>
              </w:tabs>
              <w:spacing w:line="400" w:lineRule="exact"/>
              <w:ind w:firstLine="420"/>
              <w:rPr>
                <w:rFonts w:ascii="宋体" w:hAnsi="宋体" w:cs="宋体"/>
                <w:color w:val="000000"/>
                <w:szCs w:val="21"/>
              </w:rPr>
            </w:pPr>
            <w:r>
              <w:rPr>
                <w:rFonts w:hint="eastAsia" w:ascii="宋体" w:hAnsi="宋体" w:cs="宋体"/>
                <w:color w:val="000000"/>
                <w:szCs w:val="21"/>
              </w:rPr>
              <w:t>2）联 系 人：</w:t>
            </w:r>
            <w:r>
              <w:rPr>
                <w:rFonts w:hint="eastAsia" w:ascii="宋体" w:hAnsi="宋体" w:cs="宋体"/>
                <w:color w:val="000000"/>
                <w:szCs w:val="21"/>
                <w:lang w:eastAsia="zh-CN"/>
              </w:rPr>
              <w:t>房世旺</w:t>
            </w:r>
          </w:p>
          <w:p>
            <w:pPr>
              <w:spacing w:line="400" w:lineRule="exact"/>
              <w:ind w:firstLine="420"/>
              <w:rPr>
                <w:rFonts w:hint="eastAsia" w:ascii="宋体" w:hAnsi="宋体" w:cs="宋体"/>
                <w:szCs w:val="21"/>
              </w:rPr>
            </w:pPr>
            <w:r>
              <w:rPr>
                <w:rFonts w:hint="eastAsia" w:ascii="宋体" w:hAnsi="宋体" w:cs="宋体"/>
                <w:color w:val="000000"/>
                <w:szCs w:val="21"/>
              </w:rPr>
              <w:t>3）联系电话：</w:t>
            </w:r>
            <w:r>
              <w:rPr>
                <w:rFonts w:hint="eastAsia" w:ascii="宋体" w:hAnsi="宋体" w:cs="宋体"/>
                <w:color w:val="000000"/>
                <w:szCs w:val="21"/>
                <w:lang w:val="en-US" w:eastAsia="zh-CN"/>
              </w:rPr>
              <w:t>18298776275</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35" w:hRule="exac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2.3</w:t>
            </w:r>
          </w:p>
        </w:tc>
        <w:tc>
          <w:tcPr>
            <w:tcW w:w="1418" w:type="dxa"/>
            <w:noWrap w:val="0"/>
            <w:vAlign w:val="center"/>
          </w:tcPr>
          <w:p>
            <w:pPr>
              <w:spacing w:line="400" w:lineRule="exact"/>
              <w:ind w:firstLine="0" w:firstLineChars="0"/>
              <w:jc w:val="center"/>
              <w:rPr>
                <w:rFonts w:ascii="宋体" w:hAnsi="宋体"/>
                <w:szCs w:val="21"/>
              </w:rPr>
            </w:pPr>
            <w:r>
              <w:rPr>
                <w:rFonts w:hint="eastAsia" w:ascii="宋体" w:hAnsi="宋体"/>
                <w:szCs w:val="21"/>
              </w:rPr>
              <w:t>代理机构</w:t>
            </w:r>
          </w:p>
        </w:tc>
        <w:tc>
          <w:tcPr>
            <w:tcW w:w="7442" w:type="dxa"/>
            <w:noWrap w:val="0"/>
            <w:vAlign w:val="center"/>
          </w:tcPr>
          <w:p>
            <w:pPr>
              <w:spacing w:line="400" w:lineRule="exact"/>
              <w:ind w:firstLine="420"/>
              <w:rPr>
                <w:rFonts w:ascii="宋体" w:hAnsi="宋体"/>
                <w:szCs w:val="21"/>
              </w:rPr>
            </w:pPr>
            <w:r>
              <w:rPr>
                <w:rFonts w:hint="eastAsia" w:ascii="宋体" w:hAnsi="宋体"/>
                <w:szCs w:val="21"/>
              </w:rPr>
              <w:t>1）单位名称：靖远县政府采购中心</w:t>
            </w:r>
          </w:p>
          <w:p>
            <w:pPr>
              <w:spacing w:line="400" w:lineRule="exact"/>
              <w:ind w:firstLine="420"/>
              <w:rPr>
                <w:rFonts w:ascii="宋体" w:hAnsi="宋体"/>
                <w:szCs w:val="21"/>
              </w:rPr>
            </w:pPr>
            <w:r>
              <w:rPr>
                <w:rFonts w:hint="eastAsia" w:ascii="宋体" w:hAnsi="宋体"/>
                <w:szCs w:val="21"/>
              </w:rPr>
              <w:t>2）联 系 人：</w:t>
            </w:r>
            <w:r>
              <w:rPr>
                <w:rFonts w:hint="eastAsia" w:ascii="宋体" w:hAnsi="宋体"/>
                <w:szCs w:val="21"/>
                <w:lang w:eastAsia="zh-CN"/>
              </w:rPr>
              <w:t>杨磊</w:t>
            </w:r>
          </w:p>
          <w:p>
            <w:pPr>
              <w:tabs>
                <w:tab w:val="left" w:pos="240"/>
              </w:tabs>
              <w:spacing w:line="400" w:lineRule="exact"/>
              <w:ind w:firstLine="420"/>
              <w:rPr>
                <w:rFonts w:ascii="宋体" w:hAnsi="宋体"/>
                <w:szCs w:val="21"/>
              </w:rPr>
            </w:pPr>
            <w:r>
              <w:rPr>
                <w:rFonts w:hint="eastAsia" w:ascii="宋体" w:hAnsi="宋体"/>
                <w:szCs w:val="21"/>
              </w:rPr>
              <w:t>3）联系电话</w:t>
            </w:r>
            <w:r>
              <w:rPr>
                <w:rFonts w:ascii="宋体" w:hAnsi="宋体"/>
                <w:szCs w:val="21"/>
              </w:rPr>
              <w:t>：</w:t>
            </w:r>
            <w:r>
              <w:rPr>
                <w:rFonts w:hint="eastAsia" w:ascii="宋体" w:hAnsi="宋体"/>
                <w:szCs w:val="21"/>
              </w:rPr>
              <w:t>0943-6120764</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2.4</w:t>
            </w:r>
          </w:p>
        </w:tc>
        <w:tc>
          <w:tcPr>
            <w:tcW w:w="1418" w:type="dxa"/>
            <w:noWrap w:val="0"/>
            <w:vAlign w:val="center"/>
          </w:tcPr>
          <w:p>
            <w:pPr>
              <w:spacing w:line="420" w:lineRule="exact"/>
              <w:ind w:firstLine="0" w:firstLineChars="0"/>
              <w:jc w:val="center"/>
              <w:rPr>
                <w:rFonts w:ascii="宋体" w:hAnsi="宋体"/>
                <w:szCs w:val="21"/>
              </w:rPr>
            </w:pPr>
            <w:r>
              <w:rPr>
                <w:rFonts w:hint="eastAsia" w:ascii="宋体" w:hAnsi="宋体"/>
                <w:szCs w:val="21"/>
              </w:rPr>
              <w:t>付款方式</w:t>
            </w:r>
          </w:p>
        </w:tc>
        <w:tc>
          <w:tcPr>
            <w:tcW w:w="7442" w:type="dxa"/>
            <w:noWrap w:val="0"/>
            <w:vAlign w:val="center"/>
          </w:tcPr>
          <w:p>
            <w:pPr>
              <w:spacing w:line="420" w:lineRule="exact"/>
              <w:ind w:firstLine="420"/>
              <w:rPr>
                <w:rFonts w:ascii="宋体" w:hAnsi="宋体"/>
                <w:szCs w:val="21"/>
              </w:rPr>
            </w:pPr>
            <w:r>
              <w:rPr>
                <w:rFonts w:hint="eastAsia" w:ascii="宋体" w:hAnsi="宋体" w:cs="宋体"/>
                <w:szCs w:val="21"/>
              </w:rPr>
              <w:t>供需双方在合同中约定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2.5</w:t>
            </w:r>
          </w:p>
        </w:tc>
        <w:tc>
          <w:tcPr>
            <w:tcW w:w="1418" w:type="dxa"/>
            <w:noWrap w:val="0"/>
            <w:vAlign w:val="center"/>
          </w:tcPr>
          <w:p>
            <w:pPr>
              <w:spacing w:line="440" w:lineRule="exact"/>
              <w:ind w:firstLine="0" w:firstLineChars="0"/>
              <w:jc w:val="center"/>
              <w:rPr>
                <w:rFonts w:hint="eastAsia" w:ascii="宋体" w:hAnsi="宋体"/>
                <w:szCs w:val="21"/>
              </w:rPr>
            </w:pPr>
            <w:r>
              <w:rPr>
                <w:rFonts w:ascii="宋体" w:hAnsi="宋体"/>
                <w:szCs w:val="21"/>
              </w:rPr>
              <w:t>投标人资</w:t>
            </w:r>
            <w:r>
              <w:rPr>
                <w:rFonts w:hint="eastAsia" w:ascii="宋体" w:hAnsi="宋体"/>
                <w:szCs w:val="21"/>
              </w:rPr>
              <w:t>质文件要求：</w:t>
            </w:r>
          </w:p>
          <w:p>
            <w:pPr>
              <w:spacing w:line="440" w:lineRule="exact"/>
              <w:ind w:firstLine="0" w:firstLineChars="0"/>
              <w:jc w:val="center"/>
              <w:rPr>
                <w:rFonts w:ascii="宋体" w:hAnsi="宋体"/>
                <w:szCs w:val="21"/>
              </w:rPr>
            </w:pPr>
            <w:r>
              <w:rPr>
                <w:rFonts w:hint="eastAsia" w:ascii="宋体" w:hAnsi="宋体"/>
                <w:szCs w:val="21"/>
              </w:rPr>
              <w:t>（未做说明的资料复印件加盖鲜章，原件携带备查。)</w:t>
            </w:r>
          </w:p>
        </w:tc>
        <w:tc>
          <w:tcPr>
            <w:tcW w:w="7442" w:type="dxa"/>
            <w:noWrap w:val="0"/>
            <w:vAlign w:val="center"/>
          </w:tcPr>
          <w:p>
            <w:pPr>
              <w:ind w:firstLine="420"/>
            </w:pPr>
            <w:r>
              <w:rPr>
                <w:rFonts w:hint="eastAsia"/>
              </w:rPr>
              <w:t>1）符合《政府采购法》第二十二条规定；</w:t>
            </w:r>
          </w:p>
          <w:p>
            <w:pPr>
              <w:ind w:firstLine="420"/>
            </w:pPr>
            <w:r>
              <w:rPr>
                <w:rFonts w:hint="eastAsia"/>
              </w:rPr>
              <w:t>2）提供营业执照、税务登记证、组织机构代码证副本或具有统一社会信用代码的营业执照副本（复印件加盖鲜章，原件携带备查）；</w:t>
            </w:r>
          </w:p>
          <w:p>
            <w:pPr>
              <w:ind w:firstLine="420"/>
              <w:rPr>
                <w:rFonts w:hint="eastAsia" w:eastAsia="宋体"/>
                <w:lang w:eastAsia="zh-CN"/>
              </w:rPr>
            </w:pPr>
            <w:r>
              <w:rPr>
                <w:rFonts w:hint="eastAsia"/>
              </w:rPr>
              <w:t>3）法定代表人资格证明（原件）、身份证（正、反面复印件）（法定代表人参与投标时提供）（1式2份 1份装入投标文件正本，1份带至开标现场）</w:t>
            </w:r>
            <w:r>
              <w:rPr>
                <w:rFonts w:hint="eastAsia"/>
                <w:lang w:eastAsia="zh-CN"/>
              </w:rPr>
              <w:t>；</w:t>
            </w:r>
          </w:p>
          <w:p>
            <w:pPr>
              <w:ind w:firstLine="420"/>
              <w:rPr>
                <w:rFonts w:hint="eastAsia" w:eastAsia="宋体"/>
                <w:lang w:eastAsia="zh-CN"/>
              </w:rPr>
            </w:pPr>
            <w:r>
              <w:rPr>
                <w:rFonts w:hint="eastAsia"/>
              </w:rPr>
              <w:t>4）法人授权函（原件）及被授权人身份证（正、反面复印件）（非法定代表人参与投标时提供）（1式2份 1份装入投标文件正本，1份带至开标现场）</w:t>
            </w:r>
            <w:r>
              <w:rPr>
                <w:rFonts w:hint="eastAsia"/>
                <w:lang w:eastAsia="zh-CN"/>
              </w:rPr>
              <w:t>；</w:t>
            </w:r>
          </w:p>
          <w:p>
            <w:pPr>
              <w:ind w:firstLine="420"/>
              <w:rPr>
                <w:rFonts w:hint="eastAsia" w:eastAsia="宋体"/>
                <w:color w:val="000000"/>
                <w:lang w:eastAsia="zh-CN"/>
              </w:rPr>
            </w:pPr>
            <w:r>
              <w:rPr>
                <w:rFonts w:hint="eastAsia"/>
                <w:color w:val="000000"/>
              </w:rPr>
              <w:t>5）提供</w:t>
            </w:r>
            <w:r>
              <w:rPr>
                <w:rFonts w:hint="eastAsia"/>
                <w:color w:val="000000"/>
                <w:lang w:val="en-US" w:eastAsia="zh-CN"/>
              </w:rPr>
              <w:t>2018年度财务审计报告（新成立公司提供资信证明）、近三个月依法缴纳税收和社会保障资金的相关证明材料</w:t>
            </w:r>
            <w:r>
              <w:rPr>
                <w:rFonts w:hint="eastAsia"/>
                <w:color w:val="000000"/>
                <w:lang w:eastAsia="zh-CN"/>
              </w:rPr>
              <w:t>；</w:t>
            </w:r>
          </w:p>
          <w:p>
            <w:pPr>
              <w:ind w:firstLine="420"/>
              <w:rPr>
                <w:rFonts w:hint="eastAsia" w:eastAsia="宋体"/>
                <w:color w:val="000000"/>
                <w:lang w:eastAsia="zh-CN"/>
              </w:rPr>
            </w:pPr>
            <w:r>
              <w:rPr>
                <w:rFonts w:hint="eastAsia"/>
                <w:color w:val="000000"/>
              </w:rPr>
              <w:t>6）供应商须提供参加政府采购活动前3年内（或公司成立之日起）在经营活动中没有重大违法记录的书面声明原件</w:t>
            </w:r>
            <w:r>
              <w:rPr>
                <w:rFonts w:hint="eastAsia"/>
                <w:color w:val="000000"/>
                <w:lang w:eastAsia="zh-CN"/>
              </w:rPr>
              <w:t>；</w:t>
            </w:r>
          </w:p>
          <w:p>
            <w:pPr>
              <w:ind w:firstLine="420"/>
              <w:rPr>
                <w:rFonts w:hint="eastAsia" w:eastAsia="宋体"/>
                <w:color w:val="000000"/>
                <w:lang w:eastAsia="zh-CN"/>
              </w:rPr>
            </w:pPr>
            <w:r>
              <w:rPr>
                <w:rFonts w:hint="eastAsia"/>
                <w:color w:val="000000"/>
                <w:lang w:val="en-US" w:eastAsia="zh-CN"/>
              </w:rPr>
              <w:t>7）</w:t>
            </w:r>
            <w:r>
              <w:rPr>
                <w:rFonts w:hint="eastAsia"/>
                <w:color w:val="000000"/>
              </w:rPr>
              <w:t>提供基本开户银行开户许可证</w:t>
            </w:r>
            <w:r>
              <w:rPr>
                <w:rFonts w:hint="eastAsia"/>
                <w:color w:val="000000"/>
                <w:lang w:eastAsia="zh-CN"/>
              </w:rPr>
              <w:t>；</w:t>
            </w:r>
          </w:p>
          <w:p>
            <w:pPr>
              <w:pStyle w:val="2"/>
              <w:ind w:left="0" w:leftChars="0" w:firstLine="420" w:firstLineChars="200"/>
              <w:rPr>
                <w:rFonts w:hint="eastAsia"/>
              </w:rPr>
            </w:pPr>
            <w:r>
              <w:rPr>
                <w:rFonts w:hint="eastAsia"/>
                <w:color w:val="000000"/>
                <w:lang w:val="en-US" w:eastAsia="zh-CN"/>
              </w:rPr>
              <w:t>8）投标单位须具备城市及道路照明工程专业施工安装叁级以上（含叁级）资质证书及安全生产许可证；</w:t>
            </w:r>
          </w:p>
          <w:p>
            <w:pPr>
              <w:ind w:firstLine="420"/>
              <w:rPr>
                <w:rFonts w:hint="eastAsia"/>
                <w:lang w:val="en-US" w:eastAsia="zh-CN"/>
              </w:rPr>
            </w:pPr>
            <w:r>
              <w:rPr>
                <w:rFonts w:hint="eastAsia"/>
                <w:lang w:val="en-US" w:eastAsia="zh-CN"/>
              </w:rPr>
              <w:t>9）投标供应商须为未被列入“信用中国”网站(www.creditchina.gov.cn) 记录失信被执行人或“重大税收违法案件当事人名单或政府采购严重违法失信行为”记录名单；不处于中国政府采购网(www.ccgp.gov.cn)政府采购严 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w:t>
            </w:r>
          </w:p>
          <w:p>
            <w:pPr>
              <w:ind w:firstLine="420"/>
            </w:pPr>
            <w:r>
              <w:rPr>
                <w:rFonts w:hint="eastAsia"/>
                <w:lang w:val="en-US" w:eastAsia="zh-CN"/>
              </w:rPr>
              <w:t>10</w:t>
            </w:r>
            <w:r>
              <w:rPr>
                <w:rFonts w:hint="eastAsia"/>
              </w:rPr>
              <w:t>）本项目不接受联合体投标。（以是否提交联合体协议为审查依据）</w:t>
            </w:r>
          </w:p>
          <w:p>
            <w:pPr>
              <w:ind w:firstLine="422"/>
              <w:rPr>
                <w:b/>
              </w:rPr>
            </w:pPr>
            <w:r>
              <w:rPr>
                <w:rFonts w:hint="eastAsia"/>
                <w:b/>
              </w:rPr>
              <w:t>以上条款为所有投标项目必须提供的文件，其中2</w:t>
            </w:r>
            <w:r>
              <w:rPr>
                <w:rFonts w:hint="eastAsia"/>
                <w:b/>
                <w:lang w:eastAsia="zh-CN"/>
              </w:rPr>
              <w:t>）、</w:t>
            </w:r>
            <w:r>
              <w:rPr>
                <w:rFonts w:hint="eastAsia"/>
                <w:b/>
                <w:lang w:val="en-US" w:eastAsia="zh-CN"/>
              </w:rPr>
              <w:t>8</w:t>
            </w:r>
            <w:r>
              <w:rPr>
                <w:rFonts w:hint="eastAsia"/>
                <w:b/>
              </w:rPr>
              <w:t>）必须提供原件且在有效期内，所有证书复印件必须加盖投标人公章。证书未按规定年检、复审或未按上述要求制作标书的，将视为无效投标。</w:t>
            </w:r>
            <w:bookmarkStart w:id="527" w:name="_GoBack"/>
            <w:bookmarkEnd w:id="527"/>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2.6</w:t>
            </w:r>
          </w:p>
        </w:tc>
        <w:tc>
          <w:tcPr>
            <w:tcW w:w="1418" w:type="dxa"/>
            <w:noWrap w:val="0"/>
            <w:vAlign w:val="center"/>
          </w:tcPr>
          <w:p>
            <w:pPr>
              <w:spacing w:line="400" w:lineRule="exact"/>
              <w:ind w:firstLine="0" w:firstLineChars="0"/>
              <w:jc w:val="center"/>
              <w:rPr>
                <w:rFonts w:ascii="宋体" w:hAnsi="宋体"/>
                <w:szCs w:val="21"/>
              </w:rPr>
            </w:pPr>
            <w:r>
              <w:rPr>
                <w:rFonts w:hint="eastAsia" w:ascii="宋体" w:hAnsi="宋体"/>
                <w:szCs w:val="21"/>
              </w:rPr>
              <w:t>投标文件递交截止时间</w:t>
            </w:r>
          </w:p>
        </w:tc>
        <w:tc>
          <w:tcPr>
            <w:tcW w:w="7442" w:type="dxa"/>
            <w:noWrap w:val="0"/>
            <w:vAlign w:val="center"/>
          </w:tcPr>
          <w:p>
            <w:pPr>
              <w:spacing w:line="400" w:lineRule="exact"/>
              <w:ind w:firstLine="199" w:firstLineChars="95"/>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szCs w:val="21"/>
                <w:lang w:val="en-US" w:eastAsia="zh-CN"/>
              </w:rPr>
              <w:t>9</w:t>
            </w:r>
            <w:r>
              <w:rPr>
                <w:rFonts w:hint="eastAsia" w:ascii="宋体" w:hAnsi="宋体"/>
                <w:szCs w:val="21"/>
              </w:rPr>
              <w:t>时</w:t>
            </w:r>
            <w:r>
              <w:rPr>
                <w:rFonts w:hint="eastAsia" w:ascii="宋体" w:hAnsi="宋体"/>
                <w:szCs w:val="21"/>
                <w:lang w:val="en-US" w:eastAsia="zh-CN"/>
              </w:rPr>
              <w:t>00</w:t>
            </w:r>
            <w:r>
              <w:rPr>
                <w:rFonts w:hint="eastAsia" w:ascii="宋体" w:hAnsi="宋体"/>
                <w:szCs w:val="21"/>
              </w:rPr>
              <w:t>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2.7</w:t>
            </w:r>
          </w:p>
        </w:tc>
        <w:tc>
          <w:tcPr>
            <w:tcW w:w="1418" w:type="dxa"/>
            <w:noWrap w:val="0"/>
            <w:vAlign w:val="center"/>
          </w:tcPr>
          <w:p>
            <w:pPr>
              <w:spacing w:line="400" w:lineRule="exact"/>
              <w:ind w:firstLine="0" w:firstLineChars="0"/>
              <w:jc w:val="center"/>
              <w:rPr>
                <w:rFonts w:ascii="宋体" w:hAnsi="宋体"/>
                <w:szCs w:val="21"/>
              </w:rPr>
            </w:pPr>
            <w:r>
              <w:rPr>
                <w:rFonts w:hint="eastAsia" w:ascii="宋体" w:hAnsi="宋体" w:cs="宋体"/>
                <w:szCs w:val="21"/>
              </w:rPr>
              <w:t>交货时间</w:t>
            </w:r>
          </w:p>
        </w:tc>
        <w:tc>
          <w:tcPr>
            <w:tcW w:w="7442" w:type="dxa"/>
            <w:noWrap w:val="0"/>
            <w:vAlign w:val="center"/>
          </w:tcPr>
          <w:p>
            <w:pPr>
              <w:spacing w:line="400" w:lineRule="exact"/>
              <w:ind w:firstLine="0" w:firstLineChars="0"/>
              <w:rPr>
                <w:rFonts w:ascii="宋体" w:hAnsi="宋体"/>
                <w:szCs w:val="21"/>
              </w:rPr>
            </w:pPr>
            <w:r>
              <w:rPr>
                <w:rFonts w:hint="eastAsia" w:ascii="宋体" w:hAnsi="宋体" w:cs="宋体"/>
                <w:szCs w:val="21"/>
              </w:rPr>
              <w:t>按合同签订时间</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2.8</w:t>
            </w:r>
          </w:p>
        </w:tc>
        <w:tc>
          <w:tcPr>
            <w:tcW w:w="1418" w:type="dxa"/>
            <w:noWrap w:val="0"/>
            <w:vAlign w:val="center"/>
          </w:tcPr>
          <w:p>
            <w:pPr>
              <w:spacing w:line="400" w:lineRule="exact"/>
              <w:ind w:firstLine="0" w:firstLineChars="0"/>
              <w:jc w:val="center"/>
              <w:rPr>
                <w:rFonts w:ascii="宋体" w:hAnsi="宋体"/>
                <w:szCs w:val="21"/>
              </w:rPr>
            </w:pPr>
            <w:r>
              <w:rPr>
                <w:rFonts w:ascii="宋体" w:hAnsi="宋体"/>
                <w:szCs w:val="21"/>
              </w:rPr>
              <w:t>投标有效期</w:t>
            </w:r>
          </w:p>
        </w:tc>
        <w:tc>
          <w:tcPr>
            <w:tcW w:w="7442" w:type="dxa"/>
            <w:noWrap w:val="0"/>
            <w:vAlign w:val="center"/>
          </w:tcPr>
          <w:p>
            <w:pPr>
              <w:spacing w:line="400" w:lineRule="exact"/>
              <w:ind w:firstLine="420"/>
              <w:rPr>
                <w:rFonts w:ascii="宋体" w:hAnsi="宋体"/>
                <w:szCs w:val="21"/>
              </w:rPr>
            </w:pPr>
            <w:r>
              <w:rPr>
                <w:rFonts w:hint="eastAsia" w:ascii="宋体" w:hAnsi="宋体"/>
                <w:szCs w:val="21"/>
                <w:u w:val="single"/>
              </w:rPr>
              <w:t>60</w:t>
            </w:r>
            <w:r>
              <w:rPr>
                <w:rFonts w:ascii="宋体" w:hAnsi="宋体"/>
                <w:szCs w:val="21"/>
              </w:rPr>
              <w:t>天</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2.9</w:t>
            </w:r>
          </w:p>
        </w:tc>
        <w:tc>
          <w:tcPr>
            <w:tcW w:w="1418" w:type="dxa"/>
            <w:noWrap w:val="0"/>
            <w:vAlign w:val="center"/>
          </w:tcPr>
          <w:p>
            <w:pPr>
              <w:spacing w:line="440" w:lineRule="exact"/>
              <w:ind w:firstLine="0" w:firstLineChars="0"/>
              <w:jc w:val="center"/>
              <w:rPr>
                <w:rFonts w:ascii="宋体" w:hAnsi="宋体"/>
                <w:szCs w:val="21"/>
              </w:rPr>
            </w:pPr>
            <w:r>
              <w:rPr>
                <w:rFonts w:ascii="宋体" w:hAnsi="宋体"/>
                <w:szCs w:val="21"/>
              </w:rPr>
              <w:t>投标保证金数额</w:t>
            </w:r>
            <w:r>
              <w:rPr>
                <w:rFonts w:hint="eastAsia" w:ascii="宋体" w:hAnsi="宋体"/>
                <w:szCs w:val="21"/>
              </w:rPr>
              <w:t>及交纳方式</w:t>
            </w:r>
          </w:p>
        </w:tc>
        <w:tc>
          <w:tcPr>
            <w:tcW w:w="7442" w:type="dxa"/>
            <w:noWrap w:val="0"/>
            <w:vAlign w:val="center"/>
          </w:tcPr>
          <w:p>
            <w:pPr>
              <w:spacing w:line="440" w:lineRule="exact"/>
              <w:ind w:firstLine="420"/>
              <w:rPr>
                <w:rFonts w:hint="eastAsia" w:ascii="宋体" w:hAnsi="宋体"/>
                <w:szCs w:val="21"/>
              </w:rPr>
            </w:pPr>
            <w:r>
              <w:rPr>
                <w:rFonts w:hint="eastAsia" w:ascii="宋体" w:hAnsi="宋体"/>
                <w:szCs w:val="21"/>
              </w:rPr>
              <w:t>投标保证金数额及交纳方式：</w:t>
            </w:r>
          </w:p>
          <w:p>
            <w:pPr>
              <w:spacing w:line="440" w:lineRule="exact"/>
              <w:ind w:firstLine="420"/>
              <w:rPr>
                <w:rFonts w:hint="eastAsia" w:ascii="宋体" w:hAnsi="宋体"/>
                <w:szCs w:val="21"/>
              </w:rPr>
            </w:pPr>
            <w:r>
              <w:rPr>
                <w:rFonts w:hint="eastAsia" w:ascii="宋体" w:hAnsi="宋体"/>
                <w:szCs w:val="21"/>
              </w:rPr>
              <w:t>供应商应于开标前将小写</w:t>
            </w:r>
            <w:r>
              <w:rPr>
                <w:rFonts w:hint="eastAsia" w:ascii="宋体" w:hAnsi="宋体"/>
                <w:b/>
                <w:bCs/>
                <w:szCs w:val="21"/>
              </w:rPr>
              <w:t>¥：</w:t>
            </w:r>
            <w:r>
              <w:rPr>
                <w:rFonts w:hint="eastAsia" w:ascii="宋体" w:hAnsi="宋体"/>
                <w:b/>
                <w:bCs/>
                <w:szCs w:val="21"/>
                <w:lang w:val="en-US" w:eastAsia="zh-CN"/>
              </w:rPr>
              <w:t>5</w:t>
            </w:r>
            <w:r>
              <w:rPr>
                <w:rFonts w:hint="eastAsia" w:ascii="宋体" w:hAnsi="宋体"/>
                <w:b/>
                <w:bCs/>
                <w:szCs w:val="21"/>
              </w:rPr>
              <w:t>000.00元（大写：</w:t>
            </w:r>
            <w:r>
              <w:rPr>
                <w:rFonts w:hint="eastAsia" w:ascii="宋体" w:hAnsi="宋体"/>
                <w:b/>
                <w:bCs/>
                <w:szCs w:val="21"/>
                <w:lang w:eastAsia="zh-CN"/>
              </w:rPr>
              <w:t>伍</w:t>
            </w:r>
            <w:r>
              <w:rPr>
                <w:rFonts w:hint="eastAsia" w:ascii="宋体" w:hAnsi="宋体"/>
                <w:b/>
                <w:bCs/>
                <w:szCs w:val="21"/>
              </w:rPr>
              <w:t>仟元整）</w:t>
            </w:r>
            <w:r>
              <w:rPr>
                <w:rFonts w:hint="eastAsia" w:ascii="宋体" w:hAnsi="宋体"/>
                <w:szCs w:val="21"/>
              </w:rPr>
              <w:t>投标保证金进账到靖远县政府采购中心指定的以下账号。（供应商须要求银行在转帐时注明供应商名称、投标项目编号，否则视为无效标）。不得由供应商以外的其他供应商或个人代替供应商交纳投标保证金，不接受现金缴纳,否则视为无效投标保证金，其投标文件将被拒绝。</w:t>
            </w:r>
          </w:p>
          <w:p>
            <w:pPr>
              <w:spacing w:line="440" w:lineRule="exact"/>
              <w:ind w:firstLine="420"/>
              <w:rPr>
                <w:rFonts w:hint="eastAsia" w:ascii="宋体" w:hAnsi="宋体"/>
                <w:szCs w:val="21"/>
              </w:rPr>
            </w:pPr>
            <w:r>
              <w:rPr>
                <w:rFonts w:hint="eastAsia" w:ascii="宋体" w:hAnsi="宋体"/>
                <w:szCs w:val="21"/>
              </w:rPr>
              <w:t xml:space="preserve">  同时投标人须提交本项目投标保证金进帐单或电汇凭证等银行证明文件（开户许可证）复印件2份并加盖鲜章，1份装入投标文件正本，1份带至开标现场,否则视为无效投标。</w:t>
            </w:r>
          </w:p>
          <w:p>
            <w:pPr>
              <w:spacing w:line="440" w:lineRule="exact"/>
              <w:ind w:firstLine="420"/>
              <w:rPr>
                <w:rFonts w:ascii="宋体" w:hAnsi="宋体"/>
                <w:szCs w:val="21"/>
              </w:rPr>
            </w:pPr>
            <w:r>
              <w:rPr>
                <w:rFonts w:hint="eastAsia" w:ascii="宋体" w:hAnsi="宋体"/>
                <w:szCs w:val="21"/>
              </w:rPr>
              <w:t xml:space="preserve">（开户名称：靖远县财政局政府非税收入汇缴专户，开户行：中国农业银行股份有限公司靖远县支行，账号:27394101040010050）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2.10</w:t>
            </w:r>
          </w:p>
        </w:tc>
        <w:tc>
          <w:tcPr>
            <w:tcW w:w="1418" w:type="dxa"/>
            <w:noWrap w:val="0"/>
            <w:vAlign w:val="center"/>
          </w:tcPr>
          <w:p>
            <w:pPr>
              <w:spacing w:line="400" w:lineRule="exact"/>
              <w:ind w:firstLine="0" w:firstLineChars="0"/>
              <w:jc w:val="center"/>
              <w:rPr>
                <w:rFonts w:ascii="宋体" w:hAnsi="宋体"/>
                <w:szCs w:val="21"/>
              </w:rPr>
            </w:pPr>
            <w:r>
              <w:rPr>
                <w:rFonts w:hint="eastAsia" w:ascii="宋体" w:hAnsi="宋体"/>
                <w:szCs w:val="21"/>
              </w:rPr>
              <w:t>投标文件的份数</w:t>
            </w:r>
          </w:p>
        </w:tc>
        <w:tc>
          <w:tcPr>
            <w:tcW w:w="7442" w:type="dxa"/>
            <w:noWrap w:val="0"/>
            <w:vAlign w:val="center"/>
          </w:tcPr>
          <w:p>
            <w:pPr>
              <w:tabs>
                <w:tab w:val="left" w:pos="170"/>
                <w:tab w:val="left" w:pos="1200"/>
              </w:tabs>
              <w:spacing w:line="400" w:lineRule="exact"/>
              <w:ind w:firstLine="420"/>
              <w:rPr>
                <w:rFonts w:ascii="宋体" w:hAnsi="宋体"/>
                <w:szCs w:val="21"/>
              </w:rPr>
            </w:pPr>
            <w:r>
              <w:rPr>
                <w:rFonts w:hint="eastAsia" w:ascii="宋体" w:hAnsi="宋体"/>
                <w:szCs w:val="21"/>
              </w:rPr>
              <w:t>1、投标文件份数：制作投标文件正本</w:t>
            </w:r>
            <w:r>
              <w:rPr>
                <w:rFonts w:ascii="宋体" w:hAnsi="宋体"/>
                <w:szCs w:val="21"/>
                <w:u w:val="single"/>
              </w:rPr>
              <w:t xml:space="preserve"> 1 </w:t>
            </w:r>
            <w:r>
              <w:rPr>
                <w:rFonts w:hint="eastAsia" w:ascii="宋体" w:hAnsi="宋体"/>
                <w:szCs w:val="21"/>
              </w:rPr>
              <w:t>份，副本</w:t>
            </w:r>
            <w:r>
              <w:rPr>
                <w:rFonts w:hint="eastAsia" w:ascii="宋体" w:hAnsi="宋体"/>
                <w:szCs w:val="21"/>
                <w:u w:val="single"/>
              </w:rPr>
              <w:t>2</w:t>
            </w:r>
            <w:r>
              <w:rPr>
                <w:rFonts w:hint="eastAsia" w:ascii="宋体" w:hAnsi="宋体"/>
                <w:szCs w:val="21"/>
              </w:rPr>
              <w:t>份,电子版</w:t>
            </w:r>
            <w:r>
              <w:rPr>
                <w:rFonts w:hint="eastAsia" w:ascii="宋体" w:hAnsi="宋体"/>
                <w:szCs w:val="21"/>
                <w:u w:val="single"/>
              </w:rPr>
              <w:t xml:space="preserve"> 1</w:t>
            </w:r>
            <w:r>
              <w:rPr>
                <w:rFonts w:hint="eastAsia" w:ascii="宋体" w:hAnsi="宋体"/>
                <w:szCs w:val="21"/>
              </w:rPr>
              <w:t>份Word版本</w:t>
            </w:r>
            <w:r>
              <w:rPr>
                <w:rFonts w:hint="eastAsia" w:ascii="宋体" w:hAnsi="宋体"/>
                <w:b/>
                <w:bCs/>
                <w:szCs w:val="21"/>
              </w:rPr>
              <w:t>（用U盘Word版，便于中标后发布公告）</w:t>
            </w:r>
            <w:r>
              <w:rPr>
                <w:rFonts w:hint="eastAsia" w:ascii="宋体" w:hAnsi="宋体"/>
                <w:szCs w:val="21"/>
              </w:rPr>
              <w:t>。(有分包按分包制作、无分包按整包制作)。</w:t>
            </w:r>
          </w:p>
          <w:p>
            <w:pPr>
              <w:tabs>
                <w:tab w:val="left" w:pos="170"/>
                <w:tab w:val="left" w:pos="1200"/>
              </w:tabs>
              <w:spacing w:line="400" w:lineRule="exact"/>
              <w:ind w:firstLine="420"/>
              <w:rPr>
                <w:rFonts w:ascii="宋体" w:hAnsi="宋体"/>
                <w:szCs w:val="21"/>
              </w:rPr>
            </w:pPr>
            <w:r>
              <w:rPr>
                <w:rFonts w:hint="eastAsia" w:ascii="宋体" w:hAnsi="宋体"/>
                <w:szCs w:val="21"/>
              </w:rPr>
              <w:t>2、投标文件须建立清晰目录并胶装成册（正本、副本、电子版单独密封）。</w:t>
            </w:r>
          </w:p>
          <w:p>
            <w:pPr>
              <w:spacing w:line="400" w:lineRule="exact"/>
              <w:ind w:firstLine="420"/>
              <w:rPr>
                <w:rFonts w:ascii="宋体" w:hAnsi="宋体"/>
                <w:szCs w:val="21"/>
              </w:rPr>
            </w:pPr>
            <w:r>
              <w:rPr>
                <w:rFonts w:hint="eastAsia" w:ascii="宋体" w:hAnsi="宋体"/>
                <w:szCs w:val="21"/>
              </w:rPr>
              <w:t>未按该要求制作标书的，投标文件将被拒绝，对投标人产生的不利因素由其自行承担。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2.11</w:t>
            </w:r>
          </w:p>
        </w:tc>
        <w:tc>
          <w:tcPr>
            <w:tcW w:w="1418" w:type="dxa"/>
            <w:noWrap w:val="0"/>
            <w:vAlign w:val="center"/>
          </w:tcPr>
          <w:p>
            <w:pPr>
              <w:spacing w:line="400" w:lineRule="exact"/>
              <w:ind w:firstLine="0" w:firstLineChars="0"/>
              <w:jc w:val="center"/>
              <w:rPr>
                <w:rFonts w:ascii="宋体" w:hAnsi="宋体"/>
                <w:szCs w:val="21"/>
              </w:rPr>
            </w:pPr>
            <w:r>
              <w:rPr>
                <w:rFonts w:hint="eastAsia" w:ascii="宋体" w:hAnsi="宋体"/>
                <w:szCs w:val="21"/>
              </w:rPr>
              <w:t>是否接受联合体投标</w:t>
            </w:r>
          </w:p>
        </w:tc>
        <w:tc>
          <w:tcPr>
            <w:tcW w:w="7442" w:type="dxa"/>
            <w:noWrap w:val="0"/>
            <w:vAlign w:val="center"/>
          </w:tcPr>
          <w:p>
            <w:pPr>
              <w:spacing w:line="400" w:lineRule="exact"/>
              <w:ind w:firstLine="420"/>
              <w:rPr>
                <w:rFonts w:ascii="宋体" w:hAnsi="宋体"/>
                <w:szCs w:val="21"/>
              </w:rPr>
            </w:pPr>
            <w:r>
              <w:rPr>
                <w:rFonts w:ascii="宋体" w:hAnsi="宋体"/>
                <w:szCs w:val="21"/>
              </w:rPr>
              <w:object>
                <v:shape id="_x0000_i1025" o:spt="201" alt="" type="#_x0000_t201" style="height:15.75pt;width:11.25pt;" o:ole="t" filled="f" o:preferrelative="t" stroked="f" coordsize="21600,21600">
                  <v:path/>
                  <v:fill on="f" focussize="0,0"/>
                  <v:stroke on="f"/>
                  <v:imagedata r:id="rId10" o:title=""/>
                  <o:lock v:ext="edit" aspectratio="t"/>
                  <w10:wrap type="none"/>
                  <w10:anchorlock/>
                </v:shape>
                <w:control r:id="rId9" w:name="CheckBox1" w:shapeid="_x0000_i1025"/>
              </w:object>
            </w:r>
            <w:r>
              <w:rPr>
                <w:rFonts w:hint="eastAsia" w:ascii="宋体" w:hAnsi="宋体"/>
                <w:szCs w:val="21"/>
              </w:rPr>
              <w:t xml:space="preserve">  不接受 </w:t>
            </w:r>
          </w:p>
          <w:p>
            <w:pPr>
              <w:spacing w:line="400" w:lineRule="exact"/>
              <w:ind w:firstLine="420"/>
              <w:rPr>
                <w:rFonts w:ascii="宋体" w:hAnsi="宋体"/>
                <w:szCs w:val="21"/>
              </w:rPr>
            </w:pPr>
            <w:r>
              <w:rPr>
                <w:rFonts w:ascii="宋体" w:hAnsi="宋体"/>
                <w:szCs w:val="21"/>
              </w:rPr>
              <w:object>
                <v:shape id="_x0000_i1026" o:spt="201" alt="" type="#_x0000_t201" style="height:15.75pt;width:11.25pt;" o:ole="t" filled="f" o:preferrelative="t" stroked="f" coordsize="21600,21600">
                  <v:path/>
                  <v:fill on="f" focussize="0,0"/>
                  <v:stroke on="f"/>
                  <v:imagedata r:id="rId12" o:title=""/>
                  <o:lock v:ext="edit" aspectratio="t"/>
                  <w10:wrap type="none"/>
                  <w10:anchorlock/>
                </v:shape>
                <w:control r:id="rId11" w:name="CheckBox11" w:shapeid="_x0000_i1026"/>
              </w:object>
            </w:r>
            <w:r>
              <w:rPr>
                <w:rFonts w:hint="eastAsia" w:ascii="宋体" w:hAnsi="宋体"/>
                <w:szCs w:val="21"/>
              </w:rPr>
              <w:t xml:space="preserve">  接受         应满足下列要求：</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2.12</w:t>
            </w:r>
          </w:p>
        </w:tc>
        <w:tc>
          <w:tcPr>
            <w:tcW w:w="1418" w:type="dxa"/>
            <w:noWrap w:val="0"/>
            <w:vAlign w:val="center"/>
          </w:tcPr>
          <w:p>
            <w:pPr>
              <w:spacing w:line="400" w:lineRule="exact"/>
              <w:ind w:firstLine="0" w:firstLineChars="0"/>
              <w:jc w:val="center"/>
              <w:rPr>
                <w:rFonts w:ascii="宋体" w:hAnsi="宋体"/>
                <w:szCs w:val="21"/>
              </w:rPr>
            </w:pPr>
            <w:r>
              <w:rPr>
                <w:rFonts w:hint="eastAsia" w:ascii="宋体" w:hAnsi="宋体"/>
                <w:szCs w:val="21"/>
              </w:rPr>
              <w:t>答疑会</w:t>
            </w:r>
          </w:p>
        </w:tc>
        <w:tc>
          <w:tcPr>
            <w:tcW w:w="7442" w:type="dxa"/>
            <w:noWrap w:val="0"/>
            <w:vAlign w:val="center"/>
          </w:tcPr>
          <w:p>
            <w:pPr>
              <w:spacing w:line="400" w:lineRule="exact"/>
              <w:ind w:firstLine="420"/>
              <w:rPr>
                <w:rFonts w:ascii="宋体" w:hAnsi="宋体"/>
                <w:szCs w:val="21"/>
              </w:rPr>
            </w:pPr>
            <w:r>
              <w:rPr>
                <w:rFonts w:ascii="宋体" w:hAnsi="宋体"/>
                <w:szCs w:val="21"/>
              </w:rPr>
              <w:object>
                <v:shape id="_x0000_i1027" o:spt="201" alt="" type="#_x0000_t201" style="height:15.75pt;width:11.25pt;" o:ole="t" filled="f" o:preferrelative="t" stroked="f" coordsize="21600,21600">
                  <v:path/>
                  <v:fill on="f" focussize="0,0"/>
                  <v:stroke on="f"/>
                  <v:imagedata r:id="rId14" o:title=""/>
                  <o:lock v:ext="edit" aspectratio="t"/>
                  <w10:wrap type="none"/>
                  <w10:anchorlock/>
                </v:shape>
                <w:control r:id="rId13" w:name="CheckBox131" w:shapeid="_x0000_i1027"/>
              </w:object>
            </w:r>
            <w:r>
              <w:rPr>
                <w:rFonts w:hint="eastAsia" w:ascii="宋体" w:hAnsi="宋体"/>
                <w:szCs w:val="21"/>
              </w:rPr>
              <w:t xml:space="preserve">  不召开</w:t>
            </w:r>
          </w:p>
          <w:p>
            <w:pPr>
              <w:spacing w:line="400" w:lineRule="exact"/>
              <w:ind w:firstLine="420"/>
              <w:rPr>
                <w:rFonts w:ascii="宋体" w:hAnsi="宋体"/>
                <w:szCs w:val="21"/>
              </w:rPr>
            </w:pPr>
            <w:r>
              <w:rPr>
                <w:rFonts w:ascii="宋体" w:hAnsi="宋体"/>
                <w:szCs w:val="21"/>
              </w:rPr>
              <w:object>
                <v:shape id="_x0000_i1028" o:spt="201" alt="" type="#_x0000_t201" style="height:15.75pt;width:11.25pt;" o:ole="t" filled="f" o:preferrelative="t" stroked="f" coordsize="21600,21600">
                  <v:path/>
                  <v:fill on="f" focussize="0,0"/>
                  <v:stroke on="f"/>
                  <v:imagedata r:id="rId16" o:title=""/>
                  <o:lock v:ext="edit" aspectratio="t"/>
                  <w10:wrap type="none"/>
                  <w10:anchorlock/>
                </v:shape>
                <w:control r:id="rId15" w:name="CheckBox132" w:shapeid="_x0000_i1028"/>
              </w:object>
            </w:r>
            <w:r>
              <w:rPr>
                <w:rFonts w:hint="eastAsia" w:ascii="宋体" w:hAnsi="宋体"/>
                <w:szCs w:val="21"/>
              </w:rPr>
              <w:t xml:space="preserve">  召开    召开时间:</w:t>
            </w:r>
          </w:p>
          <w:p>
            <w:pPr>
              <w:spacing w:line="400" w:lineRule="exact"/>
              <w:ind w:firstLine="1680" w:firstLineChars="800"/>
              <w:rPr>
                <w:rFonts w:ascii="宋体" w:hAnsi="宋体"/>
                <w:szCs w:val="21"/>
              </w:rPr>
            </w:pPr>
            <w:r>
              <w:rPr>
                <w:rFonts w:hint="eastAsia" w:ascii="宋体" w:hAnsi="宋体"/>
                <w:szCs w:val="21"/>
              </w:rPr>
              <w:t>召开地点:</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2.13</w:t>
            </w:r>
          </w:p>
        </w:tc>
        <w:tc>
          <w:tcPr>
            <w:tcW w:w="1418" w:type="dxa"/>
            <w:noWrap w:val="0"/>
            <w:vAlign w:val="center"/>
          </w:tcPr>
          <w:p>
            <w:pPr>
              <w:spacing w:line="400" w:lineRule="exact"/>
              <w:ind w:firstLine="0" w:firstLineChars="0"/>
              <w:jc w:val="center"/>
              <w:rPr>
                <w:rFonts w:ascii="宋体" w:hAnsi="宋体"/>
                <w:szCs w:val="21"/>
              </w:rPr>
            </w:pPr>
            <w:r>
              <w:rPr>
                <w:rFonts w:hint="eastAsia" w:ascii="宋体" w:hAnsi="宋体"/>
                <w:szCs w:val="21"/>
              </w:rPr>
              <w:t>现场</w:t>
            </w:r>
            <w:r>
              <w:rPr>
                <w:rFonts w:ascii="宋体" w:hAnsi="宋体"/>
                <w:szCs w:val="21"/>
              </w:rPr>
              <w:t>考察</w:t>
            </w:r>
          </w:p>
        </w:tc>
        <w:tc>
          <w:tcPr>
            <w:tcW w:w="7442" w:type="dxa"/>
            <w:noWrap w:val="0"/>
            <w:vAlign w:val="center"/>
          </w:tcPr>
          <w:p>
            <w:pPr>
              <w:spacing w:line="400" w:lineRule="exact"/>
              <w:ind w:firstLine="420"/>
              <w:rPr>
                <w:rFonts w:ascii="宋体" w:hAnsi="宋体"/>
                <w:szCs w:val="21"/>
              </w:rPr>
            </w:pPr>
            <w:r>
              <w:rPr>
                <w:rFonts w:ascii="宋体" w:hAnsi="宋体"/>
                <w:szCs w:val="21"/>
              </w:rPr>
              <w:object>
                <v:shape id="_x0000_i1029" o:spt="201" alt="" type="#_x0000_t201" style="height:15.75pt;width:11.25pt;" o:ole="t" filled="f" o:preferrelative="t" stroked="f" coordsize="21600,21600">
                  <v:path/>
                  <v:fill on="f" focussize="0,0"/>
                  <v:stroke on="f"/>
                  <v:imagedata r:id="rId18" o:title=""/>
                  <o:lock v:ext="edit" aspectratio="t"/>
                  <w10:wrap type="none"/>
                  <w10:anchorlock/>
                </v:shape>
                <w:control r:id="rId17" w:name="CheckBox12" w:shapeid="_x0000_i1029"/>
              </w:object>
            </w:r>
            <w:r>
              <w:rPr>
                <w:rFonts w:hint="eastAsia" w:ascii="宋体" w:hAnsi="宋体"/>
                <w:szCs w:val="21"/>
              </w:rPr>
              <w:t xml:space="preserve">  不组织</w:t>
            </w:r>
          </w:p>
          <w:p>
            <w:pPr>
              <w:spacing w:line="400" w:lineRule="exact"/>
              <w:ind w:firstLine="420"/>
              <w:rPr>
                <w:rFonts w:ascii="宋体" w:hAnsi="宋体"/>
                <w:szCs w:val="21"/>
              </w:rPr>
            </w:pPr>
            <w:r>
              <w:rPr>
                <w:rFonts w:ascii="宋体" w:hAnsi="宋体"/>
                <w:szCs w:val="21"/>
              </w:rPr>
              <w:object>
                <v:shape id="_x0000_i1030" o:spt="201" alt="" type="#_x0000_t201" style="height:15.75pt;width:11.25pt;" o:ole="t" filled="f" o:preferrelative="t" stroked="f" coordsize="21600,21600">
                  <v:path/>
                  <v:fill on="f" focussize="0,0"/>
                  <v:stroke on="f"/>
                  <v:imagedata r:id="rId20" o:title=""/>
                  <o:lock v:ext="edit" aspectratio="t"/>
                  <w10:wrap type="none"/>
                  <w10:anchorlock/>
                </v:shape>
                <w:control r:id="rId19" w:name="CheckBox13" w:shapeid="_x0000_i1030"/>
              </w:object>
            </w:r>
            <w:r>
              <w:rPr>
                <w:rFonts w:hint="eastAsia" w:ascii="宋体" w:hAnsi="宋体"/>
                <w:szCs w:val="21"/>
              </w:rPr>
              <w:t xml:space="preserve">  组织       考察时间：</w:t>
            </w:r>
          </w:p>
          <w:p>
            <w:pPr>
              <w:spacing w:line="400" w:lineRule="exact"/>
              <w:ind w:firstLine="1995" w:firstLineChars="950"/>
              <w:rPr>
                <w:rFonts w:hint="eastAsia" w:ascii="宋体" w:hAnsi="宋体"/>
                <w:szCs w:val="21"/>
              </w:rPr>
            </w:pPr>
            <w:r>
              <w:rPr>
                <w:rFonts w:hint="eastAsia" w:ascii="宋体" w:hAnsi="宋体"/>
                <w:szCs w:val="21"/>
              </w:rPr>
              <w:t>考察集中地点：</w:t>
            </w:r>
          </w:p>
          <w:p>
            <w:pPr>
              <w:spacing w:line="400" w:lineRule="exact"/>
              <w:ind w:firstLine="1995" w:firstLineChars="950"/>
              <w:rPr>
                <w:rFonts w:ascii="宋体" w:hAnsi="宋体"/>
                <w:szCs w:val="21"/>
              </w:rPr>
            </w:pPr>
            <w:r>
              <w:rPr>
                <w:rFonts w:hint="eastAsia" w:ascii="宋体" w:hAnsi="宋体"/>
                <w:szCs w:val="21"/>
              </w:rPr>
              <w:t>考察费用：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2.14</w:t>
            </w:r>
          </w:p>
        </w:tc>
        <w:tc>
          <w:tcPr>
            <w:tcW w:w="1418" w:type="dxa"/>
            <w:noWrap w:val="0"/>
            <w:vAlign w:val="center"/>
          </w:tcPr>
          <w:p>
            <w:pPr>
              <w:spacing w:line="400" w:lineRule="exact"/>
              <w:ind w:firstLine="0" w:firstLineChars="0"/>
              <w:jc w:val="center"/>
              <w:rPr>
                <w:rFonts w:ascii="宋体" w:hAnsi="宋体"/>
                <w:szCs w:val="21"/>
              </w:rPr>
            </w:pPr>
            <w:r>
              <w:rPr>
                <w:rFonts w:hint="eastAsia" w:ascii="宋体" w:hAnsi="宋体"/>
                <w:szCs w:val="21"/>
              </w:rPr>
              <w:t>是否退还投标文件</w:t>
            </w:r>
          </w:p>
        </w:tc>
        <w:tc>
          <w:tcPr>
            <w:tcW w:w="7442" w:type="dxa"/>
            <w:noWrap w:val="0"/>
            <w:vAlign w:val="center"/>
          </w:tcPr>
          <w:p>
            <w:pPr>
              <w:spacing w:line="400" w:lineRule="exact"/>
              <w:ind w:firstLine="420"/>
              <w:rPr>
                <w:rFonts w:ascii="宋体" w:hAnsi="宋体"/>
                <w:szCs w:val="21"/>
              </w:rPr>
            </w:pPr>
            <w:r>
              <w:rPr>
                <w:rFonts w:ascii="宋体" w:hAnsi="宋体"/>
                <w:szCs w:val="21"/>
              </w:rPr>
              <w:object>
                <v:shape id="_x0000_i1031" o:spt="201" alt="" type="#_x0000_t201" style="height:15.75pt;width:11.25pt;" o:ole="t" filled="f" o:preferrelative="t" stroked="f" coordsize="21600,21600">
                  <v:path/>
                  <v:fill on="f" focussize="0,0"/>
                  <v:stroke on="f"/>
                  <v:imagedata r:id="rId22" o:title=""/>
                  <o:lock v:ext="edit" aspectratio="t"/>
                  <w10:wrap type="none"/>
                  <w10:anchorlock/>
                </v:shape>
                <w:control r:id="rId21" w:name="CheckBox1311" w:shapeid="_x0000_i1031"/>
              </w:object>
            </w:r>
            <w:r>
              <w:rPr>
                <w:rFonts w:hint="eastAsia" w:ascii="宋体" w:hAnsi="宋体"/>
                <w:szCs w:val="21"/>
              </w:rPr>
              <w:t xml:space="preserve">  否</w:t>
            </w:r>
          </w:p>
          <w:p>
            <w:pPr>
              <w:spacing w:line="400" w:lineRule="exact"/>
              <w:ind w:firstLine="420"/>
              <w:rPr>
                <w:rFonts w:ascii="宋体" w:hAnsi="宋体"/>
                <w:szCs w:val="21"/>
              </w:rPr>
            </w:pPr>
            <w:r>
              <w:rPr>
                <w:rFonts w:ascii="宋体" w:hAnsi="宋体"/>
                <w:szCs w:val="21"/>
              </w:rPr>
              <w:object>
                <v:shape id="_x0000_i1032" o:spt="201" alt="" type="#_x0000_t201" style="height:15.75pt;width:11.25pt;" o:ole="t" filled="f" o:preferrelative="t" stroked="f" coordsize="21600,21600">
                  <v:path/>
                  <v:fill on="f" focussize="0,0"/>
                  <v:stroke on="f"/>
                  <v:imagedata r:id="rId24" o:title=""/>
                  <o:lock v:ext="edit" aspectratio="t"/>
                  <w10:wrap type="none"/>
                  <w10:anchorlock/>
                </v:shape>
                <w:control r:id="rId23" w:name="CheckBox1321" w:shapeid="_x0000_i1032"/>
              </w:object>
            </w:r>
            <w:r>
              <w:rPr>
                <w:rFonts w:hint="eastAsia" w:ascii="宋体" w:hAnsi="宋体"/>
                <w:szCs w:val="21"/>
              </w:rPr>
              <w:t xml:space="preserve">  是</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2.15</w:t>
            </w:r>
          </w:p>
        </w:tc>
        <w:tc>
          <w:tcPr>
            <w:tcW w:w="1418" w:type="dxa"/>
            <w:noWrap w:val="0"/>
            <w:vAlign w:val="center"/>
          </w:tcPr>
          <w:p>
            <w:pPr>
              <w:spacing w:line="400" w:lineRule="exact"/>
              <w:ind w:firstLine="0" w:firstLineChars="0"/>
              <w:jc w:val="center"/>
              <w:rPr>
                <w:rFonts w:ascii="宋体" w:hAnsi="宋体"/>
                <w:szCs w:val="21"/>
              </w:rPr>
            </w:pPr>
            <w:r>
              <w:rPr>
                <w:rFonts w:ascii="宋体" w:hAnsi="宋体"/>
                <w:szCs w:val="21"/>
              </w:rPr>
              <w:t>招标公告的发布</w:t>
            </w:r>
          </w:p>
        </w:tc>
        <w:tc>
          <w:tcPr>
            <w:tcW w:w="7442" w:type="dxa"/>
            <w:noWrap w:val="0"/>
            <w:vAlign w:val="center"/>
          </w:tcPr>
          <w:p>
            <w:pPr>
              <w:spacing w:line="400" w:lineRule="exact"/>
              <w:ind w:firstLine="420"/>
              <w:rPr>
                <w:rFonts w:ascii="宋体" w:hAnsi="宋体"/>
                <w:szCs w:val="21"/>
              </w:rPr>
            </w:pPr>
            <w:r>
              <w:rPr>
                <w:rFonts w:hint="eastAsia" w:ascii="宋体" w:hAnsi="宋体"/>
                <w:szCs w:val="21"/>
              </w:rPr>
              <w:t>本项目时间安排以甘肃政府采购网发布信息为准。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2.16</w:t>
            </w:r>
          </w:p>
        </w:tc>
        <w:tc>
          <w:tcPr>
            <w:tcW w:w="1418" w:type="dxa"/>
            <w:noWrap w:val="0"/>
            <w:vAlign w:val="center"/>
          </w:tcPr>
          <w:p>
            <w:pPr>
              <w:spacing w:line="400" w:lineRule="exact"/>
              <w:ind w:firstLine="0" w:firstLineChars="0"/>
              <w:jc w:val="center"/>
              <w:rPr>
                <w:rFonts w:ascii="宋体" w:hAnsi="宋体"/>
                <w:szCs w:val="21"/>
              </w:rPr>
            </w:pPr>
            <w:r>
              <w:rPr>
                <w:rFonts w:hint="eastAsia" w:ascii="宋体" w:hAnsi="宋体"/>
                <w:szCs w:val="21"/>
              </w:rPr>
              <w:t>投标人</w:t>
            </w:r>
            <w:r>
              <w:rPr>
                <w:rFonts w:ascii="宋体" w:hAnsi="宋体"/>
                <w:szCs w:val="21"/>
              </w:rPr>
              <w:t>家数计算</w:t>
            </w:r>
          </w:p>
        </w:tc>
        <w:tc>
          <w:tcPr>
            <w:tcW w:w="7442" w:type="dxa"/>
            <w:noWrap w:val="0"/>
            <w:vAlign w:val="center"/>
          </w:tcPr>
          <w:p>
            <w:pPr>
              <w:spacing w:line="400" w:lineRule="exact"/>
              <w:ind w:firstLine="420"/>
              <w:rPr>
                <w:rFonts w:hint="eastAsia" w:ascii="宋体" w:hAnsi="宋体"/>
                <w:szCs w:val="21"/>
              </w:rPr>
            </w:pPr>
            <w:r>
              <w:rPr>
                <w:rFonts w:hint="eastAsia" w:ascii="宋体" w:hAnsi="宋体"/>
                <w:szCs w:val="21"/>
              </w:rPr>
              <w:t>按照政府采购货物和服务招标投标管理办法（财政部令第87号）第三十一条执行。</w:t>
            </w:r>
          </w:p>
          <w:p>
            <w:pPr>
              <w:spacing w:line="400" w:lineRule="exact"/>
              <w:ind w:firstLine="420"/>
              <w:rPr>
                <w:rFonts w:ascii="宋体" w:hAnsi="宋体"/>
                <w:szCs w:val="21"/>
              </w:rPr>
            </w:pPr>
            <w:r>
              <w:rPr>
                <w:rFonts w:hint="eastAsia" w:ascii="宋体" w:hAnsi="宋体"/>
                <w:szCs w:val="21"/>
              </w:rPr>
              <w:t>详见投标人须知3.6.3</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2.17</w:t>
            </w:r>
          </w:p>
        </w:tc>
        <w:tc>
          <w:tcPr>
            <w:tcW w:w="1418" w:type="dxa"/>
            <w:noWrap w:val="0"/>
            <w:vAlign w:val="center"/>
          </w:tcPr>
          <w:p>
            <w:pPr>
              <w:spacing w:line="400" w:lineRule="exact"/>
              <w:ind w:firstLine="0" w:firstLineChars="0"/>
              <w:jc w:val="center"/>
              <w:rPr>
                <w:rFonts w:ascii="宋体" w:hAnsi="宋体"/>
                <w:szCs w:val="21"/>
              </w:rPr>
            </w:pPr>
            <w:r>
              <w:rPr>
                <w:rFonts w:ascii="宋体" w:hAnsi="宋体"/>
                <w:szCs w:val="21"/>
              </w:rPr>
              <w:t>需要落实的政府采购政策</w:t>
            </w:r>
          </w:p>
        </w:tc>
        <w:tc>
          <w:tcPr>
            <w:tcW w:w="7442" w:type="dxa"/>
            <w:noWrap w:val="0"/>
            <w:vAlign w:val="center"/>
          </w:tcPr>
          <w:p>
            <w:pPr>
              <w:spacing w:line="400" w:lineRule="exact"/>
              <w:ind w:firstLine="420"/>
              <w:rPr>
                <w:rFonts w:hint="eastAsia" w:ascii="宋体" w:hAnsi="宋体"/>
                <w:szCs w:val="21"/>
              </w:rPr>
            </w:pPr>
            <w:r>
              <w:rPr>
                <w:rFonts w:hint="eastAsia" w:ascii="宋体" w:hAnsi="宋体"/>
                <w:szCs w:val="21"/>
              </w:rPr>
              <w:t>本项目对小型和微型企业产品价格的扣除比例：6%</w:t>
            </w:r>
          </w:p>
          <w:p>
            <w:pPr>
              <w:spacing w:line="400" w:lineRule="exact"/>
              <w:ind w:firstLine="420"/>
              <w:rPr>
                <w:rFonts w:hint="default" w:ascii="宋体" w:hAnsi="宋体" w:eastAsia="宋体"/>
                <w:szCs w:val="21"/>
                <w:lang w:val="en-US" w:eastAsia="zh-CN"/>
              </w:rPr>
            </w:pPr>
            <w:r>
              <w:rPr>
                <w:rFonts w:hint="eastAsia" w:ascii="宋体" w:hAnsi="宋体"/>
                <w:szCs w:val="21"/>
                <w:lang w:val="en-US" w:eastAsia="zh-CN"/>
              </w:rPr>
              <w:t>(需提供小微企业证明)</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967" w:type="dxa"/>
            <w:noWrap w:val="0"/>
            <w:vAlign w:val="center"/>
          </w:tcPr>
          <w:p>
            <w:pPr>
              <w:ind w:firstLine="0" w:firstLineChars="0"/>
              <w:jc w:val="center"/>
              <w:rPr>
                <w:rFonts w:ascii="宋体" w:hAnsi="宋体"/>
                <w:szCs w:val="21"/>
              </w:rPr>
            </w:pPr>
            <w:r>
              <w:rPr>
                <w:rFonts w:hint="eastAsia" w:ascii="宋体" w:hAnsi="宋体"/>
                <w:szCs w:val="21"/>
              </w:rPr>
              <w:t>2.18</w:t>
            </w:r>
          </w:p>
        </w:tc>
        <w:tc>
          <w:tcPr>
            <w:tcW w:w="1418" w:type="dxa"/>
            <w:noWrap w:val="0"/>
            <w:vAlign w:val="center"/>
          </w:tcPr>
          <w:p>
            <w:pPr>
              <w:spacing w:line="400" w:lineRule="exact"/>
              <w:ind w:firstLine="0" w:firstLineChars="0"/>
              <w:jc w:val="center"/>
              <w:rPr>
                <w:rFonts w:ascii="宋体" w:hAnsi="宋体"/>
                <w:szCs w:val="21"/>
              </w:rPr>
            </w:pPr>
            <w:r>
              <w:rPr>
                <w:rFonts w:hint="eastAsia" w:ascii="宋体" w:hAnsi="宋体"/>
                <w:szCs w:val="21"/>
              </w:rPr>
              <w:t>招标代理费</w:t>
            </w:r>
          </w:p>
        </w:tc>
        <w:tc>
          <w:tcPr>
            <w:tcW w:w="7442" w:type="dxa"/>
            <w:noWrap w:val="0"/>
            <w:vAlign w:val="center"/>
          </w:tcPr>
          <w:p>
            <w:pPr>
              <w:spacing w:line="400" w:lineRule="exact"/>
              <w:ind w:firstLine="420"/>
              <w:rPr>
                <w:rFonts w:hint="eastAsia" w:ascii="宋体" w:hAnsi="宋体"/>
                <w:szCs w:val="21"/>
              </w:rPr>
            </w:pPr>
            <w:r>
              <w:rPr>
                <w:rFonts w:ascii="宋体" w:hAnsi="宋体"/>
                <w:szCs w:val="21"/>
              </w:rPr>
              <w:object>
                <v:shape id="_x0000_i1033" o:spt="201" alt="" type="#_x0000_t201" style="height:18pt;width:11.25pt;" o:ole="t" filled="f" o:preferrelative="t" stroked="f" coordsize="21600,21600">
                  <v:path/>
                  <v:fill on="f" focussize="0,0"/>
                  <v:stroke on="f"/>
                  <v:imagedata r:id="rId26" o:title=""/>
                  <o:lock v:ext="edit" aspectratio="t"/>
                  <w10:wrap type="none"/>
                  <w10:anchorlock/>
                </v:shape>
                <w:control r:id="rId25" w:name="CheckBox211" w:shapeid="_x0000_i1033"/>
              </w:object>
            </w:r>
            <w:r>
              <w:rPr>
                <w:rFonts w:hint="eastAsia" w:ascii="宋体" w:hAnsi="宋体"/>
                <w:szCs w:val="21"/>
              </w:rPr>
              <w:t>本项目的招标代理费由</w:t>
            </w:r>
            <w:r>
              <w:rPr>
                <w:rFonts w:hint="eastAsia" w:ascii="宋体" w:hAnsi="宋体"/>
                <w:szCs w:val="21"/>
                <w:u w:val="single"/>
              </w:rPr>
              <w:t>采购人</w:t>
            </w:r>
            <w:r>
              <w:rPr>
                <w:rFonts w:hint="eastAsia" w:ascii="宋体" w:hAnsi="宋体"/>
                <w:szCs w:val="21"/>
              </w:rPr>
              <w:t>支付</w:t>
            </w:r>
          </w:p>
          <w:p>
            <w:pPr>
              <w:spacing w:line="400" w:lineRule="exact"/>
              <w:ind w:firstLine="420"/>
              <w:rPr>
                <w:rFonts w:hint="eastAsia" w:ascii="宋体" w:hAnsi="宋体"/>
                <w:szCs w:val="21"/>
              </w:rPr>
            </w:pPr>
            <w:r>
              <w:rPr>
                <w:rFonts w:ascii="宋体" w:hAnsi="宋体"/>
                <w:szCs w:val="21"/>
              </w:rPr>
              <w:object>
                <v:shape id="_x0000_i1034" o:spt="201" alt="" type="#_x0000_t201" style="height:18pt;width:11.25pt;" o:ole="t" filled="f" o:preferrelative="t" stroked="f" coordsize="21600,21600">
                  <v:path/>
                  <v:fill on="f" focussize="0,0"/>
                  <v:stroke on="f"/>
                  <v:imagedata r:id="rId28" o:title=""/>
                  <o:lock v:ext="edit" aspectratio="t"/>
                  <w10:wrap type="none"/>
                  <w10:anchorlock/>
                </v:shape>
                <w:control r:id="rId27" w:name="CheckBox212" w:shapeid="_x0000_i1034"/>
              </w:object>
            </w:r>
            <w:r>
              <w:rPr>
                <w:rFonts w:hint="eastAsia" w:ascii="宋体" w:hAnsi="宋体"/>
                <w:szCs w:val="21"/>
              </w:rPr>
              <w:t>本项目的招标代理费由</w:t>
            </w:r>
            <w:r>
              <w:rPr>
                <w:rFonts w:hint="eastAsia" w:ascii="宋体" w:hAnsi="宋体"/>
                <w:szCs w:val="21"/>
                <w:u w:val="single"/>
              </w:rPr>
              <w:t>中标人</w:t>
            </w:r>
            <w:r>
              <w:rPr>
                <w:rFonts w:hint="eastAsia" w:ascii="宋体" w:hAnsi="宋体"/>
                <w:szCs w:val="21"/>
              </w:rPr>
              <w:t>支付</w:t>
            </w:r>
          </w:p>
          <w:p>
            <w:pPr>
              <w:spacing w:line="400" w:lineRule="exact"/>
              <w:ind w:firstLine="420"/>
              <w:rPr>
                <w:rFonts w:hint="eastAsia" w:ascii="宋体" w:hAnsi="宋体"/>
                <w:szCs w:val="21"/>
              </w:rPr>
            </w:pPr>
            <w:r>
              <w:rPr>
                <w:rFonts w:ascii="宋体" w:hAnsi="宋体"/>
                <w:szCs w:val="21"/>
              </w:rPr>
              <w:object>
                <v:shape id="_x0000_i1035" o:spt="201" alt="" type="#_x0000_t201" style="height:18pt;width:11.25pt;" o:ole="t" filled="f" o:preferrelative="t" stroked="f" coordsize="21600,21600">
                  <v:path/>
                  <v:fill on="f" focussize="0,0"/>
                  <v:stroke on="f"/>
                  <v:imagedata r:id="rId30" o:title=""/>
                  <o:lock v:ext="edit" aspectratio="t"/>
                  <w10:wrap type="none"/>
                  <w10:anchorlock/>
                </v:shape>
                <w:control r:id="rId29" w:name="CheckBox21" w:shapeid="_x0000_i1035"/>
              </w:object>
            </w:r>
            <w:r>
              <w:rPr>
                <w:rFonts w:hint="eastAsia" w:ascii="宋体" w:hAnsi="宋体"/>
                <w:szCs w:val="21"/>
              </w:rPr>
              <w:t>本项目不收取代理费</w:t>
            </w:r>
          </w:p>
          <w:p>
            <w:pPr>
              <w:spacing w:line="400" w:lineRule="exact"/>
              <w:ind w:firstLine="420"/>
              <w:rPr>
                <w:rFonts w:ascii="宋体" w:hAnsi="宋体"/>
                <w:szCs w:val="21"/>
              </w:rPr>
            </w:pPr>
            <w:r>
              <w:rPr>
                <w:rFonts w:hint="eastAsia" w:ascii="宋体" w:hAnsi="宋体"/>
                <w:szCs w:val="21"/>
              </w:rPr>
              <w:t>收费标准详见投标人须知3.11</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67" w:type="dxa"/>
            <w:noWrap w:val="0"/>
            <w:vAlign w:val="center"/>
          </w:tcPr>
          <w:p>
            <w:pPr>
              <w:ind w:firstLine="0" w:firstLineChars="0"/>
              <w:jc w:val="center"/>
              <w:rPr>
                <w:rFonts w:hint="eastAsia" w:ascii="宋体" w:hAnsi="宋体"/>
                <w:szCs w:val="21"/>
              </w:rPr>
            </w:pPr>
            <w:r>
              <w:rPr>
                <w:rFonts w:hint="eastAsia" w:ascii="宋体" w:hAnsi="宋体"/>
                <w:szCs w:val="21"/>
              </w:rPr>
              <w:t>2.19</w:t>
            </w:r>
          </w:p>
        </w:tc>
        <w:tc>
          <w:tcPr>
            <w:tcW w:w="1418" w:type="dxa"/>
            <w:noWrap w:val="0"/>
            <w:vAlign w:val="center"/>
          </w:tcPr>
          <w:p>
            <w:pPr>
              <w:spacing w:line="400" w:lineRule="exact"/>
              <w:ind w:firstLine="0" w:firstLineChars="0"/>
              <w:jc w:val="center"/>
              <w:rPr>
                <w:rFonts w:hint="eastAsia" w:ascii="宋体" w:hAnsi="宋体"/>
                <w:szCs w:val="21"/>
              </w:rPr>
            </w:pPr>
            <w:r>
              <w:rPr>
                <w:rFonts w:hint="eastAsia" w:ascii="宋体" w:hAnsi="宋体"/>
                <w:szCs w:val="21"/>
              </w:rPr>
              <w:t>履约保证金</w:t>
            </w:r>
          </w:p>
        </w:tc>
        <w:tc>
          <w:tcPr>
            <w:tcW w:w="7442" w:type="dxa"/>
            <w:noWrap w:val="0"/>
            <w:vAlign w:val="center"/>
          </w:tcPr>
          <w:p>
            <w:pPr>
              <w:spacing w:line="400" w:lineRule="exact"/>
              <w:ind w:firstLine="420"/>
              <w:rPr>
                <w:rFonts w:hint="eastAsia" w:ascii="宋体" w:hAnsi="宋体"/>
                <w:szCs w:val="21"/>
              </w:rPr>
            </w:pPr>
            <w:r>
              <w:rPr>
                <w:rFonts w:hint="eastAsia" w:ascii="宋体" w:hAnsi="宋体"/>
                <w:szCs w:val="21"/>
              </w:rPr>
              <w:t>中标单位向采购单位足额缴纳中标金额的5%作为履约保证金，一年期满后无质量问题将无息退还。</w:t>
            </w:r>
          </w:p>
        </w:tc>
      </w:tr>
    </w:tbl>
    <w:p>
      <w:pPr>
        <w:pStyle w:val="4"/>
        <w:spacing w:line="240" w:lineRule="auto"/>
        <w:ind w:left="0" w:leftChars="0" w:firstLine="0" w:firstLineChars="0"/>
        <w:jc w:val="both"/>
        <w:rPr>
          <w:rFonts w:hint="eastAsia"/>
          <w:kern w:val="2"/>
        </w:rPr>
      </w:pPr>
      <w:bookmarkStart w:id="5" w:name="_Toc447207013"/>
      <w:bookmarkStart w:id="6" w:name="_Toc526878883"/>
      <w:bookmarkStart w:id="7" w:name="_Toc447272150"/>
      <w:bookmarkStart w:id="8" w:name="_Toc493008664"/>
      <w:bookmarkStart w:id="9" w:name="_Toc459622955"/>
      <w:bookmarkStart w:id="10" w:name="_Toc7470"/>
      <w:bookmarkStart w:id="11" w:name="_Toc128372058"/>
      <w:bookmarkStart w:id="12" w:name="_Toc139965332"/>
      <w:bookmarkStart w:id="13" w:name="_Toc128372736"/>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rFonts w:hint="eastAsia"/>
          <w:kern w:val="2"/>
        </w:rPr>
      </w:pPr>
    </w:p>
    <w:p>
      <w:pPr>
        <w:pStyle w:val="4"/>
        <w:spacing w:line="240" w:lineRule="auto"/>
        <w:ind w:firstLine="3534" w:firstLineChars="1100"/>
        <w:jc w:val="both"/>
        <w:rPr>
          <w:kern w:val="2"/>
        </w:rPr>
      </w:pPr>
      <w:r>
        <w:rPr>
          <w:rFonts w:hint="eastAsia"/>
          <w:kern w:val="2"/>
        </w:rPr>
        <w:t>第三章  投标人须知</w:t>
      </w:r>
      <w:bookmarkEnd w:id="5"/>
      <w:bookmarkEnd w:id="6"/>
      <w:bookmarkEnd w:id="7"/>
      <w:bookmarkEnd w:id="8"/>
      <w:bookmarkEnd w:id="9"/>
      <w:bookmarkEnd w:id="10"/>
    </w:p>
    <w:p>
      <w:pPr>
        <w:pStyle w:val="5"/>
        <w:spacing w:before="0" w:after="0" w:line="240" w:lineRule="auto"/>
        <w:jc w:val="left"/>
        <w:rPr>
          <w:rFonts w:ascii="宋体" w:hAnsi="宋体"/>
          <w:szCs w:val="28"/>
        </w:rPr>
      </w:pPr>
      <w:bookmarkStart w:id="14" w:name="_Toc22594"/>
      <w:bookmarkStart w:id="15" w:name="_Toc18260"/>
      <w:bookmarkStart w:id="16" w:name="_Toc447272151"/>
      <w:bookmarkStart w:id="17" w:name="_Toc447207014"/>
      <w:bookmarkStart w:id="18" w:name="_Toc8243"/>
      <w:bookmarkStart w:id="19" w:name="_Toc493008665"/>
      <w:bookmarkStart w:id="20" w:name="_Toc459622956"/>
      <w:bookmarkStart w:id="21" w:name="_Toc526878884"/>
      <w:r>
        <w:rPr>
          <w:rFonts w:hint="eastAsia" w:ascii="宋体" w:hAnsi="宋体"/>
          <w:szCs w:val="28"/>
        </w:rPr>
        <w:t>3.1 招标文件涉及术语的内涵及解释</w:t>
      </w:r>
      <w:bookmarkEnd w:id="14"/>
      <w:bookmarkEnd w:id="15"/>
      <w:bookmarkEnd w:id="16"/>
      <w:bookmarkEnd w:id="17"/>
      <w:bookmarkEnd w:id="18"/>
      <w:bookmarkEnd w:id="19"/>
      <w:bookmarkEnd w:id="20"/>
      <w:bookmarkEnd w:id="21"/>
    </w:p>
    <w:p>
      <w:pPr>
        <w:ind w:firstLine="480"/>
        <w:rPr>
          <w:rFonts w:ascii="宋体"/>
          <w:sz w:val="24"/>
        </w:rPr>
      </w:pPr>
      <w:r>
        <w:rPr>
          <w:rFonts w:hint="eastAsia" w:ascii="宋体" w:hAnsi="宋体"/>
          <w:sz w:val="24"/>
        </w:rPr>
        <w:t>（</w:t>
      </w:r>
      <w:r>
        <w:rPr>
          <w:rFonts w:ascii="宋体" w:hAnsi="宋体"/>
          <w:sz w:val="24"/>
        </w:rPr>
        <w:t>1</w:t>
      </w:r>
      <w:r>
        <w:rPr>
          <w:rFonts w:hint="eastAsia" w:ascii="宋体" w:hAnsi="宋体"/>
          <w:sz w:val="24"/>
        </w:rPr>
        <w:t>） “政府采购当事人”是指在政府采购活动中享有权利和承担义务的各类主体，包括采购人、投标人和采购代理机构等。</w:t>
      </w:r>
    </w:p>
    <w:p>
      <w:pPr>
        <w:ind w:firstLine="480"/>
        <w:rPr>
          <w:rFonts w:ascii="宋体" w:hAnsi="宋体"/>
          <w:sz w:val="24"/>
        </w:rPr>
      </w:pPr>
      <w:r>
        <w:rPr>
          <w:rFonts w:hint="eastAsia" w:ascii="宋体" w:hAnsi="宋体"/>
          <w:sz w:val="24"/>
        </w:rPr>
        <w:t>（2） “采购人”和“需方”是指依法进行政府采购的国家机关、事业单位、团体组织。本项目是指靖远县刘川镇人民政府。</w:t>
      </w:r>
    </w:p>
    <w:p>
      <w:pPr>
        <w:ind w:firstLine="360" w:firstLineChars="150"/>
        <w:rPr>
          <w:rFonts w:ascii="宋体"/>
          <w:sz w:val="24"/>
          <w:szCs w:val="30"/>
          <w:u w:val="single"/>
        </w:rPr>
      </w:pPr>
      <w:r>
        <w:rPr>
          <w:rFonts w:ascii="宋体" w:hAnsi="宋体"/>
          <w:sz w:val="24"/>
        </w:rPr>
        <w:t xml:space="preserve"> </w:t>
      </w:r>
      <w:r>
        <w:rPr>
          <w:rFonts w:hint="eastAsia" w:ascii="宋体" w:hAnsi="宋体"/>
          <w:sz w:val="24"/>
        </w:rPr>
        <w:t>（3）“招标人”是指靖远县刘川镇人民政府和</w:t>
      </w:r>
      <w:r>
        <w:rPr>
          <w:rFonts w:hint="eastAsia" w:ascii="宋体" w:hAnsi="宋体" w:eastAsia="新宋体"/>
          <w:sz w:val="24"/>
        </w:rPr>
        <w:t>靖远县政府采购中心。</w:t>
      </w:r>
    </w:p>
    <w:p>
      <w:pPr>
        <w:ind w:firstLine="480"/>
        <w:rPr>
          <w:rFonts w:ascii="宋体"/>
          <w:sz w:val="24"/>
        </w:rPr>
      </w:pPr>
      <w:r>
        <w:rPr>
          <w:rFonts w:hint="eastAsia" w:ascii="宋体" w:hAnsi="宋体"/>
          <w:sz w:val="24"/>
        </w:rPr>
        <w:t>（4）“投标人”是指向本次招标人提交投标文件的供应商。</w:t>
      </w:r>
    </w:p>
    <w:p>
      <w:pPr>
        <w:ind w:firstLine="480"/>
        <w:rPr>
          <w:rFonts w:ascii="宋体"/>
          <w:sz w:val="24"/>
        </w:rPr>
      </w:pPr>
      <w:r>
        <w:rPr>
          <w:rFonts w:hint="eastAsia" w:ascii="宋体" w:hAnsi="宋体"/>
          <w:sz w:val="24"/>
        </w:rPr>
        <w:t>（5）“供应商”是指向采购人提供货物、工程或者服务的法人、其他组织或者自然人。</w:t>
      </w:r>
    </w:p>
    <w:p>
      <w:pPr>
        <w:ind w:firstLine="480"/>
        <w:rPr>
          <w:rFonts w:ascii="宋体"/>
          <w:sz w:val="24"/>
        </w:rPr>
      </w:pPr>
      <w:r>
        <w:rPr>
          <w:rFonts w:hint="eastAsia" w:ascii="宋体" w:hAnsi="宋体"/>
          <w:sz w:val="24"/>
        </w:rPr>
        <w:t>（6）“招标文件”是指由招标人发出的文本、文件，包括全部章节和附件及答疑会议纪要及其他相关补充材料和相关变更内容。</w:t>
      </w:r>
    </w:p>
    <w:p>
      <w:pPr>
        <w:ind w:firstLine="480"/>
        <w:rPr>
          <w:rFonts w:ascii="宋体"/>
          <w:sz w:val="24"/>
        </w:rPr>
      </w:pPr>
      <w:r>
        <w:rPr>
          <w:rFonts w:hint="eastAsia" w:ascii="宋体" w:hAnsi="宋体"/>
          <w:sz w:val="24"/>
        </w:rPr>
        <w:t>（7）“投标文件”是指投标人根据本招标文件向招标人提交的全部文件。</w:t>
      </w:r>
    </w:p>
    <w:p>
      <w:pPr>
        <w:ind w:firstLine="480"/>
        <w:rPr>
          <w:rFonts w:ascii="宋体"/>
          <w:sz w:val="24"/>
        </w:rPr>
      </w:pPr>
      <w:r>
        <w:rPr>
          <w:rFonts w:hint="eastAsia" w:ascii="宋体" w:hAnsi="宋体"/>
          <w:sz w:val="24"/>
        </w:rPr>
        <w:t>（8）“采购文件”是指包括采购活动记录、采购预算、招标文件、投标文件、评标标准、评标报告、定标文件、合同文本、验收证明、质疑答复、投诉处理决定及其他有关文件、资料。</w:t>
      </w:r>
    </w:p>
    <w:p>
      <w:pPr>
        <w:ind w:firstLine="480"/>
        <w:rPr>
          <w:rFonts w:ascii="宋体"/>
          <w:sz w:val="24"/>
        </w:rPr>
      </w:pPr>
      <w:r>
        <w:rPr>
          <w:rFonts w:hint="eastAsia" w:ascii="宋体" w:hAnsi="宋体"/>
          <w:sz w:val="24"/>
        </w:rPr>
        <w:t>（9）“货物”是指投标人中标后根据招标文件和合同的规定须向采购人提供的各种形态和种类的物品，包括原材料、燃料、设备等。</w:t>
      </w:r>
    </w:p>
    <w:p>
      <w:pPr>
        <w:ind w:firstLine="480"/>
        <w:rPr>
          <w:rFonts w:ascii="宋体"/>
          <w:sz w:val="24"/>
        </w:rPr>
      </w:pPr>
      <w:r>
        <w:rPr>
          <w:rFonts w:hint="eastAsia" w:ascii="宋体" w:hAnsi="宋体"/>
          <w:sz w:val="24"/>
        </w:rPr>
        <w:t>（10）“工程”是指建设工程，包括建筑物和构筑物的新建、改建、扩建、装修、拆除、修缮等。</w:t>
      </w:r>
    </w:p>
    <w:p>
      <w:pPr>
        <w:ind w:firstLine="480"/>
        <w:rPr>
          <w:rFonts w:ascii="宋体"/>
          <w:sz w:val="24"/>
        </w:rPr>
      </w:pPr>
      <w:r>
        <w:rPr>
          <w:rFonts w:hint="eastAsia" w:ascii="宋体" w:hAnsi="宋体"/>
          <w:sz w:val="24"/>
        </w:rPr>
        <w:t>（11）“服务”是指投标人中标后根据招标文件和合同的规定承担与供货、安装有关的服务，包括运输、仓储、保险以及其它的伴随服务，如售后、维修、更换和应承担的其它义务。</w:t>
      </w:r>
    </w:p>
    <w:p>
      <w:pPr>
        <w:ind w:firstLine="480"/>
        <w:rPr>
          <w:rFonts w:ascii="宋体"/>
          <w:sz w:val="24"/>
        </w:rPr>
      </w:pPr>
      <w:r>
        <w:rPr>
          <w:rFonts w:hint="eastAsia" w:ascii="宋体" w:hAnsi="宋体"/>
          <w:sz w:val="24"/>
        </w:rPr>
        <w:t>（12）“自主创新产品”是指纳入财政部公布的《政府采购自主创新产品目录》</w:t>
      </w:r>
      <w:r>
        <w:rPr>
          <w:rFonts w:ascii="宋体" w:hAnsi="宋体"/>
          <w:sz w:val="24"/>
        </w:rPr>
        <w:t>(</w:t>
      </w:r>
      <w:r>
        <w:rPr>
          <w:rFonts w:hint="eastAsia" w:ascii="宋体" w:hAnsi="宋体"/>
          <w:sz w:val="24"/>
        </w:rPr>
        <w:t>以下简称目录</w:t>
      </w:r>
      <w:r>
        <w:rPr>
          <w:rFonts w:ascii="宋体" w:hAnsi="宋体"/>
          <w:sz w:val="24"/>
        </w:rPr>
        <w:t>)</w:t>
      </w:r>
      <w:r>
        <w:rPr>
          <w:rFonts w:hint="eastAsia" w:ascii="宋体" w:hAnsi="宋体"/>
          <w:sz w:val="24"/>
        </w:rPr>
        <w:t>的货物和服务。目录由财政部会同科技部等有关部门在国家认定的自主创新产品范围内研究制订。</w:t>
      </w:r>
    </w:p>
    <w:p>
      <w:pPr>
        <w:ind w:firstLine="480"/>
        <w:rPr>
          <w:rFonts w:ascii="宋体"/>
          <w:sz w:val="24"/>
        </w:rPr>
      </w:pPr>
      <w:r>
        <w:rPr>
          <w:rFonts w:hint="eastAsia" w:ascii="宋体" w:hAnsi="宋体"/>
          <w:sz w:val="24"/>
        </w:rPr>
        <w:t>（13）“书面形式”是指任何手写、打印或印刷的各种函件，不包括电传、电报、传真、电子邮件。</w:t>
      </w:r>
      <w:bookmarkStart w:id="22" w:name="_Toc128372732"/>
      <w:bookmarkStart w:id="23" w:name="_Toc128372054"/>
      <w:bookmarkStart w:id="24" w:name="_Toc139965328"/>
    </w:p>
    <w:bookmarkEnd w:id="22"/>
    <w:bookmarkEnd w:id="23"/>
    <w:bookmarkEnd w:id="24"/>
    <w:p>
      <w:pPr>
        <w:pStyle w:val="5"/>
      </w:pPr>
      <w:bookmarkStart w:id="25" w:name="_Toc459622957"/>
      <w:bookmarkStart w:id="26" w:name="_Toc447272152"/>
      <w:bookmarkStart w:id="27" w:name="_Toc5317"/>
      <w:bookmarkStart w:id="28" w:name="_Toc23629"/>
      <w:bookmarkStart w:id="29" w:name="_Toc12927"/>
      <w:bookmarkStart w:id="30" w:name="_Toc526878885"/>
      <w:bookmarkStart w:id="31" w:name="_Toc493008666"/>
      <w:bookmarkStart w:id="32" w:name="_Toc447207015"/>
      <w:r>
        <w:rPr>
          <w:rFonts w:hint="eastAsia"/>
        </w:rPr>
        <w:t>3.2 招标项目概况及投标人资格要求</w:t>
      </w:r>
      <w:bookmarkEnd w:id="25"/>
      <w:bookmarkEnd w:id="26"/>
      <w:bookmarkEnd w:id="27"/>
      <w:bookmarkEnd w:id="28"/>
      <w:bookmarkEnd w:id="29"/>
      <w:bookmarkEnd w:id="30"/>
      <w:bookmarkEnd w:id="31"/>
      <w:bookmarkEnd w:id="32"/>
    </w:p>
    <w:p>
      <w:pPr>
        <w:pStyle w:val="6"/>
        <w:ind w:firstLine="482"/>
      </w:pPr>
      <w:bookmarkStart w:id="33" w:name="_Toc10916"/>
      <w:bookmarkStart w:id="34" w:name="_Toc459622958"/>
      <w:bookmarkStart w:id="35" w:name="_Toc10391"/>
      <w:bookmarkStart w:id="36" w:name="_Toc526878886"/>
      <w:bookmarkStart w:id="37" w:name="_Toc3539"/>
      <w:bookmarkStart w:id="38" w:name="_Toc493008667"/>
      <w:r>
        <w:rPr>
          <w:rFonts w:hint="eastAsia"/>
        </w:rPr>
        <w:t>3.2.1招标项目基本信息</w:t>
      </w:r>
      <w:bookmarkEnd w:id="33"/>
      <w:bookmarkEnd w:id="34"/>
      <w:bookmarkEnd w:id="35"/>
      <w:bookmarkEnd w:id="36"/>
      <w:bookmarkEnd w:id="37"/>
      <w:bookmarkEnd w:id="38"/>
    </w:p>
    <w:p>
      <w:pPr>
        <w:ind w:firstLine="480"/>
        <w:rPr>
          <w:rFonts w:ascii="宋体" w:hAnsi="宋体"/>
          <w:sz w:val="24"/>
        </w:rPr>
      </w:pPr>
      <w:r>
        <w:rPr>
          <w:rFonts w:hint="eastAsia" w:ascii="宋体" w:hAnsi="宋体"/>
          <w:sz w:val="24"/>
        </w:rPr>
        <w:t>详见投标人须知前附表2.1、2.2、2.3、2.4。</w:t>
      </w:r>
    </w:p>
    <w:p>
      <w:pPr>
        <w:pStyle w:val="6"/>
        <w:spacing w:before="0" w:after="0" w:line="240" w:lineRule="auto"/>
        <w:ind w:firstLine="482"/>
      </w:pPr>
      <w:bookmarkStart w:id="39" w:name="_Toc9922"/>
      <w:bookmarkStart w:id="40" w:name="_Toc526878887"/>
      <w:bookmarkStart w:id="41" w:name="_Toc26596"/>
      <w:bookmarkStart w:id="42" w:name="_Toc493008668"/>
      <w:bookmarkStart w:id="43" w:name="_Toc459622959"/>
      <w:bookmarkStart w:id="44" w:name="_Toc75"/>
      <w:r>
        <w:rPr>
          <w:rFonts w:hint="eastAsia"/>
        </w:rPr>
        <w:t>3.2.2投标人资格要求</w:t>
      </w:r>
      <w:bookmarkEnd w:id="39"/>
      <w:bookmarkEnd w:id="40"/>
      <w:bookmarkEnd w:id="41"/>
      <w:bookmarkEnd w:id="42"/>
      <w:bookmarkEnd w:id="43"/>
      <w:bookmarkEnd w:id="44"/>
    </w:p>
    <w:p>
      <w:pPr>
        <w:spacing w:line="240" w:lineRule="auto"/>
        <w:ind w:firstLine="480"/>
        <w:jc w:val="left"/>
        <w:rPr>
          <w:rFonts w:hint="eastAsia" w:ascii="宋体" w:hAnsi="宋体"/>
          <w:sz w:val="24"/>
        </w:rPr>
      </w:pPr>
      <w:r>
        <w:rPr>
          <w:rFonts w:hint="eastAsia" w:ascii="宋体" w:hAnsi="宋体"/>
          <w:sz w:val="24"/>
        </w:rPr>
        <w:t>3.2.2.1投标人应具备承担本招标项目资质条件：详见投标人须知前附表2.5。</w:t>
      </w:r>
    </w:p>
    <w:p>
      <w:pPr>
        <w:spacing w:line="240" w:lineRule="auto"/>
        <w:ind w:firstLine="420"/>
        <w:jc w:val="left"/>
        <w:rPr>
          <w:rFonts w:hint="eastAsia"/>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3.2.2.2投标人为代理经销商的，对投标人的资质要求包含对制造商的资质要求，对投标人的业绩要求包含对投标货物的业绩要求。</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3.2.2.3投标人不得存在下列情形之一：</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（1）与招标人存在利害关系且可能影响招标公正性；</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（2）与本招标项目的其他投标人为同一个单位负责人；</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（3）与本招标项目的其他投标人存在控股、管理关系；</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（4）与本招标项目其他投标人代理同一个制造商同一品牌同一型号的货物投标；</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（5）为本招标项目提供过设计、编制技术规范和其他文件的咨询服务；</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（6）为本招标项目的招标代理机构；</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（7）被依法暂停或者取消投标资格；</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（8）被责令停产停业、暂扣或者吊销许可证、暂扣或者吊销执照；</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（9）进入清算程序，或被宣告破产，或其他丧失履约能力的情形；</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（10）在最近三年内发生重大产品质量问题（以相关行业主管部门的行政处罚决定或司法</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机关出具的有关法律文书为准）；</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（11）被工商行政管理机关在全国企业信用信息公示系统中列入严重违法失信企业名单；</w:t>
      </w:r>
    </w:p>
    <w:p>
      <w:pPr>
        <w:spacing w:line="240" w:lineRule="auto"/>
        <w:ind w:firstLine="480"/>
        <w:jc w:val="left"/>
        <w:rPr>
          <w:rFonts w:hint="eastAsia" w:ascii="宋体" w:hAnsi="宋体" w:cs="宋体"/>
          <w:sz w:val="24"/>
          <w:szCs w:val="24"/>
        </w:rPr>
      </w:pPr>
    </w:p>
    <w:p>
      <w:pPr>
        <w:spacing w:line="240" w:lineRule="auto"/>
        <w:ind w:left="479" w:leftChars="228" w:firstLine="0" w:firstLineChars="0"/>
        <w:jc w:val="left"/>
        <w:rPr>
          <w:rFonts w:hint="eastAsia" w:ascii="宋体" w:hAnsi="宋体" w:cs="宋体"/>
          <w:sz w:val="24"/>
          <w:szCs w:val="24"/>
        </w:rPr>
      </w:pPr>
      <w:r>
        <w:rPr>
          <w:rFonts w:hint="eastAsia" w:ascii="宋体" w:hAnsi="宋体" w:cs="宋体"/>
          <w:sz w:val="24"/>
          <w:szCs w:val="24"/>
        </w:rPr>
        <w:t>（12）被最高人民法院在“信用中国”网站（www.creditchina.gov.cn）或各级信用信息共享平台中列入失信被执行人名单（以信用中国网站截图为准）；</w:t>
      </w:r>
    </w:p>
    <w:p>
      <w:pPr>
        <w:spacing w:line="240" w:lineRule="auto"/>
        <w:ind w:firstLine="480"/>
        <w:jc w:val="left"/>
        <w:rPr>
          <w:rFonts w:hint="eastAsia" w:ascii="宋体" w:hAnsi="宋体" w:cs="宋体"/>
          <w:sz w:val="24"/>
          <w:szCs w:val="24"/>
        </w:rPr>
      </w:pPr>
    </w:p>
    <w:p>
      <w:pPr>
        <w:spacing w:line="240" w:lineRule="auto"/>
        <w:ind w:firstLine="480"/>
        <w:jc w:val="left"/>
        <w:rPr>
          <w:rFonts w:hint="eastAsia" w:ascii="宋体" w:hAnsi="宋体" w:cs="宋体"/>
          <w:sz w:val="24"/>
          <w:szCs w:val="24"/>
        </w:rPr>
      </w:pPr>
      <w:r>
        <w:rPr>
          <w:rFonts w:hint="eastAsia" w:ascii="宋体" w:hAnsi="宋体" w:cs="宋体"/>
          <w:sz w:val="24"/>
          <w:szCs w:val="24"/>
        </w:rPr>
        <w:t>（13）法律法规或投标人须知前附表规定的其他情形。</w:t>
      </w:r>
    </w:p>
    <w:p>
      <w:pPr>
        <w:spacing w:line="240" w:lineRule="auto"/>
        <w:ind w:firstLine="480"/>
        <w:jc w:val="left"/>
        <w:rPr>
          <w:rFonts w:hint="eastAsia" w:ascii="宋体" w:hAnsi="宋体" w:cs="宋体"/>
          <w:sz w:val="24"/>
          <w:szCs w:val="24"/>
        </w:rPr>
      </w:pPr>
    </w:p>
    <w:bookmarkEnd w:id="11"/>
    <w:bookmarkEnd w:id="12"/>
    <w:bookmarkEnd w:id="13"/>
    <w:p>
      <w:pPr>
        <w:pStyle w:val="5"/>
        <w:rPr>
          <w:rFonts w:ascii="宋体" w:hAnsi="宋体"/>
        </w:rPr>
      </w:pPr>
      <w:bookmarkStart w:id="45" w:name="_Toc526878888"/>
      <w:bookmarkStart w:id="46" w:name="_Toc493008669"/>
      <w:bookmarkStart w:id="47" w:name="_Toc459622960"/>
      <w:bookmarkStart w:id="48" w:name="_Toc18534"/>
      <w:bookmarkStart w:id="49" w:name="_Toc447207016"/>
      <w:bookmarkStart w:id="50" w:name="_Toc447272153"/>
      <w:bookmarkStart w:id="51" w:name="_Toc22889"/>
      <w:bookmarkStart w:id="52" w:name="_Toc3578"/>
      <w:r>
        <w:rPr>
          <w:rFonts w:hint="eastAsia" w:ascii="宋体" w:hAnsi="宋体"/>
        </w:rPr>
        <w:t>3.3招标</w:t>
      </w:r>
      <w:bookmarkEnd w:id="45"/>
      <w:bookmarkEnd w:id="46"/>
      <w:bookmarkEnd w:id="47"/>
      <w:bookmarkEnd w:id="48"/>
      <w:bookmarkEnd w:id="49"/>
      <w:bookmarkEnd w:id="50"/>
      <w:bookmarkEnd w:id="51"/>
      <w:bookmarkEnd w:id="52"/>
    </w:p>
    <w:p>
      <w:pPr>
        <w:pStyle w:val="6"/>
        <w:ind w:firstLine="482"/>
      </w:pPr>
      <w:bookmarkStart w:id="53" w:name="_Toc459622961"/>
      <w:bookmarkStart w:id="54" w:name="_Toc15947"/>
      <w:bookmarkStart w:id="55" w:name="_Toc27618"/>
      <w:bookmarkStart w:id="56" w:name="_Toc526878889"/>
      <w:bookmarkStart w:id="57" w:name="_Toc19168"/>
      <w:bookmarkStart w:id="58" w:name="_Toc493008670"/>
      <w:r>
        <w:rPr>
          <w:rFonts w:hint="eastAsia"/>
        </w:rPr>
        <w:t>3.</w:t>
      </w:r>
      <w:r>
        <w:t xml:space="preserve">3.1 </w:t>
      </w:r>
      <w:r>
        <w:rPr>
          <w:rFonts w:hint="eastAsia"/>
        </w:rPr>
        <w:t>综合说明</w:t>
      </w:r>
      <w:bookmarkEnd w:id="53"/>
      <w:bookmarkEnd w:id="54"/>
      <w:bookmarkEnd w:id="55"/>
      <w:bookmarkEnd w:id="56"/>
      <w:bookmarkEnd w:id="57"/>
      <w:bookmarkEnd w:id="58"/>
    </w:p>
    <w:p>
      <w:pPr>
        <w:ind w:firstLine="480"/>
        <w:rPr>
          <w:rFonts w:ascii="宋体"/>
          <w:sz w:val="24"/>
        </w:rPr>
      </w:pPr>
      <w:r>
        <w:rPr>
          <w:rFonts w:hint="eastAsia" w:ascii="宋体" w:hAnsi="宋体"/>
          <w:sz w:val="24"/>
        </w:rPr>
        <w:t>本项目按照《中华人民共和国政府采购法》及相关法规，已办理招标申请，并得到行业主管部门审核批准，现通过招标来择优选定货物服务的供货商。本招标文件包括本文所列内容及按本须知发出的全部和补充资料。投标人应认真阅读和充分理解本招标文件中所有的事项、格式、条款、技术规范等实质性的条件和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其风险自行承担。</w:t>
      </w:r>
    </w:p>
    <w:p>
      <w:pPr>
        <w:pStyle w:val="6"/>
        <w:spacing w:before="156" w:after="156"/>
        <w:ind w:firstLine="482"/>
      </w:pPr>
      <w:bookmarkStart w:id="59" w:name="_Toc493008671"/>
      <w:bookmarkStart w:id="60" w:name="_Toc526878890"/>
      <w:bookmarkStart w:id="61" w:name="_Toc6595"/>
      <w:bookmarkStart w:id="62" w:name="_Toc459622962"/>
      <w:bookmarkStart w:id="63" w:name="_Toc5856"/>
      <w:bookmarkStart w:id="64" w:name="_Toc18249"/>
      <w:r>
        <w:rPr>
          <w:rFonts w:hint="eastAsia"/>
        </w:rPr>
        <w:t>3.</w:t>
      </w:r>
      <w:r>
        <w:t xml:space="preserve">3.2 </w:t>
      </w:r>
      <w:r>
        <w:rPr>
          <w:rFonts w:hint="eastAsia"/>
        </w:rPr>
        <w:t xml:space="preserve"> 招标公告时间</w:t>
      </w:r>
      <w:bookmarkEnd w:id="59"/>
      <w:bookmarkEnd w:id="60"/>
    </w:p>
    <w:p>
      <w:pPr>
        <w:ind w:firstLine="480"/>
        <w:rPr>
          <w:rFonts w:ascii="宋体" w:hAnsi="宋体"/>
          <w:sz w:val="24"/>
        </w:rPr>
      </w:pPr>
      <w:r>
        <w:rPr>
          <w:rFonts w:hint="eastAsia" w:ascii="宋体" w:hAnsi="宋体"/>
          <w:sz w:val="24"/>
        </w:rPr>
        <w:t>按照《政府采购信息公告管理办法》中华人民共和国财政部令第19号 第三章第十八条在各政府采购信息指定发布媒体上公告同一政府采购信息的时间不一致的，以在财政部指定的政府采购信息发布媒体上最早公告信息的时间为公告时间和政府采购当事人对有关事项应当知道的时间。</w:t>
      </w:r>
    </w:p>
    <w:p>
      <w:pPr>
        <w:pStyle w:val="6"/>
        <w:spacing w:before="156" w:after="156"/>
        <w:ind w:firstLine="482"/>
      </w:pPr>
      <w:bookmarkStart w:id="65" w:name="_Toc526878891"/>
      <w:bookmarkStart w:id="66" w:name="_Toc493008672"/>
      <w:r>
        <w:rPr>
          <w:rFonts w:hint="eastAsia"/>
        </w:rPr>
        <w:t>3.3.3  招标文件的构成</w:t>
      </w:r>
      <w:bookmarkEnd w:id="61"/>
      <w:bookmarkEnd w:id="62"/>
      <w:bookmarkEnd w:id="63"/>
      <w:bookmarkEnd w:id="64"/>
      <w:bookmarkEnd w:id="65"/>
      <w:bookmarkEnd w:id="66"/>
    </w:p>
    <w:p>
      <w:pPr>
        <w:ind w:firstLine="480"/>
        <w:rPr>
          <w:rFonts w:ascii="宋体"/>
          <w:sz w:val="24"/>
        </w:rPr>
      </w:pPr>
      <w:r>
        <w:rPr>
          <w:rFonts w:hint="eastAsia" w:ascii="宋体" w:hAnsi="宋体"/>
          <w:sz w:val="24"/>
        </w:rPr>
        <w:t>招标文件用以阐明招标项目所需的资质、技术、服务及报价等要求、招标投标程序、有关规定和注意事项以及合同主要条款等。本招标文件包括以下内容：</w:t>
      </w:r>
    </w:p>
    <w:p>
      <w:pPr>
        <w:ind w:firstLine="48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）招标公告；</w:t>
      </w:r>
    </w:p>
    <w:p>
      <w:pPr>
        <w:ind w:firstLine="48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）投标人须知前附表；</w:t>
      </w:r>
    </w:p>
    <w:p>
      <w:pPr>
        <w:ind w:firstLine="48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）投标人须知；</w:t>
      </w:r>
    </w:p>
    <w:p>
      <w:pPr>
        <w:ind w:firstLine="480"/>
        <w:rPr>
          <w:rFonts w:ascii="宋体" w:hAnsi="宋体"/>
          <w:sz w:val="24"/>
        </w:rPr>
      </w:pPr>
      <w:r>
        <w:rPr>
          <w:rFonts w:hint="eastAsia" w:ascii="宋体" w:hAnsi="宋体"/>
          <w:sz w:val="24"/>
        </w:rPr>
        <w:t>（4）项目需求；</w:t>
      </w:r>
    </w:p>
    <w:p>
      <w:pPr>
        <w:ind w:firstLine="480"/>
        <w:rPr>
          <w:rFonts w:ascii="宋体" w:hAnsi="宋体"/>
          <w:sz w:val="24"/>
        </w:rPr>
      </w:pPr>
      <w:r>
        <w:rPr>
          <w:rFonts w:hint="eastAsia" w:ascii="宋体" w:hAnsi="宋体"/>
          <w:sz w:val="24"/>
        </w:rPr>
        <w:t>（5）评标办法；</w:t>
      </w:r>
    </w:p>
    <w:p>
      <w:pPr>
        <w:ind w:firstLine="480"/>
        <w:rPr>
          <w:rFonts w:ascii="宋体" w:hAnsi="宋体"/>
          <w:sz w:val="24"/>
        </w:rPr>
      </w:pPr>
      <w:r>
        <w:rPr>
          <w:rFonts w:hint="eastAsia" w:ascii="宋体" w:hAnsi="宋体"/>
          <w:sz w:val="24"/>
        </w:rPr>
        <w:t>（6）附件。</w:t>
      </w:r>
    </w:p>
    <w:p>
      <w:pPr>
        <w:pStyle w:val="6"/>
        <w:spacing w:before="156" w:after="156"/>
        <w:ind w:firstLine="482"/>
        <w:rPr>
          <w:rFonts w:hint="eastAsia"/>
        </w:rPr>
      </w:pPr>
      <w:bookmarkStart w:id="67" w:name="_Toc526878892"/>
      <w:bookmarkStart w:id="68" w:name="_Toc493008673"/>
      <w:bookmarkStart w:id="69" w:name="_Toc13845"/>
      <w:bookmarkStart w:id="70" w:name="_Toc128372739"/>
      <w:bookmarkStart w:id="71" w:name="_Toc139965335"/>
      <w:bookmarkStart w:id="72" w:name="_Toc128372061"/>
      <w:bookmarkStart w:id="73" w:name="_Toc6506"/>
      <w:bookmarkStart w:id="74" w:name="_Toc459622963"/>
      <w:bookmarkStart w:id="75" w:name="_Toc2455"/>
      <w:r>
        <w:t>3.3</w:t>
      </w:r>
      <w:r>
        <w:rPr>
          <w:rFonts w:hint="eastAsia"/>
        </w:rPr>
        <w:t>.4   需要落实的政府采购政策</w:t>
      </w:r>
      <w:bookmarkEnd w:id="67"/>
      <w:bookmarkEnd w:id="68"/>
      <w:r>
        <w:t xml:space="preserve"> </w:t>
      </w:r>
    </w:p>
    <w:p>
      <w:pPr>
        <w:ind w:firstLine="480"/>
        <w:rPr>
          <w:rFonts w:ascii="宋体" w:hAnsi="宋体"/>
          <w:sz w:val="24"/>
        </w:rPr>
      </w:pPr>
      <w:r>
        <w:rPr>
          <w:rFonts w:hint="eastAsia" w:ascii="宋体" w:hAnsi="宋体"/>
          <w:sz w:val="24"/>
        </w:rPr>
        <w:t>本项目落实的政府采购政策详见投标人须知前附表2.17。</w:t>
      </w:r>
    </w:p>
    <w:p>
      <w:pPr>
        <w:ind w:firstLine="480"/>
        <w:rPr>
          <w:rFonts w:ascii="宋体" w:hAnsi="宋体"/>
          <w:sz w:val="24"/>
        </w:rPr>
      </w:pPr>
      <w:r>
        <w:rPr>
          <w:rFonts w:hint="eastAsia" w:ascii="宋体" w:hAnsi="宋体"/>
          <w:sz w:val="24"/>
        </w:rPr>
        <w:t>采购人应当在货物服务招标投标活动中落实节约能源、保护环境、扶持不发达地区和少数民族地区、促进中小企业发展等政府采购政策。</w:t>
      </w:r>
    </w:p>
    <w:p>
      <w:pPr>
        <w:pStyle w:val="6"/>
        <w:spacing w:before="156" w:after="156"/>
        <w:ind w:firstLine="482"/>
      </w:pPr>
      <w:bookmarkStart w:id="76" w:name="_Toc526878893"/>
      <w:bookmarkStart w:id="77" w:name="_Toc493008674"/>
      <w:r>
        <w:rPr>
          <w:rFonts w:hint="eastAsia"/>
        </w:rPr>
        <w:t>3.3.5   招标文件的修改与补充</w:t>
      </w:r>
      <w:bookmarkEnd w:id="69"/>
      <w:bookmarkEnd w:id="70"/>
      <w:bookmarkEnd w:id="71"/>
      <w:bookmarkEnd w:id="72"/>
      <w:bookmarkEnd w:id="73"/>
      <w:bookmarkEnd w:id="74"/>
      <w:bookmarkEnd w:id="75"/>
      <w:bookmarkEnd w:id="76"/>
      <w:bookmarkEnd w:id="77"/>
    </w:p>
    <w:p>
      <w:pPr>
        <w:ind w:firstLine="480"/>
        <w:rPr>
          <w:rFonts w:ascii="宋体"/>
          <w:sz w:val="24"/>
        </w:rPr>
      </w:pPr>
      <w:r>
        <w:rPr>
          <w:rFonts w:hint="eastAsia" w:ascii="宋体" w:hAnsi="宋体"/>
          <w:sz w:val="24"/>
        </w:rPr>
        <w:t>投标截止日期</w:t>
      </w:r>
      <w:r>
        <w:rPr>
          <w:rFonts w:ascii="宋体" w:hAnsi="宋体"/>
          <w:sz w:val="24"/>
        </w:rPr>
        <w:t>3</w:t>
      </w:r>
      <w:r>
        <w:rPr>
          <w:rFonts w:hint="eastAsia" w:ascii="宋体" w:hAnsi="宋体"/>
          <w:sz w:val="24"/>
        </w:rPr>
        <w:t>天前，无论出于何种原因，采购人（招标代理机构）可主动或在解答投标人提出的问题时对招标文件进行修改。</w:t>
      </w:r>
    </w:p>
    <w:p>
      <w:pPr>
        <w:ind w:firstLine="480"/>
        <w:rPr>
          <w:rFonts w:ascii="宋体"/>
          <w:sz w:val="24"/>
        </w:rPr>
      </w:pPr>
      <w:r>
        <w:rPr>
          <w:rFonts w:hint="eastAsia" w:ascii="宋体" w:hAnsi="宋体"/>
          <w:sz w:val="24"/>
        </w:rPr>
        <w:t>采购人（招标代理机构）对已发出的招标文件进行澄清或者修改，将在招标文件要求的提交投标文件截止时间</w:t>
      </w:r>
      <w:r>
        <w:rPr>
          <w:rFonts w:ascii="宋体" w:hAnsi="宋体"/>
          <w:sz w:val="24"/>
        </w:rPr>
        <w:t>15</w:t>
      </w:r>
      <w:r>
        <w:rPr>
          <w:rFonts w:hint="eastAsia" w:ascii="宋体" w:hAnsi="宋体"/>
          <w:sz w:val="24"/>
        </w:rPr>
        <w:t>日前进行，并以书面形式将澄清或者修改的内容通知所有购买了招标文件的投标人；不足</w:t>
      </w:r>
      <w:r>
        <w:rPr>
          <w:rFonts w:ascii="宋体" w:hAnsi="宋体"/>
          <w:sz w:val="24"/>
        </w:rPr>
        <w:t>15</w:t>
      </w:r>
      <w:r>
        <w:rPr>
          <w:rFonts w:hint="eastAsia" w:ascii="宋体" w:hAnsi="宋体"/>
          <w:sz w:val="24"/>
        </w:rPr>
        <w:t>日的，采购人（招标代理机构）应当顺延提交投标文件的截止时间，投标截止日发生变化的应在指定媒体发变更公告。投标人在被告知、收到上述公告、通知或答疑书后，应立即向招标人回函确认。未确认情况应当视为对招标文件修改的知晓，也将视为对修改内容接受的默认。对于未在投标文件中对修改内容做实质性响应的，对其产生的不利因素由未确认者自行承担。</w:t>
      </w:r>
    </w:p>
    <w:p>
      <w:pPr>
        <w:ind w:firstLine="480"/>
        <w:rPr>
          <w:rFonts w:ascii="宋体"/>
          <w:sz w:val="24"/>
        </w:rPr>
      </w:pPr>
      <w:r>
        <w:rPr>
          <w:rFonts w:hint="eastAsia" w:ascii="宋体" w:hAnsi="宋体"/>
          <w:sz w:val="24"/>
        </w:rPr>
        <w:t>为使投标人准备投标时有充分时间对招标文件的补充或修改内容进行考虑和研究或由于其他原因，招标人应根据相关法律条例规定，决定是否延长投标文件递交截止时间和开标时间，并将此变更通知上述每一投标人。</w:t>
      </w:r>
    </w:p>
    <w:p>
      <w:pPr>
        <w:pStyle w:val="6"/>
        <w:spacing w:before="156" w:after="156"/>
        <w:ind w:firstLine="482"/>
        <w:rPr>
          <w:rFonts w:hint="eastAsia"/>
        </w:rPr>
      </w:pPr>
      <w:bookmarkStart w:id="78" w:name="_Toc27368"/>
      <w:bookmarkStart w:id="79" w:name="_Toc25187"/>
      <w:bookmarkStart w:id="80" w:name="_Toc459622964"/>
      <w:bookmarkStart w:id="81" w:name="_Toc493008675"/>
      <w:bookmarkStart w:id="82" w:name="_Toc17804"/>
      <w:bookmarkStart w:id="83" w:name="_Toc526878894"/>
      <w:r>
        <w:t>3.</w:t>
      </w:r>
      <w:r>
        <w:rPr>
          <w:rFonts w:hint="eastAsia"/>
        </w:rPr>
        <w:t>3.6</w:t>
      </w:r>
      <w:r>
        <w:t xml:space="preserve"> </w:t>
      </w:r>
      <w:r>
        <w:rPr>
          <w:rFonts w:hint="eastAsia"/>
        </w:rPr>
        <w:t>答疑会和现场考察</w:t>
      </w:r>
      <w:bookmarkEnd w:id="78"/>
      <w:bookmarkEnd w:id="79"/>
      <w:bookmarkEnd w:id="80"/>
      <w:bookmarkEnd w:id="81"/>
      <w:bookmarkEnd w:id="82"/>
      <w:bookmarkEnd w:id="83"/>
    </w:p>
    <w:p>
      <w:pPr>
        <w:ind w:firstLine="480"/>
        <w:rPr>
          <w:rFonts w:ascii="宋体" w:hAnsi="宋体"/>
          <w:sz w:val="24"/>
        </w:rPr>
      </w:pPr>
      <w:r>
        <w:rPr>
          <w:rFonts w:hint="eastAsia" w:ascii="宋体" w:hAnsi="宋体"/>
          <w:sz w:val="24"/>
        </w:rPr>
        <w:t>本项目的答疑会详见投标人须知前附表2.12。</w:t>
      </w:r>
    </w:p>
    <w:p>
      <w:pPr>
        <w:ind w:firstLine="480"/>
        <w:rPr>
          <w:rFonts w:hint="eastAsia"/>
        </w:rPr>
      </w:pPr>
      <w:r>
        <w:rPr>
          <w:rFonts w:hint="eastAsia" w:ascii="宋体" w:hAnsi="宋体"/>
          <w:sz w:val="24"/>
        </w:rPr>
        <w:t>本项目的现场考察详见投标人须知前附表2.13。</w:t>
      </w:r>
    </w:p>
    <w:p>
      <w:pPr>
        <w:ind w:firstLine="480"/>
        <w:rPr>
          <w:rFonts w:hint="eastAsia" w:ascii="宋体" w:hAnsi="宋体"/>
          <w:sz w:val="24"/>
        </w:rPr>
      </w:pPr>
      <w:r>
        <w:rPr>
          <w:rFonts w:hint="eastAsia" w:ascii="宋体" w:hAnsi="宋体"/>
          <w:sz w:val="24"/>
        </w:rPr>
        <w:t>采购人或者采购代理机构可以在招标文件提供期限截止后，组织已获取招标文件的潜在投标人现场考察或者召开开标前答疑会。</w:t>
      </w:r>
    </w:p>
    <w:p>
      <w:pPr>
        <w:ind w:firstLine="480"/>
        <w:rPr>
          <w:rFonts w:ascii="宋体" w:hAnsi="宋体"/>
          <w:sz w:val="24"/>
        </w:rPr>
      </w:pPr>
      <w:r>
        <w:rPr>
          <w:rFonts w:hint="eastAsia" w:ascii="宋体" w:hAnsi="宋体"/>
          <w:sz w:val="24"/>
        </w:rPr>
        <w:t>组织现场考察或者召开答疑会的，应当在招标文件中载明，或者在招标文件提供期限截止后以书面形式通知所有获取招标文件的潜在投标人。</w:t>
      </w:r>
    </w:p>
    <w:p>
      <w:pPr>
        <w:ind w:firstLine="480"/>
        <w:rPr>
          <w:rFonts w:hint="eastAsia" w:ascii="宋体" w:hAnsi="宋体"/>
          <w:sz w:val="24"/>
        </w:rPr>
      </w:pPr>
      <w:r>
        <w:rPr>
          <w:rFonts w:hint="eastAsia" w:ascii="宋体" w:hAnsi="宋体"/>
          <w:sz w:val="24"/>
        </w:rPr>
        <w:t>投标人现场考察所产生的一切费用及风险由投标人自己承担。</w:t>
      </w:r>
    </w:p>
    <w:p>
      <w:pPr>
        <w:pStyle w:val="5"/>
        <w:rPr>
          <w:rFonts w:ascii="宋体" w:hAnsi="宋体"/>
        </w:rPr>
      </w:pPr>
      <w:bookmarkStart w:id="84" w:name="_Toc459622965"/>
      <w:bookmarkStart w:id="85" w:name="_Toc447272154"/>
      <w:bookmarkStart w:id="86" w:name="_Toc12602"/>
      <w:bookmarkStart w:id="87" w:name="_Toc17692"/>
      <w:bookmarkStart w:id="88" w:name="_Toc18385"/>
      <w:bookmarkStart w:id="89" w:name="_Toc447207017"/>
      <w:bookmarkStart w:id="90" w:name="_Toc526878895"/>
      <w:bookmarkStart w:id="91" w:name="_Toc493008676"/>
      <w:r>
        <w:rPr>
          <w:rFonts w:hint="eastAsia" w:ascii="宋体" w:hAnsi="宋体"/>
          <w:szCs w:val="28"/>
        </w:rPr>
        <w:t>3.4</w:t>
      </w:r>
      <w:r>
        <w:rPr>
          <w:rFonts w:ascii="宋体" w:hAnsi="宋体"/>
          <w:szCs w:val="28"/>
        </w:rPr>
        <w:t xml:space="preserve"> </w:t>
      </w:r>
      <w:r>
        <w:rPr>
          <w:rFonts w:hint="eastAsia" w:ascii="宋体" w:hAnsi="宋体"/>
          <w:szCs w:val="28"/>
        </w:rPr>
        <w:t xml:space="preserve"> 投标</w:t>
      </w:r>
      <w:bookmarkEnd w:id="84"/>
      <w:bookmarkEnd w:id="85"/>
      <w:bookmarkEnd w:id="86"/>
      <w:bookmarkEnd w:id="87"/>
      <w:bookmarkEnd w:id="88"/>
      <w:bookmarkEnd w:id="89"/>
      <w:bookmarkEnd w:id="90"/>
      <w:bookmarkEnd w:id="91"/>
    </w:p>
    <w:p>
      <w:pPr>
        <w:pStyle w:val="6"/>
        <w:spacing w:before="156" w:after="156"/>
        <w:ind w:firstLine="482"/>
      </w:pPr>
      <w:bookmarkStart w:id="92" w:name="_Toc526878896"/>
      <w:bookmarkStart w:id="93" w:name="_Toc493008677"/>
      <w:bookmarkStart w:id="94" w:name="_Toc13973"/>
      <w:bookmarkStart w:id="95" w:name="_Toc1866"/>
      <w:bookmarkStart w:id="96" w:name="_Toc25527"/>
      <w:bookmarkStart w:id="97" w:name="_Toc459622966"/>
      <w:r>
        <w:rPr>
          <w:rFonts w:hint="eastAsia"/>
        </w:rPr>
        <w:t>3.</w:t>
      </w:r>
      <w:r>
        <w:t>4.1</w:t>
      </w:r>
      <w:r>
        <w:rPr>
          <w:rFonts w:hint="eastAsia"/>
        </w:rPr>
        <w:t>投标综合要求及说明</w:t>
      </w:r>
      <w:bookmarkEnd w:id="92"/>
      <w:bookmarkEnd w:id="93"/>
      <w:bookmarkEnd w:id="94"/>
      <w:bookmarkEnd w:id="95"/>
      <w:bookmarkEnd w:id="96"/>
      <w:bookmarkEnd w:id="97"/>
    </w:p>
    <w:p>
      <w:pPr>
        <w:ind w:firstLine="480"/>
        <w:rPr>
          <w:sz w:val="24"/>
        </w:rPr>
      </w:pPr>
      <w:r>
        <w:rPr>
          <w:rFonts w:hint="eastAsia"/>
          <w:sz w:val="24"/>
        </w:rPr>
        <w:t>（1）投标人投标只能报一个方案进行投标；</w:t>
      </w:r>
    </w:p>
    <w:p>
      <w:pPr>
        <w:ind w:firstLine="480"/>
        <w:rPr>
          <w:sz w:val="24"/>
        </w:rPr>
      </w:pPr>
      <w:r>
        <w:rPr>
          <w:rFonts w:hint="eastAsia"/>
          <w:sz w:val="24"/>
        </w:rPr>
        <w:t>（2）投标人对投标产品技术性能的描述因欠缺或漏报而影响对投标人投标文件的评比，不利后果由投标人自行承担；</w:t>
      </w:r>
    </w:p>
    <w:p>
      <w:pPr>
        <w:ind w:firstLine="480"/>
        <w:rPr>
          <w:sz w:val="24"/>
        </w:rPr>
      </w:pPr>
      <w:r>
        <w:rPr>
          <w:rFonts w:hint="eastAsia"/>
          <w:sz w:val="24"/>
        </w:rPr>
        <w:t>（3）投标人在本次项目中所提供的货物对于招标文件中的技术参数要求必须满足，否则视为无效投标；</w:t>
      </w:r>
    </w:p>
    <w:p>
      <w:pPr>
        <w:ind w:firstLine="480"/>
        <w:rPr>
          <w:sz w:val="24"/>
        </w:rPr>
      </w:pPr>
      <w:r>
        <w:rPr>
          <w:rFonts w:hint="eastAsia"/>
          <w:sz w:val="24"/>
        </w:rPr>
        <w:t>（4）招标人发现具有《政府采购法》第七十七条中第一至五项情形之一规定的情形的，有权宣布投标程序和结果无效，在涉标的公证性与违法问题的调查或检查中，中标投标人如拒绝有关部门的监督检查，视其情节，招标人也有权宣布中标结果视同无效。招标人同时报备同级财政部门确认，并对投、中标人的损失不承担任何责任；</w:t>
      </w:r>
    </w:p>
    <w:p>
      <w:pPr>
        <w:ind w:firstLine="480"/>
        <w:rPr>
          <w:sz w:val="24"/>
        </w:rPr>
      </w:pPr>
      <w:r>
        <w:rPr>
          <w:rFonts w:hint="eastAsia"/>
          <w:sz w:val="24"/>
        </w:rPr>
        <w:t>（5）</w:t>
      </w:r>
      <w:r>
        <w:rPr>
          <w:rFonts w:hint="eastAsia" w:ascii="宋体" w:hAnsi="宋体"/>
          <w:sz w:val="24"/>
        </w:rPr>
        <w:t>单位负责人为同一人或者存在直接控股、管理关系的不同投标人，不得参加同一合同项下的政府采购活动。</w:t>
      </w:r>
      <w:r>
        <w:rPr>
          <w:rFonts w:hint="eastAsia"/>
          <w:sz w:val="24"/>
        </w:rPr>
        <w:t>除单一来源采购项目外，为采购项目提供整体设计、规范编制或者项目管理、监理、检测等服务的投标人，不得再参加该采购项目的其他采购活动。</w:t>
      </w:r>
    </w:p>
    <w:p>
      <w:pPr>
        <w:ind w:firstLine="480"/>
        <w:rPr>
          <w:sz w:val="24"/>
        </w:rPr>
      </w:pPr>
      <w:r>
        <w:rPr>
          <w:rFonts w:hint="eastAsia"/>
          <w:sz w:val="24"/>
        </w:rPr>
        <w:t>（6）招标人可视投标品目价格情况适当增加或减少采购数量，并保留拆包或取消采购某些品目的权力；</w:t>
      </w:r>
    </w:p>
    <w:p>
      <w:pPr>
        <w:ind w:firstLine="480"/>
        <w:rPr>
          <w:sz w:val="24"/>
        </w:rPr>
      </w:pPr>
      <w:r>
        <w:rPr>
          <w:rFonts w:hint="eastAsia"/>
          <w:sz w:val="24"/>
        </w:rPr>
        <w:t>（7） 投标人应自行承担所有与准备和参加投标有关的费用。不论投标的结果如何，招标人无义务和责任承担相关费用。</w:t>
      </w:r>
    </w:p>
    <w:p>
      <w:pPr>
        <w:ind w:firstLine="480"/>
        <w:rPr>
          <w:sz w:val="24"/>
        </w:rPr>
      </w:pPr>
      <w:r>
        <w:rPr>
          <w:rFonts w:hint="eastAsia"/>
          <w:sz w:val="24"/>
        </w:rPr>
        <w:t>（8）投标人在制作投标文件时须按照资料内容编制目录。</w:t>
      </w:r>
    </w:p>
    <w:p>
      <w:pPr>
        <w:pStyle w:val="6"/>
        <w:spacing w:before="156" w:after="156"/>
        <w:ind w:firstLine="482"/>
      </w:pPr>
      <w:bookmarkStart w:id="98" w:name="_Toc31732"/>
      <w:bookmarkStart w:id="99" w:name="_Toc526878897"/>
      <w:bookmarkStart w:id="100" w:name="_Toc31366"/>
      <w:bookmarkStart w:id="101" w:name="_Toc459622967"/>
      <w:bookmarkStart w:id="102" w:name="_Toc493008678"/>
      <w:bookmarkStart w:id="103" w:name="_Toc17282"/>
      <w:r>
        <w:rPr>
          <w:rFonts w:hint="eastAsia"/>
        </w:rPr>
        <w:t>3.4.2投标文件的语言</w:t>
      </w:r>
      <w:bookmarkEnd w:id="98"/>
      <w:bookmarkEnd w:id="99"/>
      <w:bookmarkEnd w:id="100"/>
      <w:bookmarkEnd w:id="101"/>
      <w:bookmarkEnd w:id="102"/>
      <w:bookmarkEnd w:id="103"/>
    </w:p>
    <w:p>
      <w:pPr>
        <w:ind w:firstLine="480"/>
        <w:rPr>
          <w:sz w:val="24"/>
        </w:rPr>
      </w:pPr>
      <w:bookmarkStart w:id="104" w:name="_Toc415577045"/>
      <w:r>
        <w:rPr>
          <w:rFonts w:hint="eastAsia"/>
          <w:sz w:val="24"/>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bookmarkEnd w:id="104"/>
    </w:p>
    <w:p>
      <w:pPr>
        <w:ind w:firstLine="480"/>
        <w:rPr>
          <w:sz w:val="24"/>
        </w:rPr>
      </w:pPr>
      <w:bookmarkStart w:id="105" w:name="_Toc415577046"/>
      <w:r>
        <w:rPr>
          <w:rFonts w:hint="eastAsia"/>
          <w:sz w:val="24"/>
        </w:rPr>
        <w:t>翻译的中文资料与外文资料如果出现差异和矛盾时，以中文为准。但不能故意错误翻译，否则，投标人的投标文件将作为无效投标处理。</w:t>
      </w:r>
      <w:bookmarkEnd w:id="105"/>
    </w:p>
    <w:p>
      <w:pPr>
        <w:pStyle w:val="6"/>
        <w:spacing w:before="156" w:after="156"/>
        <w:ind w:firstLine="482"/>
      </w:pPr>
      <w:bookmarkStart w:id="106" w:name="_Toc526878898"/>
      <w:bookmarkStart w:id="107" w:name="_Toc13029"/>
      <w:bookmarkStart w:id="108" w:name="_Toc459622968"/>
      <w:bookmarkStart w:id="109" w:name="_Toc5104"/>
      <w:bookmarkStart w:id="110" w:name="_Toc493008679"/>
      <w:bookmarkStart w:id="111" w:name="_Toc18789"/>
      <w:r>
        <w:rPr>
          <w:rFonts w:hint="eastAsia"/>
        </w:rPr>
        <w:t>3.4.3计量单位</w:t>
      </w:r>
      <w:bookmarkEnd w:id="106"/>
      <w:bookmarkEnd w:id="107"/>
      <w:bookmarkEnd w:id="108"/>
      <w:bookmarkEnd w:id="109"/>
      <w:bookmarkEnd w:id="110"/>
      <w:bookmarkEnd w:id="111"/>
    </w:p>
    <w:p>
      <w:pPr>
        <w:ind w:firstLine="480"/>
        <w:rPr>
          <w:sz w:val="24"/>
        </w:rPr>
      </w:pPr>
      <w:bookmarkStart w:id="112" w:name="_Toc415577048"/>
      <w:r>
        <w:rPr>
          <w:rFonts w:hint="eastAsia"/>
          <w:sz w:val="24"/>
        </w:rPr>
        <w:t>除技术规格及要求中另有规定外，本采购项下的投标均采用国家法定的计量单位。</w:t>
      </w:r>
      <w:bookmarkEnd w:id="112"/>
    </w:p>
    <w:p>
      <w:pPr>
        <w:pStyle w:val="6"/>
        <w:spacing w:before="156" w:after="156"/>
        <w:ind w:firstLine="482"/>
      </w:pPr>
      <w:bookmarkStart w:id="113" w:name="_Toc1206"/>
      <w:bookmarkStart w:id="114" w:name="_Toc526878899"/>
      <w:bookmarkStart w:id="115" w:name="_Toc4724"/>
      <w:bookmarkStart w:id="116" w:name="_Toc8530"/>
      <w:bookmarkStart w:id="117" w:name="_Toc493008680"/>
      <w:bookmarkStart w:id="118" w:name="_Toc459622969"/>
      <w:r>
        <w:rPr>
          <w:rFonts w:hint="eastAsia"/>
        </w:rPr>
        <w:t>3.</w:t>
      </w:r>
      <w:r>
        <w:t>4.</w:t>
      </w:r>
      <w:r>
        <w:rPr>
          <w:rFonts w:hint="eastAsia"/>
        </w:rPr>
        <w:t>4投标货币</w:t>
      </w:r>
      <w:bookmarkEnd w:id="113"/>
      <w:bookmarkEnd w:id="114"/>
      <w:bookmarkEnd w:id="115"/>
      <w:bookmarkEnd w:id="116"/>
      <w:bookmarkEnd w:id="117"/>
      <w:bookmarkEnd w:id="118"/>
    </w:p>
    <w:p>
      <w:pPr>
        <w:ind w:firstLine="480"/>
        <w:rPr>
          <w:sz w:val="24"/>
        </w:rPr>
      </w:pPr>
      <w:bookmarkStart w:id="119" w:name="_Toc415577050"/>
      <w:r>
        <w:rPr>
          <w:rFonts w:hint="eastAsia"/>
          <w:sz w:val="24"/>
        </w:rPr>
        <w:t>本次招标项目的投标均以人民币报价。</w:t>
      </w:r>
      <w:bookmarkEnd w:id="119"/>
    </w:p>
    <w:p>
      <w:pPr>
        <w:pStyle w:val="6"/>
        <w:spacing w:before="156" w:after="156"/>
        <w:ind w:firstLine="482"/>
      </w:pPr>
      <w:bookmarkStart w:id="120" w:name="_Toc1843"/>
      <w:bookmarkStart w:id="121" w:name="_Toc493008681"/>
      <w:bookmarkStart w:id="122" w:name="_Toc19207"/>
      <w:bookmarkStart w:id="123" w:name="_Toc459622970"/>
      <w:bookmarkStart w:id="124" w:name="_Toc526878900"/>
      <w:bookmarkStart w:id="125" w:name="_Toc4255"/>
      <w:r>
        <w:rPr>
          <w:rFonts w:hint="eastAsia"/>
        </w:rPr>
        <w:t>3.</w:t>
      </w:r>
      <w:r>
        <w:t>4.</w:t>
      </w:r>
      <w:r>
        <w:rPr>
          <w:rFonts w:hint="eastAsia"/>
        </w:rPr>
        <w:t>5联合体投标</w:t>
      </w:r>
      <w:bookmarkEnd w:id="120"/>
      <w:bookmarkEnd w:id="121"/>
      <w:bookmarkEnd w:id="122"/>
      <w:bookmarkEnd w:id="123"/>
      <w:bookmarkEnd w:id="124"/>
      <w:bookmarkEnd w:id="125"/>
    </w:p>
    <w:p>
      <w:pPr>
        <w:ind w:firstLine="480"/>
        <w:rPr>
          <w:sz w:val="24"/>
        </w:rPr>
      </w:pPr>
      <w:bookmarkStart w:id="126" w:name="_Toc415577052"/>
      <w:r>
        <w:rPr>
          <w:rFonts w:hint="eastAsia"/>
          <w:sz w:val="24"/>
        </w:rPr>
        <w:t>本项目是否接受联合体投标详见投标人须知前附表2.11。</w:t>
      </w:r>
    </w:p>
    <w:p>
      <w:pPr>
        <w:ind w:firstLine="480"/>
        <w:rPr>
          <w:sz w:val="24"/>
        </w:rPr>
      </w:pPr>
      <w:r>
        <w:rPr>
          <w:rFonts w:hint="eastAsia"/>
          <w:sz w:val="24"/>
        </w:rPr>
        <w:t>两个以上投标人可以组成一个投标联合体，以一个投标人的身份投标。以联合体形式参加投标的，联合体各方均应当符合《政府采购法》第二十二条第一款规定的条件及实施条例的规定。</w:t>
      </w:r>
      <w:bookmarkEnd w:id="126"/>
    </w:p>
    <w:p>
      <w:pPr>
        <w:ind w:firstLine="480"/>
        <w:rPr>
          <w:sz w:val="24"/>
        </w:rPr>
      </w:pPr>
      <w:bookmarkStart w:id="127" w:name="_Toc415577053"/>
      <w:r>
        <w:rPr>
          <w:rFonts w:hint="eastAsia"/>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投标。</w:t>
      </w:r>
      <w:bookmarkEnd w:id="127"/>
    </w:p>
    <w:p>
      <w:pPr>
        <w:ind w:firstLine="480"/>
        <w:rPr>
          <w:sz w:val="24"/>
        </w:rPr>
      </w:pPr>
      <w:bookmarkStart w:id="128" w:name="_Toc415577054"/>
      <w:r>
        <w:rPr>
          <w:rFonts w:hint="eastAsia"/>
          <w:sz w:val="24"/>
        </w:rPr>
        <w:t>联合体应当确定其中一个单位为投标的全权代表，负责参加投标的一切事务，并承担投标及履约中应承担的全部责任与义务。</w:t>
      </w:r>
      <w:bookmarkEnd w:id="128"/>
    </w:p>
    <w:p>
      <w:pPr>
        <w:ind w:firstLine="480"/>
        <w:rPr>
          <w:sz w:val="24"/>
        </w:rPr>
      </w:pPr>
      <w:bookmarkStart w:id="129" w:name="_Toc415577055"/>
      <w:r>
        <w:rPr>
          <w:rFonts w:hint="eastAsia"/>
          <w:sz w:val="24"/>
        </w:rPr>
        <w:t>联合体各方应当共同与采购人签订采购合同，就采购合同约定的事项对采购人承担连带责任。</w:t>
      </w:r>
      <w:bookmarkEnd w:id="129"/>
    </w:p>
    <w:p>
      <w:pPr>
        <w:pStyle w:val="6"/>
        <w:spacing w:before="156" w:after="156"/>
        <w:ind w:firstLine="482"/>
      </w:pPr>
      <w:bookmarkStart w:id="130" w:name="_Toc22788"/>
      <w:bookmarkStart w:id="131" w:name="_Toc493008682"/>
      <w:bookmarkStart w:id="132" w:name="_Toc459622971"/>
      <w:bookmarkStart w:id="133" w:name="_Toc20332"/>
      <w:bookmarkStart w:id="134" w:name="_Toc526878901"/>
      <w:bookmarkStart w:id="135" w:name="_Toc9657"/>
      <w:r>
        <w:rPr>
          <w:rFonts w:hint="eastAsia"/>
        </w:rPr>
        <w:t>3.</w:t>
      </w:r>
      <w:r>
        <w:t>4.</w:t>
      </w:r>
      <w:r>
        <w:rPr>
          <w:rFonts w:hint="eastAsia"/>
        </w:rPr>
        <w:t>6知识产权</w:t>
      </w:r>
      <w:bookmarkEnd w:id="130"/>
      <w:bookmarkEnd w:id="131"/>
      <w:bookmarkEnd w:id="132"/>
      <w:bookmarkEnd w:id="133"/>
      <w:bookmarkEnd w:id="134"/>
      <w:bookmarkEnd w:id="135"/>
    </w:p>
    <w:p>
      <w:pPr>
        <w:ind w:firstLine="480"/>
        <w:rPr>
          <w:sz w:val="24"/>
        </w:rPr>
      </w:pPr>
      <w:bookmarkStart w:id="136" w:name="_Toc415577057"/>
      <w:r>
        <w:rPr>
          <w:rFonts w:hint="eastAsia"/>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bookmarkEnd w:id="136"/>
    </w:p>
    <w:p>
      <w:pPr>
        <w:ind w:firstLine="480"/>
        <w:rPr>
          <w:sz w:val="24"/>
        </w:rPr>
      </w:pPr>
      <w:bookmarkStart w:id="137" w:name="_Toc415577058"/>
      <w:r>
        <w:rPr>
          <w:rFonts w:hint="eastAsia"/>
          <w:sz w:val="24"/>
        </w:rPr>
        <w:t>采购人享有本项目实施过程中产生的知识成果及知识产权。</w:t>
      </w:r>
      <w:bookmarkEnd w:id="137"/>
    </w:p>
    <w:p>
      <w:pPr>
        <w:ind w:firstLine="480"/>
        <w:rPr>
          <w:sz w:val="24"/>
        </w:rPr>
      </w:pPr>
      <w:bookmarkStart w:id="138" w:name="_Toc415577059"/>
      <w:r>
        <w:rPr>
          <w:rFonts w:hint="eastAsia"/>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bookmarkEnd w:id="138"/>
    </w:p>
    <w:p>
      <w:pPr>
        <w:ind w:firstLine="480"/>
        <w:rPr>
          <w:rFonts w:ascii="宋体" w:hAnsi="宋体"/>
          <w:sz w:val="24"/>
        </w:rPr>
      </w:pPr>
      <w:bookmarkStart w:id="139" w:name="_Toc415577060"/>
      <w:r>
        <w:rPr>
          <w:rFonts w:hint="eastAsia"/>
          <w:sz w:val="24"/>
        </w:rPr>
        <w:t>如采用投标人所不拥有的知识产权，则在投标报价中必须包括合法获取该知识产权的相关费用。</w:t>
      </w:r>
      <w:bookmarkEnd w:id="139"/>
    </w:p>
    <w:p>
      <w:pPr>
        <w:pStyle w:val="6"/>
        <w:spacing w:before="156" w:after="156"/>
        <w:ind w:firstLine="482"/>
      </w:pPr>
      <w:bookmarkStart w:id="140" w:name="_Toc22294"/>
      <w:bookmarkStart w:id="141" w:name="_Toc4247"/>
      <w:bookmarkStart w:id="142" w:name="_Toc10722"/>
      <w:bookmarkStart w:id="143" w:name="_Toc526878902"/>
      <w:bookmarkStart w:id="144" w:name="_Toc493008683"/>
      <w:bookmarkStart w:id="145" w:name="_Toc459622972"/>
      <w:r>
        <w:rPr>
          <w:rFonts w:hint="eastAsia"/>
        </w:rPr>
        <w:t>3.</w:t>
      </w:r>
      <w:r>
        <w:t>4.</w:t>
      </w:r>
      <w:r>
        <w:rPr>
          <w:rFonts w:hint="eastAsia"/>
        </w:rPr>
        <w:t>7投标文件的组成</w:t>
      </w:r>
      <w:bookmarkEnd w:id="140"/>
      <w:bookmarkEnd w:id="141"/>
      <w:bookmarkEnd w:id="142"/>
      <w:bookmarkEnd w:id="143"/>
      <w:bookmarkEnd w:id="144"/>
      <w:bookmarkEnd w:id="145"/>
    </w:p>
    <w:p>
      <w:pPr>
        <w:ind w:firstLine="480"/>
        <w:rPr>
          <w:sz w:val="24"/>
        </w:rPr>
      </w:pPr>
      <w:bookmarkStart w:id="146" w:name="_Toc18712"/>
      <w:bookmarkStart w:id="147" w:name="_Toc493008684"/>
      <w:bookmarkStart w:id="148" w:name="_Toc27448"/>
      <w:bookmarkStart w:id="149" w:name="_Toc30036"/>
      <w:bookmarkStart w:id="150" w:name="_Toc459622973"/>
      <w:r>
        <w:rPr>
          <w:rFonts w:hint="eastAsia"/>
          <w:sz w:val="24"/>
        </w:rPr>
        <w:t>投标人应按照招标文件的规定和要求编制投标文件</w:t>
      </w:r>
      <w:r>
        <w:rPr>
          <w:rFonts w:hint="eastAsia" w:ascii="宋体" w:hAnsi="宋体"/>
          <w:color w:val="000000"/>
          <w:sz w:val="24"/>
        </w:rPr>
        <w:t>。投标人中标后将中标项目的非主体、非关键性工作交由他人完成的，应当在投标文件中载明。</w:t>
      </w:r>
      <w:r>
        <w:rPr>
          <w:rFonts w:hint="eastAsia"/>
          <w:sz w:val="24"/>
        </w:rPr>
        <w:t>投标人编写的投标文件应包括下列部分：报价部分、技术部分、商务部分、售后服务。</w:t>
      </w:r>
    </w:p>
    <w:p>
      <w:pPr>
        <w:ind w:firstLine="482"/>
        <w:rPr>
          <w:sz w:val="24"/>
        </w:rPr>
      </w:pPr>
      <w:r>
        <w:rPr>
          <w:rFonts w:hint="eastAsia" w:ascii="宋体" w:hAnsi="宋体"/>
          <w:b/>
          <w:sz w:val="24"/>
        </w:rPr>
        <w:t>（一）报价部分。</w:t>
      </w:r>
      <w:r>
        <w:rPr>
          <w:rFonts w:hint="eastAsia"/>
          <w:sz w:val="24"/>
        </w:rPr>
        <w:t>须标明各品目单价、合计及总价，否则视为无效投标。</w:t>
      </w:r>
    </w:p>
    <w:p>
      <w:pPr>
        <w:ind w:firstLine="480"/>
        <w:rPr>
          <w:rFonts w:ascii="宋体"/>
          <w:sz w:val="24"/>
        </w:rPr>
      </w:pPr>
      <w:r>
        <w:rPr>
          <w:rFonts w:hint="eastAsia" w:ascii="宋体" w:hAnsi="宋体"/>
          <w:sz w:val="24"/>
        </w:rPr>
        <w:t>投标人按照招标文件要求填写“开标一览表”及“分项报价表”。本次招标报价要求：</w:t>
      </w:r>
    </w:p>
    <w:p>
      <w:pPr>
        <w:ind w:firstLine="480"/>
        <w:rPr>
          <w:rFonts w:ascii="宋体"/>
          <w:color w:val="000000"/>
          <w:sz w:val="24"/>
        </w:rPr>
      </w:pPr>
      <w:r>
        <w:rPr>
          <w:rFonts w:hint="eastAsia" w:ascii="宋体" w:hAnsi="宋体"/>
          <w:color w:val="000000"/>
          <w:sz w:val="24"/>
        </w:rPr>
        <w:t>（1）投标人的报价是投标人响应招标项目要求的全部工作内容的价格体现，包括投标人完成本项目所需的一切费用。</w:t>
      </w:r>
    </w:p>
    <w:p>
      <w:pPr>
        <w:ind w:firstLine="480"/>
        <w:rPr>
          <w:rFonts w:ascii="宋体"/>
          <w:color w:val="000000"/>
          <w:sz w:val="24"/>
        </w:rPr>
      </w:pPr>
      <w:r>
        <w:rPr>
          <w:rFonts w:hint="eastAsia" w:ascii="宋体" w:hAnsi="宋体"/>
          <w:color w:val="000000"/>
          <w:sz w:val="24"/>
        </w:rPr>
        <w:t>（2）投标人每种货物只允许有一个报价，并且在合同履行过程中是固定不变的，任何有选择或可调整的报价将不予接受，并按无效投标处理。</w:t>
      </w:r>
    </w:p>
    <w:p>
      <w:pPr>
        <w:ind w:firstLine="482"/>
        <w:rPr>
          <w:rFonts w:ascii="宋体"/>
          <w:sz w:val="24"/>
        </w:rPr>
      </w:pPr>
      <w:r>
        <w:rPr>
          <w:rFonts w:hint="eastAsia" w:ascii="宋体" w:hAnsi="宋体"/>
          <w:b/>
          <w:sz w:val="24"/>
        </w:rPr>
        <w:t>（二）技术部分。</w:t>
      </w:r>
      <w:r>
        <w:rPr>
          <w:rFonts w:hint="eastAsia" w:ascii="宋体" w:hAnsi="宋体"/>
          <w:sz w:val="24"/>
        </w:rPr>
        <w:t>投标人按照招标文件要求做出的技术应答，主要是针对招标项目的技术指标、参数和技术要求做出的实质性响应和满足。投标人的技术应答应包括下列内容：</w:t>
      </w:r>
    </w:p>
    <w:p>
      <w:pPr>
        <w:ind w:firstLine="720" w:firstLineChars="300"/>
        <w:rPr>
          <w:rFonts w:ascii="宋体"/>
          <w:sz w:val="24"/>
        </w:rPr>
      </w:pPr>
      <w:r>
        <w:rPr>
          <w:rFonts w:hint="eastAsia" w:ascii="宋体" w:hAnsi="宋体"/>
          <w:sz w:val="24"/>
        </w:rPr>
        <w:t>（1）投标产品的品牌、型号、配置；</w:t>
      </w:r>
    </w:p>
    <w:p>
      <w:pPr>
        <w:ind w:firstLine="720" w:firstLineChars="300"/>
        <w:rPr>
          <w:rFonts w:ascii="宋体"/>
          <w:color w:val="000000"/>
          <w:sz w:val="24"/>
        </w:rPr>
      </w:pPr>
      <w:r>
        <w:rPr>
          <w:rFonts w:hint="eastAsia" w:ascii="宋体" w:hAnsi="宋体"/>
          <w:color w:val="000000"/>
          <w:sz w:val="24"/>
        </w:rPr>
        <w:t>（2）详细的技术指标和参数；</w:t>
      </w:r>
    </w:p>
    <w:p>
      <w:pPr>
        <w:ind w:firstLine="720" w:firstLineChars="300"/>
        <w:rPr>
          <w:rFonts w:ascii="宋体"/>
          <w:color w:val="000000"/>
          <w:sz w:val="24"/>
        </w:rPr>
      </w:pPr>
      <w:r>
        <w:rPr>
          <w:rFonts w:hint="eastAsia" w:ascii="宋体" w:hAnsi="宋体"/>
          <w:color w:val="000000"/>
          <w:sz w:val="24"/>
        </w:rPr>
        <w:t>（3）技术方案、项目实施方案；</w:t>
      </w:r>
    </w:p>
    <w:p>
      <w:pPr>
        <w:ind w:firstLine="720" w:firstLineChars="300"/>
        <w:rPr>
          <w:rFonts w:ascii="宋体"/>
          <w:color w:val="000000"/>
          <w:sz w:val="24"/>
        </w:rPr>
      </w:pPr>
      <w:r>
        <w:rPr>
          <w:rFonts w:hint="eastAsia" w:ascii="宋体" w:hAnsi="宋体"/>
          <w:color w:val="000000"/>
          <w:sz w:val="24"/>
        </w:rPr>
        <w:t>（4）技术要求偏离表；</w:t>
      </w:r>
    </w:p>
    <w:p>
      <w:pPr>
        <w:ind w:firstLine="720" w:firstLineChars="300"/>
        <w:rPr>
          <w:rFonts w:ascii="宋体"/>
          <w:color w:val="000000"/>
          <w:sz w:val="24"/>
        </w:rPr>
      </w:pPr>
      <w:r>
        <w:rPr>
          <w:rFonts w:hint="eastAsia" w:ascii="宋体" w:hAnsi="宋体"/>
          <w:color w:val="000000"/>
          <w:sz w:val="24"/>
        </w:rPr>
        <w:t>（5）产品彩页资料；</w:t>
      </w:r>
    </w:p>
    <w:p>
      <w:pPr>
        <w:ind w:firstLine="720" w:firstLineChars="300"/>
        <w:rPr>
          <w:rFonts w:ascii="宋体"/>
          <w:color w:val="000000"/>
          <w:sz w:val="24"/>
        </w:rPr>
      </w:pPr>
      <w:r>
        <w:rPr>
          <w:rFonts w:hint="eastAsia" w:ascii="宋体" w:hAnsi="宋体"/>
          <w:color w:val="000000"/>
          <w:sz w:val="24"/>
        </w:rPr>
        <w:t>（6）产品工作环境条件；</w:t>
      </w:r>
    </w:p>
    <w:p>
      <w:pPr>
        <w:ind w:firstLine="720" w:firstLineChars="300"/>
        <w:rPr>
          <w:rFonts w:ascii="宋体"/>
          <w:color w:val="000000"/>
          <w:sz w:val="24"/>
        </w:rPr>
      </w:pPr>
      <w:r>
        <w:rPr>
          <w:rFonts w:hint="eastAsia" w:ascii="宋体" w:hAnsi="宋体"/>
          <w:color w:val="000000"/>
          <w:sz w:val="24"/>
        </w:rPr>
        <w:t>（7）产品验收标准和验收方法；</w:t>
      </w:r>
    </w:p>
    <w:p>
      <w:pPr>
        <w:ind w:firstLine="720" w:firstLineChars="300"/>
        <w:rPr>
          <w:rFonts w:ascii="宋体"/>
          <w:color w:val="000000"/>
          <w:sz w:val="24"/>
        </w:rPr>
      </w:pPr>
      <w:r>
        <w:rPr>
          <w:rFonts w:hint="eastAsia" w:ascii="宋体" w:hAnsi="宋体"/>
          <w:color w:val="000000"/>
          <w:sz w:val="24"/>
        </w:rPr>
        <w:t>（8）产品验收清单（注明各部件的品名、数量、价格、规格型号和原产地或生产厂家）。</w:t>
      </w:r>
    </w:p>
    <w:p>
      <w:pPr>
        <w:ind w:firstLine="720" w:firstLineChars="300"/>
        <w:rPr>
          <w:rFonts w:ascii="宋体"/>
          <w:color w:val="000000"/>
          <w:sz w:val="24"/>
        </w:rPr>
      </w:pPr>
      <w:r>
        <w:rPr>
          <w:rFonts w:hint="eastAsia" w:ascii="宋体" w:hAnsi="宋体"/>
          <w:color w:val="000000"/>
          <w:sz w:val="24"/>
        </w:rPr>
        <w:t>（9）投标人认为需要提供的文件和资料。</w:t>
      </w:r>
    </w:p>
    <w:p>
      <w:pPr>
        <w:ind w:firstLine="482"/>
        <w:rPr>
          <w:rFonts w:ascii="宋体"/>
          <w:sz w:val="24"/>
        </w:rPr>
      </w:pPr>
      <w:r>
        <w:rPr>
          <w:rFonts w:hint="eastAsia" w:ascii="宋体" w:hAnsi="宋体"/>
          <w:b/>
          <w:sz w:val="24"/>
        </w:rPr>
        <w:t>（三）商务部分。</w:t>
      </w:r>
      <w:r>
        <w:rPr>
          <w:rFonts w:hint="eastAsia" w:ascii="宋体" w:hAnsi="宋体"/>
          <w:sz w:val="24"/>
        </w:rPr>
        <w:t>投标人按照招标文件要求提供的有关资质证明文件,包括以下内容：（未特殊说明的，均应提供原件）</w:t>
      </w:r>
    </w:p>
    <w:p>
      <w:pPr>
        <w:ind w:firstLine="720" w:firstLineChars="300"/>
        <w:rPr>
          <w:rFonts w:ascii="宋体"/>
          <w:sz w:val="24"/>
        </w:rPr>
      </w:pPr>
      <w:r>
        <w:rPr>
          <w:rFonts w:hint="eastAsia" w:ascii="宋体" w:hAnsi="宋体"/>
          <w:sz w:val="24"/>
        </w:rPr>
        <w:t>（1）投标函；</w:t>
      </w:r>
    </w:p>
    <w:p>
      <w:pPr>
        <w:ind w:firstLine="720" w:firstLineChars="300"/>
        <w:rPr>
          <w:rFonts w:ascii="宋体" w:hAnsi="宋体"/>
          <w:sz w:val="24"/>
        </w:rPr>
      </w:pPr>
      <w:r>
        <w:rPr>
          <w:rFonts w:hint="eastAsia" w:ascii="宋体" w:hAnsi="宋体"/>
          <w:sz w:val="24"/>
        </w:rPr>
        <w:t>（2）</w:t>
      </w:r>
      <w:r>
        <w:rPr>
          <w:rFonts w:hint="eastAsia" w:ascii="宋体" w:hAnsi="宋体"/>
          <w:color w:val="000000"/>
          <w:sz w:val="24"/>
        </w:rPr>
        <w:t>证明投标人资格符合招标文件规定的证明文件（详见投标人须知前附表2.5）；</w:t>
      </w:r>
    </w:p>
    <w:p>
      <w:pPr>
        <w:ind w:firstLine="720" w:firstLineChars="300"/>
        <w:rPr>
          <w:rFonts w:ascii="宋体" w:hAnsi="宋体"/>
          <w:sz w:val="24"/>
        </w:rPr>
      </w:pPr>
      <w:r>
        <w:rPr>
          <w:rFonts w:hint="eastAsia" w:ascii="宋体" w:hAnsi="宋体"/>
          <w:sz w:val="24"/>
        </w:rPr>
        <w:t>（3）证明</w:t>
      </w:r>
      <w:r>
        <w:rPr>
          <w:rFonts w:hint="eastAsia" w:ascii="宋体" w:hAnsi="宋体"/>
          <w:color w:val="000000"/>
          <w:sz w:val="24"/>
        </w:rPr>
        <w:t>投标货物的合格性的证明文件；</w:t>
      </w:r>
    </w:p>
    <w:p>
      <w:pPr>
        <w:ind w:firstLine="720" w:firstLineChars="300"/>
        <w:rPr>
          <w:rFonts w:ascii="宋体"/>
          <w:sz w:val="24"/>
        </w:rPr>
      </w:pPr>
      <w:r>
        <w:rPr>
          <w:rFonts w:hint="eastAsia" w:ascii="宋体" w:hAnsi="宋体"/>
          <w:sz w:val="24"/>
        </w:rPr>
        <w:t>（4）投标保证金交纳凭证复印件；</w:t>
      </w:r>
    </w:p>
    <w:p>
      <w:pPr>
        <w:ind w:firstLine="720" w:firstLineChars="300"/>
        <w:rPr>
          <w:rFonts w:hint="eastAsia" w:ascii="宋体" w:hAnsi="宋体"/>
          <w:sz w:val="24"/>
        </w:rPr>
      </w:pPr>
      <w:r>
        <w:rPr>
          <w:rFonts w:hint="eastAsia" w:ascii="宋体" w:hAnsi="宋体"/>
          <w:sz w:val="24"/>
        </w:rPr>
        <w:t>（5）提供</w:t>
      </w:r>
      <w:r>
        <w:rPr>
          <w:rFonts w:hint="eastAsia" w:ascii="宋体" w:hAnsi="宋体"/>
          <w:sz w:val="24"/>
          <w:lang w:val="en-US" w:eastAsia="zh-CN"/>
        </w:rPr>
        <w:t>2018年度财务审计报告（新成立公司提供资信证明）、近三个月依法缴纳税收和社会保障资金的相关证明材料</w:t>
      </w:r>
      <w:r>
        <w:rPr>
          <w:rFonts w:hint="eastAsia" w:ascii="宋体" w:hAnsi="宋体"/>
          <w:sz w:val="24"/>
        </w:rPr>
        <w:t>；</w:t>
      </w:r>
    </w:p>
    <w:p>
      <w:pPr>
        <w:ind w:firstLine="720" w:firstLineChars="300"/>
        <w:rPr>
          <w:rFonts w:hint="eastAsia" w:ascii="宋体" w:hAnsi="宋体"/>
          <w:sz w:val="24"/>
        </w:rPr>
      </w:pPr>
      <w:r>
        <w:rPr>
          <w:rFonts w:hint="eastAsia" w:ascii="宋体" w:hAnsi="宋体"/>
          <w:sz w:val="24"/>
        </w:rPr>
        <w:t>（6）供应商须提供参加政府采购活动前3年内（或公司成立之日起）在经营活动中没有重大违法记录的书面声明原件；（原件装入投标文件正本，并作为资格审查的必要条件）；</w:t>
      </w:r>
    </w:p>
    <w:p>
      <w:pPr>
        <w:ind w:firstLine="720" w:firstLineChars="300"/>
        <w:rPr>
          <w:rFonts w:hint="eastAsia" w:ascii="宋体" w:hAnsi="宋体"/>
          <w:sz w:val="24"/>
        </w:rPr>
      </w:pPr>
      <w:r>
        <w:rPr>
          <w:rFonts w:hint="eastAsia" w:ascii="宋体" w:hAnsi="宋体"/>
          <w:sz w:val="24"/>
        </w:rPr>
        <w:t>（7）提供基本开户银行开户许可证</w:t>
      </w:r>
      <w:r>
        <w:rPr>
          <w:rFonts w:hint="eastAsia" w:ascii="宋体" w:hAnsi="宋体"/>
          <w:sz w:val="24"/>
          <w:lang w:eastAsia="zh-CN"/>
        </w:rPr>
        <w:t>复印件</w:t>
      </w:r>
      <w:r>
        <w:rPr>
          <w:rFonts w:hint="eastAsia" w:ascii="宋体" w:hAnsi="宋体"/>
          <w:sz w:val="24"/>
        </w:rPr>
        <w:t>；</w:t>
      </w:r>
    </w:p>
    <w:p>
      <w:pPr>
        <w:pStyle w:val="2"/>
        <w:ind w:left="0" w:leftChars="0" w:firstLine="720" w:firstLineChars="300"/>
        <w:rPr>
          <w:rFonts w:hint="eastAsia" w:eastAsia="宋体"/>
          <w:lang w:eastAsia="zh-CN"/>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）投标单位须具备城市及道路照明工程专业施工安装</w:t>
      </w:r>
      <w:r>
        <w:rPr>
          <w:rFonts w:hint="eastAsia" w:ascii="宋体" w:hAnsi="宋体"/>
          <w:sz w:val="24"/>
          <w:lang w:val="en-US" w:eastAsia="zh-CN"/>
        </w:rPr>
        <w:t>叁</w:t>
      </w:r>
      <w:r>
        <w:rPr>
          <w:rFonts w:hint="eastAsia" w:ascii="宋体" w:hAnsi="宋体"/>
          <w:sz w:val="24"/>
          <w:lang w:eastAsia="zh-CN"/>
        </w:rPr>
        <w:t>级以上（含</w:t>
      </w:r>
      <w:r>
        <w:rPr>
          <w:rFonts w:hint="eastAsia" w:ascii="宋体" w:hAnsi="宋体"/>
          <w:sz w:val="24"/>
          <w:lang w:val="en-US" w:eastAsia="zh-CN"/>
        </w:rPr>
        <w:t>叁</w:t>
      </w:r>
      <w:r>
        <w:rPr>
          <w:rFonts w:hint="eastAsia" w:ascii="宋体" w:hAnsi="宋体"/>
          <w:sz w:val="24"/>
          <w:lang w:eastAsia="zh-CN"/>
        </w:rPr>
        <w:t>级）资质证书及安全生产许可证；</w:t>
      </w:r>
    </w:p>
    <w:p>
      <w:pPr>
        <w:ind w:firstLine="720" w:firstLineChars="30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color w:val="000000"/>
          <w:sz w:val="24"/>
        </w:rPr>
        <w:t>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供应商认定）；</w:t>
      </w:r>
    </w:p>
    <w:p>
      <w:pPr>
        <w:ind w:firstLine="720" w:firstLineChars="300"/>
        <w:rPr>
          <w:rFonts w:asci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color w:val="000000"/>
          <w:sz w:val="24"/>
        </w:rPr>
        <w:t>证明投标人业绩和荣誉的有关材料；</w:t>
      </w:r>
    </w:p>
    <w:p>
      <w:pPr>
        <w:ind w:firstLine="720" w:firstLineChars="300"/>
        <w:rPr>
          <w:rFonts w:ascii="宋体"/>
          <w:color w:val="000000"/>
          <w:sz w:val="24"/>
        </w:rPr>
      </w:pPr>
      <w:r>
        <w:rPr>
          <w:rFonts w:hint="eastAsia" w:ascii="宋体" w:hAnsi="宋体"/>
          <w:color w:val="000000"/>
          <w:sz w:val="24"/>
        </w:rPr>
        <w:t>（1</w:t>
      </w:r>
      <w:r>
        <w:rPr>
          <w:rFonts w:hint="eastAsia" w:ascii="宋体" w:hAnsi="宋体"/>
          <w:color w:val="000000"/>
          <w:sz w:val="24"/>
          <w:lang w:val="en-US" w:eastAsia="zh-CN"/>
        </w:rPr>
        <w:t>1</w:t>
      </w:r>
      <w:r>
        <w:rPr>
          <w:rFonts w:hint="eastAsia" w:ascii="宋体" w:hAnsi="宋体"/>
          <w:color w:val="000000"/>
          <w:sz w:val="24"/>
        </w:rPr>
        <w:t>）商务条款偏离表；</w:t>
      </w:r>
    </w:p>
    <w:p>
      <w:pPr>
        <w:ind w:firstLine="720" w:firstLineChars="300"/>
        <w:rPr>
          <w:rFonts w:ascii="宋体" w:hAnsi="宋体"/>
          <w:sz w:val="24"/>
        </w:rPr>
      </w:pPr>
      <w:r>
        <w:rPr>
          <w:rFonts w:hint="eastAsia"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sz w:val="24"/>
        </w:rPr>
        <w:t>投标人获得相应政府采购政策优惠的，应提供相关证明材料。</w:t>
      </w:r>
    </w:p>
    <w:p>
      <w:pPr>
        <w:ind w:firstLine="720" w:firstLineChars="300"/>
        <w:rPr>
          <w:rFonts w:hint="eastAsia"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）中小企业声明函（属于中小微企业的供应商提供）</w:t>
      </w:r>
    </w:p>
    <w:p>
      <w:pPr>
        <w:ind w:firstLine="720" w:firstLineChars="300"/>
        <w:rPr>
          <w:rFonts w:asci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）投标人认为需要提供的文件和资料。</w:t>
      </w:r>
    </w:p>
    <w:p>
      <w:pPr>
        <w:ind w:firstLine="482"/>
        <w:rPr>
          <w:rFonts w:ascii="宋体"/>
          <w:color w:val="000000"/>
          <w:sz w:val="24"/>
        </w:rPr>
      </w:pPr>
      <w:r>
        <w:rPr>
          <w:rFonts w:hint="eastAsia" w:ascii="宋体" w:hAnsi="宋体"/>
          <w:b/>
          <w:color w:val="000000"/>
          <w:sz w:val="24"/>
        </w:rPr>
        <w:t>（四）售后部分：注意：</w:t>
      </w:r>
      <w:r>
        <w:rPr>
          <w:rFonts w:hint="eastAsia" w:ascii="宋体" w:hAnsi="宋体"/>
          <w:color w:val="000000"/>
          <w:sz w:val="24"/>
        </w:rPr>
        <w:t>投标人按照招标文件中售后服务要求做出的积极响应和承诺。包括以下内容：</w:t>
      </w:r>
    </w:p>
    <w:p>
      <w:pPr>
        <w:ind w:firstLine="480"/>
        <w:rPr>
          <w:rFonts w:ascii="宋体"/>
          <w:color w:val="000000"/>
          <w:sz w:val="24"/>
        </w:rPr>
      </w:pPr>
      <w:r>
        <w:rPr>
          <w:rFonts w:hint="eastAsia" w:ascii="宋体" w:hAnsi="宋体"/>
          <w:color w:val="000000"/>
          <w:sz w:val="24"/>
        </w:rPr>
        <w:t>①产品制造厂家或投标人设立的售后服务机构网点清单、服务电话和维修人员名单（加盖公章）；</w:t>
      </w:r>
    </w:p>
    <w:p>
      <w:pPr>
        <w:ind w:firstLine="480"/>
        <w:rPr>
          <w:rFonts w:ascii="宋体"/>
          <w:color w:val="000000"/>
          <w:sz w:val="24"/>
        </w:rPr>
      </w:pPr>
      <w:r>
        <w:rPr>
          <w:rFonts w:hint="eastAsia" w:ascii="宋体" w:hAnsi="宋体"/>
          <w:color w:val="000000"/>
          <w:sz w:val="24"/>
        </w:rPr>
        <w:t>②说明投标产品的保修时间、保修期内的保修内容与范围、维修响应时间等。分别提供产品制造厂家和投标人的服务承诺和保障措施；</w:t>
      </w:r>
    </w:p>
    <w:p>
      <w:pPr>
        <w:ind w:firstLine="480"/>
        <w:rPr>
          <w:rFonts w:ascii="宋体"/>
          <w:color w:val="000000"/>
          <w:sz w:val="24"/>
        </w:rPr>
      </w:pPr>
      <w:r>
        <w:rPr>
          <w:rFonts w:hint="eastAsia" w:ascii="宋体" w:hAnsi="宋体"/>
          <w:color w:val="000000"/>
          <w:sz w:val="24"/>
        </w:rPr>
        <w:t>③培训措施：说明培训内容及培训的时间、地点、目标、培训人数、收费标准和办法；</w:t>
      </w:r>
    </w:p>
    <w:p>
      <w:pPr>
        <w:ind w:firstLine="480"/>
        <w:rPr>
          <w:rFonts w:ascii="宋体"/>
          <w:color w:val="000000"/>
          <w:sz w:val="24"/>
        </w:rPr>
      </w:pPr>
      <w:r>
        <w:rPr>
          <w:rFonts w:hint="eastAsia" w:ascii="宋体" w:hAnsi="宋体"/>
          <w:color w:val="000000"/>
          <w:sz w:val="24"/>
        </w:rPr>
        <w:t>④其他有利于用户的服务承诺。</w:t>
      </w:r>
    </w:p>
    <w:p>
      <w:pPr>
        <w:pStyle w:val="6"/>
        <w:spacing w:before="156" w:after="156"/>
        <w:ind w:firstLine="482"/>
      </w:pPr>
      <w:bookmarkStart w:id="151" w:name="_Toc526878903"/>
      <w:r>
        <w:rPr>
          <w:rFonts w:hint="eastAsia"/>
        </w:rPr>
        <w:t>3.</w:t>
      </w:r>
      <w:r>
        <w:t>4.</w:t>
      </w:r>
      <w:r>
        <w:rPr>
          <w:rFonts w:hint="eastAsia"/>
        </w:rPr>
        <w:t>8投标文件格式</w:t>
      </w:r>
      <w:bookmarkEnd w:id="146"/>
      <w:bookmarkEnd w:id="147"/>
      <w:bookmarkEnd w:id="148"/>
      <w:bookmarkEnd w:id="149"/>
      <w:bookmarkEnd w:id="150"/>
      <w:bookmarkEnd w:id="151"/>
    </w:p>
    <w:p>
      <w:pPr>
        <w:ind w:firstLine="480"/>
        <w:rPr>
          <w:rFonts w:ascii="宋体"/>
          <w:sz w:val="24"/>
        </w:rPr>
      </w:pPr>
      <w:r>
        <w:rPr>
          <w:rFonts w:hint="eastAsia" w:ascii="宋体" w:hAnsi="宋体"/>
          <w:sz w:val="24"/>
        </w:rPr>
        <w:t>（1）投标人在制作投标文件时须按照资料内容编制目录。</w:t>
      </w:r>
    </w:p>
    <w:p>
      <w:pPr>
        <w:ind w:firstLine="480"/>
        <w:rPr>
          <w:rFonts w:ascii="宋体"/>
          <w:sz w:val="24"/>
        </w:rPr>
      </w:pPr>
      <w:r>
        <w:rPr>
          <w:rFonts w:hint="eastAsia" w:ascii="宋体" w:hAnsi="宋体"/>
          <w:sz w:val="24"/>
        </w:rPr>
        <w:t>（2）投标人应严格按照招标文件第六章附件中提供的格式填写相关内容。除明确允许投标人可以自行编写的外，投标人不得以格式规定之外的方式填写相关内容。否则，投标人提供的投标文件将作为无效投标处理。</w:t>
      </w:r>
    </w:p>
    <w:p>
      <w:pPr>
        <w:ind w:firstLine="480"/>
        <w:rPr>
          <w:rFonts w:ascii="宋体" w:hAnsi="宋体"/>
          <w:sz w:val="24"/>
        </w:rPr>
      </w:pPr>
      <w:r>
        <w:rPr>
          <w:rFonts w:hint="eastAsia" w:ascii="宋体" w:hAnsi="宋体"/>
          <w:sz w:val="24"/>
        </w:rPr>
        <w:t>（3）对于招标文件中没有要求的表格内容由投标人自行编写。</w:t>
      </w:r>
    </w:p>
    <w:p>
      <w:pPr>
        <w:pStyle w:val="6"/>
        <w:spacing w:before="156" w:after="156"/>
        <w:ind w:firstLine="482"/>
      </w:pPr>
      <w:bookmarkStart w:id="152" w:name="_Toc493008685"/>
      <w:bookmarkStart w:id="153" w:name="_Toc13977"/>
      <w:bookmarkStart w:id="154" w:name="_Toc28434"/>
      <w:bookmarkStart w:id="155" w:name="_Toc32246"/>
      <w:bookmarkStart w:id="156" w:name="_Toc526878904"/>
      <w:bookmarkStart w:id="157" w:name="_Toc459622974"/>
      <w:r>
        <w:rPr>
          <w:rFonts w:hint="eastAsia"/>
        </w:rPr>
        <w:t>3.4.9投标有效期</w:t>
      </w:r>
      <w:bookmarkEnd w:id="152"/>
      <w:bookmarkEnd w:id="153"/>
      <w:bookmarkEnd w:id="154"/>
      <w:bookmarkEnd w:id="155"/>
      <w:bookmarkEnd w:id="156"/>
      <w:bookmarkEnd w:id="157"/>
    </w:p>
    <w:p>
      <w:pPr>
        <w:ind w:firstLine="480"/>
        <w:rPr>
          <w:rFonts w:ascii="宋体"/>
          <w:sz w:val="24"/>
        </w:rPr>
      </w:pPr>
      <w:r>
        <w:rPr>
          <w:rFonts w:hint="eastAsia" w:ascii="宋体" w:hAnsi="宋体"/>
          <w:sz w:val="24"/>
        </w:rPr>
        <w:t>投标有效期详见投标人须知前附表2.8。</w:t>
      </w:r>
    </w:p>
    <w:p>
      <w:pPr>
        <w:pStyle w:val="6"/>
        <w:spacing w:before="156" w:after="156"/>
        <w:ind w:firstLine="482"/>
      </w:pPr>
      <w:bookmarkStart w:id="158" w:name="_Toc139965340"/>
      <w:bookmarkStart w:id="159" w:name="_Toc493008686"/>
      <w:bookmarkStart w:id="160" w:name="_Toc10694"/>
      <w:bookmarkStart w:id="161" w:name="_Toc459622975"/>
      <w:bookmarkStart w:id="162" w:name="_Toc526878905"/>
      <w:bookmarkStart w:id="163" w:name="_Toc7748"/>
      <w:bookmarkStart w:id="164" w:name="_Toc11197"/>
      <w:bookmarkStart w:id="165" w:name="_Toc128372066"/>
      <w:bookmarkStart w:id="166" w:name="_Toc128372744"/>
      <w:r>
        <w:rPr>
          <w:rFonts w:hint="eastAsia"/>
        </w:rPr>
        <w:t>3.4</w:t>
      </w:r>
      <w:r>
        <w:t>.1</w:t>
      </w:r>
      <w:r>
        <w:rPr>
          <w:rFonts w:hint="eastAsia"/>
        </w:rPr>
        <w:t>0投标保证金</w:t>
      </w:r>
      <w:bookmarkEnd w:id="158"/>
      <w:bookmarkEnd w:id="159"/>
      <w:bookmarkEnd w:id="160"/>
      <w:bookmarkEnd w:id="161"/>
      <w:bookmarkEnd w:id="162"/>
      <w:bookmarkEnd w:id="163"/>
      <w:bookmarkEnd w:id="164"/>
      <w:bookmarkEnd w:id="165"/>
      <w:bookmarkEnd w:id="166"/>
    </w:p>
    <w:p>
      <w:pPr>
        <w:ind w:firstLine="480"/>
        <w:rPr>
          <w:rFonts w:ascii="宋体"/>
          <w:sz w:val="24"/>
        </w:rPr>
      </w:pPr>
      <w:r>
        <w:rPr>
          <w:rFonts w:hint="eastAsia" w:ascii="宋体" w:hAnsi="宋体"/>
          <w:sz w:val="24"/>
        </w:rPr>
        <w:t>投标保证金数额及交纳方式详见投标人须知前附表2.9。</w:t>
      </w:r>
    </w:p>
    <w:p>
      <w:pPr>
        <w:ind w:firstLine="480"/>
        <w:rPr>
          <w:rFonts w:ascii="宋体" w:hAnsi="宋体"/>
          <w:sz w:val="24"/>
        </w:rPr>
      </w:pPr>
      <w:r>
        <w:rPr>
          <w:rFonts w:hint="eastAsia" w:ascii="宋体" w:hAnsi="宋体"/>
          <w:sz w:val="24"/>
        </w:rPr>
        <w:t>对于未能按招标文件要求交纳投标保证金的，投标无效。</w:t>
      </w:r>
    </w:p>
    <w:p>
      <w:pPr>
        <w:ind w:firstLine="480"/>
        <w:rPr>
          <w:rFonts w:ascii="宋体"/>
          <w:sz w:val="24"/>
        </w:rPr>
      </w:pPr>
      <w:r>
        <w:rPr>
          <w:rFonts w:hint="eastAsia" w:ascii="宋体" w:hAnsi="宋体"/>
          <w:sz w:val="24"/>
        </w:rPr>
        <w:t>未中标投标人的投标保证金，在中标通知书发出之日起5个工作日内，投标单位联系采购代理机构办理退还事宜。中标商的投标保证金待与采购人签订合同后即予无息退还。</w:t>
      </w:r>
    </w:p>
    <w:p>
      <w:pPr>
        <w:ind w:firstLine="482"/>
        <w:rPr>
          <w:rFonts w:ascii="宋体"/>
          <w:b/>
          <w:sz w:val="24"/>
        </w:rPr>
      </w:pPr>
      <w:r>
        <w:rPr>
          <w:rFonts w:hint="eastAsia" w:ascii="宋体" w:hAnsi="宋体"/>
          <w:b/>
          <w:sz w:val="24"/>
        </w:rPr>
        <w:t>如投标人有下列情况，投标保证金不予退还：</w:t>
      </w:r>
    </w:p>
    <w:p>
      <w:pPr>
        <w:ind w:firstLine="480"/>
        <w:rPr>
          <w:rFonts w:ascii="宋体"/>
          <w:sz w:val="24"/>
        </w:rPr>
      </w:pPr>
      <w:r>
        <w:rPr>
          <w:rFonts w:hint="eastAsia" w:ascii="宋体" w:hAnsi="宋体"/>
          <w:sz w:val="24"/>
        </w:rPr>
        <w:t>（</w:t>
      </w:r>
      <w:r>
        <w:rPr>
          <w:rFonts w:ascii="宋体" w:hAnsi="宋体"/>
          <w:sz w:val="24"/>
        </w:rPr>
        <w:t>1</w:t>
      </w:r>
      <w:r>
        <w:rPr>
          <w:rFonts w:hint="eastAsia" w:ascii="宋体" w:hAnsi="宋体"/>
          <w:sz w:val="24"/>
        </w:rPr>
        <w:t>）如果投标人在招标文件规定的投标有效期内撤回投标。</w:t>
      </w:r>
    </w:p>
    <w:p>
      <w:pPr>
        <w:ind w:firstLine="480"/>
        <w:rPr>
          <w:rFonts w:ascii="宋体"/>
          <w:sz w:val="24"/>
        </w:rPr>
      </w:pPr>
      <w:r>
        <w:rPr>
          <w:rFonts w:hint="eastAsia" w:ascii="宋体" w:hAnsi="宋体"/>
          <w:sz w:val="24"/>
        </w:rPr>
        <w:t>（</w:t>
      </w:r>
      <w:r>
        <w:rPr>
          <w:rFonts w:ascii="宋体" w:hAnsi="宋体"/>
          <w:sz w:val="24"/>
        </w:rPr>
        <w:t>2</w:t>
      </w:r>
      <w:r>
        <w:rPr>
          <w:rFonts w:hint="eastAsia" w:ascii="宋体" w:hAnsi="宋体"/>
          <w:sz w:val="24"/>
        </w:rPr>
        <w:t>）由于中标人的原因未能按照招标文件的规定与采购人签订合同。</w:t>
      </w:r>
    </w:p>
    <w:p>
      <w:pPr>
        <w:ind w:firstLine="480"/>
        <w:rPr>
          <w:rFonts w:ascii="宋体"/>
          <w:sz w:val="24"/>
        </w:rPr>
      </w:pPr>
      <w:r>
        <w:rPr>
          <w:rFonts w:hint="eastAsia" w:ascii="宋体" w:hAnsi="宋体"/>
          <w:sz w:val="24"/>
        </w:rPr>
        <w:t>（</w:t>
      </w:r>
      <w:r>
        <w:rPr>
          <w:rFonts w:ascii="宋体" w:hAnsi="宋体"/>
          <w:sz w:val="24"/>
        </w:rPr>
        <w:t>3</w:t>
      </w:r>
      <w:r>
        <w:rPr>
          <w:rFonts w:hint="eastAsia" w:ascii="宋体" w:hAnsi="宋体"/>
          <w:sz w:val="24"/>
        </w:rPr>
        <w:t>）由于中标人的原因未能按照招标文件的规定交纳履约保证金。</w:t>
      </w:r>
    </w:p>
    <w:p>
      <w:pPr>
        <w:ind w:firstLine="48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）投标有效期内，投标人在政府采购活动中有违规、违纪和违法的行为；投标提供虚假材料谋取中标的。</w:t>
      </w:r>
    </w:p>
    <w:p>
      <w:pPr>
        <w:ind w:firstLine="48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）中标后，无正当理由不签订合同或转让、分包项目以及拒绝履行合同义务的。</w:t>
      </w:r>
    </w:p>
    <w:p>
      <w:pPr>
        <w:ind w:firstLine="480"/>
        <w:rPr>
          <w:rFonts w:ascii="宋体" w:hAnsi="宋体"/>
          <w:sz w:val="24"/>
        </w:rPr>
      </w:pPr>
      <w:r>
        <w:rPr>
          <w:rFonts w:hint="eastAsia" w:ascii="宋体" w:hAnsi="宋体"/>
          <w:sz w:val="24"/>
        </w:rPr>
        <w:t>（6) 中标公示前和中标公示期间，中标候选人无正当理由放弃中标资格的。</w:t>
      </w:r>
    </w:p>
    <w:p>
      <w:pPr>
        <w:ind w:firstLine="480"/>
        <w:rPr>
          <w:rFonts w:ascii="宋体" w:hAnsi="宋体"/>
          <w:sz w:val="24"/>
        </w:rPr>
      </w:pPr>
      <w:r>
        <w:rPr>
          <w:rFonts w:hint="eastAsia" w:ascii="宋体" w:hAnsi="宋体"/>
          <w:sz w:val="24"/>
        </w:rPr>
        <w:t>（7) 中标弃标的法律责任及处理方式：</w:t>
      </w:r>
      <w:r>
        <w:rPr>
          <w:rFonts w:ascii="宋体" w:hAnsi="宋体"/>
          <w:sz w:val="24"/>
        </w:rPr>
        <w:t>中标人的任何弃标行为都是违约行为（不可抗力导致的除外）。中标人放弃中标后，重新招标导致的时间延误和社会成本增加，顺延中标</w:t>
      </w:r>
      <w:r>
        <w:rPr>
          <w:rFonts w:hint="eastAsia" w:ascii="宋体" w:hAnsi="宋体"/>
          <w:sz w:val="24"/>
        </w:rPr>
        <w:t>结</w:t>
      </w:r>
      <w:r>
        <w:rPr>
          <w:rFonts w:ascii="宋体" w:hAnsi="宋体"/>
          <w:sz w:val="24"/>
        </w:rPr>
        <w:t>果导致合同价格抬升，采购人将蒙受合同价格损失。恶意弃标行为出现后，采购人有权要求弃标人依法承担赔偿合同差价损失</w:t>
      </w:r>
      <w:r>
        <w:rPr>
          <w:rFonts w:hint="eastAsia" w:ascii="宋体" w:hAnsi="宋体"/>
          <w:sz w:val="24"/>
        </w:rPr>
        <w:t>，并没收其</w:t>
      </w:r>
      <w:r>
        <w:rPr>
          <w:rFonts w:ascii="宋体" w:hAnsi="宋体"/>
          <w:sz w:val="24"/>
        </w:rPr>
        <w:t>投标保证金</w:t>
      </w:r>
      <w:r>
        <w:rPr>
          <w:rFonts w:hint="eastAsia" w:ascii="宋体" w:hAnsi="宋体"/>
          <w:sz w:val="24"/>
        </w:rPr>
        <w:t>，并报财政部门给予通报，禁止及3年内不得参与省内的投标活动。</w:t>
      </w:r>
    </w:p>
    <w:p>
      <w:pPr>
        <w:pStyle w:val="6"/>
        <w:spacing w:before="156" w:after="156"/>
        <w:ind w:firstLine="482"/>
      </w:pPr>
      <w:bookmarkStart w:id="167" w:name="_Toc128372746"/>
      <w:bookmarkStart w:id="168" w:name="_Toc128372068"/>
      <w:bookmarkStart w:id="169" w:name="_Toc139965341"/>
      <w:bookmarkStart w:id="170" w:name="_Toc493008687"/>
      <w:bookmarkStart w:id="171" w:name="_Toc22124"/>
      <w:bookmarkStart w:id="172" w:name="_Toc27002"/>
      <w:bookmarkStart w:id="173" w:name="_Toc459622976"/>
      <w:bookmarkStart w:id="174" w:name="_Toc526878906"/>
      <w:bookmarkStart w:id="175" w:name="_Toc15013"/>
      <w:r>
        <w:rPr>
          <w:rFonts w:hint="eastAsia"/>
        </w:rPr>
        <w:t>3.</w:t>
      </w:r>
      <w:r>
        <w:t>4.</w:t>
      </w:r>
      <w:bookmarkEnd w:id="167"/>
      <w:bookmarkEnd w:id="168"/>
      <w:bookmarkEnd w:id="169"/>
      <w:bookmarkStart w:id="176" w:name="_Toc128372069"/>
      <w:bookmarkStart w:id="177" w:name="_Toc128372747"/>
      <w:bookmarkStart w:id="178" w:name="_Toc139965342"/>
      <w:r>
        <w:t>1</w:t>
      </w:r>
      <w:r>
        <w:rPr>
          <w:rFonts w:hint="eastAsia"/>
        </w:rPr>
        <w:t>1投标文件的份数和签署</w:t>
      </w:r>
      <w:bookmarkEnd w:id="170"/>
      <w:bookmarkEnd w:id="171"/>
      <w:bookmarkEnd w:id="172"/>
      <w:bookmarkEnd w:id="173"/>
      <w:bookmarkEnd w:id="174"/>
      <w:bookmarkEnd w:id="175"/>
      <w:bookmarkEnd w:id="176"/>
      <w:bookmarkEnd w:id="177"/>
      <w:bookmarkEnd w:id="178"/>
    </w:p>
    <w:p>
      <w:pPr>
        <w:ind w:firstLine="480"/>
        <w:rPr>
          <w:rFonts w:ascii="宋体" w:hAnsi="宋体"/>
          <w:sz w:val="24"/>
        </w:rPr>
      </w:pPr>
      <w:bookmarkStart w:id="179" w:name="_Toc128372072"/>
      <w:bookmarkStart w:id="180" w:name="_Toc128372750"/>
      <w:bookmarkStart w:id="181" w:name="_Toc139965345"/>
      <w:r>
        <w:rPr>
          <w:rFonts w:hint="eastAsia" w:ascii="宋体" w:hAnsi="宋体"/>
          <w:sz w:val="24"/>
        </w:rPr>
        <w:t>投标文件的份数详见投标人须知前附表2.10。</w:t>
      </w:r>
    </w:p>
    <w:p>
      <w:pPr>
        <w:ind w:firstLine="480"/>
        <w:rPr>
          <w:rFonts w:ascii="宋体"/>
          <w:sz w:val="24"/>
        </w:rPr>
      </w:pPr>
      <w:r>
        <w:rPr>
          <w:rFonts w:hint="eastAsia" w:ascii="宋体" w:hAnsi="宋体"/>
          <w:sz w:val="24"/>
        </w:rPr>
        <w:t>明确标明“正本”和“副本”字样，投标文件正本和副本如有不一致之处，以正本为准。</w:t>
      </w:r>
    </w:p>
    <w:p>
      <w:pPr>
        <w:ind w:firstLine="480"/>
        <w:rPr>
          <w:sz w:val="24"/>
        </w:rPr>
      </w:pPr>
      <w:r>
        <w:rPr>
          <w:rFonts w:hint="eastAsia" w:ascii="宋体" w:hAnsi="宋体"/>
          <w:sz w:val="24"/>
        </w:rPr>
        <w:t>投标文件中除要求由投标人法定代表人或被授权人签字的内容必须签字、盖章外，其他每页也须加盖公章。</w:t>
      </w:r>
      <w:r>
        <w:rPr>
          <w:rFonts w:hint="eastAsia"/>
          <w:sz w:val="24"/>
        </w:rPr>
        <w:t>投标文件应使用不能擦去的墨水打印或书写。全套投标文件应无涂改和行间插字，除非这些删改是根据招标人的指示进行的，或者是投标人造成的必须修改的错误。修改处应由法人或授权的投标代表签字证明。</w:t>
      </w:r>
    </w:p>
    <w:p>
      <w:pPr>
        <w:pStyle w:val="6"/>
        <w:spacing w:before="120" w:after="120"/>
        <w:ind w:firstLine="482"/>
      </w:pPr>
      <w:bookmarkStart w:id="182" w:name="_Toc493008688"/>
      <w:bookmarkStart w:id="183" w:name="_Toc459622977"/>
      <w:bookmarkStart w:id="184" w:name="_Toc128372749"/>
      <w:bookmarkStart w:id="185" w:name="_Toc128372071"/>
      <w:bookmarkStart w:id="186" w:name="_Toc526878907"/>
      <w:bookmarkStart w:id="187" w:name="_Toc2277"/>
      <w:bookmarkStart w:id="188" w:name="_Toc14181"/>
      <w:bookmarkStart w:id="189" w:name="_Toc139965344"/>
      <w:bookmarkStart w:id="190" w:name="_Toc27565"/>
      <w:r>
        <w:rPr>
          <w:rFonts w:hint="eastAsia"/>
        </w:rPr>
        <w:t>3.</w:t>
      </w:r>
      <w:r>
        <w:t>4.1</w:t>
      </w:r>
      <w:r>
        <w:rPr>
          <w:rFonts w:hint="eastAsia"/>
        </w:rPr>
        <w:t>2投标文件的密封</w:t>
      </w:r>
      <w:bookmarkEnd w:id="182"/>
      <w:bookmarkEnd w:id="183"/>
      <w:bookmarkEnd w:id="184"/>
      <w:bookmarkEnd w:id="185"/>
      <w:bookmarkEnd w:id="186"/>
      <w:bookmarkEnd w:id="187"/>
      <w:bookmarkEnd w:id="188"/>
      <w:bookmarkEnd w:id="189"/>
      <w:bookmarkEnd w:id="190"/>
    </w:p>
    <w:p>
      <w:pPr>
        <w:widowControl/>
        <w:ind w:firstLine="480"/>
        <w:jc w:val="left"/>
      </w:pPr>
      <w:bookmarkStart w:id="191" w:name="_Toc459622978"/>
      <w:bookmarkStart w:id="192" w:name="_Toc17713"/>
      <w:bookmarkStart w:id="193" w:name="_Toc6141"/>
      <w:bookmarkStart w:id="194" w:name="_Toc493008689"/>
      <w:bookmarkStart w:id="195" w:name="_Toc10090"/>
      <w:r>
        <w:rPr>
          <w:rFonts w:ascii="宋体" w:hAnsi="宋体" w:cs="宋体"/>
          <w:kern w:val="0"/>
          <w:sz w:val="24"/>
          <w:szCs w:val="24"/>
          <w:lang w:bidi="ar"/>
        </w:rPr>
        <w:t>投标人的投标文件（包括正、副本、电子版）用信封密封，并在信封上标明“项目名称”、“招标编号”、“投标商名称”（盖公章），在封口处加盖骑缝章。有多个标段（包）的，投标文件按标段（包）分别密封包装。</w:t>
      </w:r>
      <w:r>
        <w:rPr>
          <w:rFonts w:ascii="宋体" w:hAnsi="宋体" w:cs="宋体"/>
          <w:kern w:val="0"/>
          <w:sz w:val="24"/>
          <w:szCs w:val="24"/>
          <w:lang w:bidi="ar"/>
        </w:rPr>
        <w:br w:type="textWrapping"/>
      </w:r>
      <w:r>
        <w:rPr>
          <w:rFonts w:hint="eastAsia" w:ascii="宋体" w:hAnsi="宋体" w:cs="宋体"/>
          <w:kern w:val="0"/>
          <w:sz w:val="24"/>
          <w:szCs w:val="24"/>
          <w:lang w:bidi="ar"/>
        </w:rPr>
        <w:t xml:space="preserve">   </w:t>
      </w:r>
      <w:r>
        <w:rPr>
          <w:rFonts w:ascii="宋体" w:hAnsi="宋体" w:cs="宋体"/>
          <w:kern w:val="0"/>
          <w:sz w:val="24"/>
          <w:szCs w:val="24"/>
          <w:lang w:bidi="ar"/>
        </w:rPr>
        <w:t xml:space="preserve">为方便招标人唱标，投标人请另做一份由投标人法定代表人或被授权人签字、盖投标人公章的书面投标报价表，即开标一览表（格式见附件5），单独密封于一小信封内，（密封要求与投标文件密封要求相同），同投标文件一同单独递交。 </w:t>
      </w:r>
    </w:p>
    <w:p>
      <w:pPr>
        <w:pStyle w:val="6"/>
        <w:spacing w:before="156" w:after="156"/>
        <w:ind w:firstLine="482"/>
      </w:pPr>
      <w:bookmarkStart w:id="196" w:name="_Toc526878908"/>
      <w:r>
        <w:rPr>
          <w:rFonts w:hint="eastAsia"/>
        </w:rPr>
        <w:t>3.</w:t>
      </w:r>
      <w:r>
        <w:t>4.1</w:t>
      </w:r>
      <w:r>
        <w:rPr>
          <w:rFonts w:hint="eastAsia"/>
        </w:rPr>
        <w:t>3投标文件递交</w:t>
      </w:r>
      <w:bookmarkEnd w:id="179"/>
      <w:bookmarkEnd w:id="180"/>
      <w:bookmarkEnd w:id="181"/>
      <w:bookmarkEnd w:id="191"/>
      <w:bookmarkEnd w:id="192"/>
      <w:bookmarkEnd w:id="193"/>
      <w:bookmarkEnd w:id="194"/>
      <w:bookmarkEnd w:id="195"/>
      <w:bookmarkEnd w:id="196"/>
    </w:p>
    <w:p>
      <w:pPr>
        <w:ind w:firstLine="480"/>
        <w:rPr>
          <w:rFonts w:ascii="宋体"/>
          <w:sz w:val="24"/>
          <w:szCs w:val="30"/>
        </w:rPr>
      </w:pPr>
      <w:r>
        <w:rPr>
          <w:rFonts w:hint="eastAsia" w:ascii="宋体" w:hAnsi="宋体"/>
          <w:sz w:val="24"/>
          <w:szCs w:val="30"/>
        </w:rPr>
        <w:t>投标文件应在投标文件递交时间内送达</w:t>
      </w:r>
      <w:r>
        <w:rPr>
          <w:rFonts w:hint="eastAsia" w:ascii="宋体" w:hAnsi="宋体"/>
          <w:sz w:val="24"/>
        </w:rPr>
        <w:t>招标文件指定地点，招标</w:t>
      </w:r>
      <w:r>
        <w:rPr>
          <w:rFonts w:hint="eastAsia" w:ascii="宋体" w:hAnsi="宋体"/>
          <w:sz w:val="24"/>
          <w:szCs w:val="30"/>
        </w:rPr>
        <w:t>人将拒绝接受在投标截止时间后递交的投标文件。</w:t>
      </w:r>
    </w:p>
    <w:p>
      <w:pPr>
        <w:pStyle w:val="6"/>
        <w:spacing w:before="156" w:after="156"/>
        <w:ind w:firstLine="482"/>
      </w:pPr>
      <w:bookmarkStart w:id="197" w:name="_Toc128372073"/>
      <w:bookmarkStart w:id="198" w:name="_Toc139965346"/>
      <w:bookmarkStart w:id="199" w:name="_Toc128372751"/>
      <w:bookmarkStart w:id="200" w:name="_Toc526878909"/>
      <w:bookmarkStart w:id="201" w:name="_Toc459622979"/>
      <w:bookmarkStart w:id="202" w:name="_Toc493008690"/>
      <w:bookmarkStart w:id="203" w:name="_Toc21950"/>
      <w:bookmarkStart w:id="204" w:name="_Toc15483"/>
      <w:bookmarkStart w:id="205" w:name="_Toc10133"/>
      <w:r>
        <w:rPr>
          <w:rFonts w:hint="eastAsia"/>
        </w:rPr>
        <w:t>3.</w:t>
      </w:r>
      <w:r>
        <w:t>4.1</w:t>
      </w:r>
      <w:r>
        <w:rPr>
          <w:rFonts w:hint="eastAsia"/>
        </w:rPr>
        <w:t>4投标</w:t>
      </w:r>
      <w:bookmarkEnd w:id="197"/>
      <w:bookmarkEnd w:id="198"/>
      <w:bookmarkEnd w:id="199"/>
      <w:r>
        <w:rPr>
          <w:rFonts w:hint="eastAsia"/>
        </w:rPr>
        <w:t>文件递交截止时间</w:t>
      </w:r>
      <w:bookmarkEnd w:id="200"/>
      <w:bookmarkEnd w:id="201"/>
      <w:bookmarkEnd w:id="202"/>
      <w:bookmarkEnd w:id="203"/>
      <w:bookmarkEnd w:id="204"/>
      <w:bookmarkEnd w:id="205"/>
    </w:p>
    <w:p>
      <w:pPr>
        <w:ind w:firstLine="600" w:firstLineChars="250"/>
        <w:rPr>
          <w:rFonts w:ascii="宋体" w:hAnsi="宋体"/>
          <w:sz w:val="24"/>
        </w:rPr>
      </w:pPr>
      <w:r>
        <w:rPr>
          <w:rFonts w:hint="eastAsia" w:ascii="宋体" w:hAnsi="宋体"/>
          <w:sz w:val="24"/>
        </w:rPr>
        <w:t>投标文件递交截止时间详见投标人须知前附表2.6。</w:t>
      </w:r>
    </w:p>
    <w:p>
      <w:pPr>
        <w:ind w:firstLine="600" w:firstLineChars="250"/>
        <w:rPr>
          <w:rFonts w:ascii="宋体" w:hAnsi="宋体"/>
          <w:sz w:val="24"/>
        </w:rPr>
      </w:pPr>
      <w:r>
        <w:rPr>
          <w:rFonts w:hint="eastAsia" w:ascii="宋体" w:hAnsi="宋体"/>
          <w:sz w:val="24"/>
        </w:rPr>
        <w:t>招标人或代理机构可视具体情况，延长投标截止时间和开标时间，但应当在提交投标文件截止时间3日前。变更时间应当在《甘肃政府采购网》发布。</w:t>
      </w:r>
    </w:p>
    <w:p>
      <w:pPr>
        <w:pStyle w:val="6"/>
        <w:spacing w:before="156" w:after="156"/>
        <w:ind w:firstLine="482"/>
      </w:pPr>
      <w:bookmarkStart w:id="206" w:name="_Toc17854"/>
      <w:bookmarkStart w:id="207" w:name="_Toc128372074"/>
      <w:bookmarkStart w:id="208" w:name="_Toc17945"/>
      <w:bookmarkStart w:id="209" w:name="_Toc139965347"/>
      <w:bookmarkStart w:id="210" w:name="_Toc459622980"/>
      <w:bookmarkStart w:id="211" w:name="_Toc128372752"/>
      <w:bookmarkStart w:id="212" w:name="_Toc32664"/>
      <w:bookmarkStart w:id="213" w:name="_Toc493008691"/>
      <w:bookmarkStart w:id="214" w:name="_Toc526878910"/>
      <w:r>
        <w:rPr>
          <w:rFonts w:hint="eastAsia"/>
        </w:rPr>
        <w:t>3.</w:t>
      </w:r>
      <w:r>
        <w:t>4.1</w:t>
      </w:r>
      <w:r>
        <w:rPr>
          <w:rFonts w:hint="eastAsia"/>
        </w:rPr>
        <w:t>5投标文件的修改与撤回</w:t>
      </w:r>
      <w:bookmarkEnd w:id="206"/>
      <w:bookmarkEnd w:id="207"/>
      <w:bookmarkEnd w:id="208"/>
      <w:bookmarkEnd w:id="209"/>
      <w:bookmarkEnd w:id="210"/>
      <w:bookmarkEnd w:id="211"/>
      <w:bookmarkEnd w:id="212"/>
      <w:bookmarkEnd w:id="213"/>
      <w:bookmarkEnd w:id="214"/>
    </w:p>
    <w:p>
      <w:pPr>
        <w:ind w:firstLine="480"/>
        <w:rPr>
          <w:rFonts w:ascii="宋体"/>
          <w:sz w:val="24"/>
        </w:rPr>
      </w:pPr>
      <w:r>
        <w:rPr>
          <w:rFonts w:hint="eastAsia" w:ascii="宋体" w:hAnsi="宋体"/>
          <w:sz w:val="24"/>
        </w:rPr>
        <w:t>投标人可以在递交投标文件以后，在规定的投标截止时间之前，可以书面形式向招标人递交修改或撤回其投标文件的通知。在投标截止时间以后，不能更改投标文件。</w:t>
      </w:r>
    </w:p>
    <w:p>
      <w:pPr>
        <w:ind w:firstLine="480"/>
        <w:rPr>
          <w:rFonts w:ascii="宋体" w:hAnsi="宋体"/>
          <w:sz w:val="24"/>
        </w:rPr>
      </w:pPr>
      <w:r>
        <w:rPr>
          <w:rFonts w:hint="eastAsia" w:ascii="宋体" w:hAnsi="宋体"/>
          <w:sz w:val="24"/>
        </w:rPr>
        <w:t>投标人的修改或撤回通知，应单独密封在一个信封中，在信封上注明“修改”或“撤回”的字样。同时，信封上还须按投标文件的密封要求加写标志。</w:t>
      </w:r>
    </w:p>
    <w:p>
      <w:pPr>
        <w:pStyle w:val="6"/>
        <w:spacing w:before="156" w:after="156"/>
        <w:ind w:firstLine="482"/>
      </w:pPr>
      <w:bookmarkStart w:id="215" w:name="_Toc14774"/>
      <w:bookmarkStart w:id="216" w:name="_Toc526878911"/>
      <w:bookmarkStart w:id="217" w:name="_Toc459622981"/>
      <w:bookmarkStart w:id="218" w:name="_Toc493008692"/>
      <w:bookmarkStart w:id="219" w:name="_Toc5924"/>
      <w:bookmarkStart w:id="220" w:name="_Toc9793"/>
      <w:r>
        <w:rPr>
          <w:rFonts w:hint="eastAsia"/>
        </w:rPr>
        <w:t>3.4.16特殊情形的规定</w:t>
      </w:r>
      <w:bookmarkEnd w:id="215"/>
      <w:bookmarkEnd w:id="216"/>
      <w:bookmarkEnd w:id="217"/>
      <w:bookmarkEnd w:id="218"/>
      <w:bookmarkEnd w:id="219"/>
      <w:bookmarkEnd w:id="220"/>
    </w:p>
    <w:p>
      <w:pPr>
        <w:pStyle w:val="20"/>
        <w:snapToGrid w:val="0"/>
        <w:spacing w:line="360" w:lineRule="auto"/>
        <w:ind w:firstLine="480"/>
        <w:jc w:val="left"/>
        <w:rPr>
          <w:rFonts w:hAnsi="宋体"/>
          <w:sz w:val="24"/>
          <w:szCs w:val="24"/>
        </w:rPr>
      </w:pPr>
      <w:r>
        <w:rPr>
          <w:rFonts w:hint="eastAsia" w:hAnsi="宋体"/>
          <w:sz w:val="24"/>
          <w:szCs w:val="24"/>
        </w:rPr>
        <w:t>特殊情形是指：在规定的投标截止时间</w:t>
      </w:r>
      <w:r>
        <w:rPr>
          <w:rFonts w:hint="eastAsia" w:hAnsi="宋体" w:cs="宋体"/>
          <w:sz w:val="24"/>
          <w:szCs w:val="24"/>
          <w:lang w:val="zh-CN"/>
        </w:rPr>
        <w:t>递交投标文件或者经评审实质性响应招标文件要求的投标人不足3家的情形。</w:t>
      </w:r>
    </w:p>
    <w:p>
      <w:pPr>
        <w:tabs>
          <w:tab w:val="left" w:pos="570"/>
          <w:tab w:val="left" w:pos="7560"/>
          <w:tab w:val="left" w:pos="7740"/>
          <w:tab w:val="left" w:pos="8280"/>
        </w:tabs>
        <w:adjustRightInd w:val="0"/>
        <w:snapToGrid w:val="0"/>
        <w:ind w:right="31" w:rightChars="15" w:firstLine="480"/>
        <w:jc w:val="left"/>
        <w:rPr>
          <w:rFonts w:ascii="宋体" w:hAnsi="宋体"/>
          <w:sz w:val="24"/>
        </w:rPr>
      </w:pPr>
      <w:r>
        <w:rPr>
          <w:rFonts w:hint="eastAsia" w:ascii="宋体" w:hAnsi="宋体"/>
          <w:sz w:val="24"/>
        </w:rPr>
        <w:t>（1）根据政府采购货物和服务招标投标管理办法（财政部令第87号）第四十一条的规定，投标人不足3家的，不得开标。</w:t>
      </w:r>
    </w:p>
    <w:p>
      <w:pPr>
        <w:tabs>
          <w:tab w:val="left" w:pos="570"/>
          <w:tab w:val="left" w:pos="7560"/>
          <w:tab w:val="left" w:pos="7740"/>
          <w:tab w:val="left" w:pos="8280"/>
        </w:tabs>
        <w:adjustRightInd w:val="0"/>
        <w:snapToGrid w:val="0"/>
        <w:ind w:right="31" w:rightChars="15" w:firstLine="480"/>
        <w:jc w:val="left"/>
        <w:rPr>
          <w:rFonts w:ascii="宋体" w:hAnsi="宋体"/>
          <w:sz w:val="24"/>
        </w:rPr>
      </w:pPr>
      <w:r>
        <w:rPr>
          <w:rFonts w:hint="eastAsia" w:ascii="宋体" w:hAnsi="宋体"/>
          <w:sz w:val="24"/>
        </w:rPr>
        <w:t>（2）公开招标数额标准以上的采购项目，投标截止后投标人不足3家或者通过资格审查或符合性审查的投标人不足3家的，除采购任务取消情形外，按照以下方式处理：</w:t>
      </w:r>
    </w:p>
    <w:p>
      <w:pPr>
        <w:tabs>
          <w:tab w:val="left" w:pos="570"/>
          <w:tab w:val="left" w:pos="7560"/>
          <w:tab w:val="left" w:pos="7740"/>
          <w:tab w:val="left" w:pos="8280"/>
        </w:tabs>
        <w:adjustRightInd w:val="0"/>
        <w:snapToGrid w:val="0"/>
        <w:ind w:left="359" w:leftChars="171" w:right="31" w:rightChars="15" w:firstLine="240" w:firstLineChars="100"/>
        <w:jc w:val="left"/>
        <w:rPr>
          <w:rFonts w:ascii="宋体" w:hAnsi="宋体"/>
          <w:sz w:val="24"/>
        </w:rPr>
      </w:pPr>
      <w:r>
        <w:rPr>
          <w:rFonts w:hint="eastAsia" w:ascii="宋体" w:hAnsi="宋体"/>
          <w:sz w:val="24"/>
        </w:rPr>
        <w:t>①招标文件存在不合理条款或者招标程序不符合规定的，采购人、采购代理机构改正后依法重新招标；</w:t>
      </w:r>
    </w:p>
    <w:p>
      <w:pPr>
        <w:tabs>
          <w:tab w:val="left" w:pos="570"/>
          <w:tab w:val="left" w:pos="7560"/>
          <w:tab w:val="left" w:pos="7740"/>
          <w:tab w:val="left" w:pos="8280"/>
        </w:tabs>
        <w:adjustRightInd w:val="0"/>
        <w:snapToGrid w:val="0"/>
        <w:ind w:left="359" w:leftChars="171" w:right="31" w:rightChars="15" w:firstLine="240" w:firstLineChars="100"/>
        <w:jc w:val="left"/>
        <w:rPr>
          <w:rFonts w:ascii="宋体" w:hAnsi="宋体"/>
          <w:b/>
          <w:sz w:val="24"/>
        </w:rPr>
      </w:pPr>
      <w:r>
        <w:rPr>
          <w:rFonts w:hint="eastAsia" w:ascii="宋体" w:hAnsi="宋体"/>
          <w:sz w:val="24"/>
        </w:rPr>
        <w:t>②招标文件没有不合理条款、招标程序符合规定，需要采用其他采购方式采购的，采购人应当依法报财政部门批准。</w:t>
      </w:r>
    </w:p>
    <w:p>
      <w:pPr>
        <w:pStyle w:val="6"/>
        <w:ind w:firstLine="482"/>
      </w:pPr>
      <w:bookmarkStart w:id="221" w:name="_Toc526878912"/>
      <w:r>
        <w:rPr>
          <w:rFonts w:hint="eastAsia"/>
        </w:rPr>
        <w:t>3.4.17投标人出现以下情况，采购人（代理机构）将拒收其递交的投标文件。</w:t>
      </w:r>
      <w:bookmarkEnd w:id="221"/>
    </w:p>
    <w:p>
      <w:pPr>
        <w:ind w:firstLine="600" w:firstLineChars="250"/>
        <w:rPr>
          <w:rFonts w:ascii="宋体" w:hAnsi="宋体"/>
          <w:sz w:val="24"/>
        </w:rPr>
      </w:pPr>
      <w:r>
        <w:rPr>
          <w:rFonts w:hint="eastAsia" w:ascii="宋体" w:hAnsi="宋体"/>
          <w:sz w:val="24"/>
        </w:rPr>
        <w:t>（1）逾期送达投标文件的。</w:t>
      </w:r>
    </w:p>
    <w:p>
      <w:pPr>
        <w:ind w:firstLine="600" w:firstLineChars="250"/>
        <w:rPr>
          <w:rFonts w:ascii="宋体" w:hAnsi="宋体"/>
          <w:sz w:val="24"/>
        </w:rPr>
      </w:pPr>
      <w:r>
        <w:rPr>
          <w:rFonts w:hint="eastAsia" w:ascii="宋体" w:hAnsi="宋体"/>
          <w:sz w:val="24"/>
        </w:rPr>
        <w:t>（2）未按招标文件要求密封投标文件的。</w:t>
      </w:r>
    </w:p>
    <w:p>
      <w:pPr>
        <w:ind w:firstLine="600" w:firstLineChars="250"/>
        <w:rPr>
          <w:rFonts w:ascii="宋体" w:hAnsi="宋体"/>
          <w:sz w:val="24"/>
        </w:rPr>
      </w:pPr>
      <w:r>
        <w:rPr>
          <w:rFonts w:hint="eastAsia" w:ascii="宋体" w:hAnsi="宋体"/>
          <w:sz w:val="24"/>
        </w:rPr>
        <w:t>（3）未按规定交纳保证金的。</w:t>
      </w:r>
    </w:p>
    <w:p>
      <w:pPr>
        <w:ind w:firstLine="600" w:firstLineChars="250"/>
        <w:rPr>
          <w:rFonts w:ascii="宋体" w:hAnsi="宋体"/>
          <w:sz w:val="24"/>
        </w:rPr>
      </w:pPr>
      <w:r>
        <w:rPr>
          <w:rFonts w:hint="eastAsia" w:ascii="宋体" w:hAnsi="宋体"/>
          <w:sz w:val="24"/>
        </w:rPr>
        <w:t>（4）投标单位出席开标会议时，法定代表人不能出具法人代表证明材料的或授权代表不能出具授权委托书原件的。</w:t>
      </w:r>
    </w:p>
    <w:p>
      <w:pPr>
        <w:pStyle w:val="5"/>
        <w:jc w:val="left"/>
        <w:rPr>
          <w:rFonts w:ascii="宋体" w:hAnsi="宋体"/>
          <w:szCs w:val="28"/>
        </w:rPr>
      </w:pPr>
      <w:bookmarkStart w:id="222" w:name="_Toc128372075"/>
      <w:bookmarkStart w:id="223" w:name="_Toc128372753"/>
      <w:bookmarkStart w:id="224" w:name="_Toc459622982"/>
      <w:bookmarkStart w:id="225" w:name="_Toc447272155"/>
      <w:bookmarkStart w:id="226" w:name="_Toc18545"/>
      <w:bookmarkStart w:id="227" w:name="_Toc526878913"/>
      <w:bookmarkStart w:id="228" w:name="_Toc22312"/>
      <w:bookmarkStart w:id="229" w:name="_Toc447207018"/>
      <w:bookmarkStart w:id="230" w:name="_Toc5604"/>
      <w:bookmarkStart w:id="231" w:name="_Toc493008693"/>
      <w:bookmarkStart w:id="232" w:name="_Toc139965348"/>
      <w:r>
        <w:rPr>
          <w:rFonts w:hint="eastAsia" w:ascii="宋体" w:hAnsi="宋体"/>
          <w:szCs w:val="28"/>
        </w:rPr>
        <w:t>3.5 开标</w:t>
      </w:r>
      <w:bookmarkEnd w:id="222"/>
      <w:bookmarkEnd w:id="223"/>
      <w:bookmarkEnd w:id="224"/>
      <w:bookmarkEnd w:id="225"/>
      <w:bookmarkEnd w:id="226"/>
      <w:bookmarkEnd w:id="227"/>
      <w:bookmarkEnd w:id="228"/>
      <w:bookmarkEnd w:id="229"/>
      <w:bookmarkEnd w:id="230"/>
      <w:bookmarkEnd w:id="231"/>
      <w:bookmarkEnd w:id="232"/>
    </w:p>
    <w:p>
      <w:pPr>
        <w:pStyle w:val="6"/>
        <w:ind w:firstLine="482"/>
      </w:pPr>
      <w:bookmarkStart w:id="233" w:name="_Toc459622983"/>
      <w:bookmarkStart w:id="234" w:name="_Toc9392"/>
      <w:bookmarkStart w:id="235" w:name="_Toc11482"/>
      <w:bookmarkStart w:id="236" w:name="_Toc526878914"/>
      <w:bookmarkStart w:id="237" w:name="_Toc31595"/>
      <w:bookmarkStart w:id="238" w:name="_Toc493008694"/>
      <w:r>
        <w:rPr>
          <w:rFonts w:hint="eastAsia"/>
        </w:rPr>
        <w:t>3.5.1  开标内容及注意事项</w:t>
      </w:r>
      <w:bookmarkEnd w:id="233"/>
      <w:bookmarkEnd w:id="234"/>
      <w:bookmarkEnd w:id="235"/>
      <w:bookmarkEnd w:id="236"/>
      <w:bookmarkEnd w:id="237"/>
      <w:bookmarkEnd w:id="238"/>
    </w:p>
    <w:p>
      <w:pPr>
        <w:ind w:firstLine="480"/>
        <w:rPr>
          <w:rFonts w:ascii="宋体" w:hAnsi="宋体"/>
          <w:sz w:val="24"/>
        </w:rPr>
      </w:pPr>
      <w:r>
        <w:rPr>
          <w:rFonts w:hint="eastAsia" w:ascii="宋体" w:hAnsi="宋体"/>
          <w:sz w:val="24"/>
        </w:rPr>
        <w:t>（1）招标人将于本招标文件规定的开标时间和地点举行开标会议，投标人代表必须参加开标会议。</w:t>
      </w:r>
    </w:p>
    <w:p>
      <w:pPr>
        <w:ind w:firstLine="480"/>
        <w:rPr>
          <w:rFonts w:ascii="宋体"/>
          <w:sz w:val="24"/>
        </w:rPr>
      </w:pPr>
      <w:r>
        <w:rPr>
          <w:rFonts w:hint="eastAsia" w:ascii="宋体"/>
          <w:sz w:val="24"/>
        </w:rPr>
        <w:t>（2）投标人代表为法定代表人的，投标时应出示其身份证原件和《法定代表人资格证明书》 （式样见第六章附件）；非法定代表人的，除出示其身份证原件外，还须持有《法定代表人资格证明书》和《法定代表人授权委托书》（式样见第六章附件）</w:t>
      </w:r>
    </w:p>
    <w:p>
      <w:pPr>
        <w:ind w:firstLine="480"/>
        <w:rPr>
          <w:rFonts w:ascii="宋体"/>
          <w:sz w:val="24"/>
        </w:rPr>
      </w:pPr>
      <w:r>
        <w:rPr>
          <w:rFonts w:hint="eastAsia" w:ascii="宋体" w:hAnsi="宋体"/>
          <w:sz w:val="24"/>
        </w:rPr>
        <w:t>（3）开标会议在有关监督部门及投标人的监督下，由招标人组织并主持，除投标截止时间后递交的投标文件外，由投标人代表和监督人检查投标文件是否符合招标文件的密封要求，未按招标文件要求密封的，将被视为无效投标文件。</w:t>
      </w:r>
    </w:p>
    <w:p>
      <w:pPr>
        <w:ind w:firstLine="480"/>
        <w:rPr>
          <w:rFonts w:ascii="宋体"/>
          <w:sz w:val="24"/>
        </w:rPr>
      </w:pPr>
      <w:r>
        <w:rPr>
          <w:rFonts w:hint="eastAsia" w:ascii="宋体" w:hAnsi="宋体"/>
          <w:sz w:val="24"/>
        </w:rPr>
        <w:t>（4）开标后，将由招标人按照递交投标文件的逆顺序，公开宣读有效投标人的开标一览表所有内容，以及招标人认为必要的其它内容。</w:t>
      </w:r>
    </w:p>
    <w:p>
      <w:pPr>
        <w:ind w:firstLine="480"/>
        <w:rPr>
          <w:rFonts w:ascii="宋体"/>
          <w:sz w:val="24"/>
        </w:rPr>
      </w:pPr>
      <w:r>
        <w:rPr>
          <w:rFonts w:hint="eastAsia" w:ascii="宋体" w:hAnsi="宋体"/>
          <w:sz w:val="24"/>
        </w:rPr>
        <w:t>（5）招标人有权就投标文件中含混之处向投标人提出询问或澄清要求。</w:t>
      </w:r>
    </w:p>
    <w:p>
      <w:pPr>
        <w:ind w:firstLine="480"/>
        <w:rPr>
          <w:rFonts w:ascii="宋体"/>
          <w:sz w:val="24"/>
        </w:rPr>
      </w:pPr>
      <w:r>
        <w:rPr>
          <w:rFonts w:hint="eastAsia" w:ascii="宋体" w:hAnsi="宋体"/>
          <w:sz w:val="24"/>
        </w:rPr>
        <w:t>（6）公开开标后，直到向中标的投标人授予合同时止，凡与审查、澄清、评价和比较投标的有关资料以及授标意见等均不得向投标人及与投标无关的其他人透露。</w:t>
      </w:r>
    </w:p>
    <w:p>
      <w:pPr>
        <w:pStyle w:val="5"/>
        <w:rPr>
          <w:rFonts w:ascii="宋体" w:hAnsi="宋体"/>
        </w:rPr>
      </w:pPr>
      <w:bookmarkStart w:id="239" w:name="_Toc447272156"/>
      <w:bookmarkStart w:id="240" w:name="_Toc447207019"/>
      <w:bookmarkStart w:id="241" w:name="_Toc20407"/>
      <w:bookmarkStart w:id="242" w:name="_Toc526878915"/>
      <w:bookmarkStart w:id="243" w:name="_Toc493008695"/>
      <w:bookmarkStart w:id="244" w:name="_Toc9701"/>
      <w:bookmarkStart w:id="245" w:name="_Toc459622984"/>
      <w:bookmarkStart w:id="246" w:name="_Toc21680"/>
      <w:r>
        <w:rPr>
          <w:rFonts w:hint="eastAsia" w:ascii="宋体" w:hAnsi="宋体"/>
        </w:rPr>
        <w:t>3.6 评标</w:t>
      </w:r>
      <w:bookmarkEnd w:id="239"/>
      <w:bookmarkEnd w:id="240"/>
      <w:bookmarkEnd w:id="241"/>
      <w:bookmarkEnd w:id="242"/>
      <w:bookmarkEnd w:id="243"/>
      <w:bookmarkEnd w:id="244"/>
      <w:bookmarkEnd w:id="245"/>
      <w:bookmarkEnd w:id="246"/>
    </w:p>
    <w:p>
      <w:pPr>
        <w:pStyle w:val="6"/>
        <w:ind w:firstLine="482"/>
        <w:rPr>
          <w:rFonts w:ascii="宋体" w:hAnsi="宋体"/>
        </w:rPr>
      </w:pPr>
      <w:bookmarkStart w:id="247" w:name="_Toc7253"/>
      <w:bookmarkStart w:id="248" w:name="_Toc1438"/>
      <w:bookmarkStart w:id="249" w:name="_Toc459622985"/>
      <w:bookmarkStart w:id="250" w:name="_Toc493008696"/>
      <w:bookmarkStart w:id="251" w:name="_Toc526878916"/>
      <w:bookmarkStart w:id="252" w:name="_Toc29278"/>
      <w:r>
        <w:rPr>
          <w:rFonts w:hint="eastAsia" w:ascii="宋体" w:hAnsi="宋体"/>
        </w:rPr>
        <w:t>3.6.1评标流程</w:t>
      </w:r>
      <w:bookmarkEnd w:id="247"/>
      <w:bookmarkEnd w:id="248"/>
      <w:bookmarkEnd w:id="249"/>
      <w:bookmarkEnd w:id="250"/>
      <w:bookmarkEnd w:id="251"/>
      <w:bookmarkEnd w:id="252"/>
    </w:p>
    <w:p>
      <w:pPr>
        <w:ind w:firstLine="480"/>
        <w:rPr>
          <w:rFonts w:ascii="宋体" w:hAnsi="宋体"/>
          <w:sz w:val="24"/>
        </w:rPr>
      </w:pPr>
      <w:r>
        <w:rPr>
          <w:rFonts w:hint="eastAsia" w:ascii="宋体" w:hAnsi="宋体"/>
          <w:sz w:val="24"/>
        </w:rPr>
        <w:t>评标工作由招标人依法组建的评标委员</w:t>
      </w:r>
      <w:r>
        <w:rPr>
          <w:rFonts w:hint="eastAsia" w:ascii="宋体" w:hAnsi="宋体" w:cs="宋体"/>
          <w:spacing w:val="4"/>
          <w:sz w:val="24"/>
          <w:szCs w:val="20"/>
          <w:lang w:val="zh-CN"/>
        </w:rPr>
        <w:t>会（以下简称评委会）负</w:t>
      </w:r>
      <w:r>
        <w:rPr>
          <w:rFonts w:hint="eastAsia" w:ascii="宋体" w:hAnsi="宋体"/>
          <w:sz w:val="24"/>
        </w:rPr>
        <w:t>责。</w:t>
      </w:r>
    </w:p>
    <w:p>
      <w:pPr>
        <w:ind w:firstLine="496"/>
        <w:rPr>
          <w:rFonts w:ascii="宋体" w:hAnsi="宋体"/>
          <w:sz w:val="24"/>
        </w:rPr>
      </w:pPr>
      <w:r>
        <w:rPr>
          <w:rFonts w:hint="eastAsia" w:ascii="宋体" w:hAnsi="宋体"/>
          <w:spacing w:val="4"/>
          <w:sz w:val="24"/>
          <w:szCs w:val="24"/>
        </w:rPr>
        <w:t>评标流程详见第五章评标办法5.2。</w:t>
      </w:r>
    </w:p>
    <w:p>
      <w:pPr>
        <w:ind w:firstLine="480"/>
        <w:rPr>
          <w:rFonts w:ascii="宋体"/>
          <w:sz w:val="24"/>
        </w:rPr>
      </w:pPr>
      <w:r>
        <w:rPr>
          <w:rFonts w:hint="eastAsia" w:ascii="宋体" w:hAnsi="宋体"/>
          <w:sz w:val="24"/>
        </w:rPr>
        <w:t>评标方法分为综合评分法或最低评标价法。</w:t>
      </w:r>
    </w:p>
    <w:p>
      <w:pPr>
        <w:ind w:firstLine="600" w:firstLineChars="250"/>
        <w:rPr>
          <w:rFonts w:ascii="宋体"/>
          <w:sz w:val="24"/>
        </w:rPr>
      </w:pPr>
      <w:r>
        <w:rPr>
          <w:rFonts w:hint="eastAsia" w:ascii="宋体" w:hAnsi="宋体"/>
          <w:sz w:val="24"/>
        </w:rPr>
        <w:t>1）综合评分法：是指投标文件满足招标文件全部实质性要求且按照评审因素的量化指标评审得分最高的投标人为中标候选人的评标方法。综合评分法中的价格分统一采用低价优先法计算，即满足招标文件要求且投标价格最低的投标报价为评标基准价，其价格分为满分。其他投标人的价格分统一按照下列公式计算：投标报价得分＝（评标基准价</w:t>
      </w:r>
      <w:r>
        <w:rPr>
          <w:rFonts w:ascii="宋体" w:hAnsi="宋体"/>
          <w:sz w:val="24"/>
        </w:rPr>
        <w:t>/</w:t>
      </w:r>
      <w:r>
        <w:rPr>
          <w:rFonts w:hint="eastAsia" w:ascii="宋体" w:hAnsi="宋体"/>
          <w:sz w:val="24"/>
        </w:rPr>
        <w:t>投标报价）×价格权值×</w:t>
      </w:r>
      <w:r>
        <w:rPr>
          <w:rFonts w:ascii="宋体" w:hAnsi="宋体"/>
          <w:sz w:val="24"/>
        </w:rPr>
        <w:t>100</w:t>
      </w:r>
      <w:r>
        <w:rPr>
          <w:rFonts w:hint="eastAsia" w:ascii="宋体" w:hAnsi="宋体"/>
          <w:sz w:val="24"/>
        </w:rPr>
        <w:t>。</w:t>
      </w:r>
    </w:p>
    <w:p>
      <w:pPr>
        <w:ind w:firstLine="600" w:firstLineChars="250"/>
        <w:rPr>
          <w:rFonts w:ascii="宋体" w:hAnsi="宋体"/>
          <w:sz w:val="24"/>
        </w:rPr>
      </w:pPr>
      <w:r>
        <w:rPr>
          <w:rFonts w:hint="eastAsia" w:ascii="宋体" w:hAnsi="宋体"/>
          <w:sz w:val="24"/>
        </w:rPr>
        <w:t>2）最低评标价法：是指投标文件满足招标文件全部实质性要求且投标报价最低的投标人为中标候选人的评标方法。</w:t>
      </w:r>
    </w:p>
    <w:p>
      <w:pPr>
        <w:ind w:firstLine="480"/>
        <w:rPr>
          <w:rFonts w:ascii="宋体"/>
          <w:sz w:val="24"/>
        </w:rPr>
      </w:pPr>
      <w:r>
        <w:rPr>
          <w:rFonts w:hint="eastAsia" w:ascii="宋体" w:hAnsi="宋体"/>
          <w:sz w:val="24"/>
        </w:rPr>
        <w:t>（3）评委会出具书面评标报告。</w:t>
      </w:r>
    </w:p>
    <w:p>
      <w:pPr>
        <w:pStyle w:val="6"/>
        <w:spacing w:before="156" w:after="156"/>
        <w:ind w:firstLine="482"/>
      </w:pPr>
      <w:bookmarkStart w:id="253" w:name="_Toc493008697"/>
      <w:bookmarkStart w:id="254" w:name="_Toc526878917"/>
      <w:bookmarkStart w:id="255" w:name="_Toc18231"/>
      <w:bookmarkStart w:id="256" w:name="_Toc9945"/>
      <w:bookmarkStart w:id="257" w:name="_Toc459622986"/>
      <w:bookmarkStart w:id="258" w:name="_Toc6700"/>
      <w:r>
        <w:rPr>
          <w:rFonts w:hint="eastAsia"/>
        </w:rPr>
        <w:t>3.6.2注意事项</w:t>
      </w:r>
      <w:bookmarkEnd w:id="253"/>
      <w:bookmarkEnd w:id="254"/>
      <w:bookmarkEnd w:id="255"/>
      <w:bookmarkEnd w:id="256"/>
      <w:bookmarkEnd w:id="257"/>
      <w:bookmarkEnd w:id="258"/>
    </w:p>
    <w:p>
      <w:pPr>
        <w:ind w:firstLine="480"/>
        <w:rPr>
          <w:rFonts w:ascii="宋体"/>
          <w:sz w:val="24"/>
        </w:rPr>
      </w:pPr>
      <w:r>
        <w:rPr>
          <w:rFonts w:hint="eastAsia" w:ascii="宋体" w:hAnsi="宋体"/>
          <w:sz w:val="24"/>
        </w:rPr>
        <w:t>在评标期间，评标过程严格保密。评委会可要求投标人对其投标文件中非实质性的有关问题进行澄清、说明或者补正。有关澄清、说明或者补正的要求和答复应以书面形式提交。投标人的澄清、说明或者补正不得超出投标文件的范围或者改变投标文件的实质性内容。</w:t>
      </w:r>
    </w:p>
    <w:p>
      <w:pPr>
        <w:ind w:firstLine="480"/>
        <w:rPr>
          <w:rFonts w:ascii="宋体"/>
          <w:sz w:val="24"/>
        </w:rPr>
      </w:pPr>
      <w:r>
        <w:rPr>
          <w:rFonts w:hint="eastAsia" w:ascii="宋体" w:hAnsi="宋体"/>
          <w:sz w:val="24"/>
        </w:rPr>
        <w:t>如果投标文件没有实质性响应招标文件的要求，评委会将予以拒绝。</w:t>
      </w:r>
    </w:p>
    <w:p>
      <w:pPr>
        <w:ind w:firstLine="480"/>
        <w:rPr>
          <w:rFonts w:ascii="宋体" w:hAnsi="宋体"/>
          <w:sz w:val="24"/>
        </w:rPr>
      </w:pPr>
      <w:r>
        <w:rPr>
          <w:rFonts w:hint="eastAsia" w:ascii="宋体" w:hAnsi="宋体"/>
          <w:sz w:val="24"/>
        </w:rPr>
        <w:t>评委会只对确定为实质性响应招标文件要求的投标文件，根据招标文件的要求采用相同的评标程序、评分办法及标准进行评价和比较。</w:t>
      </w:r>
    </w:p>
    <w:p>
      <w:pPr>
        <w:pStyle w:val="6"/>
        <w:spacing w:before="156" w:after="156"/>
        <w:ind w:firstLine="482"/>
      </w:pPr>
      <w:bookmarkStart w:id="259" w:name="_Toc493008698"/>
      <w:bookmarkStart w:id="260" w:name="_Toc526878918"/>
      <w:r>
        <w:rPr>
          <w:rFonts w:hint="eastAsia"/>
        </w:rPr>
        <w:t xml:space="preserve">3.6.3 </w:t>
      </w:r>
      <w:bookmarkEnd w:id="259"/>
      <w:r>
        <w:rPr>
          <w:rFonts w:hint="eastAsia"/>
        </w:rPr>
        <w:t>投标人家数计算</w:t>
      </w:r>
      <w:bookmarkEnd w:id="260"/>
    </w:p>
    <w:p>
      <w:pPr>
        <w:ind w:firstLine="480"/>
        <w:rPr>
          <w:rFonts w:ascii="宋体" w:hAnsi="宋体"/>
          <w:sz w:val="24"/>
        </w:rPr>
      </w:pPr>
      <w:r>
        <w:rPr>
          <w:rFonts w:hint="eastAsia" w:ascii="宋体" w:hAnsi="宋体"/>
          <w:sz w:val="24"/>
        </w:rPr>
        <w:t>（1）</w:t>
      </w:r>
      <w:r>
        <w:rPr>
          <w:rFonts w:ascii="宋体" w:hAnsi="宋体"/>
          <w:sz w:val="24"/>
        </w:rPr>
        <w:t>采用最低评标价法的采购项目，提供相同品牌产品的不同投标人参加同一合同项下投标的，以其中通过资格审查、符合性审查且报价最低的参加评标</w:t>
      </w:r>
      <w:r>
        <w:rPr>
          <w:rFonts w:hint="eastAsia" w:ascii="宋体" w:hAnsi="宋体"/>
          <w:sz w:val="24"/>
        </w:rPr>
        <w:t>，</w:t>
      </w:r>
      <w:r>
        <w:rPr>
          <w:rFonts w:ascii="宋体" w:hAnsi="宋体"/>
          <w:sz w:val="24"/>
        </w:rPr>
        <w:t xml:space="preserve">报价相同的，由采购人或者采购人委托评标委员会按照招标文件规定的方式确定一个参加评标的投标人，招标文件未规定的采取随机抽取方式确定，其他投标无效。 </w:t>
      </w:r>
    </w:p>
    <w:p>
      <w:pPr>
        <w:ind w:firstLine="480"/>
        <w:rPr>
          <w:rFonts w:ascii="宋体" w:hAnsi="宋体"/>
          <w:sz w:val="24"/>
        </w:rPr>
      </w:pPr>
      <w:r>
        <w:rPr>
          <w:rFonts w:hint="eastAsia" w:ascii="宋体" w:hAnsi="宋体"/>
          <w:sz w:val="24"/>
        </w:rPr>
        <w:t>（2）</w:t>
      </w:r>
      <w:r>
        <w:rPr>
          <w:rFonts w:ascii="宋体" w:hAnsi="宋体"/>
          <w:sz w:val="24"/>
        </w:rPr>
        <w:t xml:space="preserve">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ind w:firstLine="480"/>
        <w:rPr>
          <w:rFonts w:ascii="宋体" w:hAnsi="宋体"/>
          <w:sz w:val="24"/>
        </w:rPr>
      </w:pPr>
      <w:r>
        <w:rPr>
          <w:rFonts w:hint="eastAsia" w:ascii="宋体" w:hAnsi="宋体"/>
          <w:sz w:val="24"/>
        </w:rPr>
        <w:t>（3）</w:t>
      </w:r>
      <w:r>
        <w:rPr>
          <w:rFonts w:ascii="宋体" w:hAnsi="宋体"/>
          <w:sz w:val="24"/>
        </w:rPr>
        <w:t>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sz w:val="24"/>
        </w:rPr>
        <w:t>。</w:t>
      </w:r>
    </w:p>
    <w:p>
      <w:pPr>
        <w:pStyle w:val="5"/>
        <w:rPr>
          <w:rFonts w:ascii="宋体" w:hAnsi="宋体"/>
        </w:rPr>
      </w:pPr>
      <w:bookmarkStart w:id="261" w:name="_Toc526878919"/>
      <w:bookmarkStart w:id="262" w:name="_Toc20291"/>
      <w:bookmarkStart w:id="263" w:name="_Toc14757"/>
      <w:bookmarkStart w:id="264" w:name="_Toc447207020"/>
      <w:bookmarkStart w:id="265" w:name="_Toc9584"/>
      <w:bookmarkStart w:id="266" w:name="_Toc493008699"/>
      <w:bookmarkStart w:id="267" w:name="_Toc447272157"/>
      <w:bookmarkStart w:id="268" w:name="_Toc459622987"/>
      <w:r>
        <w:rPr>
          <w:rFonts w:hint="eastAsia" w:ascii="宋体" w:hAnsi="宋体"/>
        </w:rPr>
        <w:t>3.7 定标</w:t>
      </w:r>
      <w:bookmarkEnd w:id="261"/>
      <w:bookmarkEnd w:id="262"/>
      <w:bookmarkEnd w:id="263"/>
      <w:bookmarkEnd w:id="264"/>
      <w:bookmarkEnd w:id="265"/>
      <w:bookmarkEnd w:id="266"/>
      <w:bookmarkEnd w:id="267"/>
      <w:bookmarkEnd w:id="268"/>
    </w:p>
    <w:p>
      <w:pPr>
        <w:pStyle w:val="6"/>
        <w:ind w:firstLine="482"/>
      </w:pPr>
      <w:bookmarkStart w:id="269" w:name="_Toc526878920"/>
      <w:r>
        <w:rPr>
          <w:rFonts w:hint="eastAsia"/>
        </w:rPr>
        <w:t>3.7.1 定标原则</w:t>
      </w:r>
      <w:bookmarkEnd w:id="269"/>
    </w:p>
    <w:p>
      <w:pPr>
        <w:ind w:firstLine="480"/>
        <w:rPr>
          <w:rFonts w:ascii="宋体"/>
          <w:sz w:val="24"/>
        </w:rPr>
      </w:pPr>
      <w:r>
        <w:rPr>
          <w:rFonts w:hint="eastAsia" w:ascii="宋体" w:hAnsi="宋体"/>
          <w:sz w:val="24"/>
        </w:rPr>
        <w:t>采购人根据评委会推荐的中标候选人名单，按顺序确定中标人。</w:t>
      </w:r>
    </w:p>
    <w:p>
      <w:pPr>
        <w:pStyle w:val="6"/>
        <w:ind w:firstLine="482"/>
      </w:pPr>
      <w:bookmarkStart w:id="270" w:name="_Toc526878921"/>
      <w:r>
        <w:rPr>
          <w:rFonts w:hint="eastAsia"/>
        </w:rPr>
        <w:t>3.7.2 定标程序</w:t>
      </w:r>
      <w:bookmarkEnd w:id="270"/>
    </w:p>
    <w:p>
      <w:pPr>
        <w:ind w:firstLine="480"/>
        <w:rPr>
          <w:rFonts w:ascii="宋体" w:hAnsi="宋体"/>
          <w:sz w:val="24"/>
          <w:szCs w:val="24"/>
        </w:rPr>
      </w:pPr>
      <w:bookmarkStart w:id="271" w:name="_Toc447272158"/>
      <w:bookmarkStart w:id="272" w:name="_Toc128372757"/>
      <w:bookmarkStart w:id="273" w:name="_Toc23895"/>
      <w:bookmarkStart w:id="274" w:name="_Toc31462"/>
      <w:bookmarkStart w:id="275" w:name="_Toc14012"/>
      <w:bookmarkStart w:id="276" w:name="_Toc128372079"/>
      <w:bookmarkStart w:id="277" w:name="_Toc459622988"/>
      <w:bookmarkStart w:id="278" w:name="_Toc447207021"/>
      <w:bookmarkStart w:id="279" w:name="_Toc139965352"/>
      <w:bookmarkStart w:id="280" w:name="_Toc139965351"/>
      <w:bookmarkStart w:id="281" w:name="_Toc128372756"/>
      <w:bookmarkStart w:id="282" w:name="_Toc128372078"/>
      <w:r>
        <w:rPr>
          <w:rFonts w:hint="eastAsia" w:ascii="宋体" w:hAnsi="宋体"/>
          <w:sz w:val="24"/>
          <w:szCs w:val="24"/>
        </w:rPr>
        <w:t xml:space="preserve">采购人或者采购代理机构应当自中标人确定之日起2个工作日内，在省级以上财政部门指定的媒体上公告中标结果，招标文件应当随中标结果同时公告。 </w:t>
      </w:r>
    </w:p>
    <w:p>
      <w:pPr>
        <w:ind w:firstLine="480"/>
        <w:rPr>
          <w:rFonts w:ascii="宋体" w:hAnsi="宋体"/>
          <w:sz w:val="24"/>
          <w:szCs w:val="24"/>
        </w:rPr>
      </w:pPr>
      <w:r>
        <w:rPr>
          <w:rFonts w:hint="eastAsia" w:ascii="宋体" w:hAnsi="宋体"/>
          <w:sz w:val="24"/>
          <w:szCs w:val="24"/>
        </w:rPr>
        <w:t xml:space="preserve">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pPr>
        <w:ind w:firstLine="480"/>
        <w:rPr>
          <w:rFonts w:ascii="宋体" w:hAnsi="宋体"/>
          <w:sz w:val="24"/>
          <w:szCs w:val="24"/>
        </w:rPr>
      </w:pPr>
      <w:r>
        <w:rPr>
          <w:rFonts w:hint="eastAsia" w:ascii="宋体" w:hAnsi="宋体"/>
          <w:sz w:val="24"/>
          <w:szCs w:val="24"/>
        </w:rPr>
        <w:t xml:space="preserve">中标公告期限为1个工作日。 </w:t>
      </w:r>
    </w:p>
    <w:p>
      <w:pPr>
        <w:ind w:firstLine="480"/>
        <w:rPr>
          <w:rFonts w:ascii="宋体" w:hAnsi="宋体"/>
          <w:sz w:val="24"/>
          <w:szCs w:val="24"/>
        </w:rPr>
      </w:pPr>
      <w:r>
        <w:rPr>
          <w:rFonts w:hint="eastAsia" w:ascii="宋体" w:hAnsi="宋体"/>
          <w:sz w:val="24"/>
          <w:szCs w:val="24"/>
        </w:rPr>
        <w:t xml:space="preserve">邀请招标采购人采用书面推荐方式产生符合资格条件的潜在投标人的，还应当将所有被推荐投标人名单和推荐理由随中标结果同时公告。 </w:t>
      </w:r>
    </w:p>
    <w:p>
      <w:pPr>
        <w:pStyle w:val="5"/>
        <w:rPr>
          <w:rFonts w:ascii="宋体" w:hAnsi="宋体"/>
        </w:rPr>
      </w:pPr>
      <w:bookmarkStart w:id="283" w:name="_Toc493008700"/>
      <w:bookmarkStart w:id="284" w:name="_Toc526878922"/>
      <w:r>
        <w:rPr>
          <w:rFonts w:hint="eastAsia" w:ascii="宋体" w:hAnsi="宋体"/>
        </w:rPr>
        <w:t>3.8 发放中标通知书</w:t>
      </w:r>
      <w:bookmarkEnd w:id="271"/>
      <w:bookmarkEnd w:id="272"/>
      <w:bookmarkEnd w:id="273"/>
      <w:bookmarkEnd w:id="274"/>
      <w:bookmarkEnd w:id="275"/>
      <w:bookmarkEnd w:id="276"/>
      <w:bookmarkEnd w:id="277"/>
      <w:bookmarkEnd w:id="278"/>
      <w:bookmarkEnd w:id="279"/>
      <w:bookmarkEnd w:id="283"/>
      <w:bookmarkEnd w:id="284"/>
    </w:p>
    <w:p>
      <w:pPr>
        <w:ind w:firstLine="480"/>
        <w:rPr>
          <w:rFonts w:ascii="宋体"/>
          <w:sz w:val="24"/>
        </w:rPr>
      </w:pPr>
      <w:r>
        <w:rPr>
          <w:rFonts w:hint="eastAsia" w:ascii="宋体" w:hAnsi="宋体"/>
          <w:sz w:val="24"/>
        </w:rPr>
        <w:t>在公告中标结果的同时，采购人或者采购代理机构应当向中标人发出中标通知书;对未通过资格审查的投标人，应当告知其未通过的原因;采用综合评分法评审的，还应当告知未中标人本人的评审得分与排序。</w:t>
      </w:r>
    </w:p>
    <w:p>
      <w:pPr>
        <w:ind w:firstLine="480"/>
        <w:rPr>
          <w:rFonts w:ascii="宋体"/>
          <w:sz w:val="24"/>
        </w:rPr>
      </w:pPr>
      <w:r>
        <w:rPr>
          <w:rFonts w:hint="eastAsia" w:ascii="宋体" w:hAnsi="宋体"/>
          <w:sz w:val="24"/>
        </w:rPr>
        <w:t>中标通知书对采购人和中标人均具有法律效力。中标通知书发出后，采购人改变中标结果，或者中标人无正当理由放弃中标的，应当承担相应的法律责任。</w:t>
      </w:r>
    </w:p>
    <w:p>
      <w:pPr>
        <w:ind w:firstLine="480"/>
        <w:rPr>
          <w:rFonts w:ascii="宋体" w:hAnsi="宋体"/>
          <w:sz w:val="24"/>
        </w:rPr>
      </w:pPr>
      <w:r>
        <w:rPr>
          <w:rFonts w:hint="eastAsia" w:ascii="宋体" w:hAnsi="宋体"/>
          <w:sz w:val="24"/>
        </w:rPr>
        <w:t>中标人的投标文件本应作为无效投标处理或者有政府采购法律法规规章制度规定的中标无效情形的，采购人应当宣布发出的中标通知书无效，并收回发出的中标通知书（中标人也应当交回），依法重新确定中标人或者重新开展采购活动。</w:t>
      </w:r>
    </w:p>
    <w:p>
      <w:pPr>
        <w:pStyle w:val="5"/>
        <w:rPr>
          <w:rFonts w:ascii="宋体" w:hAnsi="宋体"/>
        </w:rPr>
      </w:pPr>
      <w:bookmarkStart w:id="285" w:name="_Toc526878923"/>
      <w:bookmarkStart w:id="286" w:name="_Toc24206"/>
      <w:bookmarkStart w:id="287" w:name="_Toc3186"/>
      <w:bookmarkStart w:id="288" w:name="_Toc459622989"/>
      <w:bookmarkStart w:id="289" w:name="_Toc447272159"/>
      <w:bookmarkStart w:id="290" w:name="_Toc447207022"/>
      <w:bookmarkStart w:id="291" w:name="_Toc493008701"/>
      <w:bookmarkStart w:id="292" w:name="_Toc16253"/>
      <w:r>
        <w:rPr>
          <w:rFonts w:hint="eastAsia" w:ascii="宋体" w:hAnsi="宋体"/>
        </w:rPr>
        <w:t>3.9 签订政府采购合同</w:t>
      </w:r>
      <w:bookmarkEnd w:id="285"/>
      <w:bookmarkEnd w:id="286"/>
      <w:bookmarkEnd w:id="287"/>
      <w:bookmarkEnd w:id="288"/>
      <w:bookmarkEnd w:id="289"/>
      <w:bookmarkEnd w:id="290"/>
      <w:bookmarkEnd w:id="291"/>
      <w:bookmarkEnd w:id="292"/>
    </w:p>
    <w:p>
      <w:pPr>
        <w:pStyle w:val="6"/>
        <w:spacing w:before="156" w:after="156"/>
        <w:ind w:firstLine="482"/>
      </w:pPr>
      <w:bookmarkStart w:id="293" w:name="_Toc459622990"/>
      <w:bookmarkStart w:id="294" w:name="_Toc493008702"/>
      <w:bookmarkStart w:id="295" w:name="_Toc10796"/>
      <w:bookmarkStart w:id="296" w:name="_Toc30362"/>
      <w:bookmarkStart w:id="297" w:name="_Toc7186"/>
      <w:bookmarkStart w:id="298" w:name="_Toc526878924"/>
      <w:r>
        <w:rPr>
          <w:rFonts w:hint="eastAsia"/>
        </w:rPr>
        <w:t>3.9.1合同授予</w:t>
      </w:r>
      <w:bookmarkEnd w:id="280"/>
      <w:bookmarkEnd w:id="281"/>
      <w:bookmarkEnd w:id="282"/>
      <w:r>
        <w:rPr>
          <w:rFonts w:hint="eastAsia"/>
        </w:rPr>
        <w:t>原则</w:t>
      </w:r>
      <w:bookmarkEnd w:id="293"/>
      <w:bookmarkEnd w:id="294"/>
      <w:bookmarkEnd w:id="295"/>
      <w:bookmarkEnd w:id="296"/>
      <w:bookmarkEnd w:id="297"/>
      <w:bookmarkEnd w:id="298"/>
    </w:p>
    <w:p>
      <w:pPr>
        <w:ind w:firstLine="480"/>
        <w:rPr>
          <w:rFonts w:ascii="宋体"/>
          <w:sz w:val="24"/>
        </w:rPr>
      </w:pPr>
      <w:r>
        <w:rPr>
          <w:rFonts w:hint="eastAsia" w:ascii="宋体" w:hAnsi="宋体"/>
          <w:sz w:val="24"/>
        </w:rPr>
        <w:t>招标人将把合同授予经评委会评议推荐采购人确认的投标人。若因中标人违约或因不可抗力等原因不能被授予合同，则合同将授予排序在该投标人之后的下一个投标人。</w:t>
      </w:r>
    </w:p>
    <w:p>
      <w:pPr>
        <w:ind w:firstLine="480"/>
        <w:rPr>
          <w:rFonts w:ascii="宋体"/>
          <w:sz w:val="24"/>
        </w:rPr>
      </w:pPr>
      <w:r>
        <w:rPr>
          <w:rFonts w:hint="eastAsia" w:ascii="宋体" w:hAnsi="宋体"/>
          <w:sz w:val="24"/>
        </w:rPr>
        <w:t>招标人保留在签订合同时调整方案需求和变动所购设备或材料数量的权力。</w:t>
      </w:r>
    </w:p>
    <w:p>
      <w:pPr>
        <w:pStyle w:val="6"/>
        <w:spacing w:before="156" w:after="156"/>
        <w:ind w:firstLine="482"/>
      </w:pPr>
      <w:bookmarkStart w:id="299" w:name="_Toc128372080"/>
      <w:bookmarkStart w:id="300" w:name="_Toc139965353"/>
      <w:bookmarkStart w:id="301" w:name="_Toc128372758"/>
      <w:bookmarkStart w:id="302" w:name="_Toc526878925"/>
      <w:bookmarkStart w:id="303" w:name="_Toc459622991"/>
      <w:bookmarkStart w:id="304" w:name="_Toc28809"/>
      <w:bookmarkStart w:id="305" w:name="_Toc15235"/>
      <w:bookmarkStart w:id="306" w:name="_Toc493008703"/>
      <w:bookmarkStart w:id="307" w:name="_Toc5086"/>
      <w:r>
        <w:rPr>
          <w:rFonts w:hint="eastAsia"/>
        </w:rPr>
        <w:t>3.9.2合同的签署</w:t>
      </w:r>
      <w:bookmarkEnd w:id="299"/>
      <w:bookmarkEnd w:id="300"/>
      <w:bookmarkEnd w:id="301"/>
      <w:r>
        <w:rPr>
          <w:rFonts w:hint="eastAsia"/>
        </w:rPr>
        <w:t>、履行及验收</w:t>
      </w:r>
      <w:bookmarkEnd w:id="302"/>
      <w:bookmarkEnd w:id="303"/>
      <w:bookmarkEnd w:id="304"/>
      <w:bookmarkEnd w:id="305"/>
      <w:bookmarkEnd w:id="306"/>
      <w:bookmarkEnd w:id="307"/>
    </w:p>
    <w:p>
      <w:pPr>
        <w:adjustRightInd w:val="0"/>
        <w:snapToGrid w:val="0"/>
        <w:spacing w:before="120" w:beforeLines="50"/>
        <w:ind w:firstLine="480"/>
        <w:jc w:val="left"/>
        <w:rPr>
          <w:rFonts w:ascii="宋体" w:hAnsi="宋体"/>
          <w:szCs w:val="21"/>
        </w:rPr>
      </w:pPr>
      <w:r>
        <w:rPr>
          <w:rFonts w:hint="eastAsia" w:ascii="宋体" w:hAnsi="宋体"/>
          <w:sz w:val="24"/>
        </w:rPr>
        <w:t>中标人于中标通知书中发出之日起30日内，按中标通知书指定的时间、地点与中标人签订政府采购合同。招标文件、中标人的投标文件均为签订合同的依据，需方与中标人是合同权利与义务的直接、全部责任承担人。招标人所发出的中标通知书对需方和中标投标人具有同等法律效力。</w:t>
      </w:r>
    </w:p>
    <w:p>
      <w:pPr>
        <w:ind w:firstLine="480"/>
        <w:rPr>
          <w:rFonts w:ascii="宋体"/>
          <w:sz w:val="24"/>
        </w:rPr>
      </w:pPr>
      <w:r>
        <w:rPr>
          <w:rFonts w:hint="eastAsia" w:ascii="宋体" w:hAnsi="宋体"/>
          <w:sz w:val="24"/>
        </w:rPr>
        <w:t>中标通知书发出后，需方拒绝签订供货合同或擅自改变中标内容，按照《中华人民共和国合同法》定金罚则及损害赔偿的原则处罚并办理。若中标人不能在规定时间内与需方签订合同，或变相签订合同，招标人依监督职能可采取取消其中标资格并没收其投标保证金等措施，并可按照财政部令</w:t>
      </w:r>
      <w:r>
        <w:rPr>
          <w:rFonts w:ascii="宋体" w:hAnsi="宋体"/>
          <w:sz w:val="24"/>
        </w:rPr>
        <w:t>[2</w:t>
      </w:r>
      <w:r>
        <w:rPr>
          <w:rFonts w:hint="eastAsia" w:ascii="宋体" w:hAnsi="宋体"/>
          <w:sz w:val="24"/>
        </w:rPr>
        <w:t>017</w:t>
      </w:r>
      <w:r>
        <w:rPr>
          <w:rFonts w:ascii="宋体" w:hAnsi="宋体"/>
          <w:sz w:val="24"/>
        </w:rPr>
        <w:t>]</w:t>
      </w:r>
      <w:r>
        <w:rPr>
          <w:rFonts w:hint="eastAsia" w:ascii="宋体" w:hAnsi="宋体"/>
          <w:sz w:val="24"/>
        </w:rPr>
        <w:t>第87号第七十一条、第七十二条、第七十三条规定办理。此时可由招标人按照排名顺序与下一投标人签订合同。</w:t>
      </w:r>
    </w:p>
    <w:p>
      <w:pPr>
        <w:ind w:firstLine="480"/>
        <w:rPr>
          <w:rFonts w:ascii="宋体" w:cs="宋体"/>
          <w:sz w:val="24"/>
        </w:rPr>
      </w:pPr>
      <w:bookmarkStart w:id="308" w:name="_Toc415577078"/>
      <w:bookmarkStart w:id="309" w:name="_Toc128372759"/>
      <w:bookmarkStart w:id="310" w:name="_Toc139965354"/>
      <w:bookmarkStart w:id="311" w:name="_Toc128372081"/>
      <w:r>
        <w:rPr>
          <w:rFonts w:hint="eastAsia" w:ascii="宋体" w:hAnsi="宋体" w:cs="宋体"/>
          <w:sz w:val="24"/>
        </w:rPr>
        <w:t>如果中标人在规定的合同签订时间内，没有按照招标文件的规定交纳履约保证金，且又无正当理由的，将视为放弃中标，其交纳的投标保证金将不予退还。</w:t>
      </w:r>
      <w:bookmarkEnd w:id="308"/>
    </w:p>
    <w:p>
      <w:pPr>
        <w:ind w:firstLine="482"/>
        <w:rPr>
          <w:rFonts w:ascii="宋体" w:cs="宋体"/>
          <w:b/>
          <w:bCs/>
          <w:sz w:val="24"/>
        </w:rPr>
      </w:pPr>
      <w:bookmarkStart w:id="312" w:name="_Toc415577079"/>
      <w:r>
        <w:rPr>
          <w:rFonts w:hint="eastAsia" w:ascii="宋体" w:hAnsi="宋体" w:cs="宋体"/>
          <w:b/>
          <w:bCs/>
          <w:sz w:val="24"/>
        </w:rPr>
        <w:t>履行合同</w:t>
      </w:r>
      <w:bookmarkEnd w:id="312"/>
    </w:p>
    <w:p>
      <w:pPr>
        <w:ind w:firstLine="480"/>
        <w:rPr>
          <w:rFonts w:ascii="宋体" w:cs="宋体"/>
          <w:sz w:val="24"/>
        </w:rPr>
      </w:pPr>
      <w:bookmarkStart w:id="313" w:name="_Toc415577080"/>
      <w:r>
        <w:rPr>
          <w:rFonts w:hint="eastAsia" w:ascii="宋体" w:hAnsi="宋体" w:cs="宋体"/>
          <w:sz w:val="24"/>
        </w:rPr>
        <w:t>中标人与采购人签订合同后，合同双方应严格执行合同条款，履行合同规定的义务，保证合同的顺利完成。</w:t>
      </w:r>
      <w:bookmarkEnd w:id="313"/>
    </w:p>
    <w:p>
      <w:pPr>
        <w:ind w:firstLine="480"/>
        <w:rPr>
          <w:rFonts w:ascii="宋体" w:cs="宋体"/>
          <w:sz w:val="24"/>
        </w:rPr>
      </w:pPr>
      <w:bookmarkStart w:id="314" w:name="_Toc415577081"/>
      <w:r>
        <w:rPr>
          <w:rFonts w:hint="eastAsia" w:ascii="宋体" w:hAnsi="宋体" w:cs="宋体"/>
          <w:sz w:val="24"/>
        </w:rPr>
        <w:t>在合同履行过程中，如发生合同纠纷，合同双方应按照《合同法》的有关规定进行处理。</w:t>
      </w:r>
      <w:bookmarkEnd w:id="314"/>
    </w:p>
    <w:p>
      <w:pPr>
        <w:ind w:firstLine="482"/>
        <w:rPr>
          <w:rFonts w:ascii="宋体" w:cs="宋体"/>
          <w:b/>
          <w:bCs/>
          <w:sz w:val="24"/>
        </w:rPr>
      </w:pPr>
      <w:bookmarkStart w:id="315" w:name="_Toc415577082"/>
      <w:r>
        <w:rPr>
          <w:rFonts w:hint="eastAsia" w:ascii="宋体" w:hAnsi="宋体" w:cs="宋体"/>
          <w:b/>
          <w:bCs/>
          <w:sz w:val="24"/>
        </w:rPr>
        <w:t>验收</w:t>
      </w:r>
      <w:bookmarkEnd w:id="315"/>
    </w:p>
    <w:p>
      <w:pPr>
        <w:ind w:firstLine="480"/>
        <w:rPr>
          <w:rFonts w:ascii="宋体" w:cs="宋体"/>
          <w:sz w:val="24"/>
        </w:rPr>
      </w:pPr>
      <w:r>
        <w:rPr>
          <w:rFonts w:hint="eastAsia" w:ascii="宋体" w:hAnsi="宋体" w:cs="宋体"/>
          <w:sz w:val="24"/>
        </w:rPr>
        <w:t>采购人应当及时对采购项目进行验收。采购人可以邀请参加本项目的其他投标人或者第三方机构参与验收。参与验收的投标人或者第三方机构的意见作为验收书的参考资料一并存档。</w:t>
      </w:r>
    </w:p>
    <w:p>
      <w:pPr>
        <w:pStyle w:val="6"/>
        <w:ind w:firstLine="482"/>
      </w:pPr>
      <w:bookmarkStart w:id="316" w:name="_Toc15635"/>
      <w:bookmarkStart w:id="317" w:name="_Toc25373"/>
      <w:bookmarkStart w:id="318" w:name="_Toc526878926"/>
      <w:bookmarkStart w:id="319" w:name="_Toc459622992"/>
      <w:bookmarkStart w:id="320" w:name="_Toc28070"/>
      <w:bookmarkStart w:id="321" w:name="_Toc493008704"/>
      <w:r>
        <w:rPr>
          <w:rFonts w:hint="eastAsia"/>
        </w:rPr>
        <w:t>3.9.3其他</w:t>
      </w:r>
      <w:bookmarkEnd w:id="309"/>
      <w:bookmarkEnd w:id="310"/>
      <w:bookmarkEnd w:id="311"/>
      <w:bookmarkEnd w:id="316"/>
      <w:bookmarkEnd w:id="317"/>
      <w:bookmarkEnd w:id="318"/>
      <w:bookmarkEnd w:id="319"/>
      <w:bookmarkEnd w:id="320"/>
      <w:bookmarkEnd w:id="321"/>
    </w:p>
    <w:p>
      <w:pPr>
        <w:ind w:firstLine="480"/>
        <w:rPr>
          <w:rFonts w:ascii="宋体"/>
          <w:sz w:val="24"/>
        </w:rPr>
      </w:pPr>
      <w:r>
        <w:rPr>
          <w:rFonts w:hint="eastAsia" w:ascii="宋体" w:hAnsi="宋体"/>
          <w:sz w:val="24"/>
        </w:rPr>
        <w:t>中标后招标文件和投标文件未尽事宜另行商定。本招标文件由招标人负责解释。</w:t>
      </w:r>
    </w:p>
    <w:p>
      <w:pPr>
        <w:pStyle w:val="5"/>
        <w:jc w:val="left"/>
        <w:rPr>
          <w:rFonts w:ascii="宋体" w:hAnsi="宋体"/>
          <w:szCs w:val="28"/>
        </w:rPr>
      </w:pPr>
      <w:bookmarkStart w:id="322" w:name="_Toc459622993"/>
      <w:bookmarkStart w:id="323" w:name="_Toc28896"/>
      <w:bookmarkStart w:id="324" w:name="_Toc526878927"/>
      <w:bookmarkStart w:id="325" w:name="_Toc493008705"/>
      <w:bookmarkStart w:id="326" w:name="_Toc8160"/>
      <w:bookmarkStart w:id="327" w:name="_Toc447272160"/>
      <w:bookmarkStart w:id="328" w:name="_Toc447207023"/>
      <w:bookmarkStart w:id="329" w:name="_Toc15669"/>
      <w:r>
        <w:rPr>
          <w:rFonts w:hint="eastAsia" w:ascii="宋体" w:hAnsi="宋体"/>
          <w:szCs w:val="28"/>
        </w:rPr>
        <w:t>3.10、质疑与答复</w:t>
      </w:r>
      <w:bookmarkEnd w:id="322"/>
      <w:bookmarkEnd w:id="323"/>
      <w:bookmarkEnd w:id="324"/>
      <w:bookmarkEnd w:id="325"/>
      <w:bookmarkEnd w:id="326"/>
      <w:bookmarkEnd w:id="327"/>
      <w:bookmarkEnd w:id="328"/>
      <w:bookmarkEnd w:id="329"/>
    </w:p>
    <w:p>
      <w:pPr>
        <w:pStyle w:val="6"/>
        <w:spacing w:before="156" w:after="156"/>
        <w:ind w:firstLine="482"/>
      </w:pPr>
      <w:bookmarkStart w:id="330" w:name="_Toc5761"/>
      <w:bookmarkStart w:id="331" w:name="_Toc30697"/>
      <w:bookmarkStart w:id="332" w:name="_Toc459622994"/>
      <w:bookmarkStart w:id="333" w:name="_Toc493008706"/>
      <w:bookmarkStart w:id="334" w:name="_Toc526878928"/>
      <w:bookmarkStart w:id="335" w:name="_Toc13201"/>
      <w:r>
        <w:rPr>
          <w:rFonts w:hint="eastAsia"/>
        </w:rPr>
        <w:t>3.10</w:t>
      </w:r>
      <w:r>
        <w:t xml:space="preserve">.1 </w:t>
      </w:r>
      <w:r>
        <w:rPr>
          <w:rFonts w:hint="eastAsia"/>
        </w:rPr>
        <w:t>综合说明</w:t>
      </w:r>
      <w:bookmarkEnd w:id="330"/>
      <w:bookmarkEnd w:id="331"/>
      <w:bookmarkEnd w:id="332"/>
      <w:bookmarkEnd w:id="333"/>
      <w:bookmarkEnd w:id="334"/>
      <w:bookmarkEnd w:id="335"/>
    </w:p>
    <w:p>
      <w:pPr>
        <w:ind w:firstLine="480"/>
        <w:rPr>
          <w:rFonts w:ascii="宋体" w:hAnsi="宋体"/>
          <w:sz w:val="24"/>
        </w:rPr>
      </w:pPr>
      <w:r>
        <w:rPr>
          <w:rFonts w:hint="eastAsia" w:ascii="宋体" w:hAnsi="宋体"/>
          <w:sz w:val="24"/>
        </w:rPr>
        <w:t>投标人对政府采购活动事项有疑问的，可以向招标人提出询问，招标人应当及时予以答复，但答复的内容不得涉及商业秘密；投标人</w:t>
      </w:r>
      <w:r>
        <w:rPr>
          <w:rFonts w:hint="eastAsia" w:ascii="宋体" w:hAnsi="宋体" w:cs="宋体"/>
          <w:kern w:val="0"/>
          <w:sz w:val="24"/>
        </w:rPr>
        <w:t>认为招标文件、招标过程或中标结果使自己的权益受到损害的，可以在规定期限内，以书面形式向招标人提出质疑。</w:t>
      </w:r>
      <w:r>
        <w:rPr>
          <w:rFonts w:hint="eastAsia" w:ascii="宋体" w:hAnsi="宋体"/>
          <w:sz w:val="24"/>
        </w:rPr>
        <w:t>投标人质疑实行实名制，质疑应当有事实根据，不得进行虚假、恶意质疑，干扰政府采购正常的工作秩序。</w:t>
      </w:r>
    </w:p>
    <w:p>
      <w:pPr>
        <w:ind w:firstLine="480"/>
        <w:rPr>
          <w:rFonts w:ascii="宋体" w:hAnsi="宋体"/>
          <w:sz w:val="24"/>
        </w:rPr>
      </w:pPr>
      <w:r>
        <w:rPr>
          <w:rFonts w:hint="eastAsia" w:ascii="宋体" w:hAnsi="宋体"/>
          <w:sz w:val="24"/>
        </w:rPr>
        <w:t>招标人应当在收到投标人的书面质疑后及时作出答复，但答复的内容不得涉及商业秘密。</w:t>
      </w:r>
    </w:p>
    <w:p>
      <w:pPr>
        <w:pStyle w:val="6"/>
        <w:spacing w:before="156" w:after="156"/>
        <w:ind w:firstLine="482"/>
      </w:pPr>
      <w:bookmarkStart w:id="336" w:name="_Toc31365"/>
      <w:bookmarkStart w:id="337" w:name="_Toc8558"/>
      <w:bookmarkStart w:id="338" w:name="_Toc22181"/>
      <w:bookmarkStart w:id="339" w:name="_Toc526878929"/>
      <w:bookmarkStart w:id="340" w:name="_Toc493008707"/>
      <w:bookmarkStart w:id="341" w:name="_Toc459622995"/>
      <w:r>
        <w:rPr>
          <w:rFonts w:hint="eastAsia"/>
        </w:rPr>
        <w:t>3.10.2质疑和答复的时限</w:t>
      </w:r>
      <w:bookmarkEnd w:id="336"/>
      <w:bookmarkEnd w:id="337"/>
      <w:bookmarkEnd w:id="338"/>
      <w:bookmarkEnd w:id="339"/>
      <w:bookmarkEnd w:id="340"/>
      <w:bookmarkEnd w:id="341"/>
    </w:p>
    <w:p>
      <w:pPr>
        <w:ind w:firstLine="480"/>
        <w:rPr>
          <w:rFonts w:ascii="宋体" w:hAnsi="宋体"/>
          <w:sz w:val="24"/>
        </w:rPr>
      </w:pPr>
      <w:r>
        <w:rPr>
          <w:rFonts w:hint="eastAsia" w:ascii="宋体" w:hAnsi="宋体"/>
          <w:sz w:val="24"/>
        </w:rPr>
        <w:t>（1）投标商对政府采购活动事项有疑问的，可以向采购人或采购代理机构提出询问。采购人或采购代理机构将在3个工作日内作出答复。</w:t>
      </w:r>
    </w:p>
    <w:p>
      <w:pPr>
        <w:adjustRightInd w:val="0"/>
        <w:snapToGrid w:val="0"/>
        <w:ind w:firstLine="480"/>
        <w:jc w:val="left"/>
        <w:rPr>
          <w:rFonts w:ascii="宋体" w:hAnsi="宋体"/>
          <w:sz w:val="24"/>
        </w:rPr>
      </w:pPr>
      <w:r>
        <w:rPr>
          <w:rFonts w:hint="eastAsia" w:ascii="宋体" w:hAnsi="宋体"/>
          <w:sz w:val="24"/>
        </w:rPr>
        <w:t>（2）投标人若认为采购过程和中标结果使自己的权益受到损害，应当在下列时间内以书面形式向采购人或采购代理机构提出：</w:t>
      </w:r>
    </w:p>
    <w:p>
      <w:pPr>
        <w:adjustRightInd w:val="0"/>
        <w:snapToGrid w:val="0"/>
        <w:ind w:left="359" w:leftChars="171" w:firstLine="480"/>
        <w:jc w:val="left"/>
        <w:rPr>
          <w:rFonts w:ascii="宋体" w:hAnsi="宋体"/>
          <w:sz w:val="24"/>
          <w:highlight w:val="yellow"/>
        </w:rPr>
      </w:pPr>
      <w:r>
        <w:rPr>
          <w:rFonts w:hint="eastAsia" w:ascii="宋体" w:hAnsi="宋体"/>
          <w:sz w:val="24"/>
        </w:rPr>
        <w:t>①关于招标文件的质疑，应在收到招标文件之日或者招标文件公告期限届满之日起7个工作日内提出。</w:t>
      </w:r>
    </w:p>
    <w:p>
      <w:pPr>
        <w:adjustRightInd w:val="0"/>
        <w:snapToGrid w:val="0"/>
        <w:ind w:firstLine="840" w:firstLineChars="350"/>
        <w:jc w:val="left"/>
        <w:rPr>
          <w:rFonts w:ascii="宋体" w:hAnsi="宋体"/>
          <w:sz w:val="24"/>
          <w:highlight w:val="yellow"/>
        </w:rPr>
      </w:pPr>
      <w:r>
        <w:rPr>
          <w:rFonts w:hint="eastAsia" w:ascii="宋体" w:hAnsi="宋体"/>
          <w:sz w:val="24"/>
        </w:rPr>
        <w:t>②关于采购过程的质疑，应在采购程序环节结束之日起7个工作日内提出。</w:t>
      </w:r>
    </w:p>
    <w:p>
      <w:pPr>
        <w:ind w:firstLine="840" w:firstLineChars="350"/>
        <w:rPr>
          <w:rFonts w:ascii="宋体" w:hAnsi="宋体"/>
          <w:sz w:val="24"/>
        </w:rPr>
      </w:pPr>
      <w:r>
        <w:rPr>
          <w:rFonts w:hint="eastAsia" w:ascii="宋体" w:hAnsi="宋体"/>
          <w:sz w:val="24"/>
        </w:rPr>
        <w:t>③关于中标结果的质疑，应在中标结果信息发布后7个工作日内提出。</w:t>
      </w:r>
    </w:p>
    <w:p>
      <w:pPr>
        <w:ind w:firstLine="480"/>
        <w:rPr>
          <w:rFonts w:ascii="宋体" w:hAnsi="宋体"/>
          <w:sz w:val="24"/>
        </w:rPr>
      </w:pPr>
      <w:r>
        <w:rPr>
          <w:rFonts w:hint="eastAsia" w:ascii="宋体" w:hAnsi="宋体"/>
          <w:sz w:val="24"/>
        </w:rPr>
        <w:t>（3）采购人应当在收到投标人的书面质疑后7个工作日内作出答复。</w:t>
      </w:r>
    </w:p>
    <w:p>
      <w:pPr>
        <w:pStyle w:val="6"/>
        <w:spacing w:before="156" w:after="156"/>
        <w:ind w:firstLine="482"/>
      </w:pPr>
      <w:bookmarkStart w:id="342" w:name="_Toc526878930"/>
      <w:bookmarkStart w:id="343" w:name="_Toc1620"/>
      <w:bookmarkStart w:id="344" w:name="_Toc459622996"/>
      <w:bookmarkStart w:id="345" w:name="_Toc493008708"/>
      <w:bookmarkStart w:id="346" w:name="_Toc16320"/>
      <w:bookmarkStart w:id="347" w:name="_Toc14127"/>
      <w:r>
        <w:rPr>
          <w:rFonts w:hint="eastAsia"/>
        </w:rPr>
        <w:t>3.10.3投标人提起质疑应当符合下列条件：</w:t>
      </w:r>
      <w:bookmarkEnd w:id="342"/>
      <w:bookmarkEnd w:id="343"/>
      <w:bookmarkEnd w:id="344"/>
      <w:bookmarkEnd w:id="345"/>
      <w:bookmarkEnd w:id="346"/>
      <w:bookmarkEnd w:id="347"/>
    </w:p>
    <w:p>
      <w:pPr>
        <w:ind w:firstLine="480"/>
        <w:rPr>
          <w:rFonts w:ascii="宋体" w:hAnsi="宋体"/>
          <w:sz w:val="24"/>
        </w:rPr>
      </w:pPr>
      <w:r>
        <w:rPr>
          <w:rFonts w:hint="eastAsia" w:ascii="宋体" w:hAnsi="宋体"/>
          <w:sz w:val="24"/>
        </w:rPr>
        <w:t>（1）必须是参与被质疑项目的投标人；</w:t>
      </w:r>
    </w:p>
    <w:p>
      <w:pPr>
        <w:ind w:firstLine="480"/>
        <w:rPr>
          <w:rFonts w:ascii="宋体" w:hAnsi="宋体"/>
          <w:sz w:val="24"/>
        </w:rPr>
      </w:pPr>
      <w:r>
        <w:rPr>
          <w:rFonts w:hint="eastAsia" w:ascii="宋体" w:hAnsi="宋体"/>
          <w:sz w:val="24"/>
        </w:rPr>
        <w:t>（2）必须在规定的质疑有效期内提起质疑；</w:t>
      </w:r>
    </w:p>
    <w:p>
      <w:pPr>
        <w:ind w:firstLine="480"/>
        <w:rPr>
          <w:rFonts w:ascii="宋体" w:hAnsi="宋体"/>
          <w:sz w:val="24"/>
        </w:rPr>
      </w:pPr>
      <w:r>
        <w:rPr>
          <w:rFonts w:hint="eastAsia" w:ascii="宋体" w:hAnsi="宋体"/>
          <w:sz w:val="24"/>
        </w:rPr>
        <w:t>（3）政府采购监督管理部门规定的其他条件。</w:t>
      </w:r>
    </w:p>
    <w:p>
      <w:pPr>
        <w:pStyle w:val="6"/>
        <w:ind w:firstLine="482"/>
        <w:rPr>
          <w:rFonts w:hint="eastAsia"/>
        </w:rPr>
      </w:pPr>
      <w:bookmarkStart w:id="348" w:name="_Toc459622997"/>
      <w:bookmarkStart w:id="349" w:name="_Toc27240"/>
      <w:bookmarkStart w:id="350" w:name="_Toc2414"/>
      <w:bookmarkStart w:id="351" w:name="_Toc3129"/>
      <w:bookmarkStart w:id="352" w:name="_Toc526878931"/>
      <w:bookmarkStart w:id="353" w:name="_Toc493008709"/>
      <w:r>
        <w:rPr>
          <w:rFonts w:hint="eastAsia"/>
        </w:rPr>
        <w:t>3.10.4质疑函的递交</w:t>
      </w:r>
      <w:bookmarkEnd w:id="348"/>
      <w:bookmarkEnd w:id="349"/>
      <w:bookmarkEnd w:id="350"/>
      <w:bookmarkEnd w:id="351"/>
      <w:r>
        <w:rPr>
          <w:rFonts w:hint="eastAsia"/>
        </w:rPr>
        <w:t>及地点</w:t>
      </w:r>
      <w:bookmarkEnd w:id="352"/>
      <w:bookmarkEnd w:id="353"/>
    </w:p>
    <w:p>
      <w:pPr>
        <w:ind w:firstLine="482"/>
        <w:rPr>
          <w:rFonts w:ascii="宋体" w:hAnsi="宋体"/>
          <w:b/>
          <w:sz w:val="24"/>
          <w:szCs w:val="24"/>
        </w:rPr>
      </w:pPr>
      <w:r>
        <w:rPr>
          <w:rFonts w:hint="eastAsia" w:ascii="宋体" w:hAnsi="宋体"/>
          <w:b/>
          <w:sz w:val="24"/>
          <w:szCs w:val="24"/>
        </w:rPr>
        <w:t>（1）质疑函应当包括下列主要内容：</w:t>
      </w:r>
    </w:p>
    <w:p>
      <w:pPr>
        <w:ind w:firstLine="960" w:firstLineChars="400"/>
        <w:rPr>
          <w:rFonts w:ascii="宋体" w:hAnsi="宋体"/>
          <w:sz w:val="24"/>
        </w:rPr>
      </w:pPr>
      <w:r>
        <w:rPr>
          <w:rFonts w:hint="eastAsia" w:ascii="宋体" w:hAnsi="宋体"/>
          <w:sz w:val="24"/>
        </w:rPr>
        <w:t>①提起质疑的投标人名称、地址及</w:t>
      </w:r>
      <w:r>
        <w:rPr>
          <w:rFonts w:hint="eastAsia" w:hAnsi="宋体"/>
          <w:sz w:val="24"/>
        </w:rPr>
        <w:t>有效</w:t>
      </w:r>
      <w:r>
        <w:rPr>
          <w:rFonts w:hint="eastAsia" w:ascii="宋体" w:hAnsi="宋体"/>
          <w:sz w:val="24"/>
        </w:rPr>
        <w:t>联系方式；</w:t>
      </w:r>
    </w:p>
    <w:p>
      <w:pPr>
        <w:ind w:firstLine="960" w:firstLineChars="400"/>
        <w:rPr>
          <w:rFonts w:ascii="宋体" w:hAnsi="宋体"/>
          <w:sz w:val="24"/>
        </w:rPr>
      </w:pPr>
      <w:r>
        <w:rPr>
          <w:rFonts w:hint="eastAsia" w:ascii="宋体" w:hAnsi="宋体"/>
          <w:sz w:val="24"/>
        </w:rPr>
        <w:t>②质疑事项；</w:t>
      </w:r>
    </w:p>
    <w:p>
      <w:pPr>
        <w:ind w:firstLine="960" w:firstLineChars="400"/>
        <w:rPr>
          <w:rFonts w:ascii="宋体" w:hAnsi="宋体"/>
          <w:sz w:val="24"/>
        </w:rPr>
      </w:pPr>
      <w:r>
        <w:rPr>
          <w:rFonts w:hint="eastAsia" w:ascii="宋体" w:hAnsi="宋体"/>
          <w:sz w:val="24"/>
        </w:rPr>
        <w:t>③</w:t>
      </w:r>
      <w:r>
        <w:rPr>
          <w:rFonts w:hint="eastAsia" w:hAnsi="宋体"/>
          <w:sz w:val="24"/>
        </w:rPr>
        <w:t>事实依据及相关证明材料；</w:t>
      </w:r>
    </w:p>
    <w:p>
      <w:pPr>
        <w:ind w:firstLine="960" w:firstLineChars="400"/>
        <w:rPr>
          <w:rFonts w:ascii="宋体" w:hAnsi="宋体"/>
          <w:sz w:val="24"/>
        </w:rPr>
      </w:pPr>
      <w:r>
        <w:rPr>
          <w:rFonts w:hint="eastAsia" w:ascii="宋体" w:hAnsi="宋体"/>
          <w:sz w:val="24"/>
        </w:rPr>
        <w:t>④请求和主张。</w:t>
      </w:r>
    </w:p>
    <w:p>
      <w:pPr>
        <w:pStyle w:val="20"/>
        <w:snapToGrid w:val="0"/>
        <w:spacing w:line="360" w:lineRule="auto"/>
        <w:ind w:firstLine="480"/>
        <w:jc w:val="left"/>
        <w:rPr>
          <w:rFonts w:hAnsi="宋体"/>
          <w:sz w:val="24"/>
          <w:szCs w:val="24"/>
        </w:rPr>
      </w:pPr>
      <w:r>
        <w:rPr>
          <w:rFonts w:hint="eastAsia" w:hAnsi="宋体"/>
          <w:sz w:val="24"/>
        </w:rPr>
        <w:t>质疑函</w:t>
      </w:r>
      <w:r>
        <w:rPr>
          <w:rFonts w:hint="eastAsia" w:hAnsi="宋体"/>
          <w:sz w:val="24"/>
          <w:szCs w:val="24"/>
        </w:rPr>
        <w:t>应当由投标人法定代表人或其授权的代理人签字并加盖投标人单位公章，质疑函由授权的代理人签字的应附投标人法定代表人委托授权书。</w:t>
      </w:r>
    </w:p>
    <w:p>
      <w:pPr>
        <w:pStyle w:val="20"/>
        <w:snapToGrid w:val="0"/>
        <w:spacing w:line="360" w:lineRule="auto"/>
        <w:ind w:firstLine="480"/>
        <w:jc w:val="left"/>
        <w:rPr>
          <w:rFonts w:hint="eastAsia" w:hAnsi="宋体"/>
          <w:sz w:val="24"/>
        </w:rPr>
      </w:pPr>
      <w:r>
        <w:rPr>
          <w:rFonts w:hint="eastAsia" w:hAnsi="宋体"/>
          <w:sz w:val="24"/>
        </w:rPr>
        <w:t>质疑地点：（采购人）、（招标代理机构）</w:t>
      </w:r>
    </w:p>
    <w:p>
      <w:pPr>
        <w:ind w:firstLine="482"/>
        <w:rPr>
          <w:rFonts w:hAnsi="宋体"/>
          <w:sz w:val="24"/>
          <w:szCs w:val="24"/>
        </w:rPr>
      </w:pPr>
      <w:r>
        <w:rPr>
          <w:rFonts w:hint="eastAsia" w:ascii="宋体" w:hAnsi="宋体"/>
          <w:b/>
          <w:sz w:val="24"/>
          <w:szCs w:val="24"/>
        </w:rPr>
        <w:t>（2）质疑函的递交应当采取当面递交的形式。</w:t>
      </w:r>
    </w:p>
    <w:p>
      <w:pPr>
        <w:ind w:firstLine="480"/>
        <w:rPr>
          <w:rFonts w:ascii="宋体" w:hAnsi="宋体"/>
          <w:sz w:val="24"/>
        </w:rPr>
      </w:pPr>
      <w:r>
        <w:rPr>
          <w:rFonts w:hint="eastAsia" w:ascii="宋体" w:hAnsi="宋体"/>
          <w:sz w:val="24"/>
        </w:rPr>
        <w:t>由法定代表人递交质疑函时，提供法定代表人身份证复印件；由授权投标人递交质疑函时，还须提供法人投标授权函和质疑授权函（均为原件）及被授权投标人的身份证复印件。</w:t>
      </w:r>
      <w:r>
        <w:rPr>
          <w:rFonts w:hint="eastAsia"/>
          <w:bCs/>
          <w:sz w:val="24"/>
        </w:rPr>
        <w:t>身份证复印件须正反面清晰、有效，并要求由该身份证持有人在复印件正反面非空白位置注明</w:t>
      </w:r>
      <w:r>
        <w:rPr>
          <w:rFonts w:hint="eastAsia" w:cs="Arial"/>
          <w:bCs/>
          <w:sz w:val="24"/>
        </w:rPr>
        <w:t>“</w:t>
      </w:r>
      <w:r>
        <w:rPr>
          <w:rFonts w:hint="eastAsia"/>
          <w:bCs/>
          <w:sz w:val="24"/>
        </w:rPr>
        <w:t>该复印件用于</w:t>
      </w:r>
      <w:r>
        <w:rPr>
          <w:rFonts w:ascii="宋体" w:hAnsi="宋体"/>
          <w:sz w:val="24"/>
        </w:rPr>
        <w:t>XXX</w:t>
      </w:r>
      <w:r>
        <w:rPr>
          <w:rFonts w:hint="eastAsia"/>
          <w:bCs/>
          <w:sz w:val="24"/>
        </w:rPr>
        <w:t>项目质疑使用</w:t>
      </w:r>
      <w:r>
        <w:rPr>
          <w:rFonts w:hint="eastAsia" w:cs="Arial"/>
          <w:bCs/>
          <w:sz w:val="24"/>
        </w:rPr>
        <w:t>”</w:t>
      </w:r>
      <w:r>
        <w:rPr>
          <w:rFonts w:hint="eastAsia"/>
          <w:bCs/>
          <w:sz w:val="24"/>
        </w:rPr>
        <w:t>字样，并由身份证持有人签字确认</w:t>
      </w:r>
      <w:r>
        <w:rPr>
          <w:rFonts w:hint="eastAsia" w:ascii="宋体" w:hAnsi="宋体"/>
          <w:sz w:val="24"/>
        </w:rPr>
        <w:t>。上述资料均须加盖公章。</w:t>
      </w:r>
    </w:p>
    <w:p>
      <w:pPr>
        <w:ind w:firstLine="482"/>
        <w:rPr>
          <w:rFonts w:ascii="宋体" w:hAnsi="宋体"/>
          <w:b/>
          <w:sz w:val="24"/>
          <w:szCs w:val="24"/>
        </w:rPr>
      </w:pPr>
      <w:r>
        <w:rPr>
          <w:rFonts w:hint="eastAsia" w:ascii="宋体" w:hAnsi="宋体"/>
          <w:b/>
          <w:sz w:val="24"/>
          <w:szCs w:val="24"/>
        </w:rPr>
        <w:t>（3）采购人或采购代理机构收到质疑函后，应当向质疑投标人签收回执。</w:t>
      </w:r>
    </w:p>
    <w:p>
      <w:pPr>
        <w:pStyle w:val="6"/>
        <w:ind w:firstLine="482"/>
      </w:pPr>
      <w:bookmarkStart w:id="354" w:name="_Toc21251"/>
      <w:bookmarkStart w:id="355" w:name="_Toc493008710"/>
      <w:bookmarkStart w:id="356" w:name="_Toc526878932"/>
      <w:bookmarkStart w:id="357" w:name="_Toc23158"/>
      <w:bookmarkStart w:id="358" w:name="_Toc459622998"/>
      <w:bookmarkStart w:id="359" w:name="_Toc14558"/>
      <w:r>
        <w:rPr>
          <w:rFonts w:hint="eastAsia"/>
        </w:rPr>
        <w:t>3.10.5对投标人质疑的答复</w:t>
      </w:r>
      <w:bookmarkEnd w:id="354"/>
      <w:bookmarkEnd w:id="355"/>
      <w:bookmarkEnd w:id="356"/>
      <w:bookmarkEnd w:id="357"/>
      <w:bookmarkEnd w:id="358"/>
      <w:bookmarkEnd w:id="359"/>
    </w:p>
    <w:p>
      <w:pPr>
        <w:ind w:firstLine="480"/>
        <w:rPr>
          <w:rFonts w:ascii="宋体" w:hAnsi="宋体"/>
          <w:sz w:val="24"/>
        </w:rPr>
      </w:pPr>
      <w:r>
        <w:rPr>
          <w:rFonts w:hint="eastAsia" w:ascii="宋体" w:hAnsi="宋体"/>
          <w:sz w:val="24"/>
        </w:rPr>
        <w:t>招标人应在收到质疑函7个工作日内根据澄清或质疑函的具体内容相应作出答复或不予答复，答复内容不得涉及商业秘密。作出答复的将以书面形式通知提出澄清或质疑的投标人和其他有关投标人，或在指定媒体上予以公布。</w:t>
      </w:r>
    </w:p>
    <w:p>
      <w:pPr>
        <w:ind w:firstLine="480"/>
        <w:rPr>
          <w:rFonts w:ascii="宋体"/>
          <w:sz w:val="24"/>
        </w:rPr>
      </w:pPr>
      <w:r>
        <w:rPr>
          <w:rFonts w:hint="eastAsia" w:ascii="宋体" w:hAnsi="宋体"/>
          <w:sz w:val="24"/>
        </w:rPr>
        <w:t>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pStyle w:val="6"/>
        <w:ind w:firstLine="482"/>
      </w:pPr>
      <w:bookmarkStart w:id="360" w:name="_Toc14322"/>
      <w:bookmarkStart w:id="361" w:name="_Toc459622999"/>
      <w:bookmarkStart w:id="362" w:name="_Toc5210"/>
      <w:bookmarkStart w:id="363" w:name="_Toc493008711"/>
      <w:bookmarkStart w:id="364" w:name="_Toc22004"/>
      <w:bookmarkStart w:id="365" w:name="_Toc526878933"/>
      <w:r>
        <w:rPr>
          <w:rFonts w:hint="eastAsia"/>
        </w:rPr>
        <w:t>3.10</w:t>
      </w:r>
      <w:r>
        <w:t>.</w:t>
      </w:r>
      <w:r>
        <w:rPr>
          <w:rFonts w:hint="eastAsia"/>
        </w:rPr>
        <w:t>6质疑不予受理的情况</w:t>
      </w:r>
      <w:bookmarkEnd w:id="360"/>
      <w:bookmarkEnd w:id="361"/>
      <w:bookmarkEnd w:id="362"/>
      <w:bookmarkEnd w:id="363"/>
      <w:bookmarkEnd w:id="364"/>
      <w:bookmarkEnd w:id="365"/>
    </w:p>
    <w:p>
      <w:pPr>
        <w:widowControl/>
        <w:ind w:firstLine="480"/>
        <w:rPr>
          <w:rFonts w:ascii="宋体" w:cs="宋体"/>
          <w:kern w:val="0"/>
          <w:sz w:val="24"/>
        </w:rPr>
      </w:pPr>
      <w:r>
        <w:rPr>
          <w:rFonts w:hint="eastAsia" w:ascii="宋体" w:hAnsi="宋体" w:cs="宋体"/>
          <w:kern w:val="0"/>
          <w:sz w:val="24"/>
        </w:rPr>
        <w:t>有下列情形之一的，属于无效质疑，被质疑人不予受理，</w:t>
      </w:r>
      <w:r>
        <w:rPr>
          <w:rFonts w:hint="eastAsia"/>
          <w:sz w:val="24"/>
        </w:rPr>
        <w:t>由此产生的影响由投标人自行承担</w:t>
      </w:r>
      <w:r>
        <w:rPr>
          <w:rFonts w:hint="eastAsia" w:ascii="宋体" w:hAnsi="宋体" w:cs="宋体"/>
          <w:kern w:val="0"/>
          <w:sz w:val="24"/>
        </w:rPr>
        <w:t>：</w:t>
      </w:r>
    </w:p>
    <w:p>
      <w:pPr>
        <w:widowControl/>
        <w:ind w:firstLine="480"/>
        <w:rPr>
          <w:rFonts w:ascii="宋体" w:cs="宋体"/>
          <w:kern w:val="0"/>
          <w:sz w:val="24"/>
        </w:rPr>
      </w:pPr>
      <w:r>
        <w:rPr>
          <w:rFonts w:ascii="宋体" w:hAnsi="宋体" w:cs="宋体"/>
          <w:kern w:val="0"/>
          <w:sz w:val="24"/>
        </w:rPr>
        <w:t>(</w:t>
      </w: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不是参与该政府采购项目活动投标人的</w:t>
      </w:r>
      <w:r>
        <w:rPr>
          <w:rFonts w:ascii="宋体" w:hAnsi="宋体" w:cs="宋体"/>
          <w:kern w:val="0"/>
          <w:sz w:val="24"/>
        </w:rPr>
        <w:t>;</w:t>
      </w:r>
    </w:p>
    <w:p>
      <w:pPr>
        <w:widowControl/>
        <w:ind w:firstLine="480"/>
        <w:rPr>
          <w:rFonts w:ascii="宋体" w:cs="宋体"/>
          <w:kern w:val="0"/>
          <w:sz w:val="24"/>
        </w:rPr>
      </w:pPr>
      <w:r>
        <w:rPr>
          <w:rFonts w:ascii="宋体" w:hAnsi="宋体" w:cs="宋体"/>
          <w:kern w:val="0"/>
          <w:sz w:val="24"/>
        </w:rPr>
        <w:t>(</w:t>
      </w: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被质疑人为采购人或政府采购代理机构之外的；</w:t>
      </w:r>
    </w:p>
    <w:p>
      <w:pPr>
        <w:widowControl/>
        <w:ind w:firstLine="480"/>
        <w:rPr>
          <w:rFonts w:ascii="宋体" w:cs="宋体"/>
          <w:kern w:val="0"/>
          <w:sz w:val="24"/>
        </w:rPr>
      </w:pPr>
      <w:r>
        <w:rPr>
          <w:rFonts w:ascii="宋体" w:hAnsi="宋体" w:cs="宋体"/>
          <w:kern w:val="0"/>
          <w:sz w:val="24"/>
        </w:rPr>
        <w:t>(</w:t>
      </w: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所有质疑事项超过质疑有效期的；</w:t>
      </w:r>
    </w:p>
    <w:p>
      <w:pPr>
        <w:widowControl/>
        <w:ind w:firstLine="480"/>
        <w:rPr>
          <w:rFonts w:ascii="宋体" w:cs="宋体"/>
          <w:kern w:val="0"/>
          <w:sz w:val="24"/>
        </w:rPr>
      </w:pPr>
      <w:r>
        <w:rPr>
          <w:rFonts w:ascii="宋体" w:hAnsi="宋体" w:cs="宋体"/>
          <w:kern w:val="0"/>
          <w:sz w:val="24"/>
        </w:rPr>
        <w:t>(</w:t>
      </w: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以具有法律效力的文书送达之外方式提出的；</w:t>
      </w:r>
    </w:p>
    <w:p>
      <w:pPr>
        <w:widowControl/>
        <w:ind w:firstLine="480"/>
        <w:rPr>
          <w:rFonts w:ascii="宋体" w:cs="宋体"/>
          <w:kern w:val="0"/>
          <w:sz w:val="24"/>
        </w:rPr>
      </w:pPr>
      <w:r>
        <w:rPr>
          <w:rFonts w:ascii="宋体" w:hAnsi="宋体" w:cs="宋体"/>
          <w:kern w:val="0"/>
          <w:sz w:val="24"/>
        </w:rPr>
        <w:t>(</w:t>
      </w:r>
      <w:r>
        <w:rPr>
          <w:rFonts w:hint="eastAsia" w:ascii="宋体" w:hAnsi="宋体" w:cs="宋体"/>
          <w:kern w:val="0"/>
          <w:sz w:val="24"/>
        </w:rPr>
        <w:t>5</w:t>
      </w:r>
      <w:r>
        <w:rPr>
          <w:rFonts w:ascii="宋体" w:hAnsi="宋体" w:cs="宋体"/>
          <w:kern w:val="0"/>
          <w:sz w:val="24"/>
        </w:rPr>
        <w:t>)</w:t>
      </w:r>
      <w:r>
        <w:rPr>
          <w:rFonts w:hint="eastAsia"/>
          <w:sz w:val="24"/>
        </w:rPr>
        <w:t>未按上述规定递交澄清或质疑函的</w:t>
      </w:r>
      <w:r>
        <w:rPr>
          <w:rFonts w:hint="eastAsia" w:ascii="宋体" w:hAnsi="宋体" w:cs="宋体"/>
          <w:kern w:val="0"/>
          <w:sz w:val="24"/>
        </w:rPr>
        <w:t>；</w:t>
      </w:r>
    </w:p>
    <w:p>
      <w:pPr>
        <w:adjustRightInd w:val="0"/>
        <w:ind w:firstLine="480"/>
        <w:rPr>
          <w:rFonts w:ascii="宋体" w:hAnsi="宋体" w:cs="宋体"/>
          <w:kern w:val="0"/>
          <w:sz w:val="24"/>
        </w:rPr>
      </w:pPr>
      <w:r>
        <w:rPr>
          <w:rFonts w:ascii="宋体" w:hAnsi="宋体" w:cs="宋体"/>
          <w:kern w:val="0"/>
          <w:sz w:val="24"/>
        </w:rPr>
        <w:t>(</w:t>
      </w:r>
      <w:r>
        <w:rPr>
          <w:rFonts w:hint="eastAsia" w:ascii="宋体" w:hAnsi="宋体" w:cs="宋体"/>
          <w:kern w:val="0"/>
          <w:sz w:val="24"/>
        </w:rPr>
        <w:t>6</w:t>
      </w:r>
      <w:r>
        <w:rPr>
          <w:rFonts w:ascii="宋体" w:hAnsi="宋体" w:cs="宋体"/>
          <w:kern w:val="0"/>
          <w:sz w:val="24"/>
        </w:rPr>
        <w:t xml:space="preserve">) </w:t>
      </w:r>
      <w:r>
        <w:rPr>
          <w:rFonts w:hint="eastAsia" w:ascii="宋体" w:hAnsi="宋体" w:cs="宋体"/>
          <w:kern w:val="0"/>
          <w:sz w:val="24"/>
        </w:rPr>
        <w:t>其它不符合受理条件的情形。</w:t>
      </w:r>
    </w:p>
    <w:p>
      <w:pPr>
        <w:pStyle w:val="6"/>
        <w:ind w:firstLine="482"/>
      </w:pPr>
      <w:bookmarkStart w:id="366" w:name="_Toc526878934"/>
      <w:bookmarkStart w:id="367" w:name="_Toc493008712"/>
      <w:bookmarkStart w:id="368" w:name="_Toc25269"/>
      <w:bookmarkStart w:id="369" w:name="_Toc459623000"/>
      <w:bookmarkStart w:id="370" w:name="_Toc25456"/>
      <w:bookmarkStart w:id="371" w:name="_Toc27568"/>
      <w:r>
        <w:rPr>
          <w:rFonts w:hint="eastAsia"/>
        </w:rPr>
        <w:t>3.10.7投诉</w:t>
      </w:r>
      <w:bookmarkEnd w:id="366"/>
      <w:bookmarkEnd w:id="367"/>
      <w:bookmarkEnd w:id="368"/>
      <w:bookmarkEnd w:id="369"/>
      <w:bookmarkEnd w:id="370"/>
      <w:bookmarkEnd w:id="371"/>
    </w:p>
    <w:p>
      <w:pPr>
        <w:ind w:firstLine="480"/>
        <w:rPr>
          <w:rFonts w:hint="eastAsia" w:ascii="宋体" w:hAnsi="宋体"/>
          <w:sz w:val="24"/>
        </w:rPr>
      </w:pPr>
      <w:r>
        <w:rPr>
          <w:rFonts w:hint="eastAsia" w:ascii="宋体" w:hAnsi="宋体"/>
          <w:sz w:val="24"/>
        </w:rPr>
        <w:t>投标人对采购人或采购代理机构的答复不满意，或采购人或采购代理机构未在规定的期限作出答复的，可在答复期满后15个工作日内，按政府采购相关法律法规规章的规定及程序，向同级财政部门提出投诉。15个工作日过后视为放弃投诉。</w:t>
      </w:r>
    </w:p>
    <w:p>
      <w:pPr>
        <w:pStyle w:val="5"/>
        <w:rPr>
          <w:rFonts w:hint="eastAsia"/>
          <w:color w:val="auto"/>
        </w:rPr>
      </w:pPr>
      <w:bookmarkStart w:id="372" w:name="_Toc526878935"/>
      <w:r>
        <w:rPr>
          <w:rFonts w:hint="eastAsia"/>
          <w:color w:val="auto"/>
        </w:rPr>
        <w:t>3.11、招标代理费</w:t>
      </w:r>
      <w:bookmarkEnd w:id="372"/>
    </w:p>
    <w:p>
      <w:pPr>
        <w:ind w:firstLine="480"/>
        <w:jc w:val="left"/>
        <w:rPr>
          <w:rFonts w:hint="eastAsia" w:eastAsia="宋体"/>
          <w:lang w:eastAsia="zh-CN"/>
        </w:rPr>
      </w:pPr>
      <w:r>
        <w:rPr>
          <w:rFonts w:hint="eastAsia" w:ascii="宋体" w:hAnsi="宋体"/>
          <w:sz w:val="24"/>
          <w:szCs w:val="24"/>
          <w:lang w:eastAsia="zh-CN"/>
        </w:rPr>
        <w:t>本项目不</w:t>
      </w:r>
      <w:r>
        <w:rPr>
          <w:rFonts w:hint="eastAsia" w:ascii="宋体" w:hAnsi="宋体"/>
          <w:sz w:val="24"/>
          <w:szCs w:val="24"/>
        </w:rPr>
        <w:t>收取</w:t>
      </w:r>
      <w:r>
        <w:rPr>
          <w:rFonts w:hint="eastAsia" w:ascii="宋体" w:hAnsi="宋体"/>
          <w:sz w:val="24"/>
          <w:szCs w:val="24"/>
          <w:lang w:eastAsia="zh-CN"/>
        </w:rPr>
        <w:t>任何</w:t>
      </w:r>
      <w:r>
        <w:rPr>
          <w:rFonts w:hint="eastAsia" w:ascii="宋体" w:hAnsi="宋体"/>
          <w:sz w:val="24"/>
          <w:szCs w:val="24"/>
        </w:rPr>
        <w:t>代理费</w:t>
      </w:r>
      <w:r>
        <w:rPr>
          <w:rFonts w:hint="eastAsia" w:ascii="宋体" w:hAnsi="宋体"/>
          <w:sz w:val="24"/>
          <w:szCs w:val="24"/>
          <w:lang w:eastAsia="zh-CN"/>
        </w:rPr>
        <w:t>。</w:t>
      </w:r>
    </w:p>
    <w:p>
      <w:pPr>
        <w:pStyle w:val="2"/>
        <w:rPr>
          <w:rFonts w:hint="eastAsia"/>
        </w:rPr>
      </w:pPr>
    </w:p>
    <w:p>
      <w:pPr>
        <w:pStyle w:val="2"/>
        <w:ind w:left="0" w:leftChars="0" w:firstLine="0" w:firstLineChars="0"/>
      </w:pPr>
      <w:bookmarkStart w:id="373" w:name="_Toc493008713"/>
      <w:bookmarkStart w:id="374" w:name="_Toc459623001"/>
      <w:bookmarkStart w:id="375" w:name="_Toc447272161"/>
      <w:bookmarkStart w:id="376" w:name="_Toc447207024"/>
      <w:bookmarkStart w:id="377" w:name="_Toc32641"/>
    </w:p>
    <w:p>
      <w:pPr>
        <w:pStyle w:val="2"/>
        <w:ind w:left="0" w:leftChars="0" w:firstLine="0" w:firstLineChars="0"/>
      </w:pPr>
    </w:p>
    <w:p>
      <w:pPr>
        <w:pStyle w:val="4"/>
        <w:ind w:firstLine="643"/>
      </w:pPr>
      <w:r>
        <w:rPr>
          <w:rFonts w:hint="eastAsia"/>
        </w:rPr>
        <w:t>第四章  项目需求</w:t>
      </w:r>
    </w:p>
    <w:p/>
    <w:p>
      <w:pPr>
        <w:pStyle w:val="5"/>
        <w:rPr>
          <w:rFonts w:ascii="宋体" w:hAnsi="宋体" w:cs="宋体"/>
          <w:szCs w:val="21"/>
        </w:rPr>
      </w:pPr>
      <w:r>
        <w:rPr>
          <w:rFonts w:hint="eastAsia"/>
        </w:rPr>
        <w:t>4.1 货物需求及参数要求一览表</w:t>
      </w:r>
    </w:p>
    <w:bookmarkEnd w:id="373"/>
    <w:bookmarkEnd w:id="374"/>
    <w:bookmarkEnd w:id="375"/>
    <w:bookmarkEnd w:id="376"/>
    <w:bookmarkEnd w:id="377"/>
    <w:p>
      <w:pPr>
        <w:ind w:firstLine="723" w:firstLineChars="200"/>
        <w:rPr>
          <w:rFonts w:ascii="黑体" w:hAnsi="黑体" w:eastAsia="黑体"/>
          <w:sz w:val="32"/>
          <w:szCs w:val="32"/>
        </w:rPr>
      </w:pPr>
      <w:bookmarkStart w:id="378" w:name="_Toc526878942"/>
      <w:bookmarkStart w:id="379" w:name="_Toc425955562"/>
      <w:bookmarkStart w:id="380" w:name="_Toc1771"/>
      <w:bookmarkStart w:id="381" w:name="_Toc128372760"/>
      <w:bookmarkStart w:id="382" w:name="_Toc139965355"/>
      <w:bookmarkStart w:id="383" w:name="_Toc128372082"/>
      <w:r>
        <w:rPr>
          <w:rFonts w:hint="eastAsia"/>
          <w:b/>
          <w:sz w:val="36"/>
          <w:szCs w:val="36"/>
          <w:lang w:val="en-US" w:eastAsia="zh-CN"/>
        </w:rPr>
        <w:t xml:space="preserve"> </w:t>
      </w:r>
      <w:r>
        <w:rPr>
          <w:rFonts w:hint="eastAsia" w:ascii="黑体" w:hAnsi="黑体" w:eastAsia="黑体"/>
          <w:sz w:val="32"/>
          <w:szCs w:val="32"/>
        </w:rPr>
        <w:t>太阳能路灯参数</w:t>
      </w:r>
    </w:p>
    <w:tbl>
      <w:tblPr>
        <w:tblStyle w:val="38"/>
        <w:tblW w:w="8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38"/>
        <w:gridCol w:w="1008"/>
        <w:gridCol w:w="6846"/>
        <w:gridCol w:w="6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7" w:hRule="atLeast"/>
          <w:jc w:val="center"/>
        </w:trPr>
        <w:tc>
          <w:tcPr>
            <w:tcW w:w="438" w:type="dxa"/>
            <w:tcBorders>
              <w:lef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1008" w:type="dxa"/>
            <w:tcBorders>
              <w:left w:val="single" w:color="auto" w:sz="4" w:space="0"/>
            </w:tcBorders>
            <w:noWrap w:val="0"/>
            <w:vAlign w:val="center"/>
          </w:tcPr>
          <w:p>
            <w:pPr>
              <w:snapToGrid w:val="0"/>
              <w:spacing w:line="480" w:lineRule="exact"/>
              <w:ind w:left="0" w:leftChars="0" w:firstLine="0" w:firstLineChars="0"/>
              <w:jc w:val="center"/>
              <w:rPr>
                <w:rFonts w:ascii="宋体" w:hAnsi="宋体"/>
                <w:szCs w:val="21"/>
              </w:rPr>
            </w:pPr>
            <w:r>
              <w:rPr>
                <w:rFonts w:hint="eastAsia" w:ascii="宋体" w:hAnsi="宋体"/>
                <w:szCs w:val="21"/>
              </w:rPr>
              <w:t>太阳能电池组件</w:t>
            </w:r>
          </w:p>
        </w:tc>
        <w:tc>
          <w:tcPr>
            <w:tcW w:w="6846" w:type="dxa"/>
            <w:tcBorders>
              <w:right w:val="single" w:color="auto" w:sz="4" w:space="0"/>
            </w:tcBorders>
            <w:noWrap w:val="0"/>
            <w:vAlign w:val="center"/>
          </w:tcPr>
          <w:p>
            <w:pPr>
              <w:rPr>
                <w:rFonts w:ascii="宋体" w:hAnsi="宋体" w:cs="宋体"/>
                <w:szCs w:val="21"/>
              </w:rPr>
            </w:pPr>
            <w:r>
              <w:rPr>
                <w:rFonts w:hint="eastAsia" w:ascii="宋体" w:hAnsi="宋体" w:cs="宋体"/>
                <w:szCs w:val="21"/>
              </w:rPr>
              <w:t>1、规格型号：太阳能电池板功率≥</w:t>
            </w:r>
            <w:r>
              <w:rPr>
                <w:rFonts w:hint="eastAsia" w:ascii="宋体" w:hAnsi="宋体" w:cs="宋体"/>
                <w:color w:val="003366"/>
                <w:szCs w:val="21"/>
              </w:rPr>
              <w:t>120Wp;</w:t>
            </w:r>
          </w:p>
          <w:p>
            <w:pPr>
              <w:rPr>
                <w:rFonts w:ascii="宋体" w:hAnsi="宋体" w:cs="宋体"/>
                <w:szCs w:val="21"/>
              </w:rPr>
            </w:pPr>
            <w:r>
              <w:rPr>
                <w:rFonts w:hint="eastAsia" w:ascii="宋体" w:hAnsi="宋体" w:cs="宋体"/>
                <w:szCs w:val="21"/>
              </w:rPr>
              <w:t>2、技术要求：</w:t>
            </w:r>
          </w:p>
          <w:p>
            <w:pPr>
              <w:rPr>
                <w:rFonts w:ascii="宋体" w:hAnsi="宋体" w:cs="宋体"/>
                <w:szCs w:val="21"/>
              </w:rPr>
            </w:pPr>
            <w:r>
              <w:rPr>
                <w:rFonts w:hint="eastAsia" w:ascii="宋体" w:hAnsi="宋体" w:cs="宋体"/>
                <w:szCs w:val="21"/>
              </w:rPr>
              <w:t>①采用高效晶</w:t>
            </w:r>
            <w:r>
              <w:rPr>
                <w:rFonts w:hint="eastAsia" w:ascii="宋体" w:hAnsi="宋体" w:cs="宋体"/>
                <w:szCs w:val="21"/>
                <w:lang w:val="en-US" w:eastAsia="zh-CN"/>
              </w:rPr>
              <w:t>体</w:t>
            </w:r>
            <w:r>
              <w:rPr>
                <w:rFonts w:hint="eastAsia" w:ascii="宋体" w:hAnsi="宋体" w:cs="宋体"/>
                <w:szCs w:val="21"/>
              </w:rPr>
              <w:t>硅电池片，太阳能电池片要求为A片，电池片效率达16.8%以上；采用高强度，高透光率的低铁、绒面钢化玻璃，增加阳光辐射量,透光率91%以上。</w:t>
            </w:r>
          </w:p>
          <w:p>
            <w:pPr>
              <w:rPr>
                <w:rFonts w:ascii="宋体" w:hAnsi="宋体" w:cs="宋体"/>
                <w:szCs w:val="21"/>
              </w:rPr>
            </w:pPr>
            <w:r>
              <w:rPr>
                <w:rFonts w:hint="eastAsia" w:ascii="宋体" w:hAnsi="宋体" w:cs="宋体"/>
                <w:szCs w:val="21"/>
              </w:rPr>
              <w:t>②阳极氧化铝边框，机械强度高，具有抗风，防雹防腐等性能。</w:t>
            </w:r>
          </w:p>
          <w:p>
            <w:pPr>
              <w:rPr>
                <w:rFonts w:ascii="宋体" w:hAnsi="宋体" w:cs="宋体"/>
                <w:szCs w:val="21"/>
              </w:rPr>
            </w:pPr>
            <w:r>
              <w:rPr>
                <w:rFonts w:hint="eastAsia" w:ascii="宋体" w:hAnsi="宋体" w:cs="宋体"/>
                <w:szCs w:val="21"/>
              </w:rPr>
              <w:t>③输出采用密封防水，高可靠性多功能接线盒，可适应各种复杂恶劣气候条件下的使用。</w:t>
            </w:r>
          </w:p>
          <w:p>
            <w:pPr>
              <w:rPr>
                <w:rFonts w:ascii="宋体" w:hAnsi="宋体"/>
                <w:szCs w:val="21"/>
              </w:rPr>
            </w:pPr>
            <w:r>
              <w:rPr>
                <w:rFonts w:hint="eastAsia" w:ascii="宋体" w:hAnsi="宋体" w:cs="宋体"/>
                <w:szCs w:val="21"/>
              </w:rPr>
              <w:t>④连接端采用易操作的专用光伏连接器，使用安全，方便，可靠。</w:t>
            </w:r>
          </w:p>
        </w:tc>
        <w:tc>
          <w:tcPr>
            <w:tcW w:w="667" w:type="dxa"/>
            <w:tcBorders>
              <w:left w:val="single" w:color="auto" w:sz="4" w:space="0"/>
              <w:right w:val="single" w:color="auto" w:sz="4" w:space="0"/>
            </w:tcBorders>
            <w:noWrap w:val="0"/>
            <w:vAlign w:val="center"/>
          </w:tcPr>
          <w:p>
            <w:pPr>
              <w:widowControl/>
              <w:jc w:val="left"/>
              <w:rPr>
                <w:rFonts w:ascii="宋体" w:hAnsi="宋体" w:cs="宋体"/>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7" w:hRule="atLeast"/>
          <w:jc w:val="center"/>
        </w:trPr>
        <w:tc>
          <w:tcPr>
            <w:tcW w:w="438" w:type="dxa"/>
            <w:tcBorders>
              <w:lef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1008" w:type="dxa"/>
            <w:tcBorders>
              <w:left w:val="single" w:color="auto" w:sz="4" w:space="0"/>
            </w:tcBorders>
            <w:noWrap w:val="0"/>
            <w:vAlign w:val="center"/>
          </w:tcPr>
          <w:p>
            <w:pPr>
              <w:snapToGrid w:val="0"/>
              <w:spacing w:line="480" w:lineRule="exact"/>
              <w:ind w:left="0" w:leftChars="0" w:firstLine="0" w:firstLineChars="0"/>
              <w:jc w:val="center"/>
              <w:rPr>
                <w:rFonts w:ascii="宋体" w:hAnsi="宋体"/>
                <w:szCs w:val="21"/>
              </w:rPr>
            </w:pPr>
            <w:r>
              <w:rPr>
                <w:rFonts w:hint="eastAsia" w:ascii="宋体" w:hAnsi="宋体"/>
                <w:szCs w:val="21"/>
              </w:rPr>
              <w:t>灯具及LED光源</w:t>
            </w:r>
          </w:p>
        </w:tc>
        <w:tc>
          <w:tcPr>
            <w:tcW w:w="6846" w:type="dxa"/>
            <w:tcBorders>
              <w:right w:val="single" w:color="auto" w:sz="4" w:space="0"/>
            </w:tcBorders>
            <w:noWrap w:val="0"/>
            <w:vAlign w:val="center"/>
          </w:tcPr>
          <w:p>
            <w:pPr>
              <w:widowControl/>
              <w:ind w:left="420" w:leftChars="200" w:firstLine="0" w:firstLineChars="0"/>
              <w:jc w:val="left"/>
              <w:rPr>
                <w:rFonts w:ascii="宋体" w:hAnsi="宋体"/>
                <w:szCs w:val="21"/>
              </w:rPr>
            </w:pPr>
            <w:r>
              <w:rPr>
                <w:rFonts w:hint="eastAsia" w:ascii="宋体" w:hAnsi="宋体" w:cs="宋体"/>
                <w:kern w:val="0"/>
                <w:szCs w:val="21"/>
              </w:rPr>
              <w:t>1、规格型号：LED路灯总光源功率≥</w:t>
            </w:r>
            <w:r>
              <w:rPr>
                <w:rFonts w:hint="eastAsia" w:ascii="宋体" w:hAnsi="宋体" w:cs="宋体"/>
                <w:color w:val="003366"/>
                <w:kern w:val="0"/>
                <w:szCs w:val="21"/>
              </w:rPr>
              <w:t>40W；</w:t>
            </w:r>
            <w:r>
              <w:rPr>
                <w:rFonts w:hint="eastAsia" w:ascii="宋体" w:hAnsi="宋体" w:cs="宋体"/>
                <w:kern w:val="0"/>
                <w:szCs w:val="21"/>
              </w:rPr>
              <w:br w:type="textWrapping"/>
            </w:r>
            <w:r>
              <w:rPr>
                <w:rFonts w:hint="eastAsia" w:ascii="宋体" w:hAnsi="宋体" w:cs="宋体"/>
                <w:kern w:val="0"/>
                <w:szCs w:val="21"/>
              </w:rPr>
              <w:t>2、技术要求：</w:t>
            </w:r>
            <w:r>
              <w:rPr>
                <w:rFonts w:hint="eastAsia" w:ascii="宋体" w:hAnsi="宋体" w:cs="宋体"/>
                <w:kern w:val="0"/>
                <w:szCs w:val="21"/>
              </w:rPr>
              <w:br w:type="textWrapping"/>
            </w:r>
            <w:r>
              <w:rPr>
                <w:rFonts w:hint="eastAsia" w:ascii="宋体" w:hAnsi="宋体" w:cs="宋体"/>
                <w:kern w:val="0"/>
                <w:szCs w:val="21"/>
              </w:rPr>
              <w:t>&lt;1&gt;灯具：</w:t>
            </w:r>
            <w:r>
              <w:rPr>
                <w:rFonts w:hint="eastAsia" w:ascii="宋体" w:hAnsi="宋体" w:cs="宋体"/>
                <w:kern w:val="0"/>
                <w:szCs w:val="21"/>
              </w:rPr>
              <w:br w:type="textWrapping"/>
            </w:r>
            <w:r>
              <w:rPr>
                <w:rFonts w:hint="eastAsia" w:ascii="宋体" w:hAnsi="宋体" w:cs="宋体"/>
                <w:kern w:val="0"/>
                <w:szCs w:val="21"/>
              </w:rPr>
              <w:t>①LED路灯灯具与灯杆安装后协调美观。</w:t>
            </w:r>
            <w:r>
              <w:rPr>
                <w:rFonts w:hint="eastAsia" w:ascii="宋体" w:hAnsi="宋体" w:cs="宋体"/>
                <w:kern w:val="0"/>
                <w:szCs w:val="21"/>
              </w:rPr>
              <w:br w:type="textWrapping"/>
            </w:r>
            <w:r>
              <w:rPr>
                <w:rFonts w:hint="eastAsia" w:ascii="宋体" w:hAnsi="宋体" w:cs="宋体"/>
                <w:kern w:val="0"/>
                <w:szCs w:val="21"/>
              </w:rPr>
              <w:t>②LED光源采用透镜进行配光，确保灯具的配光照明均匀度，灯具整灯光效≥90（lm/W）。</w:t>
            </w:r>
            <w:r>
              <w:rPr>
                <w:rFonts w:hint="eastAsia" w:ascii="宋体" w:hAnsi="宋体" w:cs="宋体"/>
                <w:kern w:val="0"/>
                <w:szCs w:val="21"/>
              </w:rPr>
              <w:br w:type="textWrapping"/>
            </w:r>
            <w:r>
              <w:rPr>
                <w:rFonts w:hint="eastAsia" w:ascii="宋体" w:hAnsi="宋体" w:cs="宋体"/>
                <w:kern w:val="0"/>
                <w:szCs w:val="21"/>
              </w:rPr>
              <w:t>③灯具防护等级不低于IP65。防护性能采用硅橡胶密封圈实现。</w:t>
            </w:r>
            <w:r>
              <w:rPr>
                <w:rFonts w:hint="eastAsia" w:ascii="宋体" w:hAnsi="宋体" w:cs="宋体"/>
                <w:kern w:val="0"/>
                <w:szCs w:val="21"/>
              </w:rPr>
              <w:br w:type="textWrapping"/>
            </w:r>
            <w:r>
              <w:rPr>
                <w:rFonts w:hint="eastAsia" w:ascii="宋体" w:hAnsi="宋体" w:cs="宋体"/>
                <w:kern w:val="0"/>
                <w:szCs w:val="21"/>
              </w:rPr>
              <w:t>④LED路灯功率因数大于0.9，灯具驱动功耗小于10%。</w:t>
            </w:r>
            <w:r>
              <w:rPr>
                <w:rFonts w:hint="eastAsia" w:ascii="宋体" w:hAnsi="宋体" w:cs="宋体"/>
                <w:kern w:val="0"/>
                <w:szCs w:val="21"/>
              </w:rPr>
              <w:br w:type="textWrapping"/>
            </w:r>
            <w:r>
              <w:rPr>
                <w:rFonts w:hint="eastAsia" w:ascii="宋体" w:hAnsi="宋体" w:cs="宋体"/>
                <w:kern w:val="0"/>
                <w:szCs w:val="21"/>
              </w:rPr>
              <w:t>&lt;2&gt;LED光源：</w:t>
            </w:r>
            <w:r>
              <w:rPr>
                <w:rFonts w:hint="eastAsia" w:ascii="宋体" w:hAnsi="宋体" w:cs="宋体"/>
                <w:kern w:val="0"/>
                <w:szCs w:val="21"/>
              </w:rPr>
              <w:br w:type="textWrapping"/>
            </w:r>
            <w:r>
              <w:rPr>
                <w:rFonts w:hint="eastAsia" w:ascii="宋体" w:hAnsi="宋体" w:cs="宋体"/>
                <w:kern w:val="0"/>
                <w:szCs w:val="21"/>
              </w:rPr>
              <w:t>①光源芯片采用知名品牌。</w:t>
            </w:r>
            <w:r>
              <w:rPr>
                <w:rFonts w:hint="eastAsia" w:ascii="宋体" w:hAnsi="宋体" w:cs="宋体"/>
                <w:kern w:val="0"/>
                <w:szCs w:val="21"/>
              </w:rPr>
              <w:br w:type="textWrapping"/>
            </w:r>
            <w:r>
              <w:rPr>
                <w:rFonts w:hint="eastAsia" w:ascii="宋体" w:hAnsi="宋体" w:cs="宋体"/>
                <w:kern w:val="0"/>
                <w:szCs w:val="21"/>
              </w:rPr>
              <w:t>②LED封装方式：单颗芯片功率≥1W。</w:t>
            </w:r>
            <w:r>
              <w:rPr>
                <w:rFonts w:hint="eastAsia" w:ascii="宋体" w:hAnsi="宋体" w:cs="宋体"/>
                <w:kern w:val="0"/>
                <w:szCs w:val="21"/>
              </w:rPr>
              <w:br w:type="textWrapping"/>
            </w:r>
            <w:r>
              <w:rPr>
                <w:rFonts w:hint="eastAsia" w:ascii="宋体" w:hAnsi="宋体" w:cs="宋体"/>
                <w:kern w:val="0"/>
                <w:szCs w:val="21"/>
              </w:rPr>
              <w:t>③发光效率≥100Lm/W。</w:t>
            </w:r>
            <w:r>
              <w:rPr>
                <w:rFonts w:hint="eastAsia" w:ascii="宋体" w:hAnsi="宋体" w:cs="宋体"/>
                <w:kern w:val="0"/>
                <w:szCs w:val="21"/>
              </w:rPr>
              <w:br w:type="textWrapping"/>
            </w:r>
            <w:r>
              <w:rPr>
                <w:rFonts w:hint="eastAsia" w:ascii="宋体" w:hAnsi="宋体" w:cs="宋体"/>
                <w:kern w:val="0"/>
                <w:szCs w:val="21"/>
              </w:rPr>
              <w:t>④LED光源使用寿命≥50000h，光衰小于3%。</w:t>
            </w:r>
            <w:r>
              <w:rPr>
                <w:rFonts w:hint="eastAsia" w:ascii="宋体" w:hAnsi="宋体" w:cs="宋体"/>
                <w:kern w:val="0"/>
                <w:szCs w:val="21"/>
              </w:rPr>
              <w:br w:type="textWrapping"/>
            </w:r>
            <w:r>
              <w:rPr>
                <w:rFonts w:hint="eastAsia" w:ascii="宋体" w:hAnsi="宋体" w:cs="宋体"/>
                <w:kern w:val="0"/>
                <w:szCs w:val="21"/>
              </w:rPr>
              <w:t>⑤显色指数：Ra＞70。</w:t>
            </w:r>
            <w:r>
              <w:rPr>
                <w:rFonts w:hint="eastAsia" w:ascii="宋体" w:hAnsi="宋体" w:cs="宋体"/>
                <w:kern w:val="0"/>
                <w:szCs w:val="21"/>
              </w:rPr>
              <w:br w:type="textWrapping"/>
            </w:r>
            <w:r>
              <w:rPr>
                <w:rFonts w:hint="eastAsia" w:ascii="宋体" w:hAnsi="宋体" w:cs="宋体"/>
                <w:kern w:val="0"/>
                <w:szCs w:val="21"/>
              </w:rPr>
              <w:t>⑥色温:5000K±275K。</w:t>
            </w:r>
          </w:p>
        </w:tc>
        <w:tc>
          <w:tcPr>
            <w:tcW w:w="667" w:type="dxa"/>
            <w:tcBorders>
              <w:left w:val="single" w:color="auto" w:sz="4" w:space="0"/>
              <w:right w:val="single" w:color="auto" w:sz="4" w:space="0"/>
            </w:tcBorders>
            <w:noWrap w:val="0"/>
            <w:vAlign w:val="center"/>
          </w:tcPr>
          <w:p>
            <w:pPr>
              <w:widowControl/>
              <w:jc w:val="left"/>
              <w:rPr>
                <w:rFonts w:ascii="宋体" w:hAnsi="宋体" w:cs="宋体"/>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821" w:hRule="atLeast"/>
          <w:jc w:val="center"/>
        </w:trPr>
        <w:tc>
          <w:tcPr>
            <w:tcW w:w="438" w:type="dxa"/>
            <w:tcBorders>
              <w:lef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008" w:type="dxa"/>
            <w:tcBorders>
              <w:left w:val="single" w:color="auto" w:sz="4" w:space="0"/>
            </w:tcBorders>
            <w:noWrap w:val="0"/>
            <w:vAlign w:val="center"/>
          </w:tcPr>
          <w:p>
            <w:pPr>
              <w:snapToGrid w:val="0"/>
              <w:spacing w:line="480" w:lineRule="exact"/>
              <w:ind w:left="0" w:leftChars="0" w:firstLine="0" w:firstLineChars="0"/>
              <w:jc w:val="center"/>
              <w:rPr>
                <w:rFonts w:ascii="宋体" w:hAnsi="宋体"/>
                <w:szCs w:val="21"/>
              </w:rPr>
            </w:pPr>
            <w:r>
              <w:rPr>
                <w:rFonts w:hint="eastAsia" w:ascii="宋体" w:hAnsi="宋体"/>
                <w:szCs w:val="21"/>
              </w:rPr>
              <w:t>锂电储控系统</w:t>
            </w:r>
          </w:p>
        </w:tc>
        <w:tc>
          <w:tcPr>
            <w:tcW w:w="6846" w:type="dxa"/>
            <w:tcBorders>
              <w:right w:val="single" w:color="auto" w:sz="4" w:space="0"/>
            </w:tcBorders>
            <w:noWrap w:val="0"/>
            <w:vAlign w:val="center"/>
          </w:tcPr>
          <w:p>
            <w:pPr>
              <w:rPr>
                <w:rFonts w:ascii="宋体" w:hAnsi="宋体" w:cs="宋体"/>
                <w:szCs w:val="21"/>
              </w:rPr>
            </w:pPr>
            <w:r>
              <w:rPr>
                <w:rFonts w:hint="eastAsia" w:ascii="宋体" w:hAnsi="宋体" w:cs="宋体"/>
                <w:szCs w:val="21"/>
              </w:rPr>
              <w:t>1、规格型号</w:t>
            </w:r>
            <w:r>
              <w:rPr>
                <w:rFonts w:hint="eastAsia" w:ascii="宋体" w:hAnsi="宋体" w:cs="宋体"/>
                <w:color w:val="003366"/>
                <w:szCs w:val="21"/>
                <w:u w:val="single"/>
              </w:rPr>
              <w:t>：</w:t>
            </w:r>
            <w:r>
              <w:rPr>
                <w:rFonts w:hint="eastAsia" w:ascii="宋体" w:hAnsi="宋体" w:cs="宋体"/>
                <w:szCs w:val="21"/>
              </w:rPr>
              <w:t>锂电智能型太阳能LED道路照明系统（锂电智能储控单元）</w:t>
            </w:r>
            <w:r>
              <w:rPr>
                <w:rFonts w:hint="eastAsia" w:ascii="宋体" w:hAnsi="宋体" w:cs="宋体"/>
                <w:szCs w:val="21"/>
                <w:lang w:val="en-US" w:eastAsia="zh-CN"/>
              </w:rPr>
              <w:t>功率</w:t>
            </w:r>
            <w:r>
              <w:rPr>
                <w:rFonts w:hint="eastAsia" w:ascii="宋体" w:hAnsi="宋体" w:cs="宋体"/>
                <w:szCs w:val="21"/>
              </w:rPr>
              <w:t>≥</w:t>
            </w:r>
            <w:r>
              <w:rPr>
                <w:rFonts w:hint="eastAsia" w:ascii="宋体" w:hAnsi="宋体" w:cs="宋体"/>
                <w:szCs w:val="21"/>
                <w:lang w:val="en-US" w:eastAsia="zh-CN"/>
              </w:rPr>
              <w:t>60AH</w:t>
            </w:r>
            <w:r>
              <w:rPr>
                <w:rFonts w:hint="eastAsia" w:ascii="宋体" w:hAnsi="宋体" w:cs="宋体"/>
                <w:szCs w:val="21"/>
              </w:rPr>
              <w:t>；锂电池和智能控制系统必须一体成型；</w:t>
            </w:r>
          </w:p>
          <w:p>
            <w:pPr>
              <w:rPr>
                <w:rFonts w:ascii="宋体" w:hAnsi="宋体" w:cs="宋体"/>
                <w:szCs w:val="21"/>
              </w:rPr>
            </w:pPr>
            <w:r>
              <w:rPr>
                <w:rFonts w:hint="eastAsia" w:ascii="宋体" w:hAnsi="宋体" w:cs="宋体"/>
                <w:szCs w:val="21"/>
              </w:rPr>
              <w:t>2、技术要求：</w:t>
            </w:r>
          </w:p>
          <w:p>
            <w:pPr>
              <w:widowControl/>
              <w:rPr>
                <w:color w:val="FF0000"/>
                <w:sz w:val="32"/>
              </w:rPr>
            </w:pPr>
            <w:r>
              <w:rPr>
                <w:rFonts w:hint="eastAsia" w:ascii="宋体" w:hAnsi="宋体"/>
                <w:szCs w:val="21"/>
              </w:rPr>
              <w:t>由于本项目施工地点位于我国西北地区（白银地区），冬季环境恶劣，故要求</w:t>
            </w:r>
            <w:r>
              <w:rPr>
                <w:rFonts w:hint="eastAsia" w:ascii="宋体" w:hAnsi="宋体" w:cs="宋体"/>
                <w:szCs w:val="21"/>
              </w:rPr>
              <w:t>所投锂电产品需满足:</w:t>
            </w:r>
          </w:p>
          <w:p>
            <w:pPr>
              <w:widowControl/>
              <w:rPr>
                <w:rFonts w:ascii="宋体" w:hAnsi="宋体" w:cs="宋体"/>
                <w:color w:val="000000"/>
                <w:szCs w:val="21"/>
              </w:rPr>
            </w:pPr>
            <w:r>
              <w:rPr>
                <w:rFonts w:hint="eastAsia" w:ascii="宋体" w:hAnsi="宋体" w:cs="宋体"/>
                <w:szCs w:val="21"/>
              </w:rPr>
              <w:t>a.使用温度</w:t>
            </w:r>
            <w:r>
              <w:rPr>
                <w:rFonts w:hint="eastAsia" w:ascii="宋体" w:hAnsi="宋体" w:cs="宋体"/>
                <w:color w:val="000000"/>
                <w:szCs w:val="21"/>
              </w:rPr>
              <w:t>范围满足-40℃-+55℃。</w:t>
            </w:r>
          </w:p>
          <w:p>
            <w:pPr>
              <w:rPr>
                <w:rFonts w:ascii="宋体" w:hAnsi="宋体" w:cs="宋体"/>
                <w:color w:val="000000"/>
                <w:szCs w:val="21"/>
              </w:rPr>
            </w:pPr>
            <w:r>
              <w:rPr>
                <w:rFonts w:hint="eastAsia" w:ascii="宋体" w:hAnsi="宋体" w:cs="宋体"/>
                <w:color w:val="000000"/>
                <w:szCs w:val="21"/>
              </w:rPr>
              <w:t>b.具有防水、防潮、防腐、保温隔热等功能。</w:t>
            </w:r>
          </w:p>
          <w:p>
            <w:pPr>
              <w:rPr>
                <w:rFonts w:ascii="宋体" w:hAnsi="宋体" w:cs="宋体"/>
                <w:color w:val="000000"/>
                <w:szCs w:val="21"/>
              </w:rPr>
            </w:pPr>
            <w:r>
              <w:rPr>
                <w:rFonts w:hint="eastAsia" w:ascii="宋体" w:hAnsi="宋体" w:cs="宋体"/>
                <w:color w:val="000000"/>
                <w:szCs w:val="21"/>
              </w:rPr>
              <w:t>c.锂电池安装方式</w:t>
            </w:r>
            <w:r>
              <w:rPr>
                <w:rFonts w:hint="eastAsia" w:ascii="宋体" w:hAnsi="宋体" w:cs="宋体"/>
                <w:szCs w:val="21"/>
              </w:rPr>
              <w:t>应采用支</w:t>
            </w:r>
            <w:r>
              <w:rPr>
                <w:rFonts w:hint="eastAsia" w:ascii="宋体" w:hAnsi="宋体" w:cs="宋体"/>
                <w:color w:val="000000"/>
                <w:szCs w:val="21"/>
              </w:rPr>
              <w:t>架内藏式，以满足电池的防盗功能。</w:t>
            </w:r>
          </w:p>
          <w:p>
            <w:pPr>
              <w:rPr>
                <w:rFonts w:ascii="宋体" w:hAnsi="宋体" w:cs="宋体"/>
                <w:color w:val="000000"/>
                <w:szCs w:val="21"/>
              </w:rPr>
            </w:pPr>
            <w:r>
              <w:rPr>
                <w:rFonts w:hint="eastAsia" w:ascii="宋体" w:hAnsi="宋体" w:cs="宋体"/>
                <w:color w:val="000000"/>
                <w:szCs w:val="21"/>
              </w:rPr>
              <w:t>d.防水外壳防护等级IP65。</w:t>
            </w:r>
          </w:p>
          <w:p>
            <w:pPr>
              <w:rPr>
                <w:rFonts w:ascii="宋体" w:hAnsi="宋体" w:cs="宋体"/>
                <w:color w:val="000000"/>
                <w:szCs w:val="21"/>
              </w:rPr>
            </w:pPr>
            <w:r>
              <w:rPr>
                <w:rFonts w:hint="eastAsia" w:ascii="宋体" w:hAnsi="宋体" w:cs="宋体"/>
                <w:color w:val="000000"/>
                <w:szCs w:val="21"/>
              </w:rPr>
              <w:t>&lt;2&gt;智能控制系统</w:t>
            </w:r>
          </w:p>
          <w:p>
            <w:pPr>
              <w:snapToGrid w:val="0"/>
              <w:spacing w:before="156" w:beforeLines="50" w:line="288" w:lineRule="auto"/>
              <w:rPr>
                <w:rFonts w:ascii="宋体" w:hAnsi="宋体" w:cs="宋体"/>
                <w:color w:val="000000"/>
                <w:szCs w:val="21"/>
              </w:rPr>
            </w:pPr>
            <w:r>
              <w:rPr>
                <w:rFonts w:hint="eastAsia" w:ascii="宋体" w:hAnsi="宋体" w:cs="宋体"/>
                <w:color w:val="000000"/>
                <w:szCs w:val="21"/>
              </w:rPr>
              <w:t>a、采用单片机实现对锂电池的保护。基本功能必须具备过充保护、过放保护、光控、时控、防反接、充电涓流保护、欠压保护、过压保护、短路保护、防水保护等。</w:t>
            </w:r>
          </w:p>
          <w:p>
            <w:pPr>
              <w:rPr>
                <w:rFonts w:ascii="宋体" w:hAnsi="宋体" w:cs="宋体"/>
                <w:szCs w:val="21"/>
              </w:rPr>
            </w:pPr>
            <w:r>
              <w:rPr>
                <w:rFonts w:hint="eastAsia" w:ascii="宋体" w:hAnsi="宋体" w:cs="宋体"/>
                <w:szCs w:val="21"/>
              </w:rPr>
              <w:t>b.采用双保护系统，确保锂电池使用安全。</w:t>
            </w:r>
          </w:p>
          <w:p>
            <w:pPr>
              <w:spacing w:line="360" w:lineRule="auto"/>
              <w:rPr>
                <w:rFonts w:ascii="宋体" w:hAnsi="宋体" w:cs="宋体"/>
                <w:szCs w:val="21"/>
              </w:rPr>
            </w:pPr>
            <w:r>
              <w:rPr>
                <w:rFonts w:hint="eastAsia" w:ascii="宋体" w:hAnsi="宋体" w:cs="宋体"/>
                <w:szCs w:val="21"/>
              </w:rPr>
              <w:t>c.控制方式：光控、时控结合系统智能控制，全天候工作，无人值守。</w:t>
            </w:r>
          </w:p>
          <w:p>
            <w:pPr>
              <w:spacing w:line="360" w:lineRule="auto"/>
              <w:rPr>
                <w:rFonts w:ascii="宋体" w:hAnsi="宋体" w:cs="宋体"/>
                <w:szCs w:val="21"/>
              </w:rPr>
            </w:pPr>
            <w:r>
              <w:rPr>
                <w:rFonts w:hint="eastAsia" w:ascii="宋体" w:hAnsi="宋体" w:cs="宋体"/>
                <w:szCs w:val="21"/>
              </w:rPr>
              <w:t>d.系统设计要求根据用户决策、天气状况、电池容量合理调整路灯亮度，目标实现每晚亮灯。</w:t>
            </w:r>
          </w:p>
        </w:tc>
        <w:tc>
          <w:tcPr>
            <w:tcW w:w="667" w:type="dxa"/>
            <w:tcBorders>
              <w:left w:val="single" w:color="auto" w:sz="4" w:space="0"/>
            </w:tcBorders>
            <w:noWrap w:val="0"/>
            <w:vAlign w:val="center"/>
          </w:tcPr>
          <w:p>
            <w:pPr>
              <w:widowControl/>
              <w:jc w:val="left"/>
              <w:rPr>
                <w:rFonts w:ascii="宋体" w:hAnsi="宋体" w:cs="宋体"/>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20" w:hRule="atLeast"/>
          <w:jc w:val="center"/>
        </w:trPr>
        <w:tc>
          <w:tcPr>
            <w:tcW w:w="438" w:type="dxa"/>
            <w:tcBorders>
              <w:lef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1008" w:type="dxa"/>
            <w:tcBorders>
              <w:left w:val="single" w:color="auto" w:sz="4" w:space="0"/>
            </w:tcBorders>
            <w:noWrap w:val="0"/>
            <w:vAlign w:val="center"/>
          </w:tcPr>
          <w:p>
            <w:pPr>
              <w:snapToGrid w:val="0"/>
              <w:spacing w:line="480" w:lineRule="exact"/>
              <w:ind w:left="0" w:leftChars="0" w:firstLine="0" w:firstLineChars="0"/>
              <w:jc w:val="center"/>
              <w:rPr>
                <w:rFonts w:ascii="宋体" w:hAnsi="宋体"/>
                <w:szCs w:val="21"/>
              </w:rPr>
            </w:pPr>
            <w:r>
              <w:rPr>
                <w:rFonts w:hint="eastAsia" w:ascii="宋体" w:hAnsi="宋体"/>
                <w:szCs w:val="21"/>
              </w:rPr>
              <w:t>灯杆</w:t>
            </w:r>
          </w:p>
        </w:tc>
        <w:tc>
          <w:tcPr>
            <w:tcW w:w="6846" w:type="dxa"/>
            <w:tcBorders>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1、灯杆：高8米，采用圆锥单弯臂灯杆，底径160mm,顶径75mm，灯杆壁厚≥3.5mm，法兰盘：</w:t>
            </w:r>
            <w:r>
              <w:rPr>
                <w:rFonts w:hint="eastAsia" w:ascii="宋体" w:hAnsi="宋体" w:cs="宋体"/>
                <w:szCs w:val="21"/>
                <w:lang w:val="en-US" w:eastAsia="zh-CN"/>
              </w:rPr>
              <w:t>280</w:t>
            </w:r>
            <w:r>
              <w:rPr>
                <w:rFonts w:hint="eastAsia" w:ascii="宋体" w:hAnsi="宋体" w:cs="宋体"/>
                <w:szCs w:val="21"/>
              </w:rPr>
              <w:t>mm*</w:t>
            </w:r>
            <w:r>
              <w:rPr>
                <w:rFonts w:hint="eastAsia" w:ascii="宋体" w:hAnsi="宋体" w:cs="宋体"/>
                <w:szCs w:val="21"/>
                <w:lang w:val="en-US" w:eastAsia="zh-CN"/>
              </w:rPr>
              <w:t>280</w:t>
            </w:r>
            <w:r>
              <w:rPr>
                <w:rFonts w:hint="eastAsia" w:ascii="宋体" w:hAnsi="宋体" w:cs="宋体"/>
                <w:szCs w:val="21"/>
              </w:rPr>
              <w:t>mm</w:t>
            </w:r>
            <w:r>
              <w:rPr>
                <w:rFonts w:hint="eastAsia" w:ascii="宋体" w:hAnsi="宋体" w:cs="宋体"/>
                <w:szCs w:val="21"/>
                <w:lang w:val="en-US" w:eastAsia="zh-CN"/>
              </w:rPr>
              <w:t>*16</w:t>
            </w:r>
            <w:r>
              <w:rPr>
                <w:rFonts w:hint="eastAsia" w:ascii="宋体" w:hAnsi="宋体" w:cs="宋体"/>
                <w:szCs w:val="21"/>
              </w:rPr>
              <w:t>mm</w:t>
            </w:r>
            <w:r>
              <w:rPr>
                <w:rFonts w:hint="eastAsia" w:ascii="宋体" w:hAnsi="宋体" w:cs="宋体"/>
                <w:szCs w:val="21"/>
                <w:lang w:eastAsia="zh-CN"/>
              </w:rPr>
              <w:t>，</w:t>
            </w:r>
            <w:r>
              <w:rPr>
                <w:rFonts w:hint="eastAsia" w:ascii="宋体" w:hAnsi="宋体" w:cs="宋体"/>
                <w:szCs w:val="21"/>
              </w:rPr>
              <w:t>地脚螺栓18mm，防腐寿命达10年以上。</w:t>
            </w:r>
          </w:p>
          <w:p>
            <w:pPr>
              <w:spacing w:line="360" w:lineRule="auto"/>
              <w:rPr>
                <w:rFonts w:ascii="宋体" w:hAnsi="宋体" w:cs="宋体"/>
                <w:szCs w:val="21"/>
              </w:rPr>
            </w:pPr>
            <w:r>
              <w:rPr>
                <w:rFonts w:hint="eastAsia" w:ascii="宋体" w:hAnsi="宋体" w:cs="宋体"/>
                <w:szCs w:val="21"/>
              </w:rPr>
              <w:t>2、灯杆材质：Q235材质碳素结构带钢，一次成型圆锥型灯臂。</w:t>
            </w:r>
          </w:p>
          <w:p>
            <w:pPr>
              <w:spacing w:line="360" w:lineRule="auto"/>
              <w:rPr>
                <w:rFonts w:ascii="宋体" w:hAnsi="宋体" w:cs="宋体"/>
                <w:szCs w:val="21"/>
              </w:rPr>
            </w:pPr>
            <w:r>
              <w:rPr>
                <w:rFonts w:hint="eastAsia" w:ascii="宋体" w:hAnsi="宋体"/>
                <w:szCs w:val="21"/>
              </w:rPr>
              <w:t>3、支架材质：</w:t>
            </w:r>
            <w:r>
              <w:rPr>
                <w:rFonts w:hint="eastAsia" w:ascii="宋体" w:hAnsi="宋体" w:cs="宋体"/>
                <w:szCs w:val="21"/>
              </w:rPr>
              <w:t>Q235材质碳素结构带钢；材料规格：30*30mm方管；支架造型：长方形；</w:t>
            </w:r>
          </w:p>
          <w:p>
            <w:pPr>
              <w:spacing w:line="360" w:lineRule="auto"/>
              <w:rPr>
                <w:rFonts w:ascii="宋体" w:hAnsi="宋体"/>
                <w:szCs w:val="21"/>
              </w:rPr>
            </w:pPr>
            <w:r>
              <w:rPr>
                <w:rFonts w:hint="eastAsia" w:ascii="宋体" w:hAnsi="宋体" w:cs="宋体"/>
                <w:szCs w:val="21"/>
              </w:rPr>
              <w:t>4、灯杆及支架工艺：采用热浸镀锌内外表面防腐处理，符合GB/T13912-92标准，镀锌表面应光滑美观。涂层厚度不小于100μm，寿命20年以上。焊缝表面无裂纹、气孔、咬边、未焊满缺陷。</w:t>
            </w:r>
          </w:p>
        </w:tc>
        <w:tc>
          <w:tcPr>
            <w:tcW w:w="667" w:type="dxa"/>
            <w:tcBorders>
              <w:left w:val="single" w:color="auto" w:sz="4" w:space="0"/>
            </w:tcBorders>
            <w:noWrap w:val="0"/>
            <w:vAlign w:val="center"/>
          </w:tcPr>
          <w:p>
            <w:pPr>
              <w:widowControl/>
              <w:jc w:val="left"/>
              <w:rPr>
                <w:rFonts w:ascii="宋体" w:hAnsi="宋体" w:cs="宋体"/>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78" w:hRule="atLeast"/>
          <w:jc w:val="center"/>
        </w:trPr>
        <w:tc>
          <w:tcPr>
            <w:tcW w:w="438" w:type="dxa"/>
            <w:tcBorders>
              <w:left w:val="single" w:color="auto" w:sz="4" w:space="0"/>
              <w:bottom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008" w:type="dxa"/>
            <w:tcBorders>
              <w:left w:val="single" w:color="auto" w:sz="4" w:space="0"/>
              <w:bottom w:val="single" w:color="auto" w:sz="4" w:space="0"/>
            </w:tcBorders>
            <w:noWrap w:val="0"/>
            <w:vAlign w:val="center"/>
          </w:tcPr>
          <w:p>
            <w:pPr>
              <w:snapToGrid w:val="0"/>
              <w:spacing w:line="480" w:lineRule="exact"/>
              <w:ind w:left="0" w:leftChars="0" w:firstLine="0" w:firstLineChars="0"/>
              <w:jc w:val="center"/>
              <w:rPr>
                <w:rFonts w:ascii="宋体" w:hAnsi="宋体"/>
                <w:szCs w:val="21"/>
              </w:rPr>
            </w:pPr>
            <w:r>
              <w:rPr>
                <w:rFonts w:hint="eastAsia" w:ascii="宋体" w:hAnsi="宋体"/>
                <w:szCs w:val="21"/>
              </w:rPr>
              <w:t>其它</w:t>
            </w:r>
          </w:p>
        </w:tc>
        <w:tc>
          <w:tcPr>
            <w:tcW w:w="6846" w:type="dxa"/>
            <w:tcBorders>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kern w:val="0"/>
                <w:szCs w:val="21"/>
              </w:rPr>
              <w:t>①</w:t>
            </w:r>
            <w:r>
              <w:rPr>
                <w:rFonts w:hint="eastAsia" w:ascii="宋体" w:hAnsi="宋体" w:cs="宋体"/>
                <w:szCs w:val="21"/>
              </w:rPr>
              <w:t>照明时间：整夜亮灯，连续7-10个阴雨天气可以保证每晚亮灯。</w:t>
            </w:r>
          </w:p>
          <w:p>
            <w:pPr>
              <w:rPr>
                <w:rFonts w:ascii="宋体" w:hAnsi="宋体" w:cs="宋体"/>
                <w:szCs w:val="21"/>
              </w:rPr>
            </w:pPr>
            <w:r>
              <w:rPr>
                <w:rFonts w:hint="eastAsia" w:ascii="宋体" w:hAnsi="宋体" w:cs="宋体"/>
                <w:kern w:val="0"/>
                <w:szCs w:val="21"/>
              </w:rPr>
              <w:t>②</w:t>
            </w:r>
            <w:r>
              <w:rPr>
                <w:rFonts w:hint="eastAsia" w:ascii="宋体" w:hAnsi="宋体" w:cs="宋体"/>
                <w:szCs w:val="21"/>
              </w:rPr>
              <w:t>锂电智能储控系统与光伏组件和LED光源连接须采用标准对插件、防护等级IP65。</w:t>
            </w:r>
          </w:p>
        </w:tc>
        <w:tc>
          <w:tcPr>
            <w:tcW w:w="667" w:type="dxa"/>
            <w:tcBorders>
              <w:left w:val="single" w:color="auto" w:sz="4" w:space="0"/>
              <w:bottom w:val="single" w:color="auto" w:sz="4" w:space="0"/>
            </w:tcBorders>
            <w:noWrap w:val="0"/>
            <w:vAlign w:val="center"/>
          </w:tcPr>
          <w:p>
            <w:pPr>
              <w:widowControl/>
              <w:jc w:val="left"/>
              <w:rPr>
                <w:rFonts w:ascii="宋体" w:hAnsi="宋体" w:cs="宋体"/>
                <w:kern w:val="0"/>
                <w:szCs w:val="21"/>
              </w:rPr>
            </w:pPr>
          </w:p>
        </w:tc>
      </w:tr>
    </w:tbl>
    <w:p>
      <w:pPr>
        <w:widowControl/>
        <w:spacing w:line="360" w:lineRule="auto"/>
        <w:ind w:firstLine="480" w:firstLineChars="200"/>
        <w:rPr>
          <w:rFonts w:hint="eastAsia" w:ascii="宋体" w:hAnsi="宋体"/>
          <w:sz w:val="24"/>
        </w:rPr>
      </w:pPr>
    </w:p>
    <w:p>
      <w:pPr>
        <w:widowControl/>
        <w:spacing w:line="360" w:lineRule="auto"/>
        <w:ind w:firstLine="480" w:firstLineChars="200"/>
        <w:rPr>
          <w:rFonts w:hint="eastAsia" w:ascii="宋体" w:hAnsi="宋体" w:eastAsia="宋体" w:cs="宋体"/>
          <w:b/>
          <w:bCs/>
          <w:sz w:val="28"/>
          <w:szCs w:val="28"/>
        </w:rPr>
      </w:pPr>
      <w:r>
        <w:rPr>
          <w:rFonts w:hint="eastAsia" w:ascii="宋体" w:hAnsi="宋体"/>
          <w:sz w:val="24"/>
        </w:rPr>
        <w:t>以上所有产品性能（照度）要求和安全要求均应达到或超过国家标准。</w:t>
      </w:r>
    </w:p>
    <w:p>
      <w:pPr>
        <w:pStyle w:val="3"/>
        <w:ind w:left="0" w:leftChars="0" w:firstLine="0" w:firstLineChars="0"/>
        <w:rPr>
          <w:rFonts w:hint="eastAsia"/>
          <w:b/>
          <w:sz w:val="36"/>
          <w:szCs w:val="36"/>
          <w:lang w:val="en-US" w:eastAsia="zh-CN"/>
        </w:rPr>
      </w:pPr>
    </w:p>
    <w:p>
      <w:pPr>
        <w:pStyle w:val="3"/>
        <w:ind w:left="0" w:leftChars="0" w:firstLine="562" w:firstLineChars="200"/>
        <w:rPr>
          <w:rFonts w:ascii="宋体" w:hAnsi="宋体"/>
          <w:b/>
          <w:bCs/>
          <w:sz w:val="28"/>
          <w:szCs w:val="28"/>
        </w:rPr>
      </w:pPr>
      <w:r>
        <w:rPr>
          <w:rFonts w:hint="eastAsia" w:ascii="宋体" w:hAnsi="宋体"/>
          <w:b/>
          <w:bCs/>
          <w:color w:val="auto"/>
          <w:sz w:val="28"/>
          <w:szCs w:val="28"/>
        </w:rPr>
        <w:t>4.</w:t>
      </w:r>
      <w:bookmarkEnd w:id="378"/>
      <w:bookmarkEnd w:id="379"/>
      <w:bookmarkEnd w:id="380"/>
      <w:bookmarkStart w:id="384" w:name="_Toc526878943"/>
      <w:bookmarkStart w:id="385" w:name="_Toc425955563"/>
      <w:bookmarkStart w:id="386" w:name="_Toc29286"/>
      <w:r>
        <w:rPr>
          <w:rFonts w:hint="eastAsia" w:ascii="宋体" w:hAnsi="宋体"/>
          <w:b/>
          <w:bCs/>
          <w:color w:val="auto"/>
          <w:sz w:val="28"/>
          <w:szCs w:val="28"/>
          <w:lang w:val="en-US" w:eastAsia="zh-CN"/>
        </w:rPr>
        <w:t>2</w:t>
      </w:r>
      <w:r>
        <w:rPr>
          <w:rFonts w:hint="eastAsia" w:ascii="宋体" w:hAnsi="宋体"/>
          <w:b/>
          <w:bCs/>
          <w:sz w:val="28"/>
          <w:szCs w:val="28"/>
        </w:rPr>
        <w:t xml:space="preserve"> </w:t>
      </w:r>
      <w:bookmarkEnd w:id="381"/>
      <w:bookmarkEnd w:id="382"/>
      <w:bookmarkEnd w:id="383"/>
      <w:bookmarkEnd w:id="384"/>
      <w:bookmarkEnd w:id="385"/>
      <w:bookmarkEnd w:id="386"/>
      <w:bookmarkStart w:id="387" w:name="_Toc493008715"/>
      <w:bookmarkStart w:id="388" w:name="_Toc526878944"/>
      <w:r>
        <w:rPr>
          <w:rFonts w:hint="eastAsia" w:ascii="宋体" w:hAnsi="宋体"/>
          <w:b/>
          <w:bCs/>
          <w:sz w:val="28"/>
          <w:szCs w:val="28"/>
        </w:rPr>
        <w:t>交货时间及地点</w:t>
      </w:r>
      <w:bookmarkEnd w:id="387"/>
      <w:bookmarkEnd w:id="388"/>
    </w:p>
    <w:p>
      <w:pPr>
        <w:pStyle w:val="3"/>
        <w:ind w:left="479" w:leftChars="228" w:firstLine="456"/>
        <w:rPr>
          <w:rFonts w:ascii="宋体" w:hAnsi="宋体"/>
          <w:b/>
          <w:bCs/>
          <w:spacing w:val="-6"/>
          <w:sz w:val="24"/>
          <w:szCs w:val="24"/>
        </w:rPr>
      </w:pPr>
      <w:r>
        <w:rPr>
          <w:rFonts w:hint="eastAsia" w:ascii="宋体" w:hAnsi="宋体"/>
          <w:spacing w:val="-6"/>
          <w:sz w:val="24"/>
          <w:szCs w:val="24"/>
        </w:rPr>
        <w:t>交货时间：详见投标人须知前附表2.7</w:t>
      </w:r>
    </w:p>
    <w:p>
      <w:pPr>
        <w:pStyle w:val="3"/>
        <w:ind w:left="479" w:leftChars="228" w:firstLine="456"/>
        <w:rPr>
          <w:rFonts w:ascii="宋体" w:hAnsi="宋体"/>
          <w:b/>
          <w:bCs/>
          <w:spacing w:val="-6"/>
          <w:sz w:val="24"/>
          <w:szCs w:val="24"/>
        </w:rPr>
      </w:pPr>
      <w:r>
        <w:rPr>
          <w:rFonts w:hint="eastAsia" w:ascii="宋体" w:hAnsi="宋体"/>
          <w:spacing w:val="-6"/>
          <w:sz w:val="24"/>
          <w:szCs w:val="24"/>
        </w:rPr>
        <w:t>交货地点：（采购人）指定地点</w:t>
      </w:r>
    </w:p>
    <w:p>
      <w:pPr>
        <w:pStyle w:val="5"/>
        <w:ind w:firstLine="562" w:firstLineChars="200"/>
        <w:rPr>
          <w:rFonts w:ascii="宋体" w:hAnsi="宋体"/>
        </w:rPr>
      </w:pPr>
      <w:bookmarkStart w:id="389" w:name="_Toc447207026"/>
      <w:bookmarkStart w:id="390" w:name="OLE_LINK8"/>
      <w:bookmarkStart w:id="391" w:name="_Toc447272163"/>
      <w:bookmarkStart w:id="392" w:name="_Toc459623004"/>
      <w:bookmarkStart w:id="393" w:name="_Toc5159"/>
      <w:bookmarkStart w:id="394" w:name="_Toc493008716"/>
      <w:bookmarkStart w:id="395" w:name="_Toc526878945"/>
      <w:r>
        <w:rPr>
          <w:rFonts w:hint="eastAsia" w:ascii="宋体" w:hAnsi="宋体"/>
        </w:rPr>
        <w:t>4.</w:t>
      </w:r>
      <w:bookmarkEnd w:id="389"/>
      <w:bookmarkEnd w:id="390"/>
      <w:bookmarkEnd w:id="391"/>
      <w:r>
        <w:rPr>
          <w:rFonts w:hint="eastAsia" w:ascii="宋体" w:hAnsi="宋体"/>
          <w:lang w:val="en-US" w:eastAsia="zh-CN"/>
        </w:rPr>
        <w:t>3</w:t>
      </w:r>
      <w:r>
        <w:rPr>
          <w:rFonts w:hint="eastAsia" w:ascii="宋体" w:hAnsi="宋体"/>
        </w:rPr>
        <w:t>特别声明</w:t>
      </w:r>
      <w:bookmarkEnd w:id="392"/>
      <w:bookmarkEnd w:id="393"/>
      <w:bookmarkEnd w:id="394"/>
      <w:bookmarkEnd w:id="395"/>
    </w:p>
    <w:p>
      <w:pPr>
        <w:ind w:firstLine="480"/>
        <w:rPr>
          <w:b/>
          <w:sz w:val="24"/>
        </w:rPr>
      </w:pPr>
      <w:r>
        <w:rPr>
          <w:rFonts w:hint="eastAsia" w:ascii="宋体" w:hAnsi="宋体"/>
          <w:sz w:val="24"/>
        </w:rPr>
        <w:t>（1）不按设备真实参数投标，进行虚假应标者，经评委会确认，按无效投标处理。</w:t>
      </w:r>
    </w:p>
    <w:p>
      <w:pPr>
        <w:ind w:firstLine="480"/>
        <w:rPr>
          <w:rFonts w:hint="eastAsia" w:ascii="宋体" w:hAnsi="宋体"/>
          <w:b/>
          <w:sz w:val="24"/>
        </w:rPr>
      </w:pPr>
      <w:r>
        <w:rPr>
          <w:rFonts w:hint="eastAsia" w:ascii="宋体" w:hAnsi="宋体"/>
          <w:sz w:val="24"/>
        </w:rPr>
        <w:t>（2）本项目采购内容参数为最低要求，若出现指定性、倾向性要求均为无效标准，投标人可用同等或优于此标准参数投标，优于的参数应在货物偏离表中注明，并提供真实的证明材料为依据，单价及总价超过采购预算为无效投标。</w:t>
      </w:r>
    </w:p>
    <w:p>
      <w:pPr>
        <w:pStyle w:val="4"/>
        <w:ind w:firstLine="643"/>
        <w:rPr>
          <w:rFonts w:hint="eastAsia"/>
        </w:rPr>
      </w:pPr>
      <w:bookmarkStart w:id="396" w:name="_Toc493013071"/>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ind w:firstLine="643"/>
      </w:pPr>
      <w:bookmarkStart w:id="397" w:name="_Toc526878946"/>
      <w:r>
        <w:rPr>
          <w:rFonts w:hint="eastAsia"/>
        </w:rPr>
        <w:t>第五章  评标办法</w:t>
      </w:r>
      <w:bookmarkEnd w:id="396"/>
      <w:bookmarkEnd w:id="397"/>
    </w:p>
    <w:p>
      <w:pPr>
        <w:pStyle w:val="5"/>
      </w:pPr>
      <w:bookmarkStart w:id="398" w:name="_Toc493013072"/>
      <w:bookmarkStart w:id="399" w:name="_Toc447207029"/>
      <w:bookmarkStart w:id="400" w:name="_Toc6016"/>
      <w:bookmarkStart w:id="401" w:name="_Toc24574"/>
      <w:bookmarkStart w:id="402" w:name="_Toc20319"/>
      <w:bookmarkStart w:id="403" w:name="_Toc447272166"/>
      <w:bookmarkStart w:id="404" w:name="_Toc526878947"/>
      <w:bookmarkStart w:id="405" w:name="_Toc459623006"/>
      <w:r>
        <w:rPr>
          <w:rFonts w:hint="eastAsia"/>
        </w:rPr>
        <w:t>5.1 评标原则及组织</w:t>
      </w:r>
      <w:bookmarkEnd w:id="398"/>
      <w:bookmarkEnd w:id="399"/>
      <w:bookmarkEnd w:id="400"/>
      <w:bookmarkEnd w:id="401"/>
      <w:bookmarkEnd w:id="402"/>
      <w:bookmarkEnd w:id="403"/>
      <w:bookmarkEnd w:id="404"/>
      <w:bookmarkEnd w:id="405"/>
    </w:p>
    <w:p>
      <w:pPr>
        <w:pStyle w:val="6"/>
        <w:spacing w:before="156" w:after="156"/>
        <w:ind w:firstLine="482"/>
      </w:pPr>
      <w:bookmarkStart w:id="406" w:name="_Toc526878948"/>
      <w:bookmarkStart w:id="407" w:name="_Toc16134"/>
      <w:bookmarkStart w:id="408" w:name="_Toc459623007"/>
      <w:bookmarkStart w:id="409" w:name="_Toc14293"/>
      <w:bookmarkStart w:id="410" w:name="_Toc499"/>
      <w:bookmarkStart w:id="411" w:name="_Toc493013073"/>
      <w:r>
        <w:rPr>
          <w:rFonts w:hint="eastAsia"/>
        </w:rPr>
        <w:t>5.</w:t>
      </w:r>
      <w:r>
        <w:t>1.1</w:t>
      </w:r>
      <w:r>
        <w:rPr>
          <w:rFonts w:hint="eastAsia"/>
        </w:rPr>
        <w:t>原则</w:t>
      </w:r>
      <w:bookmarkEnd w:id="406"/>
      <w:bookmarkEnd w:id="407"/>
      <w:bookmarkEnd w:id="408"/>
      <w:bookmarkEnd w:id="409"/>
      <w:bookmarkEnd w:id="410"/>
      <w:bookmarkEnd w:id="411"/>
    </w:p>
    <w:p>
      <w:pPr>
        <w:pStyle w:val="3"/>
        <w:ind w:firstLine="480"/>
        <w:rPr>
          <w:rFonts w:ascii="宋体"/>
          <w:b/>
          <w:bCs/>
          <w:sz w:val="24"/>
          <w:szCs w:val="24"/>
        </w:rPr>
      </w:pPr>
      <w:r>
        <w:rPr>
          <w:rFonts w:hint="eastAsia" w:ascii="宋体" w:hAnsi="宋体"/>
          <w:sz w:val="24"/>
          <w:szCs w:val="24"/>
        </w:rPr>
        <w:t>招标人组织评标，在监督部门监督下</w:t>
      </w:r>
      <w:r>
        <w:rPr>
          <w:rFonts w:ascii="宋体"/>
          <w:sz w:val="24"/>
          <w:szCs w:val="24"/>
        </w:rPr>
        <w:t>,</w:t>
      </w:r>
      <w:r>
        <w:rPr>
          <w:rFonts w:hint="eastAsia" w:ascii="宋体" w:hAnsi="宋体"/>
          <w:sz w:val="24"/>
          <w:szCs w:val="24"/>
        </w:rPr>
        <w:t>根据《中华人民共和国政府采购法》组建评委会，由采购人代表和评标专家共同组成，评委会成员应坚持“公开、公平、公正”的宗旨</w:t>
      </w:r>
      <w:r>
        <w:rPr>
          <w:rFonts w:ascii="宋体"/>
          <w:sz w:val="24"/>
          <w:szCs w:val="24"/>
        </w:rPr>
        <w:t>,</w:t>
      </w:r>
      <w:r>
        <w:rPr>
          <w:rFonts w:hint="eastAsia" w:ascii="宋体" w:hAnsi="宋体"/>
          <w:sz w:val="24"/>
          <w:szCs w:val="24"/>
        </w:rPr>
        <w:t>认真细致地做好评标工作。</w:t>
      </w:r>
    </w:p>
    <w:p>
      <w:pPr>
        <w:ind w:firstLine="480"/>
        <w:rPr>
          <w:rFonts w:ascii="宋体"/>
          <w:sz w:val="24"/>
        </w:rPr>
      </w:pPr>
      <w:r>
        <w:rPr>
          <w:rFonts w:hint="eastAsia" w:ascii="宋体" w:hAnsi="宋体"/>
          <w:sz w:val="24"/>
        </w:rPr>
        <w:t>（1）评委会成员人数不少于</w:t>
      </w:r>
      <w:r>
        <w:rPr>
          <w:rFonts w:ascii="宋体" w:hAnsi="宋体"/>
          <w:sz w:val="24"/>
        </w:rPr>
        <w:t>5</w:t>
      </w:r>
      <w:r>
        <w:rPr>
          <w:rFonts w:hint="eastAsia" w:ascii="宋体" w:hAnsi="宋体"/>
          <w:sz w:val="24"/>
        </w:rPr>
        <w:t>人以上单数，其中评审专家不得少于成员总数的三分之二。</w:t>
      </w:r>
    </w:p>
    <w:p>
      <w:pPr>
        <w:ind w:firstLine="480"/>
        <w:rPr>
          <w:rFonts w:ascii="宋体"/>
          <w:sz w:val="24"/>
        </w:rPr>
      </w:pPr>
      <w:r>
        <w:rPr>
          <w:rFonts w:hint="eastAsia" w:ascii="宋体" w:hAnsi="宋体"/>
          <w:sz w:val="24"/>
        </w:rPr>
        <w:t>（2）评委会成员应当客观、公正的履行职责，遵守职业道德，对所提出的评审意见承担个人责任。</w:t>
      </w:r>
    </w:p>
    <w:p>
      <w:pPr>
        <w:ind w:firstLine="480"/>
        <w:rPr>
          <w:rFonts w:ascii="宋体" w:hAnsi="宋体"/>
          <w:b/>
          <w:bCs/>
          <w:sz w:val="24"/>
          <w:szCs w:val="24"/>
        </w:rPr>
      </w:pPr>
      <w:r>
        <w:rPr>
          <w:rFonts w:hint="eastAsia" w:ascii="宋体" w:hAnsi="宋体"/>
          <w:sz w:val="24"/>
          <w:szCs w:val="24"/>
        </w:rPr>
        <w:t>（3）评委会成员和与评标活动有关的工作人员不得透露对投标文件的评审和比较、中标候选人的推荐情况以及与评标有关的其他情况。</w:t>
      </w:r>
    </w:p>
    <w:p>
      <w:pPr>
        <w:pStyle w:val="6"/>
        <w:spacing w:before="156" w:after="156"/>
        <w:ind w:firstLine="482"/>
      </w:pPr>
      <w:bookmarkStart w:id="412" w:name="_Toc10628"/>
      <w:bookmarkStart w:id="413" w:name="_Toc3769"/>
      <w:bookmarkStart w:id="414" w:name="_Toc10886"/>
      <w:bookmarkStart w:id="415" w:name="_Toc493013074"/>
      <w:bookmarkStart w:id="416" w:name="_Toc526878949"/>
      <w:bookmarkStart w:id="417" w:name="_Toc459623008"/>
      <w:r>
        <w:rPr>
          <w:rFonts w:hint="eastAsia"/>
        </w:rPr>
        <w:t>5.</w:t>
      </w:r>
      <w:r>
        <w:t xml:space="preserve">1.2 </w:t>
      </w:r>
      <w:r>
        <w:rPr>
          <w:rFonts w:hint="eastAsia"/>
        </w:rPr>
        <w:t>组织</w:t>
      </w:r>
      <w:bookmarkEnd w:id="412"/>
      <w:bookmarkEnd w:id="413"/>
      <w:bookmarkEnd w:id="414"/>
      <w:bookmarkEnd w:id="415"/>
      <w:bookmarkEnd w:id="416"/>
      <w:bookmarkEnd w:id="417"/>
    </w:p>
    <w:p>
      <w:pPr>
        <w:ind w:firstLine="480"/>
        <w:rPr>
          <w:rFonts w:ascii="宋体" w:hAnsi="宋体"/>
          <w:sz w:val="24"/>
        </w:rPr>
      </w:pPr>
      <w:r>
        <w:rPr>
          <w:rFonts w:hint="eastAsia" w:ascii="宋体" w:hAnsi="宋体"/>
          <w:sz w:val="24"/>
        </w:rPr>
        <w:t>（1）评委会：由采购人代表和从专家库随机抽取的专家组成评委会。</w:t>
      </w:r>
    </w:p>
    <w:p>
      <w:pPr>
        <w:ind w:firstLine="480"/>
        <w:rPr>
          <w:rFonts w:ascii="宋体"/>
          <w:sz w:val="24"/>
        </w:rPr>
      </w:pPr>
      <w:r>
        <w:rPr>
          <w:rFonts w:hint="eastAsia" w:ascii="宋体" w:hAnsi="宋体"/>
          <w:sz w:val="24"/>
        </w:rPr>
        <w:t>（2） 招标人</w:t>
      </w:r>
      <w:r>
        <w:rPr>
          <w:rFonts w:ascii="宋体" w:hAnsi="宋体"/>
          <w:sz w:val="24"/>
        </w:rPr>
        <w:t>:</w:t>
      </w:r>
      <w:r>
        <w:rPr>
          <w:rFonts w:hint="eastAsia" w:ascii="宋体" w:hAnsi="宋体"/>
          <w:sz w:val="24"/>
        </w:rPr>
        <w:t>由采购人和招标代理机构组成，负责对外联系并配合交易中心工作人员开标、评标的会务工作</w:t>
      </w:r>
      <w:r>
        <w:rPr>
          <w:rFonts w:ascii="宋体"/>
          <w:sz w:val="24"/>
        </w:rPr>
        <w:t>,</w:t>
      </w:r>
      <w:r>
        <w:rPr>
          <w:rFonts w:hint="eastAsia" w:ascii="宋体" w:hAnsi="宋体"/>
          <w:sz w:val="24"/>
        </w:rPr>
        <w:t>整理并向评标组分发投标资料、投标文件；做好开标和评标会议记录；对评标过程中的原始文件进行归档；随时印发需要的文件资料</w:t>
      </w:r>
      <w:r>
        <w:rPr>
          <w:rFonts w:ascii="宋体"/>
          <w:sz w:val="24"/>
        </w:rPr>
        <w:t>,</w:t>
      </w:r>
      <w:r>
        <w:rPr>
          <w:rFonts w:hint="eastAsia" w:ascii="宋体" w:hAnsi="宋体"/>
          <w:sz w:val="24"/>
        </w:rPr>
        <w:t>对各种咨询函件及档案文件的统收统发。</w:t>
      </w:r>
    </w:p>
    <w:p>
      <w:pPr>
        <w:ind w:firstLine="480"/>
        <w:rPr>
          <w:rFonts w:ascii="宋体"/>
          <w:sz w:val="24"/>
        </w:rPr>
      </w:pPr>
      <w:r>
        <w:rPr>
          <w:rFonts w:hint="eastAsia" w:ascii="宋体" w:hAnsi="宋体"/>
          <w:sz w:val="24"/>
        </w:rPr>
        <w:t>（3）监督部门：由</w:t>
      </w:r>
      <w:r>
        <w:rPr>
          <w:rFonts w:hint="eastAsia" w:ascii="Arial" w:hAnsi="Arial" w:cs="Arial"/>
          <w:sz w:val="24"/>
        </w:rPr>
        <w:t>同级财政局采购办公室、市公共资源管理办公室、市公共资源交易中心监督科等有关监督部门组成，</w:t>
      </w:r>
      <w:r>
        <w:rPr>
          <w:rFonts w:hint="eastAsia" w:ascii="宋体" w:hAnsi="宋体"/>
          <w:sz w:val="24"/>
        </w:rPr>
        <w:t>根据国家有关法律、法规及招标文件的规定</w:t>
      </w:r>
      <w:r>
        <w:rPr>
          <w:rFonts w:ascii="宋体"/>
          <w:sz w:val="24"/>
        </w:rPr>
        <w:t>,</w:t>
      </w:r>
      <w:r>
        <w:rPr>
          <w:rFonts w:hint="eastAsia" w:ascii="宋体" w:hAnsi="宋体"/>
          <w:sz w:val="24"/>
        </w:rPr>
        <w:t>对整个评标过程进行监督</w:t>
      </w:r>
      <w:r>
        <w:rPr>
          <w:rFonts w:ascii="宋体"/>
          <w:sz w:val="24"/>
        </w:rPr>
        <w:t>,</w:t>
      </w:r>
      <w:r>
        <w:rPr>
          <w:rFonts w:hint="eastAsia" w:ascii="宋体" w:hAnsi="宋体"/>
          <w:sz w:val="24"/>
        </w:rPr>
        <w:t>保证评标的公正性</w:t>
      </w:r>
      <w:r>
        <w:rPr>
          <w:rFonts w:ascii="宋体"/>
          <w:sz w:val="24"/>
        </w:rPr>
        <w:t>,</w:t>
      </w:r>
      <w:r>
        <w:rPr>
          <w:rFonts w:hint="eastAsia" w:ascii="宋体" w:hAnsi="宋体"/>
          <w:sz w:val="24"/>
        </w:rPr>
        <w:t>防止违法行为的产生。</w:t>
      </w:r>
    </w:p>
    <w:p>
      <w:pPr>
        <w:framePr w:w="1440" w:h="120" w:hRule="exact" w:wrap="around" w:vAnchor="page" w:hAnchor="page" w:x="361" w:y="541"/>
        <w:ind w:firstLine="480"/>
        <w:rPr>
          <w:rFonts w:ascii="宋体"/>
          <w:sz w:val="24"/>
        </w:rPr>
      </w:pPr>
    </w:p>
    <w:p>
      <w:pPr>
        <w:pStyle w:val="5"/>
        <w:rPr>
          <w:rFonts w:ascii="宋体" w:hAnsi="宋体"/>
        </w:rPr>
      </w:pPr>
      <w:bookmarkStart w:id="418" w:name="_Toc493013075"/>
      <w:bookmarkStart w:id="419" w:name="_Toc526878950"/>
      <w:bookmarkStart w:id="420" w:name="_Toc447207031"/>
      <w:bookmarkStart w:id="421" w:name="_Toc387"/>
      <w:bookmarkStart w:id="422" w:name="_Toc459623009"/>
      <w:bookmarkStart w:id="423" w:name="_Toc447272167"/>
      <w:bookmarkStart w:id="424" w:name="_Toc7450"/>
      <w:bookmarkStart w:id="425" w:name="_Toc9284"/>
      <w:r>
        <w:rPr>
          <w:rFonts w:hint="eastAsia" w:ascii="宋体" w:hAnsi="宋体"/>
        </w:rPr>
        <w:t>5.2 评标程序</w:t>
      </w:r>
      <w:bookmarkEnd w:id="418"/>
      <w:bookmarkEnd w:id="419"/>
      <w:bookmarkEnd w:id="420"/>
      <w:bookmarkEnd w:id="421"/>
      <w:bookmarkEnd w:id="422"/>
      <w:bookmarkEnd w:id="423"/>
      <w:bookmarkEnd w:id="424"/>
      <w:bookmarkEnd w:id="425"/>
    </w:p>
    <w:p>
      <w:pPr>
        <w:pStyle w:val="6"/>
        <w:spacing w:before="156" w:after="156"/>
        <w:ind w:firstLine="482"/>
      </w:pPr>
      <w:bookmarkStart w:id="426" w:name="_Toc526878951"/>
      <w:r>
        <w:rPr>
          <w:rFonts w:hint="eastAsia"/>
        </w:rPr>
        <w:t>5.2</w:t>
      </w:r>
      <w:r>
        <w:t>.1</w:t>
      </w:r>
      <w:r>
        <w:rPr>
          <w:rFonts w:hint="eastAsia"/>
        </w:rPr>
        <w:t>投标文件的初审</w:t>
      </w:r>
      <w:bookmarkEnd w:id="426"/>
    </w:p>
    <w:p>
      <w:pPr>
        <w:adjustRightInd w:val="0"/>
        <w:snapToGrid w:val="0"/>
        <w:spacing w:before="120" w:beforeLines="50"/>
        <w:ind w:right="-109" w:rightChars="-52" w:firstLine="361" w:firstLineChars="150"/>
        <w:rPr>
          <w:rFonts w:ascii="宋体" w:hAnsi="宋体"/>
          <w:sz w:val="24"/>
        </w:rPr>
      </w:pPr>
      <w:r>
        <w:rPr>
          <w:rFonts w:hint="eastAsia" w:ascii="宋体" w:hAnsi="宋体"/>
          <w:b/>
          <w:bCs/>
          <w:sz w:val="24"/>
        </w:rPr>
        <w:t>（1）初审分为资格审查和符合性审查</w:t>
      </w:r>
    </w:p>
    <w:p>
      <w:pPr>
        <w:adjustRightInd w:val="0"/>
        <w:snapToGrid w:val="0"/>
        <w:spacing w:before="120" w:beforeLines="50"/>
        <w:ind w:left="479" w:leftChars="228" w:right="-109" w:rightChars="-52" w:firstLine="480"/>
        <w:rPr>
          <w:rFonts w:hint="eastAsia" w:ascii="宋体" w:hAnsi="宋体"/>
          <w:sz w:val="24"/>
        </w:rPr>
      </w:pPr>
      <w:r>
        <w:rPr>
          <w:rFonts w:hint="eastAsia" w:ascii="宋体" w:hAnsi="宋体"/>
          <w:sz w:val="24"/>
        </w:rPr>
        <w:t>① 资格审查。根据法律法规和招标文件的规定，采购人或采购代理机构依法对投标人进行资格审查，或出具委托授权函委托评委会对投标人进行资格审查，以确定投标人是否具备投标资格。</w:t>
      </w:r>
    </w:p>
    <w:p>
      <w:pPr>
        <w:adjustRightInd w:val="0"/>
        <w:snapToGrid w:val="0"/>
        <w:spacing w:before="120" w:beforeLines="50"/>
        <w:ind w:left="479" w:leftChars="228" w:right="-109" w:rightChars="-52" w:firstLine="480"/>
        <w:rPr>
          <w:rFonts w:hint="eastAsia" w:ascii="宋体" w:hAnsi="宋体"/>
          <w:sz w:val="24"/>
        </w:rPr>
      </w:pPr>
      <w:r>
        <w:rPr>
          <w:rFonts w:hint="eastAsia" w:ascii="宋体" w:hAnsi="宋体"/>
          <w:sz w:val="24"/>
        </w:rPr>
        <w:t>由采购人或采购代理机构对投标人进行资格审查的，采购人应当出具资格审查小组人员名单，并在资格审查结果表上签字。</w:t>
      </w:r>
    </w:p>
    <w:p>
      <w:pPr>
        <w:adjustRightInd w:val="0"/>
        <w:snapToGrid w:val="0"/>
        <w:spacing w:before="120" w:beforeLines="50"/>
        <w:ind w:left="479" w:leftChars="228" w:right="-109" w:rightChars="-52" w:firstLine="480"/>
        <w:rPr>
          <w:rFonts w:ascii="宋体" w:hAnsi="宋体"/>
          <w:sz w:val="24"/>
        </w:rPr>
      </w:pPr>
      <w:r>
        <w:rPr>
          <w:rFonts w:hint="eastAsia" w:ascii="宋体" w:hAnsi="宋体"/>
          <w:sz w:val="24"/>
        </w:rPr>
        <w:t>由评委会对投标人进行资格审查的，评委会成员应当在资格审查结果表上签字。</w:t>
      </w:r>
    </w:p>
    <w:p>
      <w:pPr>
        <w:adjustRightInd w:val="0"/>
        <w:snapToGrid w:val="0"/>
        <w:ind w:left="479" w:leftChars="228" w:right="-109" w:rightChars="-52" w:firstLine="480"/>
        <w:rPr>
          <w:rFonts w:ascii="宋体" w:hAnsi="宋体"/>
          <w:sz w:val="24"/>
        </w:rPr>
      </w:pPr>
      <w:r>
        <w:rPr>
          <w:rFonts w:hint="eastAsia" w:ascii="宋体" w:hAnsi="宋体"/>
          <w:sz w:val="24"/>
        </w:rPr>
        <w:t>资格审查要求详见投标人须知前附表2.5。</w:t>
      </w:r>
    </w:p>
    <w:p>
      <w:pPr>
        <w:adjustRightInd w:val="0"/>
        <w:snapToGrid w:val="0"/>
        <w:ind w:left="479" w:leftChars="228" w:right="-109" w:rightChars="-52" w:firstLine="480"/>
        <w:rPr>
          <w:rFonts w:hint="eastAsia" w:ascii="宋体" w:hAnsi="宋体"/>
          <w:sz w:val="24"/>
        </w:rPr>
      </w:pPr>
      <w:r>
        <w:rPr>
          <w:rFonts w:hint="eastAsia" w:ascii="宋体" w:hAnsi="宋体"/>
          <w:sz w:val="24"/>
        </w:rPr>
        <w:t>② 符合性审查。评标委员会应当对符合资格的投标人的投标文件进行符合性审查，以确定其是否满足招标文件的实质性要求。</w:t>
      </w:r>
    </w:p>
    <w:p>
      <w:pPr>
        <w:adjustRightInd w:val="0"/>
        <w:snapToGrid w:val="0"/>
        <w:ind w:left="479" w:leftChars="228" w:right="-109" w:rightChars="-52" w:firstLine="600" w:firstLineChars="250"/>
        <w:rPr>
          <w:rFonts w:hint="eastAsia" w:ascii="宋体" w:hAnsi="宋体"/>
          <w:sz w:val="24"/>
        </w:rPr>
      </w:pPr>
      <w:r>
        <w:rPr>
          <w:rFonts w:hint="eastAsia" w:ascii="宋体" w:hAnsi="宋体"/>
          <w:sz w:val="24"/>
        </w:rPr>
        <w:t>1）投标文件是否按照招标文件的规定编制、标注、密封、封装；</w:t>
      </w:r>
    </w:p>
    <w:p>
      <w:pPr>
        <w:adjustRightInd w:val="0"/>
        <w:snapToGrid w:val="0"/>
        <w:ind w:left="479" w:leftChars="228" w:right="-109" w:rightChars="-52" w:firstLine="600" w:firstLineChars="250"/>
        <w:rPr>
          <w:rFonts w:hint="eastAsia" w:ascii="宋体" w:hAnsi="宋体"/>
          <w:sz w:val="24"/>
        </w:rPr>
      </w:pPr>
      <w:r>
        <w:rPr>
          <w:rFonts w:hint="eastAsia" w:ascii="宋体" w:hAnsi="宋体"/>
          <w:sz w:val="24"/>
        </w:rPr>
        <w:t>2）投标人是否按照招标文件的规定提交投标保证金（提供电汇凭证等银行证明材料）；</w:t>
      </w:r>
    </w:p>
    <w:p>
      <w:pPr>
        <w:adjustRightInd w:val="0"/>
        <w:snapToGrid w:val="0"/>
        <w:ind w:left="479" w:leftChars="228" w:right="-109" w:rightChars="-52" w:firstLine="600" w:firstLineChars="250"/>
        <w:rPr>
          <w:rFonts w:hint="eastAsia" w:ascii="宋体" w:hAnsi="宋体"/>
          <w:sz w:val="24"/>
        </w:rPr>
      </w:pPr>
      <w:r>
        <w:rPr>
          <w:rFonts w:hint="eastAsia" w:ascii="宋体" w:hAnsi="宋体"/>
          <w:sz w:val="24"/>
        </w:rPr>
        <w:t>3）投标文件是否按照招标文件要求签署、盖章；</w:t>
      </w:r>
    </w:p>
    <w:p>
      <w:pPr>
        <w:adjustRightInd w:val="0"/>
        <w:snapToGrid w:val="0"/>
        <w:ind w:left="479" w:leftChars="228" w:right="-109" w:rightChars="-52" w:firstLine="600" w:firstLineChars="250"/>
        <w:rPr>
          <w:rFonts w:hint="eastAsia" w:ascii="宋体" w:hAnsi="宋体"/>
          <w:sz w:val="24"/>
        </w:rPr>
      </w:pPr>
      <w:r>
        <w:rPr>
          <w:rFonts w:hint="eastAsia" w:ascii="宋体" w:hAnsi="宋体"/>
          <w:sz w:val="24"/>
        </w:rPr>
        <w:t>4）投标文件是否按照招标文件规定的格式填写相关内容；</w:t>
      </w:r>
    </w:p>
    <w:p>
      <w:pPr>
        <w:adjustRightInd w:val="0"/>
        <w:snapToGrid w:val="0"/>
        <w:ind w:left="479" w:leftChars="228" w:right="-109" w:rightChars="-52" w:firstLine="600" w:firstLineChars="250"/>
        <w:rPr>
          <w:rFonts w:hint="eastAsia" w:ascii="宋体" w:hAnsi="宋体"/>
          <w:sz w:val="24"/>
        </w:rPr>
      </w:pPr>
      <w:r>
        <w:rPr>
          <w:rFonts w:hint="eastAsia" w:ascii="宋体" w:hAnsi="宋体"/>
          <w:sz w:val="24"/>
        </w:rPr>
        <w:t>5）投标报价是否在招标文件中规定的预算金额或者最高限价范围内；</w:t>
      </w:r>
    </w:p>
    <w:p>
      <w:pPr>
        <w:adjustRightInd w:val="0"/>
        <w:snapToGrid w:val="0"/>
        <w:ind w:left="479" w:leftChars="228" w:right="-109" w:rightChars="-52" w:firstLine="600" w:firstLineChars="250"/>
        <w:rPr>
          <w:rFonts w:hint="eastAsia" w:ascii="宋体" w:hAnsi="宋体"/>
          <w:sz w:val="24"/>
        </w:rPr>
      </w:pPr>
      <w:r>
        <w:rPr>
          <w:rFonts w:hint="eastAsia" w:ascii="宋体" w:hAnsi="宋体"/>
          <w:sz w:val="24"/>
        </w:rPr>
        <w:t>6）投标文件是否对招标文件提出的商务、技术等要求作出实质性响应（资格要求除外）；</w:t>
      </w:r>
    </w:p>
    <w:p>
      <w:pPr>
        <w:adjustRightInd w:val="0"/>
        <w:snapToGrid w:val="0"/>
        <w:ind w:left="479" w:leftChars="228" w:right="-109" w:rightChars="-52" w:firstLine="600" w:firstLineChars="250"/>
        <w:rPr>
          <w:rFonts w:hint="eastAsia" w:ascii="宋体" w:hAnsi="宋体"/>
          <w:sz w:val="24"/>
        </w:rPr>
      </w:pPr>
      <w:r>
        <w:rPr>
          <w:rFonts w:hint="eastAsia" w:ascii="宋体" w:hAnsi="宋体"/>
          <w:sz w:val="24"/>
        </w:rPr>
        <w:t>7）投标文件是否含有采购人不能接受的附加条件；</w:t>
      </w:r>
    </w:p>
    <w:p>
      <w:pPr>
        <w:adjustRightInd w:val="0"/>
        <w:snapToGrid w:val="0"/>
        <w:ind w:left="479" w:leftChars="228" w:right="-109" w:rightChars="-52" w:firstLine="600" w:firstLineChars="250"/>
        <w:rPr>
          <w:rFonts w:ascii="宋体" w:hAnsi="宋体"/>
          <w:sz w:val="24"/>
        </w:rPr>
      </w:pPr>
      <w:r>
        <w:rPr>
          <w:rFonts w:hint="eastAsia" w:ascii="宋体" w:hAnsi="宋体"/>
          <w:sz w:val="24"/>
        </w:rPr>
        <w:t>8）投标人能否按照评标委员会要求对投标文件进行澄清、说明或者补正。</w:t>
      </w:r>
    </w:p>
    <w:p>
      <w:pPr>
        <w:adjustRightInd w:val="0"/>
        <w:snapToGrid w:val="0"/>
        <w:ind w:right="-109" w:rightChars="-52" w:firstLine="960" w:firstLineChars="400"/>
        <w:rPr>
          <w:rFonts w:ascii="宋体" w:hAnsi="宋体"/>
          <w:sz w:val="24"/>
        </w:rPr>
      </w:pPr>
      <w:r>
        <w:rPr>
          <w:rFonts w:hint="eastAsia" w:ascii="宋体" w:hAnsi="宋体"/>
          <w:sz w:val="24"/>
        </w:rPr>
        <w:t>③ 评委会决定投标文件的响应性只根据投标文件真实无误的内容，而不依据外部的证据。</w:t>
      </w:r>
    </w:p>
    <w:p>
      <w:pPr>
        <w:adjustRightInd w:val="0"/>
        <w:snapToGrid w:val="0"/>
        <w:ind w:right="-109" w:rightChars="-52" w:firstLine="960" w:firstLineChars="400"/>
        <w:rPr>
          <w:rFonts w:ascii="宋体" w:hAnsi="宋体"/>
          <w:sz w:val="24"/>
        </w:rPr>
      </w:pPr>
      <w:r>
        <w:rPr>
          <w:rFonts w:hint="eastAsia" w:ascii="宋体" w:hAnsi="宋体"/>
          <w:sz w:val="24"/>
        </w:rPr>
        <w:t>④ 投标人不得通过修正或撤销不合要求的偏离从而使其投标成为实质上响应的投标。</w:t>
      </w:r>
    </w:p>
    <w:p>
      <w:pPr>
        <w:adjustRightInd w:val="0"/>
        <w:snapToGrid w:val="0"/>
        <w:spacing w:before="120" w:beforeLines="50"/>
        <w:ind w:right="-109" w:rightChars="-52" w:firstLine="361" w:firstLineChars="150"/>
        <w:rPr>
          <w:rFonts w:ascii="宋体" w:hAnsi="宋体" w:cs="宋体"/>
          <w:sz w:val="24"/>
          <w:lang w:val="zh-CN"/>
        </w:rPr>
      </w:pPr>
      <w:r>
        <w:rPr>
          <w:rFonts w:hint="eastAsia" w:ascii="宋体" w:hAnsi="宋体"/>
          <w:b/>
          <w:bCs/>
          <w:sz w:val="24"/>
        </w:rPr>
        <w:t>（2）投标文件的校核</w:t>
      </w:r>
    </w:p>
    <w:p>
      <w:pPr>
        <w:tabs>
          <w:tab w:val="left" w:pos="8640"/>
        </w:tabs>
        <w:ind w:firstLine="480"/>
        <w:rPr>
          <w:rFonts w:ascii="宋体" w:hAnsi="宋体" w:cs="宋体"/>
          <w:sz w:val="24"/>
          <w:lang w:val="zh-CN"/>
        </w:rPr>
      </w:pPr>
      <w:r>
        <w:rPr>
          <w:rFonts w:hint="eastAsia" w:ascii="宋体" w:hAnsi="宋体" w:cs="宋体"/>
          <w:sz w:val="24"/>
          <w:lang w:val="zh-CN"/>
        </w:rPr>
        <w:t xml:space="preserve">投标文件报价出现前后不一致的，除招标文件另有规定外，按照下列规定修正： </w:t>
      </w:r>
    </w:p>
    <w:p>
      <w:pPr>
        <w:tabs>
          <w:tab w:val="left" w:pos="8640"/>
        </w:tabs>
        <w:ind w:left="120" w:leftChars="57" w:firstLine="600" w:firstLineChars="250"/>
        <w:rPr>
          <w:rFonts w:ascii="宋体" w:hAnsi="宋体" w:cs="宋体"/>
          <w:sz w:val="24"/>
          <w:lang w:val="zh-CN"/>
        </w:rPr>
      </w:pPr>
      <w:r>
        <w:rPr>
          <w:rFonts w:hint="eastAsia" w:ascii="宋体" w:hAnsi="宋体" w:cs="宋体"/>
          <w:sz w:val="24"/>
          <w:lang w:val="zh-CN"/>
        </w:rPr>
        <w:t xml:space="preserve">①投标文件中开标一览表(报价表)内容与投标文件中相应内容不一致的，以开标一览表(报价表)为准; </w:t>
      </w:r>
    </w:p>
    <w:p>
      <w:pPr>
        <w:tabs>
          <w:tab w:val="left" w:pos="8640"/>
        </w:tabs>
        <w:ind w:firstLine="720" w:firstLineChars="300"/>
        <w:rPr>
          <w:rFonts w:ascii="宋体" w:hAnsi="宋体" w:cs="宋体"/>
          <w:sz w:val="24"/>
          <w:lang w:val="zh-CN"/>
        </w:rPr>
      </w:pPr>
      <w:r>
        <w:rPr>
          <w:rFonts w:hint="eastAsia" w:ascii="宋体" w:hAnsi="宋体" w:cs="宋体"/>
          <w:sz w:val="24"/>
          <w:lang w:val="zh-CN"/>
        </w:rPr>
        <w:t xml:space="preserve">②大写金额和小写金额不一致的，以大写金额为准; </w:t>
      </w:r>
    </w:p>
    <w:p>
      <w:pPr>
        <w:tabs>
          <w:tab w:val="left" w:pos="8640"/>
        </w:tabs>
        <w:ind w:firstLine="720" w:firstLineChars="300"/>
        <w:rPr>
          <w:rFonts w:ascii="宋体" w:hAnsi="宋体" w:cs="宋体"/>
          <w:sz w:val="24"/>
          <w:lang w:val="zh-CN"/>
        </w:rPr>
      </w:pPr>
      <w:r>
        <w:rPr>
          <w:rFonts w:hint="eastAsia" w:ascii="宋体" w:hAnsi="宋体" w:cs="宋体"/>
          <w:sz w:val="24"/>
          <w:lang w:val="zh-CN"/>
        </w:rPr>
        <w:t xml:space="preserve">③单价金额小数点或者百分比有明显错位的，以开标一览表的总价为准，并修改单价; </w:t>
      </w:r>
    </w:p>
    <w:p>
      <w:pPr>
        <w:tabs>
          <w:tab w:val="left" w:pos="8640"/>
        </w:tabs>
        <w:ind w:firstLine="720" w:firstLineChars="300"/>
        <w:rPr>
          <w:rFonts w:ascii="宋体" w:hAnsi="宋体" w:cs="宋体"/>
          <w:sz w:val="24"/>
          <w:lang w:val="zh-CN"/>
        </w:rPr>
      </w:pPr>
      <w:r>
        <w:rPr>
          <w:rFonts w:hint="eastAsia" w:ascii="宋体" w:hAnsi="宋体" w:cs="宋体"/>
          <w:sz w:val="24"/>
          <w:lang w:val="zh-CN"/>
        </w:rPr>
        <w:t xml:space="preserve">④总价金额与按单价汇总金额不一致的，以单价金额计算结果为准。 </w:t>
      </w:r>
    </w:p>
    <w:p>
      <w:pPr>
        <w:tabs>
          <w:tab w:val="left" w:pos="8640"/>
        </w:tabs>
        <w:ind w:firstLine="480"/>
        <w:rPr>
          <w:rFonts w:ascii="宋体" w:cs="宋体"/>
          <w:sz w:val="24"/>
        </w:rPr>
      </w:pPr>
      <w:r>
        <w:rPr>
          <w:rFonts w:hint="eastAsia" w:ascii="宋体" w:hAnsi="宋体" w:cs="宋体"/>
          <w:sz w:val="24"/>
          <w:lang w:val="zh-CN"/>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adjustRightInd w:val="0"/>
        <w:snapToGrid w:val="0"/>
        <w:spacing w:before="120" w:beforeLines="50"/>
        <w:ind w:right="-109" w:rightChars="-52" w:firstLine="361" w:firstLineChars="150"/>
        <w:rPr>
          <w:rFonts w:ascii="宋体" w:hAnsi="宋体"/>
          <w:b/>
          <w:bCs/>
          <w:sz w:val="24"/>
        </w:rPr>
      </w:pPr>
      <w:r>
        <w:rPr>
          <w:rFonts w:hint="eastAsia" w:ascii="宋体" w:hAnsi="宋体"/>
          <w:b/>
          <w:bCs/>
          <w:sz w:val="24"/>
        </w:rPr>
        <w:t>（3）无效投标</w:t>
      </w:r>
    </w:p>
    <w:p>
      <w:pPr>
        <w:adjustRightInd w:val="0"/>
        <w:snapToGrid w:val="0"/>
        <w:spacing w:before="120" w:beforeLines="50"/>
        <w:ind w:right="-109" w:rightChars="-52" w:firstLine="360" w:firstLineChars="150"/>
        <w:rPr>
          <w:rFonts w:ascii="宋体" w:hAnsi="宋体"/>
          <w:bCs/>
          <w:sz w:val="24"/>
        </w:rPr>
      </w:pPr>
      <w:r>
        <w:rPr>
          <w:rFonts w:hint="eastAsia" w:ascii="宋体" w:hAnsi="宋体"/>
          <w:bCs/>
          <w:sz w:val="24"/>
        </w:rPr>
        <w:t>投标文件属下列情况之一的，应在资格审查、符合性审查时按照无效投标处理</w:t>
      </w:r>
      <w:r>
        <w:rPr>
          <w:rFonts w:ascii="宋体" w:hAnsi="宋体"/>
          <w:bCs/>
          <w:sz w:val="24"/>
        </w:rPr>
        <w:t>:</w:t>
      </w:r>
    </w:p>
    <w:p>
      <w:pPr>
        <w:adjustRightInd w:val="0"/>
        <w:snapToGrid w:val="0"/>
        <w:ind w:right="-109" w:rightChars="-52" w:firstLine="600" w:firstLineChars="250"/>
        <w:rPr>
          <w:rFonts w:ascii="宋体" w:hAnsi="宋体"/>
          <w:sz w:val="24"/>
        </w:rPr>
      </w:pPr>
      <w:r>
        <w:rPr>
          <w:rFonts w:hint="eastAsia" w:ascii="宋体" w:hAnsi="宋体"/>
          <w:sz w:val="24"/>
        </w:rPr>
        <w:t>①投标人未按要求交纳投标保证金或金额不足的（详见投标人须知前附表2.9）；</w:t>
      </w:r>
    </w:p>
    <w:p>
      <w:pPr>
        <w:adjustRightInd w:val="0"/>
        <w:snapToGrid w:val="0"/>
        <w:ind w:right="-109" w:rightChars="-52" w:firstLine="600" w:firstLineChars="250"/>
        <w:rPr>
          <w:rFonts w:ascii="宋体" w:hAnsi="宋体"/>
          <w:sz w:val="24"/>
        </w:rPr>
      </w:pPr>
      <w:r>
        <w:rPr>
          <w:rFonts w:hint="eastAsia" w:ascii="宋体" w:hAnsi="宋体"/>
          <w:sz w:val="24"/>
        </w:rPr>
        <w:t>②投标人未按要求提交</w:t>
      </w:r>
      <w:r>
        <w:rPr>
          <w:rFonts w:hint="eastAsia" w:ascii="宋体" w:hAnsi="宋体"/>
          <w:spacing w:val="-6"/>
          <w:sz w:val="24"/>
        </w:rPr>
        <w:t>本项目投标保证金电汇凭证等银行证明文件的；</w:t>
      </w:r>
    </w:p>
    <w:p>
      <w:pPr>
        <w:adjustRightInd w:val="0"/>
        <w:snapToGrid w:val="0"/>
        <w:ind w:right="-109" w:rightChars="-52" w:firstLine="600" w:firstLineChars="250"/>
        <w:rPr>
          <w:rFonts w:ascii="宋体" w:hAnsi="宋体"/>
          <w:sz w:val="24"/>
        </w:rPr>
      </w:pPr>
      <w:r>
        <w:rPr>
          <w:rFonts w:hint="eastAsia" w:ascii="宋体" w:hAnsi="宋体"/>
          <w:sz w:val="24"/>
        </w:rPr>
        <w:t>③投标文件未按规定编制、标注、密封、封装的；</w:t>
      </w:r>
    </w:p>
    <w:p>
      <w:pPr>
        <w:adjustRightInd w:val="0"/>
        <w:snapToGrid w:val="0"/>
        <w:ind w:right="-109" w:rightChars="-52" w:firstLine="600" w:firstLineChars="250"/>
        <w:rPr>
          <w:rFonts w:ascii="宋体" w:hAnsi="宋体"/>
          <w:sz w:val="24"/>
        </w:rPr>
      </w:pPr>
      <w:r>
        <w:rPr>
          <w:rFonts w:hint="eastAsia" w:ascii="宋体" w:hAnsi="宋体"/>
          <w:sz w:val="24"/>
        </w:rPr>
        <w:t>④报报价超过招标文件中规定的预算金额（含分项预算）或者最高限价的；</w:t>
      </w:r>
    </w:p>
    <w:p>
      <w:pPr>
        <w:adjustRightInd w:val="0"/>
        <w:snapToGrid w:val="0"/>
        <w:ind w:right="-109" w:rightChars="-52" w:firstLine="600" w:firstLineChars="250"/>
        <w:rPr>
          <w:rFonts w:ascii="宋体" w:hAnsi="宋体"/>
          <w:sz w:val="24"/>
        </w:rPr>
      </w:pPr>
      <w:r>
        <w:rPr>
          <w:rFonts w:hint="eastAsia" w:ascii="宋体" w:hAnsi="宋体"/>
          <w:sz w:val="24"/>
        </w:rPr>
        <w:t>⑤投标文件无投标人公章和法人或者法人授权代理人的印章或签字的；</w:t>
      </w:r>
    </w:p>
    <w:p>
      <w:pPr>
        <w:adjustRightInd w:val="0"/>
        <w:snapToGrid w:val="0"/>
        <w:ind w:right="-109" w:rightChars="-52" w:firstLine="600" w:firstLineChars="250"/>
        <w:rPr>
          <w:rFonts w:ascii="宋体" w:hAnsi="宋体"/>
          <w:sz w:val="24"/>
        </w:rPr>
      </w:pPr>
      <w:r>
        <w:rPr>
          <w:rFonts w:hint="eastAsia" w:ascii="宋体" w:hAnsi="宋体"/>
          <w:sz w:val="24"/>
        </w:rPr>
        <w:t>⑥投标人未能提供法人授权函等证明文件和资料的，或提供的证件不齐或无效；</w:t>
      </w:r>
    </w:p>
    <w:p>
      <w:pPr>
        <w:adjustRightInd w:val="0"/>
        <w:snapToGrid w:val="0"/>
        <w:ind w:left="120" w:leftChars="57" w:right="-109" w:rightChars="-52" w:firstLine="480"/>
        <w:rPr>
          <w:rFonts w:ascii="宋体" w:hAnsi="宋体"/>
          <w:sz w:val="24"/>
        </w:rPr>
      </w:pPr>
      <w:r>
        <w:rPr>
          <w:rFonts w:hint="eastAsia" w:ascii="宋体" w:hAnsi="宋体"/>
          <w:sz w:val="24"/>
        </w:rPr>
        <w:t>⑦投标文件未按照招标文件规定的格式填写，或者填写的内容不全，或者辨认不清产生歧义，或者涂改处未加盖投标人公章及法人或法人授权的代理人的印章或签字的；</w:t>
      </w:r>
    </w:p>
    <w:p>
      <w:pPr>
        <w:adjustRightInd w:val="0"/>
        <w:snapToGrid w:val="0"/>
        <w:ind w:right="-109" w:rightChars="-52" w:firstLine="600" w:firstLineChars="250"/>
        <w:rPr>
          <w:rFonts w:ascii="宋体" w:hAnsi="宋体"/>
          <w:sz w:val="24"/>
        </w:rPr>
      </w:pPr>
      <w:r>
        <w:rPr>
          <w:rFonts w:hint="eastAsia" w:ascii="宋体" w:hAnsi="宋体"/>
          <w:sz w:val="24"/>
        </w:rPr>
        <w:t>⑧投标文件中以两个及两个以上的方案进行投标的（招标文件另有规定的除外）；</w:t>
      </w:r>
    </w:p>
    <w:p>
      <w:pPr>
        <w:adjustRightInd w:val="0"/>
        <w:snapToGrid w:val="0"/>
        <w:ind w:right="-109" w:rightChars="-52" w:firstLine="600" w:firstLineChars="250"/>
        <w:rPr>
          <w:rFonts w:ascii="宋体" w:hAnsi="宋体"/>
          <w:sz w:val="24"/>
        </w:rPr>
      </w:pPr>
      <w:r>
        <w:rPr>
          <w:rFonts w:hint="eastAsia" w:ascii="宋体" w:hAnsi="宋体"/>
          <w:sz w:val="24"/>
        </w:rPr>
        <w:t>⑨投标文件未能对招标文件提出的要求和条件作出实质性响应的；</w:t>
      </w:r>
    </w:p>
    <w:p>
      <w:pPr>
        <w:adjustRightInd w:val="0"/>
        <w:snapToGrid w:val="0"/>
        <w:ind w:right="-109" w:rightChars="-52" w:firstLine="600" w:firstLineChars="250"/>
        <w:rPr>
          <w:rFonts w:ascii="宋体" w:hAnsi="宋体"/>
          <w:sz w:val="24"/>
        </w:rPr>
      </w:pPr>
      <w:r>
        <w:rPr>
          <w:rFonts w:hint="eastAsia" w:ascii="宋体" w:hAnsi="宋体"/>
          <w:sz w:val="24"/>
        </w:rPr>
        <w:t>⑩投标人资格条件不符合国家有关规定和招标文件要求的，或者拒不按照要求对投标文件进行澄清、说明或者补正的；</w:t>
      </w:r>
    </w:p>
    <w:p>
      <w:pPr>
        <w:adjustRightInd w:val="0"/>
        <w:snapToGrid w:val="0"/>
        <w:ind w:right="-109" w:rightChars="-52" w:firstLine="600" w:firstLineChars="250"/>
        <w:rPr>
          <w:rFonts w:ascii="宋体" w:hAnsi="宋体"/>
          <w:sz w:val="24"/>
        </w:rPr>
      </w:pPr>
      <w:r>
        <w:rPr>
          <w:rFonts w:ascii="MS Mincho" w:hAnsi="MS Mincho" w:cs="Cambria Math"/>
          <w:sz w:val="24"/>
        </w:rPr>
        <w:t>⑪</w:t>
      </w:r>
      <w:r>
        <w:rPr>
          <w:rFonts w:hint="eastAsia" w:ascii="宋体" w:hAnsi="宋体"/>
          <w:sz w:val="24"/>
        </w:rPr>
        <w:t>投标文件附有招标人不能接受的条件的；</w:t>
      </w:r>
    </w:p>
    <w:p>
      <w:pPr>
        <w:adjustRightInd w:val="0"/>
        <w:snapToGrid w:val="0"/>
        <w:ind w:right="-109" w:rightChars="-52" w:firstLine="600" w:firstLineChars="250"/>
        <w:rPr>
          <w:rFonts w:ascii="宋体" w:hAnsi="宋体"/>
          <w:sz w:val="24"/>
        </w:rPr>
      </w:pPr>
      <w:r>
        <w:rPr>
          <w:rFonts w:ascii="MS Mincho" w:hAnsi="MS Mincho"/>
          <w:sz w:val="24"/>
        </w:rPr>
        <w:t>⑫</w:t>
      </w:r>
      <w:r>
        <w:rPr>
          <w:rFonts w:hint="eastAsia"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adjustRightInd w:val="0"/>
        <w:snapToGrid w:val="0"/>
        <w:ind w:right="-109" w:rightChars="-52" w:firstLine="600" w:firstLineChars="250"/>
        <w:rPr>
          <w:rFonts w:ascii="宋体" w:hAnsi="宋体"/>
          <w:sz w:val="24"/>
        </w:rPr>
      </w:pPr>
      <w:r>
        <w:rPr>
          <w:rFonts w:ascii="MS Mincho" w:hAnsi="MS Mincho" w:cs="MS Mincho"/>
          <w:sz w:val="24"/>
        </w:rPr>
        <w:t>⑬</w:t>
      </w:r>
      <w:r>
        <w:rPr>
          <w:rFonts w:hint="eastAsia" w:ascii="宋体" w:hAnsi="宋体"/>
          <w:sz w:val="24"/>
        </w:rPr>
        <w:t>投标有效期不足</w:t>
      </w:r>
      <w:r>
        <w:rPr>
          <w:rFonts w:ascii="宋体" w:hAnsi="宋体"/>
          <w:sz w:val="24"/>
        </w:rPr>
        <w:t>60</w:t>
      </w:r>
      <w:r>
        <w:rPr>
          <w:rFonts w:hint="eastAsia" w:ascii="宋体" w:hAnsi="宋体"/>
          <w:sz w:val="24"/>
        </w:rPr>
        <w:t>天的；</w:t>
      </w:r>
    </w:p>
    <w:p>
      <w:pPr>
        <w:adjustRightInd w:val="0"/>
        <w:snapToGrid w:val="0"/>
        <w:ind w:right="-109" w:rightChars="-52" w:firstLine="600" w:firstLineChars="250"/>
        <w:rPr>
          <w:rFonts w:ascii="宋体" w:hAnsi="宋体"/>
          <w:sz w:val="24"/>
        </w:rPr>
      </w:pPr>
      <w:r>
        <w:rPr>
          <w:rFonts w:ascii="MS Mincho" w:hAnsi="MS Mincho" w:cs="MS Mincho"/>
          <w:sz w:val="24"/>
        </w:rPr>
        <w:t>⑭</w:t>
      </w:r>
      <w:r>
        <w:rPr>
          <w:rFonts w:hint="eastAsia" w:ascii="宋体" w:hAnsi="宋体"/>
          <w:sz w:val="24"/>
        </w:rPr>
        <w:t>有下列情形之一的，视为投标人串通投标，其投标无效：</w:t>
      </w:r>
    </w:p>
    <w:p>
      <w:pPr>
        <w:adjustRightInd w:val="0"/>
        <w:snapToGrid w:val="0"/>
        <w:ind w:right="-109" w:rightChars="-52" w:firstLine="480"/>
        <w:rPr>
          <w:rFonts w:ascii="宋体" w:hAnsi="宋体"/>
          <w:sz w:val="24"/>
        </w:rPr>
      </w:pPr>
      <w:r>
        <w:rPr>
          <w:rFonts w:hint="eastAsia" w:ascii="宋体" w:hAnsi="宋体"/>
          <w:sz w:val="24"/>
        </w:rPr>
        <w:t xml:space="preserve">  1）不同投标人的投标文件由同一单位或者个人编制；</w:t>
      </w:r>
    </w:p>
    <w:p>
      <w:pPr>
        <w:adjustRightInd w:val="0"/>
        <w:snapToGrid w:val="0"/>
        <w:ind w:right="-109" w:rightChars="-52" w:firstLine="720" w:firstLineChars="300"/>
        <w:rPr>
          <w:rFonts w:ascii="宋体" w:hAnsi="宋体"/>
          <w:sz w:val="24"/>
        </w:rPr>
      </w:pPr>
      <w:r>
        <w:rPr>
          <w:rFonts w:hint="eastAsia" w:ascii="宋体" w:hAnsi="宋体"/>
          <w:sz w:val="24"/>
        </w:rPr>
        <w:t>2）不同投标人委托同一单位或者个人办理投标事宜；</w:t>
      </w:r>
    </w:p>
    <w:p>
      <w:pPr>
        <w:adjustRightInd w:val="0"/>
        <w:snapToGrid w:val="0"/>
        <w:ind w:right="-109" w:rightChars="-52" w:firstLine="720" w:firstLineChars="300"/>
        <w:rPr>
          <w:rFonts w:ascii="宋体" w:hAnsi="宋体"/>
          <w:sz w:val="24"/>
        </w:rPr>
      </w:pPr>
      <w:r>
        <w:rPr>
          <w:rFonts w:hint="eastAsia" w:ascii="宋体" w:hAnsi="宋体"/>
          <w:sz w:val="24"/>
        </w:rPr>
        <w:t>3）不同投标人的投标文件载明的项目管理成员或者联系人员为同一人；</w:t>
      </w:r>
    </w:p>
    <w:p>
      <w:pPr>
        <w:adjustRightInd w:val="0"/>
        <w:snapToGrid w:val="0"/>
        <w:ind w:right="-109" w:rightChars="-52" w:firstLine="720" w:firstLineChars="300"/>
        <w:rPr>
          <w:rFonts w:ascii="宋体" w:hAnsi="宋体"/>
          <w:sz w:val="24"/>
        </w:rPr>
      </w:pPr>
      <w:r>
        <w:rPr>
          <w:rFonts w:hint="eastAsia" w:ascii="宋体" w:hAnsi="宋体"/>
          <w:sz w:val="24"/>
        </w:rPr>
        <w:t>4）不同投标人的投标文件异常一致或者投标报价呈规律性差异；</w:t>
      </w:r>
    </w:p>
    <w:p>
      <w:pPr>
        <w:adjustRightInd w:val="0"/>
        <w:snapToGrid w:val="0"/>
        <w:ind w:right="-109" w:rightChars="-52" w:firstLine="720" w:firstLineChars="300"/>
        <w:rPr>
          <w:rFonts w:ascii="宋体" w:hAnsi="宋体"/>
          <w:sz w:val="24"/>
        </w:rPr>
      </w:pPr>
      <w:r>
        <w:rPr>
          <w:rFonts w:hint="eastAsia" w:ascii="宋体" w:hAnsi="宋体"/>
          <w:sz w:val="24"/>
        </w:rPr>
        <w:t>5）不同投标人的投标文件相互混装；</w:t>
      </w:r>
    </w:p>
    <w:p>
      <w:pPr>
        <w:adjustRightInd w:val="0"/>
        <w:snapToGrid w:val="0"/>
        <w:ind w:right="-109" w:rightChars="-52" w:firstLine="720" w:firstLineChars="300"/>
        <w:rPr>
          <w:rFonts w:ascii="宋体" w:hAnsi="宋体"/>
          <w:sz w:val="24"/>
        </w:rPr>
      </w:pPr>
      <w:r>
        <w:rPr>
          <w:rFonts w:hint="eastAsia" w:ascii="宋体" w:hAnsi="宋体"/>
          <w:sz w:val="24"/>
        </w:rPr>
        <w:t>6）不同投标人的投标保证金从同一单位或者个人的账户转出。</w:t>
      </w:r>
      <w:r>
        <w:rPr>
          <w:rFonts w:hint="eastAsia" w:ascii="宋体" w:hAnsi="宋体"/>
          <w:sz w:val="24"/>
        </w:rPr>
        <w:tab/>
      </w:r>
    </w:p>
    <w:p>
      <w:pPr>
        <w:adjustRightInd w:val="0"/>
        <w:snapToGrid w:val="0"/>
        <w:ind w:right="-109" w:rightChars="-52" w:firstLine="480"/>
        <w:rPr>
          <w:rFonts w:ascii="宋体" w:hAnsi="宋体"/>
          <w:sz w:val="24"/>
        </w:rPr>
      </w:pPr>
      <w:r>
        <w:rPr>
          <w:rFonts w:ascii="MS Mincho" w:hAnsi="MS Mincho" w:cs="Cambria Math"/>
          <w:sz w:val="24"/>
        </w:rPr>
        <w:t>⑮</w:t>
      </w:r>
      <w:r>
        <w:rPr>
          <w:rFonts w:hint="eastAsia" w:ascii="宋体" w:hAnsi="宋体"/>
          <w:sz w:val="24"/>
        </w:rPr>
        <w:t>招标文件规定的其它无效投标条件。</w:t>
      </w:r>
    </w:p>
    <w:p>
      <w:pPr>
        <w:pStyle w:val="6"/>
        <w:spacing w:before="156" w:after="156"/>
        <w:ind w:firstLine="482"/>
      </w:pPr>
      <w:bookmarkStart w:id="427" w:name="_Toc459623010"/>
      <w:bookmarkStart w:id="428" w:name="_Toc526878952"/>
      <w:bookmarkStart w:id="429" w:name="_Toc493013076"/>
      <w:bookmarkStart w:id="430" w:name="_Toc11580"/>
      <w:bookmarkStart w:id="431" w:name="_Toc17184"/>
      <w:bookmarkStart w:id="432" w:name="_Toc16457"/>
      <w:r>
        <w:rPr>
          <w:rFonts w:hint="eastAsia"/>
        </w:rPr>
        <w:t>5.2</w:t>
      </w:r>
      <w:r>
        <w:t>.2</w:t>
      </w:r>
      <w:r>
        <w:rPr>
          <w:rFonts w:hint="eastAsia"/>
        </w:rPr>
        <w:t>比较与评价</w:t>
      </w:r>
      <w:bookmarkEnd w:id="427"/>
      <w:bookmarkEnd w:id="428"/>
      <w:bookmarkEnd w:id="429"/>
      <w:bookmarkEnd w:id="430"/>
      <w:bookmarkEnd w:id="431"/>
      <w:bookmarkEnd w:id="432"/>
    </w:p>
    <w:p>
      <w:pPr>
        <w:ind w:firstLine="480"/>
        <w:rPr>
          <w:rFonts w:ascii="宋体"/>
          <w:sz w:val="24"/>
        </w:rPr>
      </w:pPr>
      <w:r>
        <w:rPr>
          <w:rFonts w:hint="eastAsia" w:ascii="宋体" w:hAnsi="宋体"/>
          <w:sz w:val="24"/>
        </w:rPr>
        <w:t>评标委员会应当按照招标文件中规定的评标方法和标准，对符合性审查合格的投标文件进行商务和技术评估，综合比较与评价。</w:t>
      </w:r>
    </w:p>
    <w:p>
      <w:pPr>
        <w:pStyle w:val="6"/>
        <w:spacing w:before="156" w:after="156"/>
        <w:ind w:firstLine="482"/>
      </w:pPr>
      <w:bookmarkStart w:id="433" w:name="_Toc5226"/>
      <w:bookmarkStart w:id="434" w:name="_Toc526878953"/>
      <w:bookmarkStart w:id="435" w:name="_Toc16488"/>
      <w:bookmarkStart w:id="436" w:name="_Toc459623011"/>
      <w:bookmarkStart w:id="437" w:name="_Toc493013077"/>
      <w:bookmarkStart w:id="438" w:name="_Toc28663"/>
      <w:r>
        <w:rPr>
          <w:rFonts w:hint="eastAsia"/>
        </w:rPr>
        <w:t>5.2</w:t>
      </w:r>
      <w:r>
        <w:t>.</w:t>
      </w:r>
      <w:r>
        <w:rPr>
          <w:rFonts w:hint="eastAsia"/>
        </w:rPr>
        <w:t>3评标方法</w:t>
      </w:r>
      <w:bookmarkEnd w:id="433"/>
      <w:bookmarkEnd w:id="434"/>
      <w:bookmarkEnd w:id="435"/>
      <w:bookmarkEnd w:id="436"/>
      <w:bookmarkEnd w:id="437"/>
      <w:bookmarkEnd w:id="438"/>
    </w:p>
    <w:p>
      <w:pPr>
        <w:ind w:firstLine="480"/>
        <w:rPr>
          <w:rFonts w:hint="eastAsia" w:ascii="宋体" w:hAnsi="宋体"/>
          <w:sz w:val="24"/>
        </w:rPr>
      </w:pPr>
      <w:r>
        <w:rPr>
          <w:rFonts w:hint="eastAsia" w:ascii="宋体" w:hAnsi="宋体"/>
          <w:sz w:val="24"/>
        </w:rPr>
        <w:t>本项目采用“综合评分法”，即是指在最大限度地满足招标文件实质性要求前提下，按照招标文件中规定的各项因素进行综合评审后，以评标总得分最高的投标人作为排名第一的中标候选人。综合评分法中的价格分统一采用低价优先法计算，即满足招标文件要求且投标价格最低的投标报价为评标基准价，其价格分为满分。其他投标人的价格分统一按照下列公式计算：投标报价得分＝（评标基准价</w:t>
      </w:r>
      <w:r>
        <w:rPr>
          <w:rFonts w:ascii="宋体" w:hAnsi="宋体"/>
          <w:sz w:val="24"/>
        </w:rPr>
        <w:t>/</w:t>
      </w:r>
      <w:r>
        <w:rPr>
          <w:rFonts w:hint="eastAsia" w:ascii="宋体" w:hAnsi="宋体"/>
          <w:sz w:val="24"/>
        </w:rPr>
        <w:t>投标报价）×价格权值×</w:t>
      </w:r>
      <w:r>
        <w:rPr>
          <w:rFonts w:ascii="宋体" w:hAnsi="宋体"/>
          <w:sz w:val="24"/>
        </w:rPr>
        <w:t>100</w:t>
      </w:r>
      <w:r>
        <w:rPr>
          <w:rFonts w:hint="eastAsia" w:ascii="宋体" w:hAnsi="宋体"/>
          <w:sz w:val="24"/>
        </w:rPr>
        <w:t>。</w:t>
      </w:r>
    </w:p>
    <w:p>
      <w:pPr>
        <w:widowControl/>
        <w:ind w:firstLine="424" w:firstLineChars="177"/>
        <w:jc w:val="left"/>
        <w:rPr>
          <w:sz w:val="24"/>
        </w:rPr>
      </w:pPr>
      <w:r>
        <w:rPr>
          <w:rFonts w:hint="eastAsia" w:cs="宋体"/>
          <w:sz w:val="24"/>
        </w:rPr>
        <w:t>法律、法规、规章和省级以上财政部门涉及政府采购政策功能及其他规定，见招标文件前附表。评委会应根据招标文件规定，优先推荐节能环保产品，优先考虑中小企业。</w:t>
      </w:r>
    </w:p>
    <w:p>
      <w:pPr>
        <w:widowControl/>
        <w:ind w:firstLine="424" w:firstLineChars="177"/>
        <w:jc w:val="left"/>
        <w:rPr>
          <w:sz w:val="24"/>
        </w:rPr>
      </w:pPr>
      <w:r>
        <w:rPr>
          <w:rFonts w:hint="eastAsia" w:cs="宋体"/>
          <w:sz w:val="24"/>
        </w:rPr>
        <w:t>投标人获得相应政府采购政策优惠的，应提供相关证明材料。</w:t>
      </w:r>
    </w:p>
    <w:p>
      <w:pPr>
        <w:widowControl/>
        <w:ind w:firstLine="424" w:firstLineChars="177"/>
        <w:jc w:val="left"/>
        <w:rPr>
          <w:rFonts w:hint="eastAsia" w:cs="宋体"/>
          <w:sz w:val="24"/>
        </w:rPr>
      </w:pPr>
      <w:r>
        <w:rPr>
          <w:rFonts w:hint="eastAsia" w:cs="宋体"/>
          <w:sz w:val="24"/>
        </w:rPr>
        <w:t>对中小微企业执行财库〔</w:t>
      </w:r>
      <w:r>
        <w:rPr>
          <w:sz w:val="24"/>
        </w:rPr>
        <w:t>2011</w:t>
      </w:r>
      <w:r>
        <w:rPr>
          <w:rFonts w:hint="eastAsia" w:cs="宋体"/>
          <w:sz w:val="24"/>
        </w:rPr>
        <w:t>〕</w:t>
      </w:r>
      <w:r>
        <w:rPr>
          <w:sz w:val="24"/>
        </w:rPr>
        <w:t>181</w:t>
      </w:r>
      <w:r>
        <w:rPr>
          <w:rFonts w:hint="eastAsia" w:cs="宋体"/>
          <w:sz w:val="24"/>
        </w:rPr>
        <w:t>号文件的规定，对其投标报价按</w:t>
      </w:r>
      <w:r>
        <w:rPr>
          <w:sz w:val="24"/>
        </w:rPr>
        <w:t>6%</w:t>
      </w:r>
      <w:r>
        <w:rPr>
          <w:rFonts w:hint="eastAsia" w:cs="宋体"/>
          <w:sz w:val="24"/>
        </w:rPr>
        <w:t>扣除后的价格作为其评标价。不符合财库〔</w:t>
      </w:r>
      <w:r>
        <w:rPr>
          <w:sz w:val="24"/>
        </w:rPr>
        <w:t>2011</w:t>
      </w:r>
      <w:r>
        <w:rPr>
          <w:rFonts w:hint="eastAsia" w:cs="宋体"/>
          <w:sz w:val="24"/>
        </w:rPr>
        <w:t>〕</w:t>
      </w:r>
      <w:r>
        <w:rPr>
          <w:sz w:val="24"/>
        </w:rPr>
        <w:t>181</w:t>
      </w:r>
      <w:r>
        <w:rPr>
          <w:rFonts w:hint="eastAsia" w:cs="宋体"/>
          <w:sz w:val="24"/>
        </w:rPr>
        <w:t>号文件的规定企业的产品价格不予扣除，其投标报价即为评标价。</w:t>
      </w:r>
    </w:p>
    <w:p>
      <w:pPr>
        <w:spacing w:line="360" w:lineRule="auto"/>
        <w:ind w:firstLine="480" w:firstLineChars="200"/>
        <w:rPr>
          <w:rFonts w:hint="eastAsia" w:ascii="宋体" w:hAnsi="宋体" w:cs="宋体"/>
          <w:color w:val="000000"/>
          <w:kern w:val="0"/>
          <w:sz w:val="24"/>
          <w:szCs w:val="24"/>
          <w:shd w:val="clear" w:color="auto" w:fill="FFFFFF"/>
          <w:lang w:bidi="ar"/>
        </w:rPr>
      </w:pPr>
      <w:bookmarkStart w:id="439" w:name="_Toc526878954"/>
      <w:bookmarkStart w:id="440" w:name="_Toc493013078"/>
      <w:r>
        <w:rPr>
          <w:rFonts w:hint="eastAsia" w:ascii="宋体" w:hAnsi="宋体" w:cs="宋体"/>
          <w:color w:val="000000"/>
          <w:kern w:val="0"/>
          <w:sz w:val="24"/>
          <w:szCs w:val="24"/>
          <w:shd w:val="clear" w:color="auto" w:fill="FFFFFF"/>
          <w:lang w:bidi="ar"/>
        </w:rPr>
        <w:t>一、价格</w:t>
      </w:r>
      <w:r>
        <w:rPr>
          <w:rFonts w:hint="eastAsia" w:ascii="宋体" w:hAnsi="宋体" w:cs="宋体"/>
          <w:color w:val="000000"/>
          <w:kern w:val="0"/>
          <w:sz w:val="24"/>
          <w:szCs w:val="24"/>
          <w:shd w:val="clear" w:color="auto" w:fill="FFFFFF"/>
          <w:lang w:val="en-US" w:eastAsia="zh-CN" w:bidi="ar"/>
        </w:rPr>
        <w:t>40</w:t>
      </w:r>
      <w:r>
        <w:rPr>
          <w:rFonts w:hint="eastAsia" w:ascii="宋体" w:hAnsi="宋体" w:cs="宋体"/>
          <w:color w:val="000000"/>
          <w:kern w:val="0"/>
          <w:sz w:val="24"/>
          <w:szCs w:val="24"/>
          <w:shd w:val="clear" w:color="auto" w:fill="FFFFFF"/>
          <w:lang w:bidi="ar"/>
        </w:rPr>
        <w:t>分</w:t>
      </w:r>
    </w:p>
    <w:p>
      <w:pPr>
        <w:spacing w:line="360" w:lineRule="auto"/>
        <w:ind w:firstLine="480" w:firstLineChars="200"/>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在价格评分时，满足招标文件要求且投标报价中最低的投标报价为评标基准价，其价格分为满分</w:t>
      </w:r>
      <w:r>
        <w:rPr>
          <w:rFonts w:hint="eastAsia" w:ascii="宋体" w:hAnsi="宋体" w:cs="宋体"/>
          <w:color w:val="000000"/>
          <w:kern w:val="0"/>
          <w:sz w:val="24"/>
          <w:szCs w:val="24"/>
          <w:shd w:val="clear" w:color="auto" w:fill="FFFFFF"/>
          <w:lang w:val="en-US" w:eastAsia="zh-CN" w:bidi="ar"/>
        </w:rPr>
        <w:t>40</w:t>
      </w:r>
      <w:r>
        <w:rPr>
          <w:rFonts w:hint="eastAsia" w:ascii="宋体" w:hAnsi="宋体" w:cs="宋体"/>
          <w:color w:val="000000"/>
          <w:kern w:val="0"/>
          <w:sz w:val="24"/>
          <w:szCs w:val="24"/>
          <w:shd w:val="clear" w:color="auto" w:fill="FFFFFF"/>
          <w:lang w:bidi="ar"/>
        </w:rPr>
        <w:t>分；其他投标人的价格分统一按照以下公式计算：</w:t>
      </w:r>
    </w:p>
    <w:p>
      <w:pPr>
        <w:spacing w:line="360" w:lineRule="auto"/>
        <w:ind w:firstLine="480" w:firstLineChars="200"/>
        <w:rPr>
          <w:rFonts w:hint="eastAsia" w:ascii="宋体" w:hAnsi="宋体" w:eastAsia="宋体" w:cs="宋体"/>
          <w:kern w:val="0"/>
          <w:sz w:val="24"/>
          <w:szCs w:val="24"/>
          <w:shd w:val="clear" w:color="auto" w:fill="FFFFFF"/>
          <w:lang w:eastAsia="zh-CN" w:bidi="ar"/>
        </w:rPr>
      </w:pPr>
      <w:r>
        <w:rPr>
          <w:rFonts w:hint="eastAsia" w:ascii="宋体" w:hAnsi="宋体" w:cs="宋体"/>
          <w:kern w:val="0"/>
          <w:sz w:val="24"/>
          <w:szCs w:val="24"/>
          <w:shd w:val="clear" w:color="auto" w:fill="FFFFFF"/>
          <w:lang w:bidi="ar"/>
        </w:rPr>
        <w:t>投标报价得分=（评标基准价/投标报价）×100×0.</w:t>
      </w:r>
      <w:r>
        <w:rPr>
          <w:rFonts w:hint="eastAsia" w:ascii="宋体" w:hAnsi="宋体" w:cs="宋体"/>
          <w:kern w:val="0"/>
          <w:sz w:val="24"/>
          <w:szCs w:val="24"/>
          <w:shd w:val="clear" w:color="auto" w:fill="FFFFFF"/>
          <w:lang w:val="en-US" w:eastAsia="zh-CN" w:bidi="ar"/>
        </w:rPr>
        <w:t>4</w:t>
      </w:r>
    </w:p>
    <w:p>
      <w:pPr>
        <w:spacing w:line="360" w:lineRule="auto"/>
        <w:ind w:firstLine="480" w:firstLineChars="200"/>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二、技术 3</w:t>
      </w:r>
      <w:r>
        <w:rPr>
          <w:rFonts w:hint="eastAsia" w:ascii="宋体" w:hAnsi="宋体" w:cs="宋体"/>
          <w:color w:val="000000"/>
          <w:kern w:val="0"/>
          <w:sz w:val="24"/>
          <w:szCs w:val="24"/>
          <w:shd w:val="clear" w:color="auto" w:fill="FFFFFF"/>
          <w:lang w:val="en-US" w:eastAsia="zh-CN" w:bidi="ar"/>
        </w:rPr>
        <w:t>0</w:t>
      </w:r>
      <w:r>
        <w:rPr>
          <w:rFonts w:hint="eastAsia" w:ascii="宋体" w:hAnsi="宋体" w:cs="宋体"/>
          <w:color w:val="000000"/>
          <w:kern w:val="0"/>
          <w:sz w:val="24"/>
          <w:szCs w:val="24"/>
          <w:shd w:val="clear" w:color="auto" w:fill="FFFFFF"/>
          <w:lang w:bidi="ar"/>
        </w:rPr>
        <w:t>分</w:t>
      </w:r>
    </w:p>
    <w:p>
      <w:pPr>
        <w:spacing w:line="360" w:lineRule="auto"/>
        <w:ind w:firstLine="480" w:firstLineChars="200"/>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1、所有技术参数及指标都满足招标文件要求、锂电太阳能路灯产品结构图、锂电池接线示意图、锂电太阳能路灯效果图、锂电路灯的组件图、锂电储控一体机的效果图、锂电储控一体机的优势，在生产过程中的设备彩页图、基础施工图解，优得6-10分，良得3-5分，一般得1-2分，技术指标每一项达不到招标文件要求扣3分</w:t>
      </w:r>
      <w:r>
        <w:rPr>
          <w:rFonts w:hint="eastAsia" w:ascii="宋体" w:hAnsi="宋体" w:cs="宋体"/>
          <w:color w:val="000000"/>
          <w:kern w:val="0"/>
          <w:sz w:val="24"/>
          <w:szCs w:val="24"/>
          <w:shd w:val="clear" w:color="auto" w:fill="FFFFFF"/>
          <w:lang w:eastAsia="zh-CN" w:bidi="ar"/>
        </w:rPr>
        <w:t>（以检测报告为准）</w:t>
      </w:r>
      <w:r>
        <w:rPr>
          <w:rFonts w:hint="eastAsia" w:ascii="宋体" w:hAnsi="宋体" w:cs="宋体"/>
          <w:color w:val="000000"/>
          <w:kern w:val="0"/>
          <w:sz w:val="24"/>
          <w:szCs w:val="24"/>
          <w:shd w:val="clear" w:color="auto" w:fill="FFFFFF"/>
          <w:lang w:bidi="ar"/>
        </w:rPr>
        <w:t>，共计4个指标达不到招标文件要求即为无效标。</w:t>
      </w:r>
    </w:p>
    <w:p>
      <w:pPr>
        <w:spacing w:line="360" w:lineRule="auto"/>
        <w:ind w:firstLine="480" w:firstLineChars="200"/>
        <w:rPr>
          <w:rFonts w:hint="eastAsia" w:ascii="宋体" w:hAnsi="宋体" w:eastAsia="宋体" w:cs="宋体"/>
          <w:kern w:val="0"/>
          <w:sz w:val="24"/>
          <w:szCs w:val="24"/>
          <w:shd w:val="clear" w:color="auto" w:fill="FFFFFF"/>
          <w:lang w:eastAsia="zh-CN" w:bidi="ar"/>
        </w:rPr>
      </w:pPr>
      <w:r>
        <w:rPr>
          <w:rFonts w:hint="eastAsia" w:ascii="宋体" w:hAnsi="宋体" w:cs="宋体"/>
          <w:kern w:val="0"/>
          <w:sz w:val="24"/>
          <w:szCs w:val="24"/>
          <w:shd w:val="clear" w:color="auto" w:fill="FFFFFF"/>
          <w:lang w:bidi="ar"/>
        </w:rPr>
        <w:t>2.投标人提交投标产品锂电太阳能路灯四大部件的（1.LED灯具、2.单晶硅或多晶硅光伏组件太阳能板、3.锂电储控一体机、4.灯杆）有编码的检验报告</w:t>
      </w:r>
      <w:r>
        <w:rPr>
          <w:rFonts w:hint="eastAsia" w:ascii="宋体" w:hAnsi="宋体" w:cs="宋体"/>
          <w:kern w:val="0"/>
          <w:sz w:val="24"/>
          <w:szCs w:val="24"/>
          <w:shd w:val="clear" w:color="auto" w:fill="FFFFFF"/>
          <w:lang w:eastAsia="zh-CN" w:bidi="ar"/>
        </w:rPr>
        <w:t>且提供样品的得</w:t>
      </w:r>
      <w:r>
        <w:rPr>
          <w:rFonts w:hint="eastAsia" w:ascii="宋体" w:hAnsi="宋体" w:cs="宋体"/>
          <w:kern w:val="0"/>
          <w:sz w:val="24"/>
          <w:szCs w:val="24"/>
          <w:shd w:val="clear" w:color="auto" w:fill="FFFFFF"/>
          <w:lang w:val="en-US" w:eastAsia="zh-CN" w:bidi="ar"/>
        </w:rPr>
        <w:t>10</w:t>
      </w:r>
      <w:r>
        <w:rPr>
          <w:rFonts w:hint="eastAsia" w:ascii="宋体" w:hAnsi="宋体" w:cs="宋体"/>
          <w:kern w:val="0"/>
          <w:sz w:val="24"/>
          <w:szCs w:val="24"/>
          <w:shd w:val="clear" w:color="auto" w:fill="FFFFFF"/>
          <w:lang w:bidi="ar"/>
        </w:rPr>
        <w:t>分</w:t>
      </w:r>
      <w:r>
        <w:rPr>
          <w:rFonts w:hint="eastAsia" w:ascii="宋体" w:hAnsi="宋体" w:cs="宋体"/>
          <w:kern w:val="0"/>
          <w:sz w:val="24"/>
          <w:szCs w:val="24"/>
          <w:shd w:val="clear" w:color="auto" w:fill="FFFFFF"/>
          <w:lang w:eastAsia="zh-CN" w:bidi="ar"/>
        </w:rPr>
        <w:t>，没有提供样品和检测报告不得分。</w:t>
      </w:r>
    </w:p>
    <w:p>
      <w:pPr>
        <w:spacing w:line="360" w:lineRule="auto"/>
        <w:ind w:firstLine="480" w:firstLineChars="200"/>
        <w:rPr>
          <w:rFonts w:hint="eastAsia"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（1）LED灯具的检验报告：生产厂家具有《国家电光质量监督检验中心》出具的检验报告（检验报告中的生产单位必须是投标人自己），得2分，不提供的不得分。</w:t>
      </w:r>
    </w:p>
    <w:p>
      <w:pPr>
        <w:spacing w:line="360" w:lineRule="auto"/>
        <w:ind w:firstLine="480" w:firstLineChars="200"/>
        <w:rPr>
          <w:rFonts w:hint="eastAsia"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（2）单晶硅或多晶硅光伏组件太阳能板的检验报告：生产厂家具有《国家太阳能光伏产品质量监督检验中心》出具的检验报告得2分，不提供的不得分。</w:t>
      </w:r>
    </w:p>
    <w:p>
      <w:pPr>
        <w:spacing w:line="360" w:lineRule="auto"/>
        <w:ind w:firstLine="480" w:firstLineChars="200"/>
        <w:rPr>
          <w:rFonts w:hint="eastAsia"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（3）锂电储控一体机的检验报告：生产厂家具有《国家半导体器件质量监督检验中心》出具的检验报告得2分，不提供的不得分。</w:t>
      </w:r>
    </w:p>
    <w:p>
      <w:pPr>
        <w:spacing w:line="360" w:lineRule="auto"/>
        <w:ind w:firstLine="480" w:firstLineChars="200"/>
        <w:rPr>
          <w:rFonts w:hint="eastAsia"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(4). 灯杆的检验报告：生产厂家具有省级检验机构出具的检验报告（检验报告中的生产单位必须是投标人自己），得</w:t>
      </w:r>
      <w:r>
        <w:rPr>
          <w:rFonts w:hint="eastAsia" w:ascii="宋体" w:hAnsi="宋体" w:cs="宋体"/>
          <w:kern w:val="0"/>
          <w:sz w:val="24"/>
          <w:szCs w:val="24"/>
          <w:shd w:val="clear" w:color="auto" w:fill="FFFFFF"/>
          <w:lang w:val="en-US" w:eastAsia="zh-CN" w:bidi="ar"/>
        </w:rPr>
        <w:t>4</w:t>
      </w:r>
      <w:r>
        <w:rPr>
          <w:rFonts w:hint="eastAsia" w:ascii="宋体" w:hAnsi="宋体" w:cs="宋体"/>
          <w:kern w:val="0"/>
          <w:sz w:val="24"/>
          <w:szCs w:val="24"/>
          <w:shd w:val="clear" w:color="auto" w:fill="FFFFFF"/>
          <w:lang w:bidi="ar"/>
        </w:rPr>
        <w:t>分，不提供的不得分。</w:t>
      </w:r>
    </w:p>
    <w:p>
      <w:pPr>
        <w:spacing w:line="360" w:lineRule="auto"/>
        <w:ind w:firstLine="360" w:firstLineChars="150"/>
        <w:rPr>
          <w:rFonts w:hint="eastAsia"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 xml:space="preserve"> 3、备品备件和安装专用工具的配备，优得</w:t>
      </w:r>
      <w:r>
        <w:rPr>
          <w:rFonts w:hint="eastAsia" w:ascii="宋体" w:hAnsi="宋体" w:cs="宋体"/>
          <w:kern w:val="0"/>
          <w:sz w:val="24"/>
          <w:szCs w:val="24"/>
          <w:shd w:val="clear" w:color="auto" w:fill="FFFFFF"/>
          <w:lang w:val="en-US" w:eastAsia="zh-CN" w:bidi="ar"/>
        </w:rPr>
        <w:t>3</w:t>
      </w:r>
      <w:r>
        <w:rPr>
          <w:rFonts w:hint="eastAsia" w:ascii="宋体" w:hAnsi="宋体" w:cs="宋体"/>
          <w:kern w:val="0"/>
          <w:sz w:val="24"/>
          <w:szCs w:val="24"/>
          <w:shd w:val="clear" w:color="auto" w:fill="FFFFFF"/>
          <w:lang w:bidi="ar"/>
        </w:rPr>
        <w:t>分，良得1分，一般0.5分。</w:t>
      </w:r>
    </w:p>
    <w:p>
      <w:pPr>
        <w:spacing w:line="360" w:lineRule="auto"/>
        <w:ind w:firstLine="480" w:firstLineChars="200"/>
        <w:rPr>
          <w:rFonts w:hint="eastAsia"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4、投标人提供详细科学的安装施工组织方案，优得</w:t>
      </w:r>
      <w:r>
        <w:rPr>
          <w:rFonts w:hint="eastAsia" w:ascii="宋体" w:hAnsi="宋体" w:cs="宋体"/>
          <w:kern w:val="0"/>
          <w:sz w:val="24"/>
          <w:szCs w:val="24"/>
          <w:shd w:val="clear" w:color="auto" w:fill="FFFFFF"/>
          <w:lang w:val="en-US" w:eastAsia="zh-CN" w:bidi="ar"/>
        </w:rPr>
        <w:t>4</w:t>
      </w:r>
      <w:r>
        <w:rPr>
          <w:rFonts w:hint="eastAsia" w:ascii="宋体" w:hAnsi="宋体" w:cs="宋体"/>
          <w:kern w:val="0"/>
          <w:sz w:val="24"/>
          <w:szCs w:val="24"/>
          <w:shd w:val="clear" w:color="auto" w:fill="FFFFFF"/>
          <w:lang w:bidi="ar"/>
        </w:rPr>
        <w:t>分，良得</w:t>
      </w:r>
      <w:r>
        <w:rPr>
          <w:rFonts w:hint="eastAsia" w:ascii="宋体" w:hAnsi="宋体" w:cs="宋体"/>
          <w:kern w:val="0"/>
          <w:sz w:val="24"/>
          <w:szCs w:val="24"/>
          <w:shd w:val="clear" w:color="auto" w:fill="FFFFFF"/>
          <w:lang w:val="en-US" w:eastAsia="zh-CN" w:bidi="ar"/>
        </w:rPr>
        <w:t>2</w:t>
      </w:r>
      <w:r>
        <w:rPr>
          <w:rFonts w:hint="eastAsia" w:ascii="宋体" w:hAnsi="宋体" w:cs="宋体"/>
          <w:kern w:val="0"/>
          <w:sz w:val="24"/>
          <w:szCs w:val="24"/>
          <w:shd w:val="clear" w:color="auto" w:fill="FFFFFF"/>
          <w:lang w:bidi="ar"/>
        </w:rPr>
        <w:t>分，一般得1分</w:t>
      </w:r>
      <w:r>
        <w:rPr>
          <w:rFonts w:hint="eastAsia" w:ascii="宋体" w:hAnsi="宋体" w:cs="宋体"/>
          <w:kern w:val="0"/>
          <w:sz w:val="24"/>
          <w:szCs w:val="24"/>
          <w:shd w:val="clear" w:color="auto" w:fill="FFFFFF"/>
          <w:lang w:eastAsia="zh-CN" w:bidi="ar"/>
        </w:rPr>
        <w:t>，差不得分</w:t>
      </w:r>
      <w:r>
        <w:rPr>
          <w:rFonts w:hint="eastAsia" w:ascii="宋体" w:hAnsi="宋体" w:cs="宋体"/>
          <w:kern w:val="0"/>
          <w:sz w:val="24"/>
          <w:szCs w:val="24"/>
          <w:shd w:val="clear" w:color="auto" w:fill="FFFFFF"/>
          <w:lang w:bidi="ar"/>
        </w:rPr>
        <w:t>。</w:t>
      </w:r>
    </w:p>
    <w:p>
      <w:pPr>
        <w:spacing w:line="360" w:lineRule="auto"/>
        <w:ind w:firstLine="480" w:firstLineChars="200"/>
        <w:rPr>
          <w:rFonts w:hint="eastAsia"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5、投标人提供的技术培训方案，科学、合理、严谨，并且措施到位，优得</w:t>
      </w:r>
      <w:r>
        <w:rPr>
          <w:rFonts w:hint="eastAsia" w:ascii="宋体" w:hAnsi="宋体" w:cs="宋体"/>
          <w:kern w:val="0"/>
          <w:sz w:val="24"/>
          <w:szCs w:val="24"/>
          <w:shd w:val="clear" w:color="auto" w:fill="FFFFFF"/>
          <w:lang w:val="en-US" w:eastAsia="zh-CN" w:bidi="ar"/>
        </w:rPr>
        <w:t>3</w:t>
      </w:r>
      <w:r>
        <w:rPr>
          <w:rFonts w:hint="eastAsia" w:ascii="宋体" w:hAnsi="宋体" w:cs="宋体"/>
          <w:kern w:val="0"/>
          <w:sz w:val="24"/>
          <w:szCs w:val="24"/>
          <w:shd w:val="clear" w:color="auto" w:fill="FFFFFF"/>
          <w:lang w:bidi="ar"/>
        </w:rPr>
        <w:t>分，良得2分，一般得1分。</w:t>
      </w:r>
    </w:p>
    <w:p>
      <w:pPr>
        <w:spacing w:line="360" w:lineRule="auto"/>
        <w:ind w:firstLine="480" w:firstLineChars="200"/>
        <w:rPr>
          <w:rFonts w:hint="eastAsia"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三、商务30分</w:t>
      </w:r>
    </w:p>
    <w:p>
      <w:pPr>
        <w:spacing w:line="360" w:lineRule="auto"/>
        <w:ind w:firstLine="480" w:firstLineChars="200"/>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1、投标文件制作4分</w:t>
      </w:r>
    </w:p>
    <w:p>
      <w:pPr>
        <w:spacing w:line="360" w:lineRule="auto"/>
        <w:ind w:firstLine="480" w:firstLineChars="200"/>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投标文件制作规范、大方、附件齐全、所提供与投标产品相同配置及参数的说明书或彩页能详细反映招标文件技术参数的优得4分，一般得2分，差不得分。</w:t>
      </w:r>
    </w:p>
    <w:p>
      <w:pPr>
        <w:spacing w:line="360" w:lineRule="auto"/>
        <w:ind w:firstLine="480" w:firstLineChars="200"/>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2、故障支持与解决8分</w:t>
      </w:r>
    </w:p>
    <w:p>
      <w:pPr>
        <w:spacing w:line="360" w:lineRule="auto"/>
        <w:ind w:firstLine="480" w:firstLineChars="200"/>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1）投标人提供7×24小时（全天候）响应，接到故障通知后在3小时内到达并解决故障，得4分；投标人提供7×24小时响应，接到故障通知后在8小时内到达并解决故障，得2分；投标人提供7×24小时响应，接到故障通知后在8小时以上到达并解决故障，不得分。</w:t>
      </w:r>
    </w:p>
    <w:p>
      <w:pPr>
        <w:spacing w:line="360" w:lineRule="auto"/>
        <w:ind w:firstLine="480" w:firstLineChars="200"/>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2）投标人承诺所投产品（设备）质量免费保修和上门服务年限均为三年，并提供厂家免费质保承诺函原件的，得2分，投标人承诺所投产品（设备）质量免费保修和上门服务年限均为二年（含）以上，并提供厂家免费质保承诺函原件的，得1分，否则不得分。</w:t>
      </w:r>
    </w:p>
    <w:p>
      <w:pPr>
        <w:spacing w:line="360" w:lineRule="auto"/>
        <w:ind w:firstLine="480" w:firstLineChars="200"/>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（3）投标人承诺对所有设备（软件）终身维护，售后服务期过后只收零配件成本费的，得2分，否则不得分。</w:t>
      </w:r>
    </w:p>
    <w:p>
      <w:pPr>
        <w:spacing w:line="360" w:lineRule="auto"/>
        <w:ind w:firstLine="480" w:firstLineChars="200"/>
        <w:rPr>
          <w:rFonts w:hint="eastAsia"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3、投标人对所有技术参数及指标必须要有实质性的质量保证8分。</w:t>
      </w:r>
    </w:p>
    <w:p>
      <w:pPr>
        <w:spacing w:line="360" w:lineRule="auto"/>
        <w:ind w:firstLine="480" w:firstLineChars="200"/>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4、售后服务10分</w:t>
      </w:r>
    </w:p>
    <w:p>
      <w:pPr>
        <w:spacing w:line="360" w:lineRule="auto"/>
        <w:ind w:firstLine="480" w:firstLineChars="200"/>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（1）白银市范围内设立公司或授权代理售后服务机构，提供营业执照资质（</w:t>
      </w:r>
      <w:r>
        <w:rPr>
          <w:rFonts w:hint="eastAsia" w:ascii="宋体" w:hAnsi="宋体" w:cs="宋体"/>
          <w:color w:val="auto"/>
          <w:kern w:val="0"/>
          <w:sz w:val="24"/>
          <w:szCs w:val="24"/>
          <w:shd w:val="clear" w:color="auto" w:fill="FFFFFF"/>
          <w:lang w:bidi="ar"/>
        </w:rPr>
        <w:t>必须在工商部</w:t>
      </w:r>
      <w:r>
        <w:rPr>
          <w:rFonts w:hint="eastAsia" w:ascii="宋体" w:hAnsi="宋体" w:cs="宋体"/>
          <w:color w:val="000000"/>
          <w:kern w:val="0"/>
          <w:sz w:val="24"/>
          <w:szCs w:val="24"/>
          <w:shd w:val="clear" w:color="auto" w:fill="FFFFFF"/>
          <w:lang w:bidi="ar"/>
        </w:rPr>
        <w:t>门登记注册的，且营业执照经营范围必须</w:t>
      </w:r>
      <w:r>
        <w:rPr>
          <w:rFonts w:hint="eastAsia" w:ascii="宋体" w:hAnsi="宋体" w:cs="宋体"/>
          <w:color w:val="000000"/>
          <w:kern w:val="0"/>
          <w:sz w:val="24"/>
          <w:szCs w:val="24"/>
          <w:shd w:val="clear" w:color="auto" w:fill="FFFFFF"/>
          <w:lang w:val="en-US" w:eastAsia="zh-CN" w:bidi="ar"/>
        </w:rPr>
        <w:t>与</w:t>
      </w:r>
      <w:r>
        <w:rPr>
          <w:rFonts w:hint="eastAsia" w:ascii="宋体" w:hAnsi="宋体" w:cs="宋体"/>
          <w:color w:val="000000"/>
          <w:kern w:val="0"/>
          <w:sz w:val="24"/>
          <w:szCs w:val="24"/>
          <w:shd w:val="clear" w:color="auto" w:fill="FFFFFF"/>
          <w:lang w:bidi="ar"/>
        </w:rPr>
        <w:t>公告资质要求一致）复印件的得5分（须提供原件），投标人在白银市范围以外设立公司或授权代理售后服务机构，能提供营业执照复印件的得2分。（须提供原件）</w:t>
      </w:r>
    </w:p>
    <w:p>
      <w:r>
        <w:rPr>
          <w:rFonts w:hint="eastAsia" w:ascii="宋体" w:hAnsi="宋体" w:cs="宋体"/>
          <w:color w:val="000000"/>
          <w:kern w:val="0"/>
          <w:sz w:val="24"/>
          <w:szCs w:val="24"/>
          <w:shd w:val="clear" w:color="auto" w:fill="FFFFFF"/>
          <w:lang w:bidi="ar"/>
        </w:rPr>
        <w:t>（2）提出完整的售后服务方案（质量保证期内、质保期外服务方式及应急响应时间等）和完整科学的培训方案的优得5分，一般得2分，差不得分。</w:t>
      </w:r>
    </w:p>
    <w:p>
      <w:pPr>
        <w:pStyle w:val="6"/>
        <w:ind w:firstLine="482"/>
        <w:rPr>
          <w:rFonts w:hint="eastAsia"/>
        </w:rPr>
      </w:pPr>
    </w:p>
    <w:p>
      <w:pPr>
        <w:pStyle w:val="6"/>
        <w:ind w:firstLine="482"/>
      </w:pPr>
      <w:r>
        <w:rPr>
          <w:rFonts w:hint="eastAsia"/>
        </w:rPr>
        <w:t>5.2.4 变更采购方式后采用的评标方法</w:t>
      </w:r>
      <w:bookmarkEnd w:id="439"/>
      <w:bookmarkEnd w:id="440"/>
    </w:p>
    <w:p>
      <w:pPr>
        <w:ind w:firstLine="480"/>
        <w:rPr>
          <w:lang w:val="zh-CN"/>
        </w:rPr>
      </w:pPr>
      <w:r>
        <w:rPr>
          <w:rFonts w:hint="eastAsia" w:ascii="宋体" w:hAnsi="宋体"/>
          <w:sz w:val="24"/>
        </w:rPr>
        <w:t>提交投标文件或经评审实质性响应招标文件的投标人只有两家的，经评标委员会认定，招标文件没有不合理条款、招标程序符合规定，报本级财政部门批准后，招标文件可视为竞争性谈判 文件，同时评标办法转为竞争性谈判成交原则。相应的，投标文件可视为谈判响应文件，原评标小组改为竞争性谈判小组，可继续进行竞争性谈判。</w:t>
      </w:r>
    </w:p>
    <w:p>
      <w:pPr>
        <w:pStyle w:val="6"/>
        <w:spacing w:before="156" w:after="156"/>
        <w:ind w:firstLine="482"/>
        <w:rPr>
          <w:sz w:val="28"/>
          <w:szCs w:val="28"/>
        </w:rPr>
      </w:pPr>
      <w:bookmarkStart w:id="441" w:name="_Toc447207032"/>
      <w:bookmarkStart w:id="442" w:name="_Toc459623012"/>
      <w:bookmarkStart w:id="443" w:name="_Toc8078"/>
      <w:bookmarkStart w:id="444" w:name="_Toc25955"/>
      <w:bookmarkStart w:id="445" w:name="_Toc5033"/>
      <w:bookmarkStart w:id="446" w:name="_Toc447272168"/>
      <w:bookmarkStart w:id="447" w:name="_Toc526878955"/>
      <w:bookmarkStart w:id="448" w:name="_Toc493013079"/>
      <w:r>
        <w:rPr>
          <w:rFonts w:hint="eastAsia"/>
        </w:rPr>
        <w:t xml:space="preserve">5.2.5 </w:t>
      </w:r>
      <w:bookmarkEnd w:id="441"/>
      <w:bookmarkEnd w:id="442"/>
      <w:bookmarkEnd w:id="443"/>
      <w:bookmarkEnd w:id="444"/>
      <w:bookmarkEnd w:id="445"/>
      <w:bookmarkEnd w:id="446"/>
      <w:r>
        <w:rPr>
          <w:rFonts w:hint="eastAsia"/>
        </w:rPr>
        <w:t>评标报告</w:t>
      </w:r>
      <w:bookmarkEnd w:id="447"/>
      <w:bookmarkEnd w:id="448"/>
    </w:p>
    <w:p>
      <w:pPr>
        <w:ind w:firstLine="482"/>
        <w:rPr>
          <w:rFonts w:ascii="宋体" w:hAnsi="宋体"/>
          <w:sz w:val="24"/>
        </w:rPr>
      </w:pPr>
      <w:r>
        <w:rPr>
          <w:rStyle w:val="41"/>
          <w:rFonts w:hint="eastAsia" w:ascii="宋体" w:hAnsi="宋体" w:cs="Arial"/>
          <w:kern w:val="0"/>
          <w:sz w:val="24"/>
        </w:rPr>
        <w:t>（1）</w:t>
      </w:r>
      <w:r>
        <w:rPr>
          <w:rFonts w:hint="eastAsia" w:ascii="宋体" w:hAnsi="宋体"/>
          <w:sz w:val="24"/>
        </w:rPr>
        <w:t xml:space="preserve"> 评标委员会根据全体评标成员签字的原始评标记录和评标结果编写评标报告。评标报告应当包括以下内容： </w:t>
      </w:r>
    </w:p>
    <w:p>
      <w:pPr>
        <w:ind w:firstLine="480"/>
        <w:rPr>
          <w:rFonts w:ascii="宋体" w:hAnsi="宋体"/>
          <w:sz w:val="24"/>
        </w:rPr>
      </w:pPr>
      <w:r>
        <w:rPr>
          <w:rFonts w:hint="eastAsia" w:ascii="宋体" w:hAnsi="宋体"/>
          <w:sz w:val="24"/>
        </w:rPr>
        <w:t xml:space="preserve"> ①招标公告刊登的媒体名称、开标日期和地点; </w:t>
      </w:r>
    </w:p>
    <w:p>
      <w:pPr>
        <w:ind w:firstLine="480"/>
        <w:rPr>
          <w:rFonts w:ascii="宋体" w:hAnsi="宋体"/>
          <w:sz w:val="24"/>
        </w:rPr>
      </w:pPr>
      <w:r>
        <w:rPr>
          <w:rFonts w:hint="eastAsia" w:ascii="宋体" w:hAnsi="宋体"/>
          <w:sz w:val="24"/>
        </w:rPr>
        <w:t xml:space="preserve"> ②投标人名单和评标委员会成员名单; </w:t>
      </w:r>
    </w:p>
    <w:p>
      <w:pPr>
        <w:ind w:firstLine="480"/>
        <w:rPr>
          <w:rFonts w:ascii="宋体" w:hAnsi="宋体"/>
          <w:sz w:val="24"/>
        </w:rPr>
      </w:pPr>
      <w:r>
        <w:rPr>
          <w:rFonts w:hint="eastAsia" w:ascii="宋体" w:hAnsi="宋体"/>
          <w:sz w:val="24"/>
        </w:rPr>
        <w:t xml:space="preserve"> ③评标方法和标准; </w:t>
      </w:r>
    </w:p>
    <w:p>
      <w:pPr>
        <w:ind w:firstLine="480"/>
        <w:rPr>
          <w:rFonts w:ascii="宋体" w:hAnsi="宋体"/>
          <w:sz w:val="24"/>
        </w:rPr>
      </w:pPr>
      <w:r>
        <w:rPr>
          <w:rFonts w:hint="eastAsia" w:ascii="宋体" w:hAnsi="宋体"/>
          <w:sz w:val="24"/>
        </w:rPr>
        <w:t xml:space="preserve"> ④开标记录和评标情况及说明，包括无效投标人名单及原因; </w:t>
      </w:r>
    </w:p>
    <w:p>
      <w:pPr>
        <w:ind w:firstLine="480"/>
        <w:rPr>
          <w:rFonts w:ascii="宋体" w:hAnsi="宋体"/>
          <w:sz w:val="24"/>
        </w:rPr>
      </w:pPr>
      <w:r>
        <w:rPr>
          <w:rFonts w:hint="eastAsia" w:ascii="宋体" w:hAnsi="宋体"/>
          <w:sz w:val="24"/>
        </w:rPr>
        <w:t xml:space="preserve"> ⑤评标结果，确定的中标候选人名单或者经采购人委托直接确定的中标人; </w:t>
      </w:r>
    </w:p>
    <w:p>
      <w:pPr>
        <w:ind w:firstLine="480"/>
        <w:rPr>
          <w:rFonts w:ascii="宋体"/>
          <w:sz w:val="24"/>
        </w:rPr>
      </w:pPr>
      <w:r>
        <w:rPr>
          <w:rFonts w:hint="eastAsia" w:ascii="宋体" w:hAnsi="宋体"/>
          <w:sz w:val="24"/>
        </w:rPr>
        <w:t xml:space="preserve"> ⑥其他需要说明的情况，包括评标过程中投标人根据评标委员会要求进行的澄清、说明或者补正，评标委员会成员的更换等。</w:t>
      </w:r>
    </w:p>
    <w:p>
      <w:pPr>
        <w:ind w:firstLine="482"/>
        <w:rPr>
          <w:rFonts w:ascii="宋体" w:hAnsi="宋体"/>
          <w:sz w:val="24"/>
        </w:rPr>
      </w:pPr>
      <w:r>
        <w:rPr>
          <w:rStyle w:val="41"/>
          <w:rFonts w:hint="eastAsia" w:ascii="宋体" w:hAnsi="宋体" w:cs="Arial"/>
          <w:kern w:val="0"/>
          <w:sz w:val="24"/>
        </w:rPr>
        <w:t xml:space="preserve">（2） </w:t>
      </w:r>
      <w:r>
        <w:rPr>
          <w:rFonts w:hint="eastAsia" w:ascii="宋体" w:hAnsi="宋体"/>
          <w:sz w:val="24"/>
        </w:rPr>
        <w:t>评标报告由评委会全体成员签字。评标委员会成员对需要共同认定的事项存在争议的，应当按照少数服从多数的原则作出结论。持不同意见的评标委员会成员应当在评标报告上签署不同意见及理由，否则视为同意评标报告。评标报告签署前，经复核发现存在以下情形之一的，评标委员会应当当场修改评标结果，并在评标报告中记载：</w:t>
      </w:r>
    </w:p>
    <w:p>
      <w:pPr>
        <w:ind w:firstLine="480"/>
        <w:rPr>
          <w:rFonts w:ascii="宋体" w:hAnsi="宋体"/>
          <w:sz w:val="24"/>
        </w:rPr>
      </w:pPr>
      <w:r>
        <w:rPr>
          <w:rFonts w:hint="eastAsia" w:ascii="宋体" w:hAnsi="宋体"/>
          <w:sz w:val="24"/>
        </w:rPr>
        <w:t xml:space="preserve">①分值汇总计算错误的; </w:t>
      </w:r>
    </w:p>
    <w:p>
      <w:pPr>
        <w:ind w:firstLine="480"/>
        <w:rPr>
          <w:rFonts w:ascii="宋体" w:hAnsi="宋体"/>
          <w:sz w:val="24"/>
        </w:rPr>
      </w:pPr>
      <w:r>
        <w:rPr>
          <w:rFonts w:hint="eastAsia" w:ascii="宋体" w:hAnsi="宋体"/>
          <w:sz w:val="24"/>
        </w:rPr>
        <w:t xml:space="preserve">②分项评分超出评分标准范围的; </w:t>
      </w:r>
    </w:p>
    <w:p>
      <w:pPr>
        <w:ind w:firstLine="480"/>
        <w:rPr>
          <w:rFonts w:ascii="宋体" w:hAnsi="宋体"/>
          <w:sz w:val="24"/>
        </w:rPr>
      </w:pPr>
      <w:r>
        <w:rPr>
          <w:rFonts w:hint="eastAsia" w:ascii="宋体" w:hAnsi="宋体"/>
          <w:sz w:val="24"/>
        </w:rPr>
        <w:t xml:space="preserve">③评标委员会成员对客观评审因素评分不一致的; </w:t>
      </w:r>
    </w:p>
    <w:p>
      <w:pPr>
        <w:ind w:firstLine="480"/>
        <w:rPr>
          <w:rFonts w:ascii="宋体" w:hAnsi="宋体"/>
          <w:sz w:val="24"/>
        </w:rPr>
      </w:pPr>
      <w:r>
        <w:rPr>
          <w:rFonts w:hint="eastAsia" w:ascii="宋体" w:hAnsi="宋体"/>
          <w:sz w:val="24"/>
        </w:rPr>
        <w:t>④经评标委员会认定评分畸高、畸低的。</w:t>
      </w:r>
    </w:p>
    <w:p>
      <w:pPr>
        <w:pStyle w:val="5"/>
        <w:rPr>
          <w:rFonts w:ascii="宋体" w:hAnsi="宋体"/>
        </w:rPr>
      </w:pPr>
      <w:bookmarkStart w:id="449" w:name="_Toc1653"/>
      <w:bookmarkStart w:id="450" w:name="_Toc13930"/>
      <w:bookmarkStart w:id="451" w:name="_Toc526878956"/>
      <w:bookmarkStart w:id="452" w:name="_Toc447207033"/>
      <w:bookmarkStart w:id="453" w:name="_Toc30177"/>
      <w:bookmarkStart w:id="454" w:name="_Toc447272169"/>
      <w:bookmarkStart w:id="455" w:name="_Toc493013080"/>
      <w:bookmarkStart w:id="456" w:name="_Toc459623013"/>
      <w:r>
        <w:rPr>
          <w:rFonts w:hint="eastAsia" w:ascii="宋体" w:hAnsi="宋体"/>
        </w:rPr>
        <w:t>5.3废标</w:t>
      </w:r>
      <w:bookmarkEnd w:id="449"/>
      <w:bookmarkEnd w:id="450"/>
      <w:bookmarkEnd w:id="451"/>
      <w:bookmarkEnd w:id="452"/>
      <w:bookmarkEnd w:id="453"/>
      <w:bookmarkEnd w:id="454"/>
      <w:bookmarkEnd w:id="455"/>
      <w:bookmarkEnd w:id="456"/>
    </w:p>
    <w:p>
      <w:pPr>
        <w:pStyle w:val="3"/>
        <w:ind w:left="359" w:leftChars="171" w:firstLine="120" w:firstLineChars="50"/>
        <w:rPr>
          <w:rFonts w:ascii="宋体"/>
          <w:b/>
          <w:bCs/>
          <w:sz w:val="24"/>
        </w:rPr>
      </w:pPr>
      <w:r>
        <w:rPr>
          <w:rFonts w:hint="eastAsia" w:ascii="宋体" w:hAnsi="宋体"/>
          <w:sz w:val="24"/>
        </w:rPr>
        <w:t>在招标采购中，出现下列情形之一的，应予废标：</w:t>
      </w:r>
    </w:p>
    <w:p>
      <w:pPr>
        <w:pStyle w:val="3"/>
        <w:spacing w:after="0"/>
        <w:ind w:left="479" w:leftChars="228" w:firstLine="480"/>
        <w:rPr>
          <w:rFonts w:ascii="宋体"/>
          <w:b/>
          <w:bCs/>
          <w:sz w:val="24"/>
          <w:u w:val="double"/>
        </w:rPr>
      </w:pPr>
      <w:r>
        <w:rPr>
          <w:rFonts w:hint="eastAsia" w:ascii="宋体" w:hAnsi="宋体"/>
          <w:sz w:val="24"/>
        </w:rPr>
        <w:t>①符合专业条件的投标人或者对招标文件作实质响应的投标人不足三家的（经同级政府采购监管部门审核批准的除外）；</w:t>
      </w:r>
    </w:p>
    <w:p>
      <w:pPr>
        <w:pStyle w:val="3"/>
        <w:spacing w:after="0"/>
        <w:ind w:left="0" w:leftChars="0" w:firstLine="960" w:firstLineChars="400"/>
        <w:rPr>
          <w:rFonts w:ascii="宋体"/>
          <w:b/>
          <w:bCs/>
          <w:sz w:val="24"/>
        </w:rPr>
      </w:pPr>
      <w:r>
        <w:rPr>
          <w:rFonts w:hint="eastAsia" w:ascii="宋体" w:hAnsi="宋体"/>
          <w:sz w:val="24"/>
        </w:rPr>
        <w:t>②出现影响采购公正的违法、违规行为的；</w:t>
      </w:r>
    </w:p>
    <w:p>
      <w:pPr>
        <w:pStyle w:val="3"/>
        <w:spacing w:after="0"/>
        <w:ind w:left="0" w:leftChars="0" w:firstLine="960" w:firstLineChars="400"/>
        <w:rPr>
          <w:rFonts w:ascii="宋体"/>
          <w:b/>
          <w:bCs/>
          <w:sz w:val="24"/>
        </w:rPr>
      </w:pPr>
      <w:r>
        <w:rPr>
          <w:rFonts w:hint="eastAsia" w:ascii="宋体" w:hAnsi="宋体"/>
          <w:sz w:val="24"/>
        </w:rPr>
        <w:t>③投标人的报价均超过了采购预算，采购人不能支付的；</w:t>
      </w:r>
    </w:p>
    <w:p>
      <w:pPr>
        <w:pStyle w:val="3"/>
        <w:spacing w:after="0"/>
        <w:ind w:left="479" w:leftChars="228" w:firstLine="480"/>
        <w:rPr>
          <w:rFonts w:hint="eastAsia" w:ascii="宋体" w:hAnsi="宋体"/>
          <w:sz w:val="24"/>
        </w:rPr>
      </w:pPr>
      <w:r>
        <w:rPr>
          <w:rFonts w:hint="eastAsia" w:ascii="宋体" w:hAnsi="宋体"/>
          <w:sz w:val="24"/>
        </w:rPr>
        <w:t>④因重大变故，采购任务取消的。废标后，采购人应当将废标理由通知所有采购当事人。</w:t>
      </w: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3"/>
        <w:spacing w:after="0"/>
        <w:ind w:left="479" w:leftChars="228" w:firstLine="480"/>
        <w:rPr>
          <w:rFonts w:hint="eastAsia" w:ascii="宋体" w:hAnsi="宋体"/>
          <w:sz w:val="24"/>
        </w:rPr>
      </w:pPr>
    </w:p>
    <w:p>
      <w:pPr>
        <w:pStyle w:val="4"/>
        <w:ind w:firstLine="643"/>
      </w:pPr>
      <w:bookmarkStart w:id="457" w:name="_Toc31"/>
      <w:bookmarkStart w:id="458" w:name="_Toc7763"/>
      <w:bookmarkStart w:id="459" w:name="_Toc526878957"/>
      <w:bookmarkStart w:id="460" w:name="_Toc493013081"/>
      <w:bookmarkStart w:id="461" w:name="_Toc447207034"/>
      <w:bookmarkStart w:id="462" w:name="_Toc459623014"/>
      <w:bookmarkStart w:id="463" w:name="_Toc447272170"/>
      <w:bookmarkStart w:id="464" w:name="_Toc29221"/>
      <w:r>
        <w:rPr>
          <w:rFonts w:hint="eastAsia"/>
        </w:rPr>
        <w:t>第六章  附件</w:t>
      </w:r>
      <w:bookmarkEnd w:id="457"/>
      <w:bookmarkEnd w:id="458"/>
      <w:bookmarkEnd w:id="459"/>
      <w:bookmarkEnd w:id="460"/>
      <w:bookmarkEnd w:id="461"/>
      <w:bookmarkEnd w:id="462"/>
      <w:bookmarkEnd w:id="463"/>
      <w:bookmarkEnd w:id="464"/>
    </w:p>
    <w:p>
      <w:pPr>
        <w:ind w:firstLine="480"/>
        <w:rPr>
          <w:sz w:val="24"/>
        </w:rPr>
      </w:pPr>
      <w:r>
        <w:rPr>
          <w:rFonts w:hint="eastAsia"/>
          <w:sz w:val="24"/>
        </w:rPr>
        <w:t>附件</w:t>
      </w:r>
      <w:r>
        <w:rPr>
          <w:sz w:val="24"/>
        </w:rPr>
        <w:t>1</w:t>
      </w:r>
      <w:r>
        <w:rPr>
          <w:rFonts w:hint="eastAsia"/>
          <w:sz w:val="24"/>
        </w:rPr>
        <w:t>：合同格式及条款(参考)</w:t>
      </w:r>
    </w:p>
    <w:p>
      <w:pPr>
        <w:ind w:firstLine="480"/>
        <w:rPr>
          <w:sz w:val="24"/>
        </w:rPr>
      </w:pPr>
      <w:r>
        <w:rPr>
          <w:rFonts w:hint="eastAsia"/>
          <w:sz w:val="24"/>
        </w:rPr>
        <w:t>附件</w:t>
      </w:r>
      <w:r>
        <w:rPr>
          <w:sz w:val="24"/>
        </w:rPr>
        <w:t>2</w:t>
      </w:r>
      <w:r>
        <w:rPr>
          <w:rFonts w:hint="eastAsia"/>
          <w:sz w:val="24"/>
        </w:rPr>
        <w:t>：投标函</w:t>
      </w:r>
    </w:p>
    <w:p>
      <w:pPr>
        <w:ind w:firstLine="480"/>
        <w:rPr>
          <w:sz w:val="24"/>
        </w:rPr>
      </w:pPr>
      <w:r>
        <w:rPr>
          <w:rFonts w:hint="eastAsia"/>
          <w:sz w:val="24"/>
        </w:rPr>
        <w:t>附件3：法定代表人资格证明</w:t>
      </w:r>
    </w:p>
    <w:p>
      <w:pPr>
        <w:ind w:firstLine="480"/>
        <w:rPr>
          <w:sz w:val="24"/>
        </w:rPr>
      </w:pPr>
      <w:r>
        <w:rPr>
          <w:rFonts w:hint="eastAsia"/>
          <w:sz w:val="24"/>
        </w:rPr>
        <w:t>附件4：法人授权函</w:t>
      </w:r>
    </w:p>
    <w:p>
      <w:pPr>
        <w:ind w:firstLine="480"/>
        <w:rPr>
          <w:sz w:val="24"/>
        </w:rPr>
      </w:pPr>
      <w:r>
        <w:rPr>
          <w:rFonts w:hint="eastAsia"/>
          <w:sz w:val="24"/>
        </w:rPr>
        <w:t>附件5：开标一览表</w:t>
      </w:r>
    </w:p>
    <w:p>
      <w:pPr>
        <w:ind w:firstLine="480"/>
        <w:rPr>
          <w:sz w:val="24"/>
        </w:rPr>
      </w:pPr>
      <w:r>
        <w:rPr>
          <w:rFonts w:hint="eastAsia"/>
          <w:sz w:val="24"/>
        </w:rPr>
        <w:t>附件6：分项报价表</w:t>
      </w:r>
    </w:p>
    <w:p>
      <w:pPr>
        <w:ind w:firstLine="480"/>
        <w:rPr>
          <w:sz w:val="24"/>
        </w:rPr>
      </w:pPr>
      <w:r>
        <w:rPr>
          <w:rFonts w:hint="eastAsia"/>
          <w:sz w:val="24"/>
        </w:rPr>
        <w:t>附件7：投标商务、货物偏离表</w:t>
      </w:r>
    </w:p>
    <w:p>
      <w:pPr>
        <w:ind w:firstLine="480"/>
        <w:rPr>
          <w:rFonts w:ascii="宋体" w:hAnsi="宋体"/>
          <w:sz w:val="24"/>
        </w:rPr>
      </w:pPr>
      <w:r>
        <w:rPr>
          <w:rFonts w:hint="eastAsia"/>
          <w:sz w:val="24"/>
        </w:rPr>
        <w:t>附件8：</w:t>
      </w:r>
      <w:r>
        <w:rPr>
          <w:rFonts w:hint="eastAsia" w:ascii="宋体" w:hAnsi="宋体"/>
          <w:sz w:val="24"/>
        </w:rPr>
        <w:t>财政部工业和信息化部文件</w:t>
      </w:r>
    </w:p>
    <w:p>
      <w:pPr>
        <w:ind w:firstLine="420"/>
      </w:pPr>
      <w:r>
        <w:t xml:space="preserve"> (</w:t>
      </w:r>
      <w:r>
        <w:rPr>
          <w:rFonts w:hint="eastAsia"/>
        </w:rPr>
        <w:t>以上内容详见附件</w:t>
      </w:r>
      <w:r>
        <w:t>)</w:t>
      </w:r>
    </w:p>
    <w:p>
      <w:pPr>
        <w:pStyle w:val="6"/>
        <w:ind w:firstLine="133" w:firstLineChars="55"/>
        <w:rPr>
          <w:rFonts w:hint="eastAsia"/>
        </w:rPr>
      </w:pPr>
      <w:bookmarkStart w:id="465" w:name="_Toc25035"/>
      <w:bookmarkStart w:id="466" w:name="_Toc459623015"/>
      <w:bookmarkStart w:id="467" w:name="_Toc493013082"/>
      <w:bookmarkStart w:id="468" w:name="_Toc447207035"/>
      <w:bookmarkStart w:id="469" w:name="_Toc13970"/>
      <w:bookmarkStart w:id="470" w:name="_Toc21163"/>
      <w:bookmarkStart w:id="471" w:name="_Toc447272171"/>
    </w:p>
    <w:p>
      <w:pPr>
        <w:pStyle w:val="6"/>
        <w:ind w:firstLine="133" w:firstLineChars="55"/>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6"/>
        <w:ind w:firstLine="133" w:firstLineChars="55"/>
      </w:pPr>
      <w:bookmarkStart w:id="472" w:name="_Toc526878958"/>
      <w:r>
        <w:rPr>
          <w:rFonts w:hint="eastAsia"/>
        </w:rPr>
        <w:t>附件</w:t>
      </w:r>
      <w:r>
        <w:t>1</w:t>
      </w:r>
      <w:r>
        <w:rPr>
          <w:rFonts w:hint="eastAsia"/>
        </w:rPr>
        <w:t>：合同格式及条款</w:t>
      </w:r>
      <w:bookmarkEnd w:id="465"/>
      <w:bookmarkEnd w:id="466"/>
      <w:bookmarkEnd w:id="467"/>
      <w:bookmarkEnd w:id="468"/>
      <w:bookmarkEnd w:id="469"/>
      <w:bookmarkEnd w:id="470"/>
      <w:bookmarkEnd w:id="471"/>
      <w:bookmarkEnd w:id="472"/>
    </w:p>
    <w:p>
      <w:pPr>
        <w:ind w:firstLine="960"/>
        <w:jc w:val="center"/>
        <w:rPr>
          <w:rFonts w:ascii="宋体" w:cs="宋体"/>
          <w:sz w:val="48"/>
          <w:szCs w:val="48"/>
        </w:rPr>
      </w:pPr>
      <w:r>
        <w:rPr>
          <w:rFonts w:hint="eastAsia" w:ascii="宋体" w:hAnsi="宋体" w:cs="宋体"/>
          <w:sz w:val="48"/>
          <w:szCs w:val="48"/>
        </w:rPr>
        <w:t>政府采购供销合同</w:t>
      </w:r>
    </w:p>
    <w:p>
      <w:pPr>
        <w:spacing w:line="320" w:lineRule="exact"/>
        <w:ind w:firstLine="964"/>
        <w:rPr>
          <w:rFonts w:ascii="宋体" w:cs="宋体"/>
          <w:b/>
          <w:sz w:val="48"/>
          <w:szCs w:val="48"/>
        </w:rPr>
      </w:pPr>
    </w:p>
    <w:p>
      <w:pPr>
        <w:spacing w:line="320" w:lineRule="exact"/>
        <w:ind w:firstLine="3491" w:firstLineChars="1159"/>
        <w:rPr>
          <w:rFonts w:ascii="仿宋_GB2312" w:hAnsi="仿宋" w:eastAsia="仿宋_GB2312"/>
          <w:b/>
          <w:sz w:val="30"/>
          <w:szCs w:val="30"/>
        </w:rPr>
      </w:pPr>
      <w:r>
        <w:rPr>
          <w:rFonts w:hint="eastAsia" w:ascii="宋体" w:hAnsi="宋体" w:cs="宋体"/>
          <w:b/>
          <w:sz w:val="30"/>
          <w:szCs w:val="30"/>
        </w:rPr>
        <w:t>合同编号：JYCG-ZC1</w:t>
      </w:r>
      <w:r>
        <w:rPr>
          <w:rFonts w:hint="eastAsia" w:ascii="宋体" w:hAnsi="宋体" w:cs="宋体"/>
          <w:b/>
          <w:sz w:val="30"/>
          <w:szCs w:val="30"/>
          <w:lang w:val="en-US" w:eastAsia="zh-CN"/>
        </w:rPr>
        <w:t>9070</w:t>
      </w:r>
      <w:r>
        <w:rPr>
          <w:rFonts w:hint="eastAsia" w:ascii="宋体" w:hAnsi="宋体" w:cs="宋体"/>
          <w:b/>
          <w:sz w:val="30"/>
          <w:szCs w:val="30"/>
        </w:rPr>
        <w:t xml:space="preserve"> </w:t>
      </w:r>
      <w:r>
        <w:rPr>
          <w:rFonts w:hint="eastAsia" w:ascii="仿宋_GB2312" w:hAnsi="仿宋" w:eastAsia="仿宋_GB2312"/>
          <w:b/>
          <w:sz w:val="30"/>
          <w:szCs w:val="30"/>
        </w:rPr>
        <w:t>号</w:t>
      </w:r>
    </w:p>
    <w:p>
      <w:pPr>
        <w:ind w:firstLine="480"/>
        <w:rPr>
          <w:rFonts w:ascii="仿宋_GB2312" w:hAnsi="仿宋" w:eastAsia="仿宋_GB2312"/>
          <w:sz w:val="24"/>
        </w:rPr>
      </w:pPr>
    </w:p>
    <w:p>
      <w:pPr>
        <w:ind w:firstLine="480"/>
        <w:rPr>
          <w:rFonts w:ascii="仿宋_GB2312" w:hAnsi="宋体" w:eastAsia="仿宋_GB2312"/>
          <w:sz w:val="24"/>
        </w:rPr>
      </w:pPr>
      <w:bookmarkStart w:id="473" w:name="_Toc447207036"/>
      <w:bookmarkStart w:id="474" w:name="_Toc23752"/>
      <w:bookmarkStart w:id="475" w:name="_Toc493013083"/>
      <w:bookmarkStart w:id="476" w:name="_Toc447272172"/>
      <w:bookmarkStart w:id="477" w:name="_Toc15844"/>
      <w:bookmarkStart w:id="478" w:name="_Toc459623016"/>
      <w:bookmarkStart w:id="479" w:name="_Toc15025"/>
      <w:r>
        <w:rPr>
          <w:rFonts w:hint="eastAsia" w:ascii="仿宋_GB2312" w:hAnsi="宋体" w:eastAsia="仿宋_GB2312"/>
          <w:sz w:val="24"/>
        </w:rPr>
        <w:t xml:space="preserve">需    方：（采购人）：  </w:t>
      </w:r>
    </w:p>
    <w:p>
      <w:pPr>
        <w:ind w:firstLine="480"/>
        <w:rPr>
          <w:rFonts w:ascii="仿宋_GB2312" w:hAnsi="宋体" w:eastAsia="仿宋_GB2312"/>
          <w:sz w:val="24"/>
        </w:rPr>
      </w:pPr>
      <w:r>
        <w:rPr>
          <w:rFonts w:hint="eastAsia" w:ascii="仿宋_GB2312" w:hAnsi="宋体" w:eastAsia="仿宋_GB2312"/>
          <w:sz w:val="24"/>
        </w:rPr>
        <w:t xml:space="preserve">供    方：（供应商）： </w:t>
      </w:r>
    </w:p>
    <w:p>
      <w:pPr>
        <w:ind w:firstLine="480"/>
        <w:rPr>
          <w:rFonts w:ascii="仿宋_GB2312" w:hAnsi="宋体" w:eastAsia="仿宋_GB2312"/>
          <w:sz w:val="24"/>
        </w:rPr>
      </w:pPr>
    </w:p>
    <w:p>
      <w:pPr>
        <w:spacing w:line="420" w:lineRule="exact"/>
        <w:ind w:firstLine="480"/>
        <w:rPr>
          <w:rFonts w:ascii="仿宋_GB2312" w:hAnsi="宋体" w:eastAsia="仿宋_GB2312"/>
          <w:sz w:val="24"/>
        </w:rPr>
      </w:pPr>
      <w:r>
        <w:rPr>
          <w:rFonts w:hint="eastAsia" w:ascii="仿宋_GB2312" w:hAnsi="宋体" w:eastAsia="仿宋_GB2312"/>
          <w:sz w:val="24"/>
        </w:rPr>
        <w:t>为了保护供需双方的合法权益，根据《中华人民共和国政府采购法》《中华人民共和国合同法》等相关法规和政府采购招标文件、政府采购投标文件承诺的相关规定，签订本合同，以便共同遵照执行：</w:t>
      </w:r>
    </w:p>
    <w:p>
      <w:pPr>
        <w:spacing w:line="420" w:lineRule="exact"/>
        <w:ind w:firstLine="480"/>
        <w:rPr>
          <w:rFonts w:ascii="仿宋_GB2312" w:hAnsi="宋体" w:eastAsia="仿宋_GB2312"/>
          <w:sz w:val="24"/>
        </w:rPr>
      </w:pPr>
      <w:r>
        <w:rPr>
          <w:rFonts w:hint="eastAsia" w:ascii="仿宋_GB2312" w:hAnsi="宋体" w:eastAsia="仿宋_GB2312"/>
          <w:sz w:val="24"/>
        </w:rPr>
        <w:t>一、采购品目、型号、数量及金额（注：填写不下时，可按此表格自行打印清单）</w:t>
      </w:r>
    </w:p>
    <w:tbl>
      <w:tblPr>
        <w:tblStyle w:val="3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551"/>
        <w:gridCol w:w="1276"/>
        <w:gridCol w:w="127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7" w:type="dxa"/>
            <w:noWrap w:val="0"/>
            <w:vAlign w:val="center"/>
          </w:tcPr>
          <w:p>
            <w:pPr>
              <w:spacing w:line="420" w:lineRule="exact"/>
              <w:ind w:firstLine="480"/>
              <w:jc w:val="center"/>
              <w:rPr>
                <w:rFonts w:ascii="仿宋_GB2312" w:hAnsi="宋体" w:eastAsia="仿宋_GB2312"/>
                <w:sz w:val="24"/>
              </w:rPr>
            </w:pPr>
            <w:r>
              <w:rPr>
                <w:rFonts w:hint="eastAsia" w:ascii="仿宋_GB2312" w:hAnsi="宋体" w:eastAsia="仿宋_GB2312"/>
                <w:sz w:val="24"/>
              </w:rPr>
              <w:t>项目</w:t>
            </w:r>
          </w:p>
        </w:tc>
        <w:tc>
          <w:tcPr>
            <w:tcW w:w="2551" w:type="dxa"/>
            <w:noWrap w:val="0"/>
            <w:vAlign w:val="center"/>
          </w:tcPr>
          <w:p>
            <w:pPr>
              <w:spacing w:line="420" w:lineRule="exact"/>
              <w:ind w:firstLine="480"/>
              <w:jc w:val="center"/>
              <w:rPr>
                <w:rFonts w:ascii="仿宋_GB2312" w:hAnsi="宋体" w:eastAsia="仿宋_GB2312"/>
                <w:sz w:val="24"/>
              </w:rPr>
            </w:pPr>
            <w:r>
              <w:rPr>
                <w:rFonts w:hint="eastAsia" w:ascii="仿宋_GB2312" w:hAnsi="宋体" w:eastAsia="仿宋_GB2312"/>
                <w:sz w:val="24"/>
              </w:rPr>
              <w:t>型号及主要技术指标</w:t>
            </w:r>
          </w:p>
        </w:tc>
        <w:tc>
          <w:tcPr>
            <w:tcW w:w="1276" w:type="dxa"/>
            <w:noWrap w:val="0"/>
            <w:vAlign w:val="center"/>
          </w:tcPr>
          <w:p>
            <w:pPr>
              <w:spacing w:line="420" w:lineRule="exact"/>
              <w:ind w:firstLine="0" w:firstLineChars="0"/>
              <w:rPr>
                <w:rFonts w:ascii="仿宋_GB2312" w:hAnsi="宋体" w:eastAsia="仿宋_GB2312"/>
                <w:sz w:val="24"/>
              </w:rPr>
            </w:pPr>
            <w:r>
              <w:rPr>
                <w:rFonts w:hint="eastAsia" w:ascii="仿宋_GB2312" w:hAnsi="宋体" w:eastAsia="仿宋_GB2312"/>
                <w:sz w:val="24"/>
              </w:rPr>
              <w:t>采购预算（万元）</w:t>
            </w:r>
          </w:p>
        </w:tc>
        <w:tc>
          <w:tcPr>
            <w:tcW w:w="1276" w:type="dxa"/>
            <w:noWrap w:val="0"/>
            <w:vAlign w:val="center"/>
          </w:tcPr>
          <w:p>
            <w:pPr>
              <w:spacing w:line="420" w:lineRule="exact"/>
              <w:ind w:firstLine="0" w:firstLineChars="0"/>
              <w:rPr>
                <w:rFonts w:ascii="仿宋_GB2312" w:hAnsi="宋体" w:eastAsia="仿宋_GB2312"/>
                <w:sz w:val="24"/>
              </w:rPr>
            </w:pPr>
            <w:r>
              <w:rPr>
                <w:rFonts w:hint="eastAsia" w:ascii="仿宋_GB2312" w:hAnsi="宋体" w:eastAsia="仿宋_GB2312"/>
                <w:sz w:val="24"/>
              </w:rPr>
              <w:t>中标价（万元）</w:t>
            </w:r>
          </w:p>
        </w:tc>
        <w:tc>
          <w:tcPr>
            <w:tcW w:w="1276" w:type="dxa"/>
            <w:noWrap w:val="0"/>
            <w:vAlign w:val="center"/>
          </w:tcPr>
          <w:p>
            <w:pPr>
              <w:spacing w:line="420" w:lineRule="exact"/>
              <w:ind w:firstLine="0" w:firstLineChars="0"/>
              <w:rPr>
                <w:rFonts w:ascii="仿宋_GB2312" w:hAnsi="宋体" w:eastAsia="仿宋_GB2312"/>
                <w:sz w:val="24"/>
              </w:rPr>
            </w:pPr>
            <w:r>
              <w:rPr>
                <w:rFonts w:hint="eastAsia" w:ascii="仿宋_GB2312" w:hAnsi="宋体" w:eastAsia="仿宋_GB2312"/>
                <w:sz w:val="24"/>
              </w:rPr>
              <w:t>节约资金（万元）</w:t>
            </w:r>
          </w:p>
        </w:tc>
        <w:tc>
          <w:tcPr>
            <w:tcW w:w="1134" w:type="dxa"/>
            <w:noWrap w:val="0"/>
            <w:vAlign w:val="center"/>
          </w:tcPr>
          <w:p>
            <w:pPr>
              <w:spacing w:line="420" w:lineRule="exact"/>
              <w:ind w:firstLine="0" w:firstLineChars="0"/>
              <w:rPr>
                <w:rFonts w:ascii="仿宋_GB2312" w:hAnsi="宋体" w:eastAsia="仿宋_GB2312"/>
                <w:sz w:val="24"/>
              </w:rPr>
            </w:pPr>
            <w:r>
              <w:rPr>
                <w:rFonts w:hint="eastAsia" w:ascii="仿宋_GB2312" w:hAnsi="宋体" w:eastAsia="仿宋_GB2312"/>
                <w:sz w:val="24"/>
              </w:rPr>
              <w:t>节约率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27" w:type="dxa"/>
            <w:noWrap w:val="0"/>
            <w:vAlign w:val="center"/>
          </w:tcPr>
          <w:p>
            <w:pPr>
              <w:spacing w:line="420" w:lineRule="exact"/>
              <w:ind w:firstLine="480"/>
              <w:jc w:val="center"/>
              <w:rPr>
                <w:rFonts w:ascii="仿宋_GB2312" w:hAnsi="宋体" w:eastAsia="仿宋_GB2312"/>
                <w:sz w:val="24"/>
              </w:rPr>
            </w:pPr>
          </w:p>
        </w:tc>
        <w:tc>
          <w:tcPr>
            <w:tcW w:w="2551" w:type="dxa"/>
            <w:noWrap w:val="0"/>
            <w:vAlign w:val="center"/>
          </w:tcPr>
          <w:p>
            <w:pPr>
              <w:spacing w:line="420" w:lineRule="exact"/>
              <w:ind w:firstLine="480"/>
              <w:jc w:val="center"/>
              <w:rPr>
                <w:rFonts w:ascii="仿宋_GB2312" w:hAnsi="宋体" w:eastAsia="仿宋_GB2312"/>
                <w:sz w:val="24"/>
              </w:rPr>
            </w:pPr>
          </w:p>
        </w:tc>
        <w:tc>
          <w:tcPr>
            <w:tcW w:w="1276" w:type="dxa"/>
            <w:noWrap w:val="0"/>
            <w:vAlign w:val="center"/>
          </w:tcPr>
          <w:p>
            <w:pPr>
              <w:spacing w:line="420" w:lineRule="exact"/>
              <w:ind w:firstLine="480"/>
              <w:jc w:val="center"/>
              <w:rPr>
                <w:rFonts w:ascii="仿宋_GB2312" w:hAnsi="宋体" w:eastAsia="仿宋_GB2312"/>
                <w:sz w:val="24"/>
              </w:rPr>
            </w:pPr>
          </w:p>
        </w:tc>
        <w:tc>
          <w:tcPr>
            <w:tcW w:w="1276" w:type="dxa"/>
            <w:noWrap w:val="0"/>
            <w:vAlign w:val="center"/>
          </w:tcPr>
          <w:p>
            <w:pPr>
              <w:spacing w:line="420" w:lineRule="exact"/>
              <w:ind w:firstLine="480"/>
              <w:jc w:val="center"/>
              <w:rPr>
                <w:rFonts w:ascii="仿宋_GB2312" w:hAnsi="宋体" w:eastAsia="仿宋_GB2312"/>
                <w:sz w:val="24"/>
              </w:rPr>
            </w:pPr>
          </w:p>
        </w:tc>
        <w:tc>
          <w:tcPr>
            <w:tcW w:w="1276" w:type="dxa"/>
            <w:noWrap w:val="0"/>
            <w:vAlign w:val="center"/>
          </w:tcPr>
          <w:p>
            <w:pPr>
              <w:spacing w:line="420" w:lineRule="exact"/>
              <w:ind w:firstLine="480"/>
              <w:jc w:val="center"/>
              <w:rPr>
                <w:rFonts w:ascii="仿宋_GB2312" w:hAnsi="宋体" w:eastAsia="仿宋_GB2312"/>
                <w:sz w:val="24"/>
              </w:rPr>
            </w:pPr>
          </w:p>
        </w:tc>
        <w:tc>
          <w:tcPr>
            <w:tcW w:w="1134" w:type="dxa"/>
            <w:noWrap w:val="0"/>
            <w:vAlign w:val="center"/>
          </w:tcPr>
          <w:p>
            <w:pPr>
              <w:spacing w:line="420" w:lineRule="exact"/>
              <w:ind w:firstLine="480"/>
              <w:jc w:val="center"/>
              <w:rPr>
                <w:rFonts w:ascii="仿宋_GB2312" w:hAnsi="宋体" w:eastAsia="仿宋_GB2312"/>
                <w:sz w:val="24"/>
              </w:rPr>
            </w:pPr>
          </w:p>
        </w:tc>
      </w:tr>
    </w:tbl>
    <w:p>
      <w:pPr>
        <w:spacing w:line="420" w:lineRule="exact"/>
        <w:ind w:firstLine="480"/>
        <w:rPr>
          <w:rFonts w:ascii="仿宋_GB2312" w:hAnsi="宋体" w:eastAsia="仿宋_GB2312"/>
          <w:sz w:val="24"/>
        </w:rPr>
      </w:pPr>
      <w:r>
        <w:rPr>
          <w:rFonts w:hint="eastAsia" w:ascii="仿宋_GB2312" w:hAnsi="宋体" w:eastAsia="仿宋_GB2312"/>
          <w:sz w:val="24"/>
        </w:rPr>
        <w:t>二、交货地点、时间：</w:t>
      </w:r>
    </w:p>
    <w:p>
      <w:pPr>
        <w:spacing w:line="420" w:lineRule="exact"/>
        <w:ind w:firstLine="480"/>
        <w:rPr>
          <w:rFonts w:ascii="仿宋_GB2312" w:hAnsi="宋体" w:eastAsia="仿宋_GB2312"/>
          <w:sz w:val="24"/>
        </w:rPr>
      </w:pPr>
      <w:r>
        <w:rPr>
          <w:rFonts w:hint="eastAsia" w:ascii="仿宋_GB2312" w:hAnsi="宋体" w:eastAsia="仿宋_GB2312"/>
          <w:sz w:val="24"/>
        </w:rPr>
        <w:t>交货时间：于 年 月 日前交货完毕。</w:t>
      </w:r>
    </w:p>
    <w:p>
      <w:pPr>
        <w:ind w:firstLine="480"/>
        <w:rPr>
          <w:rFonts w:ascii="仿宋_GB2312" w:hAnsi="宋体" w:eastAsia="仿宋_GB2312"/>
          <w:sz w:val="24"/>
        </w:rPr>
      </w:pPr>
      <w:r>
        <w:rPr>
          <w:rFonts w:hint="eastAsia" w:ascii="仿宋_GB2312" w:hAnsi="宋体" w:eastAsia="仿宋_GB2312"/>
          <w:sz w:val="24"/>
        </w:rPr>
        <w:t xml:space="preserve">收货单位名称：                      指定地点：     </w:t>
      </w:r>
    </w:p>
    <w:p>
      <w:pPr>
        <w:spacing w:line="400" w:lineRule="exact"/>
        <w:ind w:firstLine="480"/>
        <w:rPr>
          <w:rFonts w:ascii="仿宋_GB2312" w:hAnsi="宋体" w:eastAsia="仿宋_GB2312"/>
          <w:sz w:val="24"/>
        </w:rPr>
      </w:pPr>
      <w:r>
        <w:rPr>
          <w:rFonts w:hint="eastAsia" w:ascii="仿宋_GB2312" w:hAnsi="宋体" w:eastAsia="仿宋_GB2312"/>
          <w:sz w:val="24"/>
        </w:rPr>
        <w:t>收货联系人：                        联系电话 ：</w:t>
      </w:r>
    </w:p>
    <w:p>
      <w:pPr>
        <w:spacing w:line="480" w:lineRule="exact"/>
        <w:ind w:firstLine="480"/>
        <w:rPr>
          <w:rFonts w:ascii="仿宋_GB2312" w:hAnsi="宋体" w:eastAsia="仿宋_GB2312"/>
          <w:sz w:val="24"/>
        </w:rPr>
      </w:pPr>
      <w:r>
        <w:rPr>
          <w:rFonts w:hint="eastAsia" w:ascii="仿宋_GB2312" w:hAnsi="宋体" w:eastAsia="仿宋_GB2312"/>
          <w:sz w:val="24"/>
        </w:rPr>
        <w:t>交货方式：</w:t>
      </w:r>
    </w:p>
    <w:p>
      <w:pPr>
        <w:spacing w:line="480" w:lineRule="exact"/>
        <w:ind w:firstLine="480"/>
        <w:rPr>
          <w:rFonts w:ascii="仿宋_GB2312" w:hAnsi="宋体" w:eastAsia="仿宋_GB2312"/>
          <w:sz w:val="24"/>
        </w:rPr>
      </w:pPr>
      <w:r>
        <w:rPr>
          <w:rFonts w:hint="eastAsia" w:ascii="仿宋_GB2312" w:hAnsi="宋体" w:eastAsia="仿宋_GB2312"/>
          <w:sz w:val="24"/>
        </w:rPr>
        <w:t>1、供货方送货上门，供方将货物送到指定地点并进行安装、调试设备运行正常、数据传输平稳。此外，供方应在交货前向需方提供交货计划；运输、保险和装箱的费用由供方承担。</w:t>
      </w:r>
    </w:p>
    <w:p>
      <w:pPr>
        <w:spacing w:line="420" w:lineRule="exact"/>
        <w:ind w:firstLine="480"/>
        <w:rPr>
          <w:rFonts w:ascii="仿宋_GB2312" w:hAnsi="宋体" w:eastAsia="仿宋_GB2312"/>
          <w:sz w:val="24"/>
        </w:rPr>
      </w:pPr>
      <w:r>
        <w:rPr>
          <w:rFonts w:hint="eastAsia" w:ascii="仿宋_GB2312" w:hAnsi="宋体" w:eastAsia="仿宋_GB2312"/>
          <w:sz w:val="24"/>
        </w:rPr>
        <w:t>2、供方有权要求需方在收到货物时在收货清单上加盖公章或由合同约定的收货联系人签字并提供身份证明进行签收，否则可以不交接货物并不承担可能造成的延期供货责任。</w:t>
      </w:r>
    </w:p>
    <w:p>
      <w:pPr>
        <w:spacing w:line="420" w:lineRule="exact"/>
        <w:ind w:firstLine="480"/>
        <w:rPr>
          <w:rFonts w:ascii="仿宋_GB2312" w:hAnsi="宋体" w:eastAsia="仿宋_GB2312"/>
          <w:sz w:val="24"/>
        </w:rPr>
      </w:pPr>
      <w:r>
        <w:rPr>
          <w:rFonts w:hint="eastAsia" w:ascii="仿宋_GB2312" w:hAnsi="宋体" w:eastAsia="仿宋_GB2312"/>
          <w:sz w:val="24"/>
        </w:rPr>
        <w:t>三、质量与验收标准及提出异议时间：</w:t>
      </w:r>
    </w:p>
    <w:p>
      <w:pPr>
        <w:spacing w:line="420" w:lineRule="exact"/>
        <w:ind w:firstLine="360" w:firstLineChars="150"/>
        <w:rPr>
          <w:rFonts w:ascii="仿宋_GB2312" w:hAnsi="宋体" w:eastAsia="仿宋_GB2312"/>
          <w:sz w:val="24"/>
        </w:rPr>
      </w:pPr>
      <w:r>
        <w:rPr>
          <w:rFonts w:hint="eastAsia" w:ascii="仿宋_GB2312" w:hAnsi="宋体" w:eastAsia="仿宋_GB2312"/>
          <w:sz w:val="24"/>
        </w:rPr>
        <w:t>质量和验收标准依据以装箱单和国家有关法规规定。</w:t>
      </w:r>
    </w:p>
    <w:p>
      <w:pPr>
        <w:spacing w:line="420" w:lineRule="exact"/>
        <w:ind w:firstLine="360" w:firstLineChars="150"/>
        <w:rPr>
          <w:rFonts w:ascii="仿宋_GB2312" w:hAnsi="宋体" w:eastAsia="仿宋_GB2312"/>
          <w:sz w:val="24"/>
        </w:rPr>
      </w:pPr>
      <w:r>
        <w:rPr>
          <w:rFonts w:hint="eastAsia" w:ascii="仿宋_GB2312" w:hAnsi="宋体" w:eastAsia="仿宋_GB2312"/>
          <w:sz w:val="24"/>
        </w:rPr>
        <w:t>（一）验收标准：1、招投标文件要求和承诺质量标准； 2、合格证；3、供方保证一次性合格率大于98%（百分之九十八）。</w:t>
      </w:r>
    </w:p>
    <w:p>
      <w:pPr>
        <w:spacing w:line="420" w:lineRule="exact"/>
        <w:ind w:firstLine="360" w:firstLineChars="150"/>
        <w:rPr>
          <w:rFonts w:ascii="仿宋_GB2312" w:hAnsi="宋体" w:eastAsia="仿宋_GB2312"/>
          <w:sz w:val="24"/>
        </w:rPr>
      </w:pPr>
      <w:r>
        <w:rPr>
          <w:rFonts w:hint="eastAsia" w:ascii="仿宋_GB2312" w:hAnsi="宋体" w:eastAsia="仿宋_GB2312"/>
          <w:sz w:val="24"/>
        </w:rPr>
        <w:t>（二）提出异议时间截止7天。</w:t>
      </w:r>
    </w:p>
    <w:p>
      <w:pPr>
        <w:ind w:firstLine="480"/>
        <w:rPr>
          <w:rFonts w:ascii="仿宋_GB2312" w:hAnsi="宋体" w:eastAsia="仿宋_GB2312"/>
          <w:sz w:val="24"/>
        </w:rPr>
      </w:pPr>
      <w:r>
        <w:rPr>
          <w:rFonts w:hint="eastAsia" w:ascii="仿宋_GB2312" w:hAnsi="宋体" w:eastAsia="仿宋_GB2312"/>
          <w:sz w:val="24"/>
        </w:rPr>
        <w:t>四、售后服务：</w:t>
      </w:r>
    </w:p>
    <w:p>
      <w:pPr>
        <w:spacing w:line="420" w:lineRule="exact"/>
        <w:ind w:firstLine="360" w:firstLineChars="150"/>
        <w:rPr>
          <w:rFonts w:ascii="仿宋_GB2312" w:hAnsi="宋体" w:eastAsia="仿宋_GB2312"/>
          <w:sz w:val="24"/>
        </w:rPr>
      </w:pPr>
      <w:r>
        <w:rPr>
          <w:rFonts w:hint="eastAsia" w:ascii="仿宋_GB2312" w:hAnsi="宋体" w:eastAsia="仿宋_GB2312"/>
          <w:sz w:val="24"/>
        </w:rPr>
        <w:t>以《装箱单》和国家有关法规规定为依据。产品服务标准以招标文件承诺服务标准提供服务。供方与需方另可补充达成如下条款：</w:t>
      </w:r>
    </w:p>
    <w:p>
      <w:pPr>
        <w:spacing w:line="420" w:lineRule="exact"/>
        <w:ind w:firstLine="240" w:firstLineChars="100"/>
        <w:rPr>
          <w:rFonts w:ascii="仿宋_GB2312" w:hAnsi="宋体" w:eastAsia="仿宋_GB2312"/>
          <w:sz w:val="24"/>
        </w:rPr>
      </w:pPr>
      <w:r>
        <w:rPr>
          <w:rFonts w:hint="eastAsia" w:ascii="仿宋_GB2312" w:hAnsi="宋体" w:eastAsia="仿宋_GB2312"/>
          <w:sz w:val="24"/>
        </w:rPr>
        <w:t xml:space="preserve"> 1、供方必须按需方要求清单所需要的配置、参数、保质保量供货。</w:t>
      </w:r>
    </w:p>
    <w:p>
      <w:pPr>
        <w:numPr>
          <w:ilvl w:val="0"/>
          <w:numId w:val="3"/>
        </w:numPr>
        <w:spacing w:line="420" w:lineRule="exact"/>
        <w:ind w:firstLine="360" w:firstLineChars="150"/>
        <w:rPr>
          <w:rFonts w:ascii="仿宋_GB2312" w:hAnsi="宋体" w:eastAsia="仿宋_GB2312"/>
          <w:sz w:val="24"/>
        </w:rPr>
      </w:pPr>
      <w:r>
        <w:rPr>
          <w:rFonts w:hint="eastAsia" w:ascii="仿宋_GB2312" w:hAnsi="宋体" w:eastAsia="仿宋_GB2312"/>
          <w:sz w:val="24"/>
        </w:rPr>
        <w:t>所提供的产品必须符合国家统一质量标准。</w:t>
      </w:r>
    </w:p>
    <w:p>
      <w:pPr>
        <w:numPr>
          <w:ilvl w:val="0"/>
          <w:numId w:val="3"/>
        </w:numPr>
        <w:spacing w:line="420" w:lineRule="exact"/>
        <w:ind w:firstLine="360" w:firstLineChars="150"/>
        <w:rPr>
          <w:rFonts w:ascii="仿宋_GB2312" w:hAnsi="宋体" w:eastAsia="仿宋_GB2312"/>
          <w:sz w:val="24"/>
        </w:rPr>
      </w:pPr>
      <w:r>
        <w:rPr>
          <w:rFonts w:hint="eastAsia" w:ascii="仿宋_GB2312" w:hAnsi="宋体" w:eastAsia="仿宋_GB2312"/>
          <w:color w:val="000000"/>
          <w:sz w:val="24"/>
        </w:rPr>
        <w:t>供方对所提供的产品进行安装、调试及人员培训，设备与环保部门和中控室联网。</w:t>
      </w:r>
    </w:p>
    <w:p>
      <w:pPr>
        <w:spacing w:line="420" w:lineRule="exact"/>
        <w:ind w:firstLine="480"/>
        <w:rPr>
          <w:rFonts w:ascii="仿宋_GB2312" w:hAnsi="宋体" w:eastAsia="仿宋_GB2312"/>
          <w:sz w:val="24"/>
        </w:rPr>
      </w:pPr>
      <w:r>
        <w:rPr>
          <w:rFonts w:hint="eastAsia" w:ascii="仿宋_GB2312" w:hAnsi="宋体" w:eastAsia="仿宋_GB2312"/>
          <w:sz w:val="24"/>
        </w:rPr>
        <w:t>五、付款方式：</w:t>
      </w:r>
    </w:p>
    <w:p>
      <w:pPr>
        <w:spacing w:line="420" w:lineRule="exact"/>
        <w:ind w:firstLine="480"/>
        <w:rPr>
          <w:rFonts w:ascii="仿宋_GB2312" w:hAnsi="宋体" w:eastAsia="仿宋_GB2312"/>
          <w:color w:val="000000"/>
          <w:sz w:val="24"/>
        </w:rPr>
      </w:pPr>
      <w:r>
        <w:rPr>
          <w:rFonts w:hint="eastAsia" w:ascii="仿宋_GB2312" w:hAnsi="宋体" w:eastAsia="仿宋_GB2312"/>
          <w:color w:val="000000"/>
          <w:sz w:val="24"/>
        </w:rPr>
        <w:t xml:space="preserve">  </w:t>
      </w:r>
      <w:r>
        <w:rPr>
          <w:rFonts w:hint="eastAsia" w:ascii="仿宋_GB2312" w:hAnsi="宋体" w:eastAsia="仿宋_GB2312"/>
          <w:sz w:val="24"/>
        </w:rPr>
        <w:t xml:space="preserve"> </w:t>
      </w:r>
      <w:r>
        <w:rPr>
          <w:rFonts w:hint="eastAsia" w:ascii="仿宋_GB2312" w:hAnsi="宋体" w:eastAsia="仿宋_GB2312"/>
          <w:sz w:val="24"/>
          <w:lang w:eastAsia="zh-CN"/>
        </w:rPr>
        <w:t>签合同时双方自行约定付款方式</w:t>
      </w:r>
      <w:r>
        <w:rPr>
          <w:rFonts w:hint="eastAsia" w:ascii="仿宋_GB2312" w:hAnsi="宋体" w:eastAsia="仿宋_GB2312"/>
          <w:sz w:val="24"/>
        </w:rPr>
        <w:t>。</w:t>
      </w:r>
    </w:p>
    <w:p>
      <w:pPr>
        <w:spacing w:line="420" w:lineRule="exact"/>
        <w:ind w:firstLine="480"/>
        <w:rPr>
          <w:rFonts w:ascii="仿宋_GB2312" w:hAnsi="宋体" w:eastAsia="仿宋_GB2312"/>
          <w:sz w:val="24"/>
        </w:rPr>
      </w:pPr>
      <w:r>
        <w:rPr>
          <w:rFonts w:hint="eastAsia" w:ascii="仿宋_GB2312" w:hAnsi="宋体" w:eastAsia="仿宋_GB2312"/>
          <w:sz w:val="24"/>
        </w:rPr>
        <w:t>六、违约责任：</w:t>
      </w:r>
    </w:p>
    <w:p>
      <w:pPr>
        <w:spacing w:line="420" w:lineRule="exact"/>
        <w:ind w:firstLine="360" w:firstLineChars="150"/>
        <w:rPr>
          <w:rFonts w:ascii="仿宋_GB2312" w:hAnsi="宋体" w:eastAsia="仿宋_GB2312"/>
          <w:sz w:val="24"/>
        </w:rPr>
      </w:pPr>
      <w:r>
        <w:rPr>
          <w:rFonts w:hint="eastAsia" w:ascii="仿宋_GB2312" w:hAnsi="宋体" w:eastAsia="仿宋_GB2312"/>
          <w:sz w:val="24"/>
        </w:rPr>
        <w:t>1、供方未能按供货合同的约定期限完成交货或需方延期付款，每逾期一天，违约方应按合同总额1%向对方支付违约金，但违约金最高金额不超过合同金额的10%，逾期超过5日，有权解除合同。</w:t>
      </w:r>
    </w:p>
    <w:p>
      <w:pPr>
        <w:spacing w:line="420" w:lineRule="exact"/>
        <w:ind w:firstLine="360" w:firstLineChars="150"/>
        <w:rPr>
          <w:rFonts w:ascii="仿宋_GB2312" w:hAnsi="宋体" w:eastAsia="仿宋_GB2312"/>
          <w:sz w:val="24"/>
        </w:rPr>
      </w:pPr>
      <w:r>
        <w:rPr>
          <w:rFonts w:hint="eastAsia" w:ascii="仿宋_GB2312" w:hAnsi="宋体" w:eastAsia="仿宋_GB2312"/>
          <w:sz w:val="24"/>
        </w:rPr>
        <w:t>2、如因供方供应的设备质量问题，造成需方损失，供方应承担全部责任。</w:t>
      </w:r>
    </w:p>
    <w:p>
      <w:pPr>
        <w:spacing w:line="420" w:lineRule="exact"/>
        <w:ind w:firstLine="480"/>
        <w:rPr>
          <w:rFonts w:ascii="仿宋_GB2312" w:hAnsi="宋体" w:eastAsia="仿宋_GB2312"/>
          <w:sz w:val="24"/>
        </w:rPr>
      </w:pPr>
      <w:r>
        <w:rPr>
          <w:rFonts w:hint="eastAsia" w:ascii="仿宋_GB2312" w:hAnsi="宋体" w:eastAsia="仿宋_GB2312"/>
          <w:sz w:val="24"/>
        </w:rPr>
        <w:t>七、变更解除合同及解决纠纷方式：</w:t>
      </w:r>
    </w:p>
    <w:p>
      <w:pPr>
        <w:spacing w:line="420" w:lineRule="exact"/>
        <w:ind w:firstLine="360" w:firstLineChars="150"/>
        <w:rPr>
          <w:rFonts w:ascii="仿宋_GB2312" w:hAnsi="宋体" w:eastAsia="仿宋_GB2312"/>
          <w:sz w:val="24"/>
        </w:rPr>
      </w:pPr>
      <w:r>
        <w:rPr>
          <w:rFonts w:hint="eastAsia" w:ascii="仿宋_GB2312" w:hAnsi="宋体" w:eastAsia="仿宋_GB2312"/>
          <w:sz w:val="24"/>
        </w:rPr>
        <w:t>1、供需双方如变更或解除本合同，需经同级政府采购办公室书面同意。</w:t>
      </w:r>
    </w:p>
    <w:p>
      <w:pPr>
        <w:spacing w:line="420" w:lineRule="exact"/>
        <w:ind w:firstLine="360" w:firstLineChars="150"/>
        <w:rPr>
          <w:rFonts w:ascii="仿宋_GB2312" w:hAnsi="宋体" w:eastAsia="仿宋_GB2312"/>
          <w:sz w:val="24"/>
        </w:rPr>
      </w:pPr>
      <w:r>
        <w:rPr>
          <w:rFonts w:hint="eastAsia" w:ascii="仿宋_GB2312" w:hAnsi="宋体" w:eastAsia="仿宋_GB2312"/>
          <w:sz w:val="24"/>
        </w:rPr>
        <w:t>2、纠纷方式：双方协商</w:t>
      </w:r>
      <w:r>
        <w:rPr>
          <w:rFonts w:hint="eastAsia" w:ascii="仿宋_GB2312" w:hAnsi="宋体" w:eastAsia="仿宋_GB2312" w:cs="宋体"/>
          <w:sz w:val="24"/>
        </w:rPr>
        <w:t>■</w:t>
      </w:r>
      <w:r>
        <w:rPr>
          <w:rFonts w:hint="eastAsia" w:ascii="仿宋_GB2312" w:hAnsi="宋体" w:eastAsia="仿宋_GB2312"/>
          <w:sz w:val="24"/>
        </w:rPr>
        <w:t xml:space="preserve">；向授权厂商投诉□；向财政部门投诉□；提请仲裁□；向人民法院提起诉讼□。  </w:t>
      </w:r>
    </w:p>
    <w:p>
      <w:pPr>
        <w:spacing w:line="420" w:lineRule="exact"/>
        <w:ind w:firstLine="480"/>
        <w:rPr>
          <w:rFonts w:ascii="仿宋_GB2312" w:hAnsi="宋体" w:eastAsia="仿宋_GB2312"/>
          <w:sz w:val="24"/>
        </w:rPr>
      </w:pPr>
      <w:r>
        <w:rPr>
          <w:rFonts w:hint="eastAsia" w:ascii="仿宋_GB2312" w:hAnsi="宋体" w:eastAsia="仿宋_GB2312"/>
          <w:sz w:val="24"/>
        </w:rPr>
        <w:t>八、其他事项：</w:t>
      </w:r>
    </w:p>
    <w:p>
      <w:pPr>
        <w:spacing w:line="420" w:lineRule="exact"/>
        <w:ind w:firstLine="360" w:firstLineChars="150"/>
        <w:rPr>
          <w:rFonts w:ascii="仿宋_GB2312" w:hAnsi="宋体" w:eastAsia="仿宋_GB2312"/>
          <w:sz w:val="24"/>
        </w:rPr>
      </w:pPr>
      <w:r>
        <w:rPr>
          <w:rFonts w:hint="eastAsia" w:ascii="仿宋_GB2312" w:hAnsi="宋体" w:eastAsia="仿宋_GB2312"/>
          <w:sz w:val="24"/>
        </w:rPr>
        <w:t>1、招标文件、投标文件和中标供应商承诺书、补充协议是本合同不可分割的部分，对采购人和中标供应商均具有法律效力，本合同未尽事宜，按相关法律规定办理。</w:t>
      </w:r>
    </w:p>
    <w:p>
      <w:pPr>
        <w:spacing w:line="420" w:lineRule="exact"/>
        <w:ind w:firstLine="360" w:firstLineChars="150"/>
        <w:rPr>
          <w:rFonts w:ascii="仿宋_GB2312" w:hAnsi="宋体" w:eastAsia="仿宋_GB2312"/>
          <w:sz w:val="24"/>
        </w:rPr>
      </w:pPr>
      <w:r>
        <w:rPr>
          <w:rFonts w:hint="eastAsia" w:ascii="仿宋_GB2312" w:hAnsi="宋体" w:eastAsia="仿宋_GB2312"/>
          <w:sz w:val="24"/>
        </w:rPr>
        <w:t>2、本合同为供应商与采购人买卖合同。一式四份，双方各执二份，财政部门政府采购办公室备案一份、靖远县县政府采购中心一份 。</w:t>
      </w:r>
    </w:p>
    <w:p>
      <w:pPr>
        <w:spacing w:line="420" w:lineRule="exact"/>
        <w:ind w:firstLine="420"/>
        <w:rPr>
          <w:rFonts w:ascii="仿宋_GB2312" w:hAnsi="宋体" w:eastAsia="仿宋_GB2312"/>
        </w:rPr>
      </w:pPr>
    </w:p>
    <w:p>
      <w:pPr>
        <w:spacing w:line="420" w:lineRule="exact"/>
        <w:ind w:firstLine="420"/>
        <w:rPr>
          <w:rFonts w:ascii="仿宋_GB2312" w:hAnsi="宋体" w:eastAsia="仿宋_GB2312"/>
        </w:rPr>
      </w:pPr>
    </w:p>
    <w:p>
      <w:pPr>
        <w:spacing w:line="420" w:lineRule="exact"/>
        <w:ind w:firstLine="420"/>
        <w:rPr>
          <w:rFonts w:ascii="仿宋_GB2312" w:hAnsi="宋体" w:eastAsia="仿宋_GB2312"/>
        </w:rPr>
      </w:pPr>
    </w:p>
    <w:p>
      <w:pPr>
        <w:spacing w:line="420" w:lineRule="exact"/>
        <w:ind w:firstLine="420"/>
        <w:rPr>
          <w:rFonts w:ascii="仿宋_GB2312" w:hAnsi="宋体" w:eastAsia="仿宋_GB2312"/>
        </w:rPr>
      </w:pPr>
    </w:p>
    <w:p>
      <w:pPr>
        <w:spacing w:line="420" w:lineRule="exact"/>
        <w:ind w:firstLine="420"/>
        <w:rPr>
          <w:rFonts w:ascii="仿宋_GB2312" w:hAnsi="宋体" w:eastAsia="仿宋_GB2312"/>
        </w:rPr>
      </w:pPr>
    </w:p>
    <w:p>
      <w:pPr>
        <w:spacing w:line="420" w:lineRule="exact"/>
        <w:ind w:firstLine="420"/>
        <w:rPr>
          <w:rFonts w:ascii="仿宋_GB2312" w:hAnsi="宋体" w:eastAsia="仿宋_GB2312"/>
        </w:rPr>
      </w:pPr>
    </w:p>
    <w:tbl>
      <w:tblPr>
        <w:tblStyle w:val="38"/>
        <w:tblpPr w:leftFromText="180" w:rightFromText="180" w:vertAnchor="page" w:horzAnchor="margin" w:tblpXSpec="center" w:tblpY="2326"/>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trPr>
        <w:tc>
          <w:tcPr>
            <w:tcW w:w="4095" w:type="dxa"/>
            <w:tcBorders>
              <w:bottom w:val="single" w:color="auto" w:sz="4" w:space="0"/>
            </w:tcBorders>
            <w:noWrap w:val="0"/>
            <w:vAlign w:val="center"/>
          </w:tcPr>
          <w:p>
            <w:pPr>
              <w:spacing w:line="420" w:lineRule="exact"/>
              <w:ind w:firstLine="420"/>
              <w:rPr>
                <w:rFonts w:ascii="仿宋_GB2312" w:hAnsi="宋体" w:eastAsia="仿宋_GB2312"/>
              </w:rPr>
            </w:pPr>
            <w:r>
              <w:rPr>
                <w:rFonts w:hint="eastAsia" w:ascii="仿宋_GB2312" w:hAnsi="宋体" w:eastAsia="仿宋_GB2312"/>
              </w:rPr>
              <w:t>供方:（章）</w:t>
            </w:r>
          </w:p>
          <w:p>
            <w:pPr>
              <w:spacing w:line="420" w:lineRule="exact"/>
              <w:ind w:firstLine="420"/>
              <w:rPr>
                <w:rFonts w:ascii="仿宋_GB2312" w:hAnsi="宋体" w:eastAsia="仿宋_GB2312"/>
              </w:rPr>
            </w:pPr>
            <w:r>
              <w:rPr>
                <w:rFonts w:hint="eastAsia" w:ascii="仿宋_GB2312" w:hAnsi="宋体" w:eastAsia="仿宋_GB2312"/>
              </w:rPr>
              <w:t>地址:</w:t>
            </w:r>
          </w:p>
          <w:p>
            <w:pPr>
              <w:spacing w:line="420" w:lineRule="exact"/>
              <w:ind w:firstLine="420"/>
              <w:rPr>
                <w:rFonts w:ascii="仿宋_GB2312" w:hAnsi="宋体" w:eastAsia="仿宋_GB2312"/>
              </w:rPr>
            </w:pPr>
            <w:r>
              <w:rPr>
                <w:rFonts w:hint="eastAsia" w:ascii="仿宋_GB2312" w:hAnsi="宋体" w:eastAsia="仿宋_GB2312"/>
              </w:rPr>
              <w:t>电话:</w:t>
            </w:r>
          </w:p>
          <w:p>
            <w:pPr>
              <w:spacing w:line="420" w:lineRule="exact"/>
              <w:ind w:firstLine="420"/>
              <w:rPr>
                <w:rFonts w:ascii="仿宋_GB2312" w:hAnsi="宋体" w:eastAsia="仿宋_GB2312"/>
              </w:rPr>
            </w:pPr>
            <w:r>
              <w:rPr>
                <w:rFonts w:hint="eastAsia" w:ascii="仿宋_GB2312" w:hAnsi="宋体" w:eastAsia="仿宋_GB2312"/>
              </w:rPr>
              <w:t>邮编:</w:t>
            </w:r>
          </w:p>
        </w:tc>
        <w:tc>
          <w:tcPr>
            <w:tcW w:w="4200" w:type="dxa"/>
            <w:tcBorders>
              <w:bottom w:val="single" w:color="auto" w:sz="4" w:space="0"/>
            </w:tcBorders>
            <w:noWrap w:val="0"/>
            <w:vAlign w:val="center"/>
          </w:tcPr>
          <w:p>
            <w:pPr>
              <w:spacing w:line="420" w:lineRule="exact"/>
              <w:ind w:firstLine="420"/>
              <w:rPr>
                <w:rFonts w:ascii="仿宋_GB2312" w:hAnsi="宋体" w:eastAsia="仿宋_GB2312"/>
              </w:rPr>
            </w:pPr>
            <w:r>
              <w:rPr>
                <w:rFonts w:hint="eastAsia" w:ascii="仿宋_GB2312" w:hAnsi="宋体" w:eastAsia="仿宋_GB2312"/>
              </w:rPr>
              <w:t>需方:（章）</w:t>
            </w:r>
          </w:p>
          <w:p>
            <w:pPr>
              <w:spacing w:line="420" w:lineRule="exact"/>
              <w:ind w:firstLine="420"/>
              <w:rPr>
                <w:rFonts w:ascii="仿宋_GB2312" w:hAnsi="宋体" w:eastAsia="仿宋_GB2312"/>
              </w:rPr>
            </w:pPr>
            <w:r>
              <w:rPr>
                <w:rFonts w:hint="eastAsia" w:ascii="仿宋_GB2312" w:hAnsi="宋体" w:eastAsia="仿宋_GB2312"/>
              </w:rPr>
              <w:t>地址:</w:t>
            </w:r>
          </w:p>
          <w:p>
            <w:pPr>
              <w:spacing w:line="420" w:lineRule="exact"/>
              <w:ind w:firstLine="420"/>
              <w:rPr>
                <w:rFonts w:ascii="仿宋_GB2312" w:hAnsi="宋体" w:eastAsia="仿宋_GB2312"/>
              </w:rPr>
            </w:pPr>
            <w:r>
              <w:rPr>
                <w:rFonts w:hint="eastAsia" w:ascii="仿宋_GB2312" w:hAnsi="宋体" w:eastAsia="仿宋_GB2312"/>
              </w:rPr>
              <w:t>电话:</w:t>
            </w:r>
          </w:p>
          <w:p>
            <w:pPr>
              <w:spacing w:line="420" w:lineRule="exact"/>
              <w:ind w:firstLine="420"/>
              <w:rPr>
                <w:rFonts w:ascii="仿宋_GB2312" w:hAnsi="宋体" w:eastAsia="仿宋_GB2312"/>
              </w:rPr>
            </w:pPr>
            <w:r>
              <w:rPr>
                <w:rFonts w:hint="eastAsia" w:ascii="仿宋_GB2312" w:hAnsi="宋体" w:eastAsia="仿宋_GB2312"/>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trPr>
        <w:tc>
          <w:tcPr>
            <w:tcW w:w="4095" w:type="dxa"/>
            <w:noWrap w:val="0"/>
            <w:vAlign w:val="center"/>
          </w:tcPr>
          <w:p>
            <w:pPr>
              <w:spacing w:line="420" w:lineRule="exact"/>
              <w:ind w:firstLine="420"/>
              <w:rPr>
                <w:rFonts w:ascii="仿宋_GB2312" w:hAnsi="宋体" w:eastAsia="仿宋_GB2312"/>
              </w:rPr>
            </w:pPr>
            <w:r>
              <w:rPr>
                <w:rFonts w:hint="eastAsia" w:ascii="仿宋_GB2312" w:hAnsi="宋体" w:eastAsia="仿宋_GB2312"/>
              </w:rPr>
              <w:t>法定代表人:</w:t>
            </w:r>
          </w:p>
          <w:p>
            <w:pPr>
              <w:spacing w:line="420" w:lineRule="exact"/>
              <w:ind w:firstLine="420"/>
              <w:rPr>
                <w:rFonts w:ascii="仿宋_GB2312" w:hAnsi="宋体" w:eastAsia="仿宋_GB2312"/>
              </w:rPr>
            </w:pPr>
            <w:r>
              <w:rPr>
                <w:rFonts w:hint="eastAsia" w:ascii="仿宋_GB2312" w:hAnsi="宋体" w:eastAsia="仿宋_GB2312"/>
              </w:rPr>
              <w:t>签字日期:</w:t>
            </w:r>
          </w:p>
        </w:tc>
        <w:tc>
          <w:tcPr>
            <w:tcW w:w="4200" w:type="dxa"/>
            <w:noWrap w:val="0"/>
            <w:vAlign w:val="center"/>
          </w:tcPr>
          <w:p>
            <w:pPr>
              <w:spacing w:line="420" w:lineRule="exact"/>
              <w:ind w:firstLine="420"/>
              <w:rPr>
                <w:rFonts w:ascii="仿宋_GB2312" w:hAnsi="宋体" w:eastAsia="仿宋_GB2312"/>
              </w:rPr>
            </w:pPr>
            <w:r>
              <w:rPr>
                <w:rFonts w:hint="eastAsia" w:ascii="仿宋_GB2312" w:hAnsi="宋体" w:eastAsia="仿宋_GB2312"/>
              </w:rPr>
              <w:t>法定代表人:</w:t>
            </w:r>
          </w:p>
          <w:p>
            <w:pPr>
              <w:spacing w:line="420" w:lineRule="exact"/>
              <w:ind w:firstLine="420"/>
              <w:rPr>
                <w:rFonts w:ascii="仿宋_GB2312" w:hAnsi="宋体" w:eastAsia="仿宋_GB2312"/>
              </w:rPr>
            </w:pPr>
            <w:r>
              <w:rPr>
                <w:rFonts w:hint="eastAsia" w:ascii="仿宋_GB2312" w:hAnsi="宋体" w:eastAsia="仿宋_GB2312"/>
              </w:rPr>
              <w:t>(或委托代理人)</w:t>
            </w:r>
          </w:p>
          <w:p>
            <w:pPr>
              <w:spacing w:line="420" w:lineRule="exact"/>
              <w:ind w:firstLine="420"/>
              <w:rPr>
                <w:rFonts w:ascii="仿宋_GB2312" w:hAnsi="宋体" w:eastAsia="仿宋_GB2312"/>
              </w:rPr>
            </w:pPr>
            <w:r>
              <w:rPr>
                <w:rFonts w:hint="eastAsia" w:ascii="仿宋_GB2312" w:hAnsi="宋体" w:eastAsia="仿宋_GB2312"/>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exact"/>
        </w:trPr>
        <w:tc>
          <w:tcPr>
            <w:tcW w:w="4095" w:type="dxa"/>
            <w:noWrap w:val="0"/>
            <w:vAlign w:val="center"/>
          </w:tcPr>
          <w:p>
            <w:pPr>
              <w:spacing w:line="420" w:lineRule="exact"/>
              <w:ind w:firstLine="420"/>
              <w:rPr>
                <w:rFonts w:ascii="仿宋_GB2312" w:hAnsi="宋体" w:eastAsia="仿宋_GB2312"/>
              </w:rPr>
            </w:pPr>
            <w:r>
              <w:rPr>
                <w:rFonts w:hint="eastAsia" w:ascii="仿宋_GB2312" w:hAnsi="宋体" w:eastAsia="仿宋_GB2312"/>
              </w:rPr>
              <w:t>经 办 人:</w:t>
            </w:r>
          </w:p>
          <w:p>
            <w:pPr>
              <w:spacing w:line="420" w:lineRule="exact"/>
              <w:ind w:firstLine="420"/>
              <w:rPr>
                <w:rFonts w:ascii="仿宋_GB2312" w:hAnsi="宋体" w:eastAsia="仿宋_GB2312"/>
              </w:rPr>
            </w:pPr>
            <w:r>
              <w:rPr>
                <w:rFonts w:hint="eastAsia" w:ascii="仿宋_GB2312" w:hAnsi="宋体" w:eastAsia="仿宋_GB2312"/>
              </w:rPr>
              <w:t>签字日期:</w:t>
            </w:r>
          </w:p>
        </w:tc>
        <w:tc>
          <w:tcPr>
            <w:tcW w:w="4200" w:type="dxa"/>
            <w:noWrap w:val="0"/>
            <w:vAlign w:val="center"/>
          </w:tcPr>
          <w:p>
            <w:pPr>
              <w:spacing w:line="420" w:lineRule="exact"/>
              <w:ind w:firstLine="420"/>
              <w:rPr>
                <w:rFonts w:ascii="仿宋_GB2312" w:hAnsi="宋体" w:eastAsia="仿宋_GB2312"/>
              </w:rPr>
            </w:pPr>
            <w:r>
              <w:rPr>
                <w:rFonts w:hint="eastAsia" w:ascii="仿宋_GB2312" w:hAnsi="宋体" w:eastAsia="仿宋_GB2312"/>
              </w:rPr>
              <w:t>经 办 人:</w:t>
            </w:r>
          </w:p>
          <w:p>
            <w:pPr>
              <w:spacing w:line="420" w:lineRule="exact"/>
              <w:ind w:firstLine="420"/>
              <w:rPr>
                <w:rFonts w:ascii="仿宋_GB2312" w:hAnsi="宋体" w:eastAsia="仿宋_GB2312"/>
              </w:rPr>
            </w:pPr>
            <w:r>
              <w:rPr>
                <w:rFonts w:hint="eastAsia" w:ascii="仿宋_GB2312" w:hAnsi="宋体" w:eastAsia="仿宋_GB2312"/>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exact"/>
        </w:trPr>
        <w:tc>
          <w:tcPr>
            <w:tcW w:w="4095" w:type="dxa"/>
            <w:tcBorders>
              <w:bottom w:val="single" w:color="auto" w:sz="12" w:space="0"/>
            </w:tcBorders>
            <w:noWrap w:val="0"/>
            <w:vAlign w:val="center"/>
          </w:tcPr>
          <w:p>
            <w:pPr>
              <w:spacing w:line="420" w:lineRule="exact"/>
              <w:ind w:firstLine="420"/>
              <w:rPr>
                <w:rFonts w:ascii="仿宋_GB2312" w:hAnsi="宋体" w:eastAsia="仿宋_GB2312"/>
              </w:rPr>
            </w:pPr>
            <w:r>
              <w:rPr>
                <w:rFonts w:hint="eastAsia" w:ascii="仿宋_GB2312" w:hAnsi="宋体" w:eastAsia="仿宋_GB2312"/>
              </w:rPr>
              <w:t>开户行:</w:t>
            </w:r>
          </w:p>
          <w:p>
            <w:pPr>
              <w:spacing w:line="420" w:lineRule="exact"/>
              <w:ind w:firstLine="420"/>
              <w:rPr>
                <w:rFonts w:ascii="仿宋_GB2312" w:hAnsi="宋体" w:eastAsia="仿宋_GB2312"/>
              </w:rPr>
            </w:pPr>
            <w:r>
              <w:rPr>
                <w:rFonts w:hint="eastAsia" w:ascii="仿宋_GB2312" w:hAnsi="宋体" w:eastAsia="仿宋_GB2312"/>
              </w:rPr>
              <w:t>账号:</w:t>
            </w:r>
          </w:p>
        </w:tc>
        <w:tc>
          <w:tcPr>
            <w:tcW w:w="4200" w:type="dxa"/>
            <w:tcBorders>
              <w:bottom w:val="single" w:color="auto" w:sz="12" w:space="0"/>
            </w:tcBorders>
            <w:noWrap w:val="0"/>
            <w:vAlign w:val="center"/>
          </w:tcPr>
          <w:p>
            <w:pPr>
              <w:spacing w:line="420" w:lineRule="exact"/>
              <w:ind w:firstLine="420"/>
              <w:rPr>
                <w:rFonts w:ascii="仿宋_GB2312" w:hAnsi="宋体" w:eastAsia="仿宋_GB2312"/>
              </w:rPr>
            </w:pPr>
            <w:r>
              <w:rPr>
                <w:rFonts w:hint="eastAsia" w:ascii="仿宋_GB2312" w:hAnsi="宋体" w:eastAsia="仿宋_GB2312"/>
              </w:rPr>
              <w:t>开户行:</w:t>
            </w:r>
          </w:p>
          <w:p>
            <w:pPr>
              <w:spacing w:line="420" w:lineRule="exact"/>
              <w:ind w:firstLine="420"/>
              <w:rPr>
                <w:rFonts w:ascii="仿宋_GB2312" w:hAnsi="宋体" w:eastAsia="仿宋_GB2312"/>
              </w:rPr>
            </w:pPr>
            <w:r>
              <w:rPr>
                <w:rFonts w:hint="eastAsia" w:ascii="仿宋_GB2312" w:hAnsi="宋体" w:eastAsia="仿宋_GB2312"/>
              </w:rPr>
              <w:t>账号:</w:t>
            </w:r>
          </w:p>
        </w:tc>
      </w:tr>
    </w:tbl>
    <w:p>
      <w:pPr>
        <w:pStyle w:val="6"/>
        <w:ind w:firstLine="198" w:firstLineChars="45"/>
        <w:rPr>
          <w:rFonts w:hint="eastAsia"/>
        </w:rPr>
      </w:pPr>
      <w:r>
        <w:rPr>
          <w:rFonts w:hint="eastAsia" w:ascii="仿宋_GB2312" w:hAnsi="宋体" w:eastAsia="仿宋_GB2312"/>
          <w:b w:val="0"/>
          <w:bCs w:val="0"/>
          <w:kern w:val="44"/>
          <w:sz w:val="44"/>
          <w:szCs w:val="44"/>
        </w:rPr>
        <w:br w:type="page"/>
      </w:r>
      <w:bookmarkStart w:id="480" w:name="_Toc526878959"/>
      <w:r>
        <w:rPr>
          <w:rFonts w:hint="eastAsia"/>
        </w:rPr>
        <w:t>附件</w:t>
      </w:r>
      <w:r>
        <w:t>2</w:t>
      </w:r>
      <w:r>
        <w:rPr>
          <w:rFonts w:hint="eastAsia"/>
        </w:rPr>
        <w:t>：</w:t>
      </w:r>
      <w:bookmarkStart w:id="481" w:name="_Toc139965361"/>
    </w:p>
    <w:p>
      <w:pPr>
        <w:pStyle w:val="6"/>
        <w:ind w:firstLine="108" w:firstLineChars="45"/>
        <w:jc w:val="center"/>
      </w:pPr>
      <w:r>
        <w:rPr>
          <w:rFonts w:hint="eastAsia"/>
        </w:rPr>
        <w:t>投标函</w:t>
      </w:r>
      <w:bookmarkEnd w:id="473"/>
      <w:bookmarkEnd w:id="474"/>
      <w:bookmarkEnd w:id="475"/>
      <w:bookmarkEnd w:id="476"/>
      <w:bookmarkEnd w:id="477"/>
      <w:bookmarkEnd w:id="478"/>
      <w:bookmarkEnd w:id="479"/>
      <w:bookmarkEnd w:id="480"/>
    </w:p>
    <w:bookmarkEnd w:id="481"/>
    <w:p>
      <w:pPr>
        <w:ind w:firstLine="480"/>
        <w:rPr>
          <w:color w:val="000000"/>
          <w:sz w:val="24"/>
        </w:rPr>
      </w:pPr>
      <w:r>
        <w:rPr>
          <w:rFonts w:hint="eastAsia"/>
          <w:color w:val="000000"/>
          <w:sz w:val="24"/>
        </w:rPr>
        <w:t>致：</w:t>
      </w:r>
    </w:p>
    <w:p>
      <w:pPr>
        <w:ind w:firstLine="480"/>
        <w:rPr>
          <w:color w:val="000000"/>
          <w:sz w:val="24"/>
        </w:rPr>
      </w:pPr>
      <w:r>
        <w:rPr>
          <w:rFonts w:hint="eastAsia"/>
          <w:color w:val="000000"/>
          <w:sz w:val="24"/>
        </w:rPr>
        <w:t>根据已收到的招标编号为</w:t>
      </w:r>
      <w:r>
        <w:rPr>
          <w:rFonts w:ascii="宋体"/>
          <w:bCs/>
          <w:color w:val="000000"/>
          <w:sz w:val="24"/>
        </w:rPr>
        <w:t>XXX</w:t>
      </w:r>
      <w:r>
        <w:rPr>
          <w:rFonts w:hint="eastAsia"/>
          <w:color w:val="000000"/>
          <w:sz w:val="24"/>
        </w:rPr>
        <w:t>的</w:t>
      </w:r>
      <w:r>
        <w:rPr>
          <w:rFonts w:ascii="宋体"/>
          <w:bCs/>
          <w:color w:val="000000"/>
          <w:sz w:val="24"/>
        </w:rPr>
        <w:t>XXX</w:t>
      </w:r>
      <w:r>
        <w:rPr>
          <w:rFonts w:hint="eastAsia" w:ascii="宋体"/>
          <w:bCs/>
          <w:color w:val="000000"/>
          <w:sz w:val="24"/>
        </w:rPr>
        <w:t>所需</w:t>
      </w:r>
      <w:r>
        <w:rPr>
          <w:rFonts w:ascii="宋体"/>
          <w:bCs/>
          <w:color w:val="000000"/>
          <w:sz w:val="24"/>
        </w:rPr>
        <w:t>XXXX</w:t>
      </w:r>
      <w:r>
        <w:rPr>
          <w:rFonts w:hint="eastAsia" w:ascii="宋体"/>
          <w:bCs/>
          <w:color w:val="000000"/>
          <w:sz w:val="24"/>
        </w:rPr>
        <w:t>项目</w:t>
      </w:r>
      <w:r>
        <w:rPr>
          <w:rFonts w:hint="eastAsia"/>
          <w:color w:val="000000"/>
          <w:sz w:val="24"/>
        </w:rPr>
        <w:t>招标文件，我单位经认真研究上述招标文件，决定参加本次投标。我方提交投标文件正本</w:t>
      </w:r>
      <w:r>
        <w:rPr>
          <w:rFonts w:hint="eastAsia"/>
          <w:color w:val="000000"/>
          <w:sz w:val="24"/>
          <w:lang w:val="en-US" w:eastAsia="zh-CN"/>
        </w:rPr>
        <w:t xml:space="preserve"> </w:t>
      </w:r>
      <w:r>
        <w:rPr>
          <w:rFonts w:hint="eastAsia"/>
          <w:color w:val="000000"/>
          <w:sz w:val="24"/>
        </w:rPr>
        <w:t>份、副本</w:t>
      </w:r>
      <w:r>
        <w:rPr>
          <w:rFonts w:hint="eastAsia"/>
          <w:color w:val="000000"/>
          <w:sz w:val="24"/>
          <w:lang w:val="en-US" w:eastAsia="zh-CN"/>
        </w:rPr>
        <w:t xml:space="preserve"> </w:t>
      </w:r>
      <w:r>
        <w:rPr>
          <w:rFonts w:hint="eastAsia"/>
          <w:color w:val="000000"/>
          <w:sz w:val="24"/>
        </w:rPr>
        <w:t>份、电子版</w:t>
      </w:r>
      <w:r>
        <w:rPr>
          <w:rFonts w:hint="eastAsia"/>
          <w:color w:val="000000"/>
          <w:sz w:val="24"/>
          <w:lang w:val="en-US" w:eastAsia="zh-CN"/>
        </w:rPr>
        <w:t xml:space="preserve"> </w:t>
      </w:r>
      <w:r>
        <w:rPr>
          <w:rFonts w:hint="eastAsia"/>
          <w:color w:val="000000"/>
          <w:sz w:val="24"/>
        </w:rPr>
        <w:t>份并保证其真实性。我方愿承担该项目的实施和保修任务，履行招标文件中对中标单位的要求和应承担的责任和义务。同时我方郑重做出如下声明：</w:t>
      </w:r>
    </w:p>
    <w:p>
      <w:pPr>
        <w:ind w:firstLine="480"/>
        <w:rPr>
          <w:rFonts w:ascii="宋体"/>
          <w:color w:val="000000"/>
          <w:sz w:val="24"/>
        </w:rPr>
      </w:pPr>
      <w:r>
        <w:rPr>
          <w:rFonts w:ascii="宋体" w:hAnsi="宋体"/>
          <w:color w:val="000000"/>
          <w:sz w:val="24"/>
        </w:rPr>
        <w:t>1</w:t>
      </w:r>
      <w:r>
        <w:rPr>
          <w:rFonts w:hint="eastAsia" w:ascii="宋体" w:hAnsi="宋体"/>
          <w:color w:val="000000"/>
          <w:sz w:val="24"/>
        </w:rPr>
        <w:t>、我方完全接受招标文件中的内容，并将按招标文件的规定履行责任、义务。</w:t>
      </w:r>
    </w:p>
    <w:p>
      <w:pPr>
        <w:ind w:firstLine="480"/>
        <w:rPr>
          <w:rFonts w:ascii="宋体"/>
          <w:color w:val="000000"/>
          <w:sz w:val="24"/>
        </w:rPr>
      </w:pPr>
      <w:r>
        <w:rPr>
          <w:rFonts w:ascii="宋体" w:hAnsi="宋体"/>
          <w:color w:val="000000"/>
          <w:sz w:val="24"/>
        </w:rPr>
        <w:t>2</w:t>
      </w:r>
      <w:r>
        <w:rPr>
          <w:rFonts w:hint="eastAsia" w:ascii="宋体" w:hAnsi="宋体"/>
          <w:color w:val="000000"/>
          <w:sz w:val="24"/>
        </w:rPr>
        <w:t>、我方已详细审查全部招标文件，包括修改文件、参考资料及有关附件，无其他不明事项。</w:t>
      </w:r>
    </w:p>
    <w:p>
      <w:pPr>
        <w:ind w:firstLine="480"/>
        <w:rPr>
          <w:rFonts w:ascii="宋体"/>
          <w:color w:val="000000"/>
          <w:sz w:val="24"/>
        </w:rPr>
      </w:pPr>
      <w:r>
        <w:rPr>
          <w:rFonts w:ascii="宋体" w:hAnsi="宋体"/>
          <w:color w:val="000000"/>
          <w:sz w:val="24"/>
        </w:rPr>
        <w:t>3</w:t>
      </w:r>
      <w:r>
        <w:rPr>
          <w:rFonts w:hint="eastAsia" w:ascii="宋体" w:hAnsi="宋体"/>
          <w:color w:val="000000"/>
          <w:sz w:val="24"/>
        </w:rPr>
        <w:t>、我方同意提供贵方可能要求的与投标有关的任何证据或资料。</w:t>
      </w:r>
    </w:p>
    <w:p>
      <w:pPr>
        <w:ind w:firstLine="480"/>
        <w:rPr>
          <w:rFonts w:ascii="宋体"/>
          <w:color w:val="000000"/>
          <w:sz w:val="24"/>
        </w:rPr>
      </w:pPr>
      <w:r>
        <w:rPr>
          <w:rFonts w:ascii="宋体" w:hAnsi="宋体"/>
          <w:color w:val="000000"/>
          <w:sz w:val="24"/>
        </w:rPr>
        <w:t>4</w:t>
      </w:r>
      <w:r>
        <w:rPr>
          <w:rFonts w:hint="eastAsia" w:ascii="宋体" w:hAnsi="宋体"/>
          <w:color w:val="000000"/>
          <w:sz w:val="24"/>
        </w:rPr>
        <w:t>、如果我方中标，我方将按《中标通知书》要求签订、履行合同，承担责任、义务。</w:t>
      </w:r>
    </w:p>
    <w:p>
      <w:pPr>
        <w:ind w:firstLine="480"/>
        <w:rPr>
          <w:rFonts w:ascii="宋体"/>
          <w:color w:val="000000"/>
          <w:sz w:val="24"/>
        </w:rPr>
      </w:pPr>
      <w:r>
        <w:rPr>
          <w:rFonts w:ascii="宋体" w:hAnsi="宋体"/>
          <w:color w:val="000000"/>
          <w:sz w:val="24"/>
        </w:rPr>
        <w:t>5</w:t>
      </w:r>
      <w:r>
        <w:rPr>
          <w:rFonts w:hint="eastAsia" w:ascii="宋体" w:hAnsi="宋体"/>
          <w:color w:val="000000"/>
          <w:sz w:val="24"/>
        </w:rPr>
        <w:t>、我方同意所递交的投标文件在</w:t>
      </w:r>
      <w:r>
        <w:rPr>
          <w:rFonts w:ascii="宋体" w:hAnsi="宋体"/>
          <w:color w:val="000000"/>
          <w:sz w:val="24"/>
        </w:rPr>
        <w:t>60</w:t>
      </w:r>
      <w:r>
        <w:rPr>
          <w:rFonts w:hint="eastAsia" w:ascii="宋体" w:hAnsi="宋体"/>
          <w:color w:val="000000"/>
          <w:sz w:val="24"/>
        </w:rPr>
        <w:t>天的投标有效期内有效，在此期间我方将受此约束。</w:t>
      </w:r>
    </w:p>
    <w:p>
      <w:pPr>
        <w:ind w:firstLine="480"/>
        <w:rPr>
          <w:rFonts w:ascii="宋体"/>
          <w:color w:val="000000"/>
          <w:sz w:val="24"/>
        </w:rPr>
      </w:pPr>
      <w:r>
        <w:rPr>
          <w:rFonts w:ascii="宋体" w:hAnsi="宋体"/>
          <w:color w:val="000000"/>
          <w:sz w:val="24"/>
        </w:rPr>
        <w:t>6</w:t>
      </w:r>
      <w:r>
        <w:rPr>
          <w:rFonts w:hint="eastAsia" w:ascii="宋体" w:hAnsi="宋体"/>
          <w:color w:val="000000"/>
          <w:sz w:val="24"/>
        </w:rPr>
        <w:t>、我们理解贵方不一定要接受最低报价的投标或收到的任何投标。</w:t>
      </w:r>
    </w:p>
    <w:p>
      <w:pPr>
        <w:ind w:firstLine="480"/>
        <w:rPr>
          <w:rFonts w:ascii="宋体"/>
          <w:color w:val="000000"/>
          <w:sz w:val="24"/>
        </w:rPr>
      </w:pPr>
      <w:r>
        <w:rPr>
          <w:rFonts w:ascii="宋体" w:hAnsi="宋体"/>
          <w:color w:val="000000"/>
          <w:sz w:val="24"/>
        </w:rPr>
        <w:t>7</w:t>
      </w:r>
      <w:r>
        <w:rPr>
          <w:rFonts w:hint="eastAsia" w:ascii="宋体" w:hAnsi="宋体"/>
          <w:color w:val="000000"/>
          <w:sz w:val="24"/>
        </w:rPr>
        <w:t>、投标有关的一切资金往来请使用以下帐户：</w:t>
      </w:r>
    </w:p>
    <w:p>
      <w:pPr>
        <w:ind w:firstLine="900" w:firstLineChars="375"/>
        <w:rPr>
          <w:rFonts w:ascii="宋体"/>
          <w:color w:val="000000"/>
          <w:sz w:val="24"/>
        </w:rPr>
      </w:pPr>
      <w:r>
        <w:rPr>
          <w:rFonts w:hint="eastAsia" w:ascii="宋体" w:hAnsi="宋体"/>
          <w:color w:val="000000"/>
          <w:sz w:val="24"/>
        </w:rPr>
        <w:t>开户行：</w:t>
      </w:r>
    </w:p>
    <w:p>
      <w:pPr>
        <w:ind w:firstLine="900" w:firstLineChars="375"/>
        <w:rPr>
          <w:rFonts w:ascii="宋体"/>
          <w:color w:val="000000"/>
          <w:sz w:val="24"/>
        </w:rPr>
      </w:pPr>
      <w:r>
        <w:rPr>
          <w:rFonts w:hint="eastAsia" w:ascii="宋体" w:hAnsi="宋体"/>
          <w:color w:val="000000"/>
          <w:sz w:val="24"/>
        </w:rPr>
        <w:t>户名：</w:t>
      </w:r>
    </w:p>
    <w:p>
      <w:pPr>
        <w:ind w:firstLine="900" w:firstLineChars="375"/>
        <w:rPr>
          <w:rFonts w:ascii="宋体"/>
          <w:color w:val="000000"/>
          <w:sz w:val="24"/>
        </w:rPr>
      </w:pPr>
      <w:r>
        <w:rPr>
          <w:rFonts w:hint="eastAsia" w:ascii="宋体" w:hAnsi="宋体"/>
          <w:color w:val="000000"/>
          <w:sz w:val="24"/>
        </w:rPr>
        <w:t>账号：</w:t>
      </w:r>
    </w:p>
    <w:p>
      <w:pPr>
        <w:ind w:firstLine="480"/>
        <w:rPr>
          <w:rFonts w:ascii="宋体"/>
          <w:color w:val="000000"/>
          <w:sz w:val="24"/>
        </w:rPr>
      </w:pPr>
      <w:r>
        <w:rPr>
          <w:rFonts w:ascii="宋体" w:hAnsi="宋体"/>
          <w:color w:val="000000"/>
          <w:sz w:val="24"/>
        </w:rPr>
        <w:t>8</w:t>
      </w:r>
      <w:r>
        <w:rPr>
          <w:rFonts w:hint="eastAsia" w:ascii="宋体" w:hAnsi="宋体"/>
          <w:color w:val="000000"/>
          <w:sz w:val="24"/>
        </w:rPr>
        <w:t>、与投标有关的一切正式信函请使用以下地址：</w:t>
      </w:r>
    </w:p>
    <w:p>
      <w:pPr>
        <w:ind w:firstLine="900" w:firstLineChars="375"/>
        <w:rPr>
          <w:rFonts w:ascii="宋体"/>
          <w:color w:val="000000"/>
          <w:sz w:val="24"/>
        </w:rPr>
      </w:pPr>
      <w:r>
        <w:rPr>
          <w:rFonts w:hint="eastAsia" w:ascii="宋体" w:hAnsi="宋体"/>
          <w:color w:val="000000"/>
          <w:sz w:val="24"/>
        </w:rPr>
        <w:t>地址：</w:t>
      </w:r>
    </w:p>
    <w:p>
      <w:pPr>
        <w:ind w:firstLine="900" w:firstLineChars="375"/>
        <w:rPr>
          <w:color w:val="000000"/>
          <w:sz w:val="24"/>
        </w:rPr>
      </w:pPr>
      <w:r>
        <w:rPr>
          <w:rFonts w:hint="eastAsia"/>
          <w:color w:val="000000"/>
          <w:sz w:val="24"/>
        </w:rPr>
        <w:t>邮编：</w:t>
      </w:r>
    </w:p>
    <w:p>
      <w:pPr>
        <w:ind w:firstLine="900" w:firstLineChars="375"/>
        <w:rPr>
          <w:color w:val="000000"/>
          <w:sz w:val="24"/>
        </w:rPr>
      </w:pPr>
      <w:r>
        <w:rPr>
          <w:rFonts w:hint="eastAsia"/>
          <w:color w:val="000000"/>
          <w:sz w:val="24"/>
        </w:rPr>
        <w:t>电话：</w:t>
      </w:r>
    </w:p>
    <w:p>
      <w:pPr>
        <w:ind w:firstLine="900" w:firstLineChars="375"/>
        <w:rPr>
          <w:color w:val="000000"/>
          <w:sz w:val="24"/>
        </w:rPr>
      </w:pPr>
      <w:r>
        <w:rPr>
          <w:rFonts w:hint="eastAsia"/>
          <w:color w:val="000000"/>
          <w:sz w:val="24"/>
        </w:rPr>
        <w:t>传真：</w:t>
      </w:r>
    </w:p>
    <w:p>
      <w:pPr>
        <w:ind w:firstLine="900" w:firstLineChars="375"/>
        <w:rPr>
          <w:color w:val="000000"/>
          <w:sz w:val="24"/>
          <w:u w:val="single"/>
        </w:rPr>
      </w:pPr>
      <w:r>
        <w:rPr>
          <w:rFonts w:hint="eastAsia"/>
          <w:color w:val="000000"/>
          <w:sz w:val="24"/>
        </w:rPr>
        <w:t>单位公章：</w:t>
      </w:r>
    </w:p>
    <w:p>
      <w:pPr>
        <w:ind w:firstLine="900" w:firstLineChars="375"/>
        <w:rPr>
          <w:color w:val="000000"/>
          <w:sz w:val="24"/>
        </w:rPr>
      </w:pPr>
      <w:r>
        <w:rPr>
          <w:rFonts w:hint="eastAsia"/>
          <w:color w:val="000000"/>
          <w:sz w:val="24"/>
        </w:rPr>
        <w:t>法定代表人或授权代表人签字：</w:t>
      </w:r>
    </w:p>
    <w:p>
      <w:pPr>
        <w:pStyle w:val="22"/>
        <w:ind w:left="99" w:leftChars="47" w:firstLine="560"/>
        <w:jc w:val="right"/>
        <w:rPr>
          <w:color w:val="000000"/>
        </w:rPr>
      </w:pPr>
    </w:p>
    <w:p>
      <w:pPr>
        <w:pStyle w:val="22"/>
        <w:ind w:left="0" w:leftChars="0" w:right="560" w:firstLine="6300" w:firstLineChars="2250"/>
        <w:rPr>
          <w:color w:val="000000"/>
        </w:rPr>
      </w:pPr>
      <w:r>
        <w:rPr>
          <w:rFonts w:hint="eastAsia"/>
          <w:color w:val="000000"/>
        </w:rPr>
        <w:t>年月日</w:t>
      </w:r>
    </w:p>
    <w:p>
      <w:pPr>
        <w:pStyle w:val="6"/>
        <w:ind w:firstLine="198" w:firstLineChars="82"/>
      </w:pPr>
      <w:r>
        <w:br w:type="page"/>
      </w:r>
      <w:bookmarkStart w:id="482" w:name="_Toc30833"/>
      <w:bookmarkStart w:id="483" w:name="_Toc447207037"/>
      <w:bookmarkStart w:id="484" w:name="_Toc447272173"/>
      <w:bookmarkStart w:id="485" w:name="_Toc526878960"/>
      <w:bookmarkStart w:id="486" w:name="_Toc459623017"/>
      <w:bookmarkStart w:id="487" w:name="_Toc493013084"/>
      <w:bookmarkStart w:id="488" w:name="_Toc20829"/>
      <w:bookmarkStart w:id="489" w:name="_Toc7914"/>
      <w:r>
        <w:rPr>
          <w:rFonts w:hint="eastAsia"/>
        </w:rPr>
        <w:t>附件</w:t>
      </w:r>
      <w:r>
        <w:t>3</w:t>
      </w:r>
      <w:r>
        <w:rPr>
          <w:rFonts w:hint="eastAsia"/>
        </w:rPr>
        <w:t>：</w:t>
      </w:r>
      <w:bookmarkStart w:id="490" w:name="_Toc139965362"/>
      <w:r>
        <w:rPr>
          <w:rFonts w:hint="eastAsia"/>
        </w:rPr>
        <w:t>法定代表人资格证明书</w:t>
      </w:r>
      <w:bookmarkEnd w:id="482"/>
      <w:bookmarkEnd w:id="483"/>
      <w:bookmarkEnd w:id="484"/>
      <w:bookmarkEnd w:id="485"/>
      <w:bookmarkEnd w:id="486"/>
      <w:bookmarkEnd w:id="487"/>
      <w:bookmarkEnd w:id="488"/>
      <w:bookmarkEnd w:id="489"/>
    </w:p>
    <w:p>
      <w:pPr>
        <w:ind w:firstLine="480"/>
        <w:rPr>
          <w:sz w:val="24"/>
        </w:rPr>
      </w:pPr>
      <w:r>
        <w:rPr>
          <w:rFonts w:hint="eastAsia"/>
          <w:sz w:val="24"/>
        </w:rPr>
        <w:t>致：</w:t>
      </w:r>
    </w:p>
    <w:p>
      <w:pPr>
        <w:ind w:firstLine="480"/>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 xml:space="preserve"> ，身份证号码：</w:t>
      </w:r>
      <w:r>
        <w:rPr>
          <w:rFonts w:hint="eastAsia"/>
          <w:sz w:val="24"/>
          <w:u w:val="single"/>
        </w:rPr>
        <w:t xml:space="preserve">         </w:t>
      </w:r>
      <w:r>
        <w:rPr>
          <w:rFonts w:hint="eastAsia"/>
          <w:sz w:val="24"/>
        </w:rPr>
        <w:t>，系</w:t>
      </w:r>
      <w:r>
        <w:rPr>
          <w:rFonts w:hint="eastAsia"/>
          <w:sz w:val="24"/>
          <w:u w:val="single"/>
        </w:rPr>
        <w:t>（投标人名称）</w:t>
      </w:r>
      <w:r>
        <w:rPr>
          <w:rFonts w:hint="eastAsia"/>
          <w:sz w:val="24"/>
        </w:rPr>
        <w:t>的法定代表人/负责人。为招标编号为</w:t>
      </w:r>
      <w:r>
        <w:rPr>
          <w:rFonts w:ascii="宋体"/>
          <w:bCs/>
          <w:sz w:val="24"/>
        </w:rPr>
        <w:t>XXXX</w:t>
      </w:r>
      <w:r>
        <w:rPr>
          <w:rFonts w:hint="eastAsia"/>
          <w:sz w:val="24"/>
        </w:rPr>
        <w:t>的</w:t>
      </w:r>
      <w:r>
        <w:rPr>
          <w:rFonts w:ascii="宋体"/>
          <w:bCs/>
          <w:sz w:val="24"/>
        </w:rPr>
        <w:t>XXXX</w:t>
      </w:r>
      <w:r>
        <w:rPr>
          <w:rFonts w:hint="eastAsia" w:ascii="宋体"/>
          <w:bCs/>
          <w:sz w:val="24"/>
        </w:rPr>
        <w:t>单位所需</w:t>
      </w:r>
      <w:r>
        <w:rPr>
          <w:rFonts w:ascii="宋体"/>
          <w:bCs/>
          <w:sz w:val="24"/>
        </w:rPr>
        <w:t>XXXX</w:t>
      </w:r>
      <w:r>
        <w:rPr>
          <w:rFonts w:hint="eastAsia" w:ascii="宋体"/>
          <w:bCs/>
          <w:sz w:val="24"/>
        </w:rPr>
        <w:t>项目</w:t>
      </w:r>
      <w:r>
        <w:rPr>
          <w:rFonts w:hint="eastAsia"/>
          <w:sz w:val="24"/>
        </w:rPr>
        <w:t>投标活动签署投标文件、进行合同谈判、签署合同和全权处理与之有关的一切事务。</w:t>
      </w:r>
    </w:p>
    <w:p>
      <w:pPr>
        <w:ind w:firstLine="480"/>
        <w:rPr>
          <w:sz w:val="24"/>
        </w:rPr>
      </w:pPr>
    </w:p>
    <w:p>
      <w:pPr>
        <w:ind w:firstLine="480"/>
        <w:rPr>
          <w:sz w:val="24"/>
        </w:rPr>
      </w:pPr>
      <w:r>
        <w:rPr>
          <w:rFonts w:hint="eastAsia"/>
          <w:sz w:val="24"/>
        </w:rPr>
        <w:t>特此证明。</w:t>
      </w:r>
    </w:p>
    <w:p>
      <w:pPr>
        <w:ind w:firstLine="480"/>
        <w:jc w:val="left"/>
        <w:rPr>
          <w:sz w:val="24"/>
        </w:rPr>
      </w:pPr>
    </w:p>
    <w:p>
      <w:pPr>
        <w:ind w:firstLine="480"/>
        <w:jc w:val="left"/>
        <w:rPr>
          <w:sz w:val="24"/>
          <w:u w:val="single"/>
        </w:rPr>
      </w:pPr>
      <w:r>
        <w:rPr>
          <w:rFonts w:hint="eastAsia"/>
          <w:sz w:val="24"/>
        </w:rPr>
        <w:t>投标人名称：（公章）</w:t>
      </w:r>
    </w:p>
    <w:p>
      <w:pPr>
        <w:ind w:firstLine="480"/>
        <w:rPr>
          <w:sz w:val="24"/>
          <w:u w:val="single"/>
        </w:rPr>
      </w:pPr>
      <w:r>
        <w:rPr>
          <w:rFonts w:hint="eastAsia"/>
          <w:sz w:val="24"/>
        </w:rPr>
        <w:t>投标人地址：</w:t>
      </w:r>
    </w:p>
    <w:p>
      <w:pPr>
        <w:ind w:firstLine="480"/>
        <w:rPr>
          <w:rFonts w:hint="default" w:eastAsia="宋体"/>
          <w:sz w:val="24"/>
          <w:u w:val="none"/>
          <w:lang w:val="en-US" w:eastAsia="zh-CN"/>
        </w:rPr>
      </w:pPr>
      <w:r>
        <w:rPr>
          <w:rFonts w:hint="eastAsia"/>
          <w:sz w:val="24"/>
          <w:u w:val="none"/>
          <w:lang w:val="en-US" w:eastAsia="zh-CN"/>
        </w:rPr>
        <w:t>法定代表人：（签字或盖章）</w:t>
      </w:r>
    </w:p>
    <w:p>
      <w:pPr>
        <w:ind w:firstLine="480"/>
        <w:rPr>
          <w:sz w:val="24"/>
          <w:u w:val="single"/>
        </w:rPr>
      </w:pPr>
    </w:p>
    <w:p>
      <w:pPr>
        <w:ind w:firstLine="480"/>
        <w:rPr>
          <w:sz w:val="24"/>
        </w:rPr>
      </w:pPr>
      <w:r>
        <w:rPr>
          <w:rFonts w:hint="eastAsia"/>
          <w:sz w:val="24"/>
        </w:rPr>
        <w:t>日期：   年   月   日</w:t>
      </w:r>
    </w:p>
    <w:p>
      <w:pPr>
        <w:ind w:firstLine="480"/>
        <w:rPr>
          <w:sz w:val="24"/>
        </w:rPr>
      </w:pPr>
    </w:p>
    <w:p>
      <w:pPr>
        <w:ind w:firstLine="480"/>
        <w:rPr>
          <w:sz w:val="24"/>
        </w:rPr>
      </w:pPr>
    </w:p>
    <w:p>
      <w:pPr>
        <w:ind w:firstLine="480"/>
        <w:rPr>
          <w:sz w:val="24"/>
        </w:rPr>
      </w:pPr>
      <w:r>
        <w:rPr>
          <w:rFonts w:hint="eastAsia"/>
          <w:sz w:val="24"/>
        </w:rPr>
        <w:t>注：本证明书投标人必须提供。此处所述“法定代表人”或“负责人”，须与投标申请人的“营业执照”上的内容一致。</w:t>
      </w:r>
    </w:p>
    <w:p>
      <w:pPr>
        <w:spacing w:line="480" w:lineRule="auto"/>
        <w:ind w:firstLine="420"/>
        <w:rPr>
          <w:sz w:val="24"/>
        </w:rPr>
      </w:pPr>
      <w:r>
        <mc:AlternateContent>
          <mc:Choice Requires="wps">
            <w:drawing>
              <wp:anchor distT="0" distB="0" distL="114300" distR="114300" simplePos="0" relativeHeight="251663360" behindDoc="0" locked="0" layoutInCell="1" allowOverlap="1">
                <wp:simplePos x="0" y="0"/>
                <wp:positionH relativeFrom="column">
                  <wp:posOffset>3320415</wp:posOffset>
                </wp:positionH>
                <wp:positionV relativeFrom="paragraph">
                  <wp:posOffset>382270</wp:posOffset>
                </wp:positionV>
                <wp:extent cx="2428875" cy="1202055"/>
                <wp:effectExtent l="4445" t="5080" r="5080" b="12065"/>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pPr>
                              <w:ind w:firstLine="640"/>
                              <w:jc w:val="center"/>
                              <w:rPr>
                                <w:sz w:val="32"/>
                                <w:szCs w:val="32"/>
                              </w:rPr>
                            </w:pPr>
                          </w:p>
                          <w:p>
                            <w:pPr>
                              <w:ind w:firstLine="640"/>
                              <w:jc w:val="center"/>
                              <w:rPr>
                                <w:sz w:val="32"/>
                                <w:szCs w:val="32"/>
                              </w:rPr>
                            </w:pPr>
                            <w:r>
                              <w:rPr>
                                <w:rFonts w:hint="eastAsia"/>
                                <w:sz w:val="32"/>
                                <w:szCs w:val="32"/>
                              </w:rPr>
                              <w:t>背面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1.45pt;margin-top:30.1pt;height:94.65pt;width:191.25pt;z-index:251663360;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VqXYnZAAAA&#10;CgEAAA8AAAAAAAAAAQAgAAAAIgAAAGRycy9kb3ducmV2LnhtbFBLAQIUABQAAAAIAIdO4kC+nv9+&#10;HAIAAEcEAAAOAAAAAAAAAAEAIAAAACgBAABkcnMvZTJvRG9jLnhtbFBLBQYAAAAABgAGAFkBAAC2&#10;BQAAAAA=&#10;">
                <v:fill on="t" focussize="0,0"/>
                <v:stroke color="#000000" miterlimit="8" joinstyle="miter"/>
                <v:imagedata o:title=""/>
                <o:lock v:ext="edit" aspectratio="f"/>
                <v:textbox>
                  <w:txbxContent>
                    <w:p>
                      <w:pPr>
                        <w:ind w:firstLine="640"/>
                        <w:jc w:val="center"/>
                        <w:rPr>
                          <w:sz w:val="32"/>
                          <w:szCs w:val="32"/>
                        </w:rPr>
                      </w:pPr>
                    </w:p>
                    <w:p>
                      <w:pPr>
                        <w:ind w:firstLine="640"/>
                        <w:jc w:val="center"/>
                        <w:rPr>
                          <w:sz w:val="32"/>
                          <w:szCs w:val="32"/>
                        </w:rPr>
                      </w:pPr>
                      <w:r>
                        <w:rPr>
                          <w:rFonts w:hint="eastAsia"/>
                          <w:sz w:val="32"/>
                          <w:szCs w:val="32"/>
                        </w:rPr>
                        <w:t>背面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394970</wp:posOffset>
                </wp:positionH>
                <wp:positionV relativeFrom="paragraph">
                  <wp:posOffset>381635</wp:posOffset>
                </wp:positionV>
                <wp:extent cx="2476500" cy="1218565"/>
                <wp:effectExtent l="5080" t="4445" r="13970" b="1524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pPr>
                              <w:ind w:firstLine="640"/>
                              <w:jc w:val="center"/>
                              <w:rPr>
                                <w:sz w:val="32"/>
                                <w:szCs w:val="32"/>
                              </w:rPr>
                            </w:pPr>
                          </w:p>
                          <w:p>
                            <w:pPr>
                              <w:ind w:firstLine="640"/>
                              <w:jc w:val="center"/>
                              <w:rPr>
                                <w:sz w:val="32"/>
                                <w:szCs w:val="32"/>
                              </w:rPr>
                            </w:pPr>
                            <w:r>
                              <w:rPr>
                                <w:rFonts w:hint="eastAsia"/>
                                <w:sz w:val="32"/>
                                <w:szCs w:val="32"/>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1.1pt;margin-top:30.05pt;height:95.95pt;width:195pt;z-index:251662336;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ssme2AAAAAkB&#10;AAAPAAAAAAAAAAEAIAAAACIAAABkcnMvZG93bnJldi54bWxQSwECFAAUAAAACACHTuJAGPLNvhsC&#10;AABHBAAADgAAAAAAAAABACAAAAAnAQAAZHJzL2Uyb0RvYy54bWxQSwUGAAAAAAYABgBZAQAAtAUA&#10;AAAA&#10;">
                <v:fill on="t" focussize="0,0"/>
                <v:stroke color="#000000" miterlimit="8" joinstyle="miter"/>
                <v:imagedata o:title=""/>
                <o:lock v:ext="edit" aspectratio="f"/>
                <v:textbox>
                  <w:txbxContent>
                    <w:p>
                      <w:pPr>
                        <w:ind w:firstLine="640"/>
                        <w:jc w:val="center"/>
                        <w:rPr>
                          <w:sz w:val="32"/>
                          <w:szCs w:val="32"/>
                        </w:rPr>
                      </w:pPr>
                    </w:p>
                    <w:p>
                      <w:pPr>
                        <w:ind w:firstLine="640"/>
                        <w:jc w:val="center"/>
                        <w:rPr>
                          <w:sz w:val="32"/>
                          <w:szCs w:val="32"/>
                        </w:rPr>
                      </w:pPr>
                      <w:r>
                        <w:rPr>
                          <w:rFonts w:hint="eastAsia"/>
                          <w:sz w:val="32"/>
                          <w:szCs w:val="32"/>
                        </w:rPr>
                        <w:t>正面</w:t>
                      </w:r>
                    </w:p>
                  </w:txbxContent>
                </v:textbox>
              </v:shape>
            </w:pict>
          </mc:Fallback>
        </mc:AlternateContent>
      </w:r>
      <w:r>
        <w:rPr>
          <w:rFonts w:hint="eastAsia"/>
          <w:sz w:val="24"/>
        </w:rPr>
        <w:t>法定代表人身份复印件：</w:t>
      </w:r>
    </w:p>
    <w:p>
      <w:pPr>
        <w:spacing w:line="480" w:lineRule="auto"/>
        <w:ind w:firstLine="2160" w:firstLineChars="900"/>
        <w:rPr>
          <w:sz w:val="24"/>
        </w:rPr>
      </w:pPr>
    </w:p>
    <w:p>
      <w:pPr>
        <w:spacing w:line="480" w:lineRule="auto"/>
        <w:ind w:firstLine="2160" w:firstLineChars="900"/>
        <w:rPr>
          <w:sz w:val="24"/>
        </w:rPr>
      </w:pPr>
    </w:p>
    <w:p>
      <w:pPr>
        <w:spacing w:line="480" w:lineRule="auto"/>
        <w:ind w:firstLine="2160" w:firstLineChars="900"/>
        <w:rPr>
          <w:sz w:val="24"/>
          <w:u w:val="single"/>
        </w:rPr>
      </w:pPr>
    </w:p>
    <w:p>
      <w:pPr>
        <w:spacing w:line="480" w:lineRule="auto"/>
        <w:ind w:firstLine="480"/>
        <w:jc w:val="left"/>
        <w:rPr>
          <w:rFonts w:hint="eastAsia"/>
          <w:sz w:val="24"/>
        </w:rPr>
      </w:pPr>
    </w:p>
    <w:p>
      <w:pPr>
        <w:pStyle w:val="6"/>
        <w:ind w:firstLine="198" w:firstLineChars="82"/>
      </w:pPr>
      <w:r>
        <w:br w:type="page"/>
      </w:r>
      <w:bookmarkStart w:id="491" w:name="_Toc447272174"/>
      <w:bookmarkStart w:id="492" w:name="_Toc6125"/>
      <w:bookmarkStart w:id="493" w:name="_Toc30873"/>
      <w:bookmarkStart w:id="494" w:name="_Toc526878961"/>
      <w:bookmarkStart w:id="495" w:name="_Toc10533"/>
      <w:bookmarkStart w:id="496" w:name="_Toc459623018"/>
      <w:bookmarkStart w:id="497" w:name="_Toc447207038"/>
      <w:bookmarkStart w:id="498" w:name="_Toc493013085"/>
      <w:r>
        <w:rPr>
          <w:rFonts w:hint="eastAsia"/>
        </w:rPr>
        <w:t>附件4：法人授权函</w:t>
      </w:r>
      <w:bookmarkEnd w:id="491"/>
      <w:bookmarkEnd w:id="492"/>
      <w:bookmarkEnd w:id="493"/>
      <w:bookmarkEnd w:id="494"/>
      <w:bookmarkEnd w:id="495"/>
      <w:bookmarkEnd w:id="496"/>
      <w:bookmarkEnd w:id="497"/>
      <w:bookmarkEnd w:id="498"/>
    </w:p>
    <w:bookmarkEnd w:id="490"/>
    <w:p>
      <w:pPr>
        <w:ind w:firstLine="480"/>
        <w:rPr>
          <w:sz w:val="24"/>
        </w:rPr>
      </w:pPr>
      <w:r>
        <w:rPr>
          <w:rFonts w:hint="eastAsia"/>
          <w:sz w:val="24"/>
        </w:rPr>
        <w:t>致：</w:t>
      </w:r>
    </w:p>
    <w:p>
      <w:pPr>
        <w:ind w:firstLine="480"/>
        <w:rPr>
          <w:sz w:val="24"/>
        </w:rPr>
      </w:pPr>
      <w:r>
        <w:rPr>
          <w:rFonts w:hint="eastAsia"/>
          <w:sz w:val="24"/>
        </w:rPr>
        <w:t>本授权函声明：</w:t>
      </w:r>
      <w:r>
        <w:rPr>
          <w:rFonts w:hint="eastAsia"/>
          <w:sz w:val="24"/>
          <w:u w:val="single"/>
        </w:rPr>
        <w:t>（投标人全称）</w:t>
      </w:r>
      <w:r>
        <w:rPr>
          <w:rFonts w:hint="eastAsia"/>
          <w:sz w:val="24"/>
        </w:rPr>
        <w:t>任命</w:t>
      </w:r>
      <w:r>
        <w:rPr>
          <w:rFonts w:hint="eastAsia"/>
          <w:sz w:val="24"/>
          <w:u w:val="single"/>
        </w:rPr>
        <w:t>（被授权人姓名、职务）</w:t>
      </w:r>
      <w:r>
        <w:rPr>
          <w:rFonts w:hint="eastAsia"/>
          <w:sz w:val="24"/>
        </w:rPr>
        <w:t>为我公司的授权代表人，参与招标编号为XXX的</w:t>
      </w:r>
      <w:r>
        <w:rPr>
          <w:rFonts w:ascii="宋体"/>
          <w:bCs/>
          <w:sz w:val="24"/>
        </w:rPr>
        <w:t>XXXX</w:t>
      </w:r>
      <w:r>
        <w:rPr>
          <w:rFonts w:hint="eastAsia" w:ascii="宋体"/>
          <w:bCs/>
          <w:sz w:val="24"/>
        </w:rPr>
        <w:t>单位所需</w:t>
      </w:r>
      <w:r>
        <w:rPr>
          <w:rFonts w:ascii="宋体"/>
          <w:bCs/>
          <w:sz w:val="24"/>
        </w:rPr>
        <w:t>XXXX</w:t>
      </w:r>
      <w:r>
        <w:rPr>
          <w:rFonts w:hint="eastAsia" w:ascii="宋体"/>
          <w:bCs/>
          <w:sz w:val="24"/>
        </w:rPr>
        <w:t>项目</w:t>
      </w:r>
      <w:r>
        <w:rPr>
          <w:rFonts w:hint="eastAsia"/>
          <w:sz w:val="24"/>
        </w:rPr>
        <w:t>投标活动，以投标人的名义签署投标文件、进行合同谈判、签署合同和全权处理与之有关的一切事务。</w:t>
      </w:r>
    </w:p>
    <w:p>
      <w:pPr>
        <w:ind w:firstLine="480"/>
        <w:rPr>
          <w:sz w:val="24"/>
        </w:rPr>
      </w:pPr>
      <w:r>
        <w:rPr>
          <w:rFonts w:hint="eastAsia"/>
          <w:sz w:val="24"/>
        </w:rPr>
        <w:t>特签字如下，以资证明。</w:t>
      </w:r>
    </w:p>
    <w:p>
      <w:pPr>
        <w:ind w:firstLine="480"/>
        <w:rPr>
          <w:sz w:val="24"/>
        </w:rPr>
      </w:pPr>
    </w:p>
    <w:p>
      <w:pPr>
        <w:ind w:firstLine="480"/>
        <w:jc w:val="left"/>
        <w:rPr>
          <w:sz w:val="24"/>
          <w:u w:val="single"/>
        </w:rPr>
      </w:pPr>
      <w:r>
        <w:rPr>
          <w:rFonts w:hint="eastAsia"/>
          <w:sz w:val="24"/>
        </w:rPr>
        <w:t>投标人名称：（公章）</w:t>
      </w:r>
    </w:p>
    <w:p>
      <w:pPr>
        <w:ind w:firstLine="480"/>
        <w:rPr>
          <w:sz w:val="24"/>
          <w:u w:val="single"/>
        </w:rPr>
      </w:pPr>
      <w:r>
        <w:rPr>
          <w:rFonts w:hint="eastAsia"/>
          <w:sz w:val="24"/>
        </w:rPr>
        <w:t>投标人地址：</w:t>
      </w:r>
    </w:p>
    <w:p>
      <w:pPr>
        <w:ind w:firstLine="480"/>
        <w:rPr>
          <w:sz w:val="24"/>
          <w:u w:val="single"/>
        </w:rPr>
      </w:pPr>
      <w:r>
        <w:rPr>
          <w:rFonts w:hint="eastAsia"/>
          <w:sz w:val="24"/>
        </w:rPr>
        <w:t>法定代表人：（签字或印章）</w:t>
      </w:r>
    </w:p>
    <w:p>
      <w:pPr>
        <w:ind w:firstLine="480"/>
        <w:rPr>
          <w:sz w:val="24"/>
          <w:u w:val="single"/>
        </w:rPr>
      </w:pPr>
      <w:r>
        <w:rPr>
          <w:rFonts w:hint="eastAsia"/>
          <w:sz w:val="24"/>
        </w:rPr>
        <w:t>被授权人：（签字或印章）：</w:t>
      </w:r>
    </w:p>
    <w:p>
      <w:pPr>
        <w:spacing w:line="480" w:lineRule="auto"/>
        <w:ind w:firstLine="2160" w:firstLineChars="900"/>
        <w:rPr>
          <w:sz w:val="24"/>
        </w:rPr>
      </w:pPr>
    </w:p>
    <w:p>
      <w:pPr>
        <w:spacing w:line="300" w:lineRule="auto"/>
        <w:ind w:firstLine="4560" w:firstLineChars="1900"/>
        <w:rPr>
          <w:sz w:val="24"/>
        </w:rPr>
      </w:pPr>
      <w:r>
        <w:rPr>
          <w:rFonts w:hint="eastAsia"/>
          <w:sz w:val="24"/>
        </w:rPr>
        <w:t>授权日期：    年   月   日</w:t>
      </w:r>
    </w:p>
    <w:p>
      <w:pPr>
        <w:spacing w:line="480" w:lineRule="auto"/>
        <w:ind w:firstLine="420"/>
        <w:rPr>
          <w:sz w:val="24"/>
        </w:rPr>
      </w:pPr>
      <w:r>
        <mc:AlternateContent>
          <mc:Choice Requires="wps">
            <w:drawing>
              <wp:anchor distT="0" distB="0" distL="114300" distR="114300" simplePos="0" relativeHeight="251659264" behindDoc="0" locked="0" layoutInCell="1" allowOverlap="1">
                <wp:simplePos x="0" y="0"/>
                <wp:positionH relativeFrom="column">
                  <wp:posOffset>3320415</wp:posOffset>
                </wp:positionH>
                <wp:positionV relativeFrom="paragraph">
                  <wp:posOffset>382270</wp:posOffset>
                </wp:positionV>
                <wp:extent cx="2428875" cy="1202055"/>
                <wp:effectExtent l="4445" t="5080" r="5080" b="12065"/>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pPr>
                              <w:ind w:firstLine="640"/>
                              <w:jc w:val="center"/>
                              <w:rPr>
                                <w:sz w:val="32"/>
                                <w:szCs w:val="32"/>
                              </w:rPr>
                            </w:pPr>
                          </w:p>
                          <w:p>
                            <w:pPr>
                              <w:ind w:firstLine="640"/>
                              <w:jc w:val="center"/>
                              <w:rPr>
                                <w:sz w:val="32"/>
                                <w:szCs w:val="32"/>
                              </w:rPr>
                            </w:pPr>
                            <w:r>
                              <w:rPr>
                                <w:rFonts w:hint="eastAsia"/>
                                <w:sz w:val="32"/>
                                <w:szCs w:val="32"/>
                              </w:rPr>
                              <w:t>背面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1.45pt;margin-top:30.1pt;height:94.65pt;width:191.25pt;z-index:251659264;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WpdidkAAAAK&#10;AQAADwAAAAAAAAABACAAAAAiAAAAZHJzL2Rvd25yZXYueG1sUEsBAhQAFAAAAAgAh07iQHMzHdsb&#10;AgAARwQAAA4AAAAAAAAAAQAgAAAAKAEAAGRycy9lMm9Eb2MueG1sUEsFBgAAAAAGAAYAWQEAALUF&#10;AAAAAA==&#10;">
                <v:fill on="t" focussize="0,0"/>
                <v:stroke color="#000000" miterlimit="8" joinstyle="miter"/>
                <v:imagedata o:title=""/>
                <o:lock v:ext="edit" aspectratio="f"/>
                <v:textbox>
                  <w:txbxContent>
                    <w:p>
                      <w:pPr>
                        <w:ind w:firstLine="640"/>
                        <w:jc w:val="center"/>
                        <w:rPr>
                          <w:sz w:val="32"/>
                          <w:szCs w:val="32"/>
                        </w:rPr>
                      </w:pPr>
                    </w:p>
                    <w:p>
                      <w:pPr>
                        <w:ind w:firstLine="640"/>
                        <w:jc w:val="center"/>
                        <w:rPr>
                          <w:sz w:val="32"/>
                          <w:szCs w:val="32"/>
                        </w:rPr>
                      </w:pPr>
                      <w:r>
                        <w:rPr>
                          <w:rFonts w:hint="eastAsia"/>
                          <w:sz w:val="32"/>
                          <w:szCs w:val="32"/>
                        </w:rPr>
                        <w:t>背面</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394970</wp:posOffset>
                </wp:positionH>
                <wp:positionV relativeFrom="paragraph">
                  <wp:posOffset>381635</wp:posOffset>
                </wp:positionV>
                <wp:extent cx="2476500" cy="1218565"/>
                <wp:effectExtent l="5080" t="4445" r="13970" b="1524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pPr>
                              <w:ind w:firstLine="640"/>
                              <w:jc w:val="center"/>
                              <w:rPr>
                                <w:sz w:val="32"/>
                                <w:szCs w:val="32"/>
                              </w:rPr>
                            </w:pPr>
                          </w:p>
                          <w:p>
                            <w:pPr>
                              <w:ind w:firstLine="640"/>
                              <w:jc w:val="center"/>
                              <w:rPr>
                                <w:sz w:val="32"/>
                                <w:szCs w:val="32"/>
                              </w:rPr>
                            </w:pPr>
                            <w:r>
                              <w:rPr>
                                <w:rFonts w:hint="eastAsia"/>
                                <w:sz w:val="32"/>
                                <w:szCs w:val="32"/>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1.1pt;margin-top:30.05pt;height:95.95pt;width:195pt;z-index:251658240;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ssme2AAAAAkB&#10;AAAPAAAAAAAAAAEAIAAAACIAAABkcnMvZG93bnJldi54bWxQSwECFAAUAAAACACHTuJAo5aT3RsC&#10;AABHBAAADgAAAAAAAAABACAAAAAnAQAAZHJzL2Uyb0RvYy54bWxQSwUGAAAAAAYABgBZAQAAtAUA&#10;AAAA&#10;">
                <v:fill on="t" focussize="0,0"/>
                <v:stroke color="#000000" miterlimit="8" joinstyle="miter"/>
                <v:imagedata o:title=""/>
                <o:lock v:ext="edit" aspectratio="f"/>
                <v:textbox>
                  <w:txbxContent>
                    <w:p>
                      <w:pPr>
                        <w:ind w:firstLine="640"/>
                        <w:jc w:val="center"/>
                        <w:rPr>
                          <w:sz w:val="32"/>
                          <w:szCs w:val="32"/>
                        </w:rPr>
                      </w:pPr>
                    </w:p>
                    <w:p>
                      <w:pPr>
                        <w:ind w:firstLine="640"/>
                        <w:jc w:val="center"/>
                        <w:rPr>
                          <w:sz w:val="32"/>
                          <w:szCs w:val="32"/>
                        </w:rPr>
                      </w:pPr>
                      <w:r>
                        <w:rPr>
                          <w:rFonts w:hint="eastAsia"/>
                          <w:sz w:val="32"/>
                          <w:szCs w:val="32"/>
                        </w:rPr>
                        <w:t>正面</w:t>
                      </w:r>
                    </w:p>
                  </w:txbxContent>
                </v:textbox>
              </v:shape>
            </w:pict>
          </mc:Fallback>
        </mc:AlternateContent>
      </w:r>
      <w:r>
        <w:rPr>
          <w:rFonts w:hint="eastAsia"/>
          <w:sz w:val="24"/>
        </w:rPr>
        <w:t>法定代表人身份复印件：</w:t>
      </w:r>
    </w:p>
    <w:p>
      <w:pPr>
        <w:spacing w:line="480" w:lineRule="auto"/>
        <w:ind w:firstLine="2160" w:firstLineChars="900"/>
        <w:rPr>
          <w:sz w:val="24"/>
        </w:rPr>
      </w:pPr>
    </w:p>
    <w:p>
      <w:pPr>
        <w:spacing w:line="480" w:lineRule="auto"/>
        <w:ind w:firstLine="2160" w:firstLineChars="900"/>
        <w:rPr>
          <w:sz w:val="24"/>
        </w:rPr>
      </w:pPr>
    </w:p>
    <w:p>
      <w:pPr>
        <w:spacing w:line="480" w:lineRule="auto"/>
        <w:ind w:firstLine="2160" w:firstLineChars="900"/>
        <w:rPr>
          <w:sz w:val="24"/>
          <w:u w:val="single"/>
        </w:rPr>
      </w:pPr>
    </w:p>
    <w:p>
      <w:pPr>
        <w:spacing w:line="480" w:lineRule="auto"/>
        <w:ind w:firstLine="480"/>
        <w:jc w:val="left"/>
        <w:rPr>
          <w:rFonts w:hint="eastAsia"/>
          <w:sz w:val="24"/>
        </w:rPr>
      </w:pPr>
    </w:p>
    <w:p>
      <w:pPr>
        <w:spacing w:line="480" w:lineRule="auto"/>
        <w:ind w:firstLine="480"/>
        <w:jc w:val="left"/>
        <w:rPr>
          <w:sz w:val="24"/>
        </w:rPr>
      </w:pPr>
      <w:r>
        <w:rPr>
          <w:rFonts w:hint="eastAsia"/>
          <w:sz w:val="24"/>
        </w:rPr>
        <w:t>授权人身份证复印件：</w:t>
      </w:r>
    </w:p>
    <w:p>
      <w:pPr>
        <w:spacing w:line="300" w:lineRule="auto"/>
        <w:ind w:firstLine="420"/>
        <w:rPr>
          <w:sz w:val="24"/>
        </w:rPr>
      </w:pPr>
      <w:r>
        <mc:AlternateContent>
          <mc:Choice Requires="wps">
            <w:drawing>
              <wp:anchor distT="0" distB="0" distL="114300" distR="114300" simplePos="0" relativeHeight="251661312" behindDoc="0" locked="0" layoutInCell="1" allowOverlap="1">
                <wp:simplePos x="0" y="0"/>
                <wp:positionH relativeFrom="column">
                  <wp:posOffset>3320415</wp:posOffset>
                </wp:positionH>
                <wp:positionV relativeFrom="paragraph">
                  <wp:posOffset>167005</wp:posOffset>
                </wp:positionV>
                <wp:extent cx="2428875" cy="1189355"/>
                <wp:effectExtent l="4445" t="5080" r="5080" b="5715"/>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2428875" cy="1189355"/>
                        </a:xfrm>
                        <a:prstGeom prst="rect">
                          <a:avLst/>
                        </a:prstGeom>
                        <a:solidFill>
                          <a:srgbClr val="FFFFFF"/>
                        </a:solidFill>
                        <a:ln w="9525">
                          <a:solidFill>
                            <a:srgbClr val="000000"/>
                          </a:solidFill>
                          <a:miter lim="800000"/>
                        </a:ln>
                        <a:effectLst/>
                      </wps:spPr>
                      <wps:txbx>
                        <w:txbxContent>
                          <w:p>
                            <w:pPr>
                              <w:ind w:firstLine="640"/>
                              <w:jc w:val="center"/>
                              <w:rPr>
                                <w:sz w:val="32"/>
                                <w:szCs w:val="32"/>
                              </w:rPr>
                            </w:pPr>
                          </w:p>
                          <w:p>
                            <w:pPr>
                              <w:ind w:firstLine="640"/>
                              <w:jc w:val="center"/>
                              <w:rPr>
                                <w:sz w:val="32"/>
                                <w:szCs w:val="32"/>
                              </w:rPr>
                            </w:pPr>
                            <w:r>
                              <w:rPr>
                                <w:rFonts w:hint="eastAsia"/>
                                <w:sz w:val="32"/>
                                <w:szCs w:val="32"/>
                              </w:rPr>
                              <w:t>背面</w:t>
                            </w:r>
                          </w:p>
                          <w:p>
                            <w:pPr>
                              <w:ind w:firstLine="420"/>
                            </w:pP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261.45pt;margin-top:13.15pt;height:93.65pt;width:191.25pt;z-index:251661312;mso-width-relative:page;mso-height-relative:page;" fillcolor="#FFFFFF" filled="t" stroked="t" coordsize="21600,21600" o:gfxdata="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9EgK2QAA&#10;AAoBAAAPAAAAAAAAAAEAIAAAACIAAABkcnMvZG93bnJldi54bWxQSwECFAAUAAAACACHTuJAM6oI&#10;4h0CAABHBAAADgAAAAAAAAABACAAAAAoAQAAZHJzL2Uyb0RvYy54bWxQSwUGAAAAAAYABgBZAQAA&#10;twUAAAAA&#10;">
                <v:fill on="t" focussize="0,0"/>
                <v:stroke color="#000000" miterlimit="8" joinstyle="miter"/>
                <v:imagedata o:title=""/>
                <o:lock v:ext="edit" aspectratio="f"/>
                <v:textbox>
                  <w:txbxContent>
                    <w:p>
                      <w:pPr>
                        <w:ind w:firstLine="640"/>
                        <w:jc w:val="center"/>
                        <w:rPr>
                          <w:sz w:val="32"/>
                          <w:szCs w:val="32"/>
                        </w:rPr>
                      </w:pPr>
                    </w:p>
                    <w:p>
                      <w:pPr>
                        <w:ind w:firstLine="640"/>
                        <w:jc w:val="center"/>
                        <w:rPr>
                          <w:sz w:val="32"/>
                          <w:szCs w:val="32"/>
                        </w:rPr>
                      </w:pPr>
                      <w:r>
                        <w:rPr>
                          <w:rFonts w:hint="eastAsia"/>
                          <w:sz w:val="32"/>
                          <w:szCs w:val="32"/>
                        </w:rPr>
                        <w:t>背面</w:t>
                      </w:r>
                    </w:p>
                    <w:p>
                      <w:pPr>
                        <w:ind w:firstLine="420"/>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394970</wp:posOffset>
                </wp:positionH>
                <wp:positionV relativeFrom="paragraph">
                  <wp:posOffset>166370</wp:posOffset>
                </wp:positionV>
                <wp:extent cx="2552700" cy="1205865"/>
                <wp:effectExtent l="4445" t="4445" r="14605" b="889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52700" cy="1205865"/>
                        </a:xfrm>
                        <a:prstGeom prst="rect">
                          <a:avLst/>
                        </a:prstGeom>
                        <a:solidFill>
                          <a:srgbClr val="FFFFFF"/>
                        </a:solidFill>
                        <a:ln w="9525">
                          <a:solidFill>
                            <a:srgbClr val="000000"/>
                          </a:solidFill>
                          <a:miter lim="800000"/>
                        </a:ln>
                        <a:effectLst/>
                      </wps:spPr>
                      <wps:txbx>
                        <w:txbxContent>
                          <w:p>
                            <w:pPr>
                              <w:ind w:firstLine="640"/>
                              <w:jc w:val="center"/>
                              <w:rPr>
                                <w:sz w:val="32"/>
                                <w:szCs w:val="32"/>
                              </w:rPr>
                            </w:pPr>
                          </w:p>
                          <w:p>
                            <w:pPr>
                              <w:ind w:firstLine="640"/>
                              <w:jc w:val="center"/>
                              <w:rPr>
                                <w:sz w:val="32"/>
                                <w:szCs w:val="32"/>
                              </w:rPr>
                            </w:pPr>
                            <w:r>
                              <w:rPr>
                                <w:rFonts w:hint="eastAsia"/>
                                <w:sz w:val="32"/>
                                <w:szCs w:val="32"/>
                              </w:rPr>
                              <w:t>正面</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1.1pt;margin-top:13.1pt;height:94.95pt;width:201pt;z-index:251660288;mso-width-relative:page;mso-height-relative:page;" fillcolor="#FFFFFF" filled="t" stroked="t" coordsize="21600,21600" o:gfxdata="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w/G+DXAAAACQEA&#10;AA8AAAAAAAAAAQAgAAAAIgAAAGRycy9kb3ducmV2LnhtbFBLAQIUABQAAAAIAIdO4kD4ZinOGwIA&#10;AEcEAAAOAAAAAAAAAAEAIAAAACYBAABkcnMvZTJvRG9jLnhtbFBLBQYAAAAABgAGAFkBAACzBQAA&#10;AAA=&#10;">
                <v:fill on="t" focussize="0,0"/>
                <v:stroke color="#000000" miterlimit="8" joinstyle="miter"/>
                <v:imagedata o:title=""/>
                <o:lock v:ext="edit" aspectratio="f"/>
                <v:textbox>
                  <w:txbxContent>
                    <w:p>
                      <w:pPr>
                        <w:ind w:firstLine="640"/>
                        <w:jc w:val="center"/>
                        <w:rPr>
                          <w:sz w:val="32"/>
                          <w:szCs w:val="32"/>
                        </w:rPr>
                      </w:pPr>
                    </w:p>
                    <w:p>
                      <w:pPr>
                        <w:ind w:firstLine="640"/>
                        <w:jc w:val="center"/>
                        <w:rPr>
                          <w:sz w:val="32"/>
                          <w:szCs w:val="32"/>
                        </w:rPr>
                      </w:pPr>
                      <w:r>
                        <w:rPr>
                          <w:rFonts w:hint="eastAsia"/>
                          <w:sz w:val="32"/>
                          <w:szCs w:val="32"/>
                        </w:rPr>
                        <w:t>正面</w:t>
                      </w:r>
                    </w:p>
                  </w:txbxContent>
                </v:textbox>
              </v:shape>
            </w:pict>
          </mc:Fallback>
        </mc:AlternateContent>
      </w:r>
    </w:p>
    <w:p>
      <w:pPr>
        <w:spacing w:line="300" w:lineRule="auto"/>
        <w:ind w:firstLine="3360" w:firstLineChars="1400"/>
        <w:rPr>
          <w:sz w:val="24"/>
        </w:rPr>
      </w:pPr>
    </w:p>
    <w:p>
      <w:pPr>
        <w:spacing w:line="300" w:lineRule="auto"/>
        <w:ind w:firstLine="480"/>
        <w:rPr>
          <w:sz w:val="24"/>
        </w:rPr>
      </w:pPr>
    </w:p>
    <w:p>
      <w:pPr>
        <w:spacing w:line="300" w:lineRule="auto"/>
        <w:ind w:firstLine="480"/>
        <w:rPr>
          <w:sz w:val="24"/>
        </w:rPr>
      </w:pPr>
    </w:p>
    <w:p>
      <w:pPr>
        <w:pStyle w:val="5"/>
        <w:rPr>
          <w:rFonts w:hint="eastAsia"/>
          <w:sz w:val="24"/>
        </w:rPr>
      </w:pPr>
    </w:p>
    <w:p>
      <w:pPr>
        <w:spacing w:line="300" w:lineRule="auto"/>
        <w:ind w:firstLine="199" w:firstLineChars="83"/>
        <w:rPr>
          <w:sz w:val="24"/>
        </w:rPr>
        <w:sectPr>
          <w:headerReference r:id="rId4" w:type="first"/>
          <w:footerReference r:id="rId6" w:type="first"/>
          <w:headerReference r:id="rId3" w:type="default"/>
          <w:footerReference r:id="rId5" w:type="default"/>
          <w:pgSz w:w="11907" w:h="16840"/>
          <w:pgMar w:top="1440" w:right="794" w:bottom="1440" w:left="1077" w:header="851" w:footer="992" w:gutter="0"/>
          <w:cols w:space="720" w:num="1"/>
          <w:titlePg/>
          <w:docGrid w:linePitch="312" w:charSpace="0"/>
        </w:sectPr>
      </w:pPr>
    </w:p>
    <w:p>
      <w:pPr>
        <w:pStyle w:val="6"/>
        <w:spacing w:before="0"/>
        <w:ind w:firstLine="0" w:firstLineChars="0"/>
        <w:rPr>
          <w:rFonts w:hint="eastAsia"/>
        </w:rPr>
      </w:pPr>
      <w:bookmarkStart w:id="499" w:name="_Toc459623019"/>
      <w:bookmarkStart w:id="500" w:name="_Toc2417"/>
      <w:bookmarkStart w:id="501" w:name="_Toc447207039"/>
      <w:bookmarkStart w:id="502" w:name="_Toc7992"/>
      <w:bookmarkStart w:id="503" w:name="_Toc14064"/>
      <w:bookmarkStart w:id="504" w:name="_Toc526878962"/>
      <w:bookmarkStart w:id="505" w:name="_Toc493013086"/>
      <w:bookmarkStart w:id="506" w:name="_Toc447272175"/>
      <w:r>
        <w:rPr>
          <w:rFonts w:hint="eastAsia"/>
        </w:rPr>
        <w:t>附件5：开标一览表</w:t>
      </w:r>
      <w:bookmarkEnd w:id="499"/>
      <w:bookmarkEnd w:id="500"/>
      <w:bookmarkEnd w:id="501"/>
      <w:bookmarkEnd w:id="502"/>
      <w:bookmarkEnd w:id="503"/>
      <w:bookmarkEnd w:id="504"/>
      <w:bookmarkEnd w:id="505"/>
      <w:bookmarkEnd w:id="506"/>
    </w:p>
    <w:p>
      <w:pPr>
        <w:widowControl/>
        <w:spacing w:line="276" w:lineRule="auto"/>
        <w:ind w:firstLine="720" w:firstLineChars="300"/>
        <w:rPr>
          <w:sz w:val="24"/>
          <w:szCs w:val="24"/>
        </w:rPr>
      </w:pPr>
      <w:r>
        <w:rPr>
          <w:rFonts w:hint="eastAsia" w:ascii="宋体" w:hAnsi="宋体" w:cs="宋体"/>
          <w:kern w:val="0"/>
          <w:sz w:val="24"/>
          <w:szCs w:val="24"/>
        </w:rPr>
        <w:t>采购人：                                                金额单位：元</w:t>
      </w:r>
    </w:p>
    <w:tbl>
      <w:tblPr>
        <w:tblStyle w:val="38"/>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66" w:type="dxa"/>
            <w:noWrap w:val="0"/>
            <w:vAlign w:val="center"/>
          </w:tcPr>
          <w:p>
            <w:pPr>
              <w:snapToGrid w:val="0"/>
              <w:spacing w:line="300" w:lineRule="auto"/>
              <w:ind w:left="0" w:leftChars="0" w:firstLine="0" w:firstLineChars="0"/>
              <w:jc w:val="both"/>
              <w:rPr>
                <w:rFonts w:hint="eastAsia" w:ascii="宋体" w:hAnsi="宋体" w:cs="宋体"/>
                <w:sz w:val="24"/>
              </w:rPr>
            </w:pPr>
            <w:r>
              <w:rPr>
                <w:rFonts w:hint="eastAsia" w:ascii="宋体" w:hAnsi="宋体" w:cs="宋体"/>
                <w:sz w:val="24"/>
              </w:rPr>
              <w:t>项目名称</w:t>
            </w:r>
          </w:p>
        </w:tc>
        <w:tc>
          <w:tcPr>
            <w:tcW w:w="6985" w:type="dxa"/>
            <w:noWrap w:val="0"/>
            <w:vAlign w:val="center"/>
          </w:tcPr>
          <w:p>
            <w:pPr>
              <w:snapToGrid w:val="0"/>
              <w:spacing w:line="300" w:lineRule="auto"/>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966" w:type="dxa"/>
            <w:noWrap w:val="0"/>
            <w:vAlign w:val="center"/>
          </w:tcPr>
          <w:p>
            <w:pPr>
              <w:snapToGrid w:val="0"/>
              <w:spacing w:line="300" w:lineRule="auto"/>
              <w:ind w:left="0" w:leftChars="0" w:firstLine="0" w:firstLineChars="0"/>
              <w:jc w:val="both"/>
              <w:rPr>
                <w:rFonts w:hint="eastAsia" w:ascii="宋体" w:hAnsi="宋体" w:cs="宋体"/>
                <w:sz w:val="24"/>
              </w:rPr>
            </w:pPr>
            <w:r>
              <w:rPr>
                <w:rFonts w:hint="eastAsia"/>
                <w:sz w:val="24"/>
              </w:rPr>
              <w:t>招标文件编号</w:t>
            </w:r>
          </w:p>
        </w:tc>
        <w:tc>
          <w:tcPr>
            <w:tcW w:w="6985" w:type="dxa"/>
            <w:noWrap w:val="0"/>
            <w:vAlign w:val="center"/>
          </w:tcPr>
          <w:p>
            <w:pPr>
              <w:snapToGrid w:val="0"/>
              <w:spacing w:line="300" w:lineRule="auto"/>
              <w:ind w:firstLine="48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1966" w:type="dxa"/>
            <w:noWrap w:val="0"/>
            <w:vAlign w:val="center"/>
          </w:tcPr>
          <w:p>
            <w:pPr>
              <w:snapToGrid w:val="0"/>
              <w:spacing w:line="300" w:lineRule="auto"/>
              <w:ind w:left="0" w:leftChars="0" w:firstLine="0" w:firstLineChars="0"/>
              <w:jc w:val="both"/>
              <w:rPr>
                <w:rFonts w:hint="eastAsia" w:ascii="宋体" w:hAnsi="宋体" w:cs="宋体"/>
                <w:sz w:val="24"/>
              </w:rPr>
            </w:pPr>
            <w:r>
              <w:rPr>
                <w:rFonts w:hint="eastAsia" w:ascii="宋体" w:hAnsi="宋体" w:cs="宋体"/>
                <w:sz w:val="24"/>
              </w:rPr>
              <w:t>报价金额（元）</w:t>
            </w:r>
          </w:p>
        </w:tc>
        <w:tc>
          <w:tcPr>
            <w:tcW w:w="6985" w:type="dxa"/>
            <w:noWrap w:val="0"/>
            <w:vAlign w:val="center"/>
          </w:tcPr>
          <w:p>
            <w:pPr>
              <w:snapToGrid w:val="0"/>
              <w:spacing w:line="300" w:lineRule="auto"/>
              <w:ind w:left="723" w:hanging="723" w:hangingChars="300"/>
              <w:jc w:val="left"/>
              <w:rPr>
                <w:rFonts w:ascii="宋体" w:hAnsi="宋体" w:cs="宋体"/>
                <w:b/>
                <w:sz w:val="24"/>
              </w:rPr>
            </w:pPr>
          </w:p>
          <w:p>
            <w:pPr>
              <w:snapToGrid w:val="0"/>
              <w:spacing w:line="480" w:lineRule="auto"/>
              <w:ind w:left="723" w:hanging="723" w:hangingChars="300"/>
              <w:jc w:val="left"/>
              <w:rPr>
                <w:rFonts w:hint="eastAsia" w:ascii="宋体" w:hAnsi="宋体" w:cs="宋体"/>
                <w:b/>
                <w:sz w:val="24"/>
                <w:u w:val="single"/>
              </w:rPr>
            </w:pPr>
            <w:r>
              <w:rPr>
                <w:rFonts w:hint="eastAsia" w:ascii="宋体" w:hAnsi="宋体" w:cs="宋体"/>
                <w:b/>
                <w:sz w:val="24"/>
              </w:rPr>
              <w:t>投标报价（大写）：</w:t>
            </w:r>
          </w:p>
          <w:p>
            <w:pPr>
              <w:snapToGrid w:val="0"/>
              <w:spacing w:line="480" w:lineRule="auto"/>
              <w:ind w:left="630" w:leftChars="300" w:firstLine="361" w:firstLineChars="150"/>
              <w:jc w:val="left"/>
              <w:rPr>
                <w:rFonts w:hint="eastAsia" w:ascii="宋体" w:hAnsi="宋体" w:cs="宋体"/>
                <w:sz w:val="24"/>
                <w:u w:val="single"/>
              </w:rPr>
            </w:pPr>
            <w:r>
              <w:rPr>
                <w:rFonts w:hint="eastAsia" w:ascii="宋体" w:hAnsi="宋体" w:cs="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966" w:type="dxa"/>
            <w:noWrap w:val="0"/>
            <w:vAlign w:val="center"/>
          </w:tcPr>
          <w:p>
            <w:pPr>
              <w:snapToGrid w:val="0"/>
              <w:spacing w:line="300" w:lineRule="auto"/>
              <w:ind w:left="0" w:leftChars="0" w:firstLine="0" w:firstLineChars="0"/>
              <w:jc w:val="both"/>
              <w:rPr>
                <w:rFonts w:hint="eastAsia" w:ascii="宋体" w:hAnsi="宋体" w:cs="宋体"/>
                <w:sz w:val="24"/>
              </w:rPr>
            </w:pPr>
            <w:r>
              <w:rPr>
                <w:rFonts w:hint="eastAsia" w:ascii="宋体" w:hAnsi="宋体" w:cs="宋体"/>
                <w:sz w:val="24"/>
              </w:rPr>
              <w:t>投标保证金（元）</w:t>
            </w:r>
          </w:p>
        </w:tc>
        <w:tc>
          <w:tcPr>
            <w:tcW w:w="6985" w:type="dxa"/>
            <w:noWrap w:val="0"/>
            <w:vAlign w:val="center"/>
          </w:tcPr>
          <w:p>
            <w:pPr>
              <w:snapToGrid w:val="0"/>
              <w:spacing w:line="300" w:lineRule="auto"/>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66" w:type="dxa"/>
            <w:noWrap w:val="0"/>
            <w:vAlign w:val="center"/>
          </w:tcPr>
          <w:p>
            <w:pPr>
              <w:snapToGrid w:val="0"/>
              <w:spacing w:line="300" w:lineRule="auto"/>
              <w:ind w:firstLine="480"/>
              <w:jc w:val="center"/>
              <w:rPr>
                <w:rFonts w:hint="eastAsia" w:ascii="宋体" w:hAnsi="宋体" w:cs="宋体"/>
                <w:sz w:val="24"/>
              </w:rPr>
            </w:pPr>
            <w:r>
              <w:rPr>
                <w:rFonts w:hint="eastAsia" w:ascii="宋体" w:hAnsi="宋体" w:cs="宋体"/>
                <w:sz w:val="24"/>
              </w:rPr>
              <w:t>备    注</w:t>
            </w:r>
          </w:p>
        </w:tc>
        <w:tc>
          <w:tcPr>
            <w:tcW w:w="6985" w:type="dxa"/>
            <w:noWrap w:val="0"/>
            <w:vAlign w:val="center"/>
          </w:tcPr>
          <w:p>
            <w:pPr>
              <w:snapToGrid w:val="0"/>
              <w:spacing w:line="300" w:lineRule="auto"/>
              <w:ind w:firstLine="480"/>
              <w:jc w:val="left"/>
              <w:rPr>
                <w:rFonts w:hint="eastAsia" w:ascii="宋体" w:hAnsi="宋体" w:cs="宋体"/>
                <w:sz w:val="24"/>
              </w:rPr>
            </w:pPr>
          </w:p>
        </w:tc>
      </w:tr>
    </w:tbl>
    <w:p>
      <w:pPr>
        <w:adjustRightInd w:val="0"/>
        <w:snapToGrid w:val="0"/>
        <w:ind w:firstLine="422"/>
        <w:rPr>
          <w:rFonts w:ascii="仿宋_GB2312" w:hAnsi="宋体" w:eastAsia="仿宋_GB2312"/>
          <w:b/>
          <w:szCs w:val="21"/>
        </w:rPr>
      </w:pPr>
    </w:p>
    <w:p>
      <w:pPr>
        <w:adjustRightInd w:val="0"/>
        <w:snapToGrid w:val="0"/>
        <w:ind w:firstLine="422"/>
        <w:rPr>
          <w:rFonts w:ascii="宋体" w:hAnsi="宋体"/>
          <w:b/>
          <w:szCs w:val="21"/>
        </w:rPr>
      </w:pPr>
      <w:r>
        <w:rPr>
          <w:rFonts w:hint="eastAsia" w:ascii="仿宋_GB2312" w:hAnsi="宋体" w:eastAsia="仿宋_GB2312"/>
          <w:b/>
          <w:szCs w:val="21"/>
        </w:rPr>
        <w:t>备注：</w:t>
      </w:r>
      <w:r>
        <w:rPr>
          <w:rFonts w:hint="eastAsia" w:ascii="黑体" w:hAnsi="宋体" w:eastAsia="黑体"/>
          <w:szCs w:val="21"/>
        </w:rPr>
        <w:t>投标人在投标总价外另有价格折扣的，应当直接在投标总价中给出</w:t>
      </w:r>
    </w:p>
    <w:p>
      <w:pPr>
        <w:shd w:val="clear" w:color="auto" w:fill="FFFFFF"/>
        <w:snapToGrid w:val="0"/>
        <w:spacing w:line="360" w:lineRule="atLeast"/>
        <w:ind w:left="851" w:firstLine="480"/>
        <w:rPr>
          <w:rFonts w:ascii="宋体" w:hAnsi="宋体"/>
          <w:sz w:val="24"/>
        </w:rPr>
      </w:pPr>
    </w:p>
    <w:p>
      <w:pPr>
        <w:shd w:val="clear" w:color="auto" w:fill="FFFFFF"/>
        <w:snapToGrid w:val="0"/>
        <w:ind w:firstLine="4494" w:firstLineChars="2140"/>
        <w:rPr>
          <w:rFonts w:ascii="宋体" w:hAnsi="宋体"/>
          <w:szCs w:val="21"/>
        </w:rPr>
      </w:pPr>
      <w:r>
        <w:rPr>
          <w:rFonts w:hint="eastAsia" w:ascii="宋体" w:hAnsi="宋体"/>
          <w:szCs w:val="21"/>
        </w:rPr>
        <w:t>投标人名称（单位章）：</w:t>
      </w:r>
    </w:p>
    <w:p>
      <w:pPr>
        <w:adjustRightInd w:val="0"/>
        <w:snapToGrid w:val="0"/>
        <w:ind w:firstLine="4515" w:firstLineChars="2150"/>
        <w:rPr>
          <w:rFonts w:ascii="宋体" w:hAnsi="宋体"/>
          <w:szCs w:val="21"/>
        </w:rPr>
      </w:pPr>
      <w:r>
        <w:rPr>
          <w:rFonts w:hint="eastAsia" w:ascii="宋体" w:hAnsi="宋体"/>
          <w:szCs w:val="21"/>
        </w:rPr>
        <w:t>法定代表人或其授权的代理人(签字)：</w:t>
      </w:r>
    </w:p>
    <w:p>
      <w:pPr>
        <w:adjustRightInd w:val="0"/>
        <w:snapToGrid w:val="0"/>
        <w:ind w:firstLine="4515" w:firstLineChars="2150"/>
        <w:rPr>
          <w:rFonts w:ascii="宋体" w:hAnsi="宋体"/>
          <w:b/>
          <w:szCs w:val="21"/>
        </w:rPr>
      </w:pPr>
      <w:r>
        <w:rPr>
          <w:rFonts w:hint="eastAsia" w:ascii="宋体" w:hAnsi="宋体"/>
          <w:szCs w:val="21"/>
        </w:rPr>
        <w:t>日期：    年    月    日</w:t>
      </w:r>
    </w:p>
    <w:p>
      <w:pPr>
        <w:pStyle w:val="6"/>
        <w:spacing w:before="0"/>
        <w:ind w:firstLine="198" w:firstLineChars="82"/>
        <w:rPr>
          <w:rFonts w:hint="eastAsia"/>
        </w:rPr>
      </w:pPr>
      <w:bookmarkStart w:id="507" w:name="_Toc27917"/>
      <w:bookmarkStart w:id="508" w:name="_Toc526878963"/>
      <w:bookmarkStart w:id="509" w:name="_Toc447272176"/>
      <w:bookmarkStart w:id="510" w:name="_Toc21129"/>
      <w:bookmarkStart w:id="511" w:name="_Toc493013087"/>
      <w:bookmarkStart w:id="512" w:name="_Toc459623020"/>
      <w:bookmarkStart w:id="513" w:name="_Toc30335"/>
      <w:bookmarkStart w:id="514" w:name="_Toc447207040"/>
      <w:bookmarkStart w:id="515" w:name="_Toc139965363"/>
    </w:p>
    <w:p>
      <w:pPr>
        <w:rPr>
          <w:rFonts w:hint="eastAsia"/>
        </w:rPr>
      </w:pPr>
    </w:p>
    <w:p>
      <w:pPr>
        <w:pStyle w:val="45"/>
        <w:rPr>
          <w:rFonts w:hint="eastAsia"/>
        </w:rPr>
      </w:pPr>
    </w:p>
    <w:p>
      <w:pPr>
        <w:pStyle w:val="6"/>
        <w:spacing w:before="0"/>
        <w:ind w:firstLine="198" w:firstLineChars="82"/>
      </w:pPr>
      <w:r>
        <w:rPr>
          <w:rFonts w:hint="eastAsia"/>
        </w:rPr>
        <w:t>附件6：分项报价表</w:t>
      </w:r>
      <w:bookmarkEnd w:id="507"/>
      <w:bookmarkEnd w:id="508"/>
      <w:bookmarkEnd w:id="509"/>
      <w:bookmarkEnd w:id="510"/>
      <w:bookmarkEnd w:id="511"/>
      <w:bookmarkEnd w:id="512"/>
      <w:bookmarkEnd w:id="513"/>
      <w:bookmarkEnd w:id="514"/>
    </w:p>
    <w:bookmarkEnd w:id="515"/>
    <w:p>
      <w:pPr>
        <w:ind w:firstLine="480"/>
        <w:rPr>
          <w:rFonts w:ascii="宋体"/>
          <w:bCs/>
          <w:sz w:val="24"/>
        </w:rPr>
      </w:pPr>
      <w:r>
        <w:rPr>
          <w:rFonts w:hint="eastAsia"/>
          <w:sz w:val="24"/>
        </w:rPr>
        <w:t>项目名称：</w:t>
      </w:r>
    </w:p>
    <w:p>
      <w:pPr>
        <w:snapToGrid w:val="0"/>
        <w:spacing w:line="300" w:lineRule="auto"/>
        <w:ind w:firstLine="480"/>
        <w:rPr>
          <w:bCs/>
          <w:sz w:val="24"/>
        </w:rPr>
      </w:pPr>
      <w:r>
        <w:rPr>
          <w:rFonts w:hint="eastAsia"/>
          <w:sz w:val="24"/>
        </w:rPr>
        <w:t>招标文件编号：</w:t>
      </w:r>
    </w:p>
    <w:tbl>
      <w:tblPr>
        <w:tblStyle w:val="38"/>
        <w:tblW w:w="927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28"/>
        <w:gridCol w:w="1397"/>
        <w:gridCol w:w="1559"/>
        <w:gridCol w:w="919"/>
        <w:gridCol w:w="1208"/>
        <w:gridCol w:w="952"/>
        <w:gridCol w:w="1080"/>
        <w:gridCol w:w="12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8" w:type="dxa"/>
            <w:vMerge w:val="restart"/>
            <w:tcBorders>
              <w:top w:val="double" w:color="auto" w:sz="4" w:space="0"/>
              <w:left w:val="double" w:color="auto" w:sz="4" w:space="0"/>
              <w:right w:val="single" w:color="auto" w:sz="4" w:space="0"/>
            </w:tcBorders>
            <w:noWrap w:val="0"/>
            <w:vAlign w:val="center"/>
          </w:tcPr>
          <w:p>
            <w:pPr>
              <w:ind w:firstLine="0" w:firstLineChars="0"/>
              <w:jc w:val="center"/>
              <w:rPr>
                <w:rFonts w:ascii="宋体" w:hAnsi="宋体"/>
                <w:szCs w:val="21"/>
              </w:rPr>
            </w:pPr>
            <w:r>
              <w:rPr>
                <w:rFonts w:hint="eastAsia" w:ascii="宋体" w:hAnsi="宋体"/>
                <w:szCs w:val="21"/>
              </w:rPr>
              <w:t>品目号</w:t>
            </w:r>
          </w:p>
        </w:tc>
        <w:tc>
          <w:tcPr>
            <w:tcW w:w="1397" w:type="dxa"/>
            <w:vMerge w:val="restart"/>
            <w:tcBorders>
              <w:top w:val="double" w:color="auto" w:sz="4" w:space="0"/>
              <w:left w:val="single" w:color="auto" w:sz="4" w:space="0"/>
              <w:right w:val="single" w:color="000000" w:sz="6" w:space="0"/>
            </w:tcBorders>
            <w:noWrap w:val="0"/>
            <w:vAlign w:val="center"/>
          </w:tcPr>
          <w:p>
            <w:pPr>
              <w:ind w:firstLine="420"/>
              <w:jc w:val="center"/>
              <w:rPr>
                <w:rFonts w:ascii="宋体" w:hAnsi="宋体"/>
                <w:szCs w:val="21"/>
              </w:rPr>
            </w:pPr>
            <w:r>
              <w:rPr>
                <w:rFonts w:hint="eastAsia" w:ascii="宋体" w:hAnsi="宋体"/>
                <w:szCs w:val="21"/>
              </w:rPr>
              <w:t>货物名称</w:t>
            </w:r>
          </w:p>
        </w:tc>
        <w:tc>
          <w:tcPr>
            <w:tcW w:w="1559" w:type="dxa"/>
            <w:vMerge w:val="restart"/>
            <w:tcBorders>
              <w:top w:val="double" w:color="auto" w:sz="4" w:space="0"/>
              <w:left w:val="single" w:color="000000" w:sz="6" w:space="0"/>
              <w:right w:val="single" w:color="auto" w:sz="4" w:space="0"/>
            </w:tcBorders>
            <w:noWrap w:val="0"/>
            <w:vAlign w:val="center"/>
          </w:tcPr>
          <w:p>
            <w:pPr>
              <w:ind w:firstLine="199" w:firstLineChars="95"/>
              <w:jc w:val="center"/>
              <w:rPr>
                <w:rFonts w:ascii="宋体" w:hAnsi="宋体"/>
                <w:szCs w:val="21"/>
              </w:rPr>
            </w:pPr>
            <w:r>
              <w:rPr>
                <w:rFonts w:hint="eastAsia" w:ascii="宋体" w:hAnsi="宋体"/>
                <w:szCs w:val="21"/>
              </w:rPr>
              <w:t>规格型号</w:t>
            </w:r>
          </w:p>
        </w:tc>
        <w:tc>
          <w:tcPr>
            <w:tcW w:w="919" w:type="dxa"/>
            <w:vMerge w:val="restart"/>
            <w:tcBorders>
              <w:top w:val="double" w:color="auto" w:sz="4" w:space="0"/>
              <w:left w:val="single" w:color="auto" w:sz="4" w:space="0"/>
              <w:right w:val="single" w:color="000000" w:sz="6" w:space="0"/>
            </w:tcBorders>
            <w:noWrap w:val="0"/>
            <w:vAlign w:val="center"/>
          </w:tcPr>
          <w:p>
            <w:pPr>
              <w:ind w:firstLine="0" w:firstLineChars="0"/>
              <w:jc w:val="center"/>
              <w:rPr>
                <w:rFonts w:ascii="宋体" w:hAnsi="宋体"/>
                <w:szCs w:val="21"/>
              </w:rPr>
            </w:pPr>
            <w:r>
              <w:rPr>
                <w:rFonts w:hint="eastAsia" w:ascii="宋体" w:hAnsi="宋体"/>
                <w:szCs w:val="21"/>
              </w:rPr>
              <w:t>原产地</w:t>
            </w:r>
          </w:p>
        </w:tc>
        <w:tc>
          <w:tcPr>
            <w:tcW w:w="1208" w:type="dxa"/>
            <w:vMerge w:val="restart"/>
            <w:tcBorders>
              <w:top w:val="double" w:color="auto" w:sz="4" w:space="0"/>
              <w:left w:val="single" w:color="000000" w:sz="6" w:space="0"/>
              <w:right w:val="single" w:color="000000" w:sz="6" w:space="0"/>
            </w:tcBorders>
            <w:noWrap w:val="0"/>
            <w:vAlign w:val="center"/>
          </w:tcPr>
          <w:p>
            <w:pPr>
              <w:ind w:firstLine="0" w:firstLineChars="0"/>
              <w:jc w:val="center"/>
              <w:rPr>
                <w:rFonts w:ascii="宋体" w:hAnsi="宋体"/>
                <w:szCs w:val="21"/>
              </w:rPr>
            </w:pPr>
            <w:r>
              <w:rPr>
                <w:rFonts w:hint="eastAsia" w:ascii="宋体" w:hAnsi="宋体"/>
                <w:szCs w:val="21"/>
              </w:rPr>
              <w:t>制造商名称</w:t>
            </w:r>
          </w:p>
        </w:tc>
        <w:tc>
          <w:tcPr>
            <w:tcW w:w="952" w:type="dxa"/>
            <w:vMerge w:val="restart"/>
            <w:tcBorders>
              <w:top w:val="double" w:color="auto" w:sz="4" w:space="0"/>
              <w:left w:val="single" w:color="000000" w:sz="6" w:space="0"/>
              <w:right w:val="single" w:color="000000" w:sz="6" w:space="0"/>
            </w:tcBorders>
            <w:noWrap w:val="0"/>
            <w:vAlign w:val="center"/>
          </w:tcPr>
          <w:p>
            <w:pPr>
              <w:ind w:firstLine="0" w:firstLineChars="0"/>
              <w:jc w:val="center"/>
              <w:rPr>
                <w:rFonts w:ascii="宋体" w:hAnsi="宋体"/>
                <w:szCs w:val="21"/>
              </w:rPr>
            </w:pPr>
            <w:r>
              <w:rPr>
                <w:rFonts w:hint="eastAsia" w:ascii="宋体" w:hAnsi="宋体"/>
                <w:szCs w:val="21"/>
              </w:rPr>
              <w:t>数量</w:t>
            </w:r>
          </w:p>
          <w:p>
            <w:pPr>
              <w:ind w:firstLine="0" w:firstLineChars="0"/>
              <w:jc w:val="center"/>
              <w:rPr>
                <w:rFonts w:ascii="宋体" w:hAnsi="宋体"/>
                <w:bCs/>
                <w:szCs w:val="21"/>
              </w:rPr>
            </w:pPr>
            <w:r>
              <w:rPr>
                <w:rFonts w:hint="eastAsia" w:ascii="宋体" w:hAnsi="宋体"/>
                <w:bCs/>
                <w:szCs w:val="21"/>
              </w:rPr>
              <w:t>（台/套）</w:t>
            </w:r>
          </w:p>
        </w:tc>
        <w:tc>
          <w:tcPr>
            <w:tcW w:w="2307" w:type="dxa"/>
            <w:gridSpan w:val="2"/>
            <w:tcBorders>
              <w:top w:val="double" w:color="auto" w:sz="4" w:space="0"/>
              <w:left w:val="single" w:color="000000" w:sz="6" w:space="0"/>
              <w:bottom w:val="single" w:color="auto" w:sz="4" w:space="0"/>
              <w:right w:val="double" w:color="auto" w:sz="4" w:space="0"/>
            </w:tcBorders>
            <w:noWrap w:val="0"/>
            <w:vAlign w:val="center"/>
          </w:tcPr>
          <w:p>
            <w:pPr>
              <w:ind w:firstLine="420"/>
              <w:jc w:val="center"/>
              <w:rPr>
                <w:rFonts w:ascii="宋体" w:hAnsi="宋体"/>
                <w:szCs w:val="21"/>
              </w:rPr>
            </w:pPr>
            <w:r>
              <w:rPr>
                <w:rFonts w:hint="eastAsia" w:ascii="宋体" w:hAnsi="宋体"/>
                <w:szCs w:val="21"/>
              </w:rPr>
              <w:t>价格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 w:hRule="atLeast"/>
          <w:jc w:val="center"/>
        </w:trPr>
        <w:tc>
          <w:tcPr>
            <w:tcW w:w="928" w:type="dxa"/>
            <w:vMerge w:val="continue"/>
            <w:tcBorders>
              <w:left w:val="double" w:color="auto" w:sz="4" w:space="0"/>
              <w:bottom w:val="single" w:color="auto" w:sz="4" w:space="0"/>
              <w:right w:val="single" w:color="auto" w:sz="4" w:space="0"/>
            </w:tcBorders>
            <w:noWrap w:val="0"/>
            <w:vAlign w:val="center"/>
          </w:tcPr>
          <w:p>
            <w:pPr>
              <w:ind w:firstLine="420"/>
              <w:jc w:val="center"/>
              <w:rPr>
                <w:rFonts w:ascii="宋体" w:hAnsi="宋体"/>
                <w:szCs w:val="21"/>
              </w:rPr>
            </w:pPr>
          </w:p>
        </w:tc>
        <w:tc>
          <w:tcPr>
            <w:tcW w:w="1397" w:type="dxa"/>
            <w:vMerge w:val="continue"/>
            <w:tcBorders>
              <w:left w:val="single" w:color="auto" w:sz="4" w:space="0"/>
              <w:bottom w:val="single" w:color="auto" w:sz="4" w:space="0"/>
              <w:right w:val="single" w:color="000000" w:sz="6" w:space="0"/>
            </w:tcBorders>
            <w:noWrap w:val="0"/>
            <w:vAlign w:val="center"/>
          </w:tcPr>
          <w:p>
            <w:pPr>
              <w:ind w:firstLine="420"/>
              <w:jc w:val="center"/>
              <w:rPr>
                <w:rFonts w:ascii="宋体" w:hAnsi="宋体"/>
                <w:szCs w:val="21"/>
              </w:rPr>
            </w:pPr>
          </w:p>
        </w:tc>
        <w:tc>
          <w:tcPr>
            <w:tcW w:w="1559" w:type="dxa"/>
            <w:vMerge w:val="continue"/>
            <w:tcBorders>
              <w:left w:val="single" w:color="000000" w:sz="6" w:space="0"/>
              <w:bottom w:val="single" w:color="auto" w:sz="4" w:space="0"/>
              <w:right w:val="single" w:color="auto" w:sz="4" w:space="0"/>
            </w:tcBorders>
            <w:noWrap w:val="0"/>
            <w:vAlign w:val="center"/>
          </w:tcPr>
          <w:p>
            <w:pPr>
              <w:ind w:firstLine="420"/>
              <w:jc w:val="center"/>
              <w:rPr>
                <w:rFonts w:ascii="宋体" w:hAnsi="宋体"/>
                <w:szCs w:val="21"/>
              </w:rPr>
            </w:pPr>
          </w:p>
        </w:tc>
        <w:tc>
          <w:tcPr>
            <w:tcW w:w="919" w:type="dxa"/>
            <w:vMerge w:val="continue"/>
            <w:tcBorders>
              <w:left w:val="single" w:color="auto" w:sz="4" w:space="0"/>
              <w:bottom w:val="single" w:color="auto" w:sz="4" w:space="0"/>
              <w:right w:val="single" w:color="000000" w:sz="6" w:space="0"/>
            </w:tcBorders>
            <w:noWrap w:val="0"/>
            <w:vAlign w:val="center"/>
          </w:tcPr>
          <w:p>
            <w:pPr>
              <w:ind w:firstLine="420"/>
              <w:jc w:val="center"/>
              <w:rPr>
                <w:rFonts w:ascii="宋体" w:hAnsi="宋体"/>
                <w:szCs w:val="21"/>
              </w:rPr>
            </w:pPr>
          </w:p>
        </w:tc>
        <w:tc>
          <w:tcPr>
            <w:tcW w:w="1208" w:type="dxa"/>
            <w:vMerge w:val="continue"/>
            <w:tcBorders>
              <w:left w:val="single" w:color="000000" w:sz="6" w:space="0"/>
              <w:bottom w:val="single" w:color="auto" w:sz="4" w:space="0"/>
              <w:right w:val="single" w:color="000000" w:sz="6" w:space="0"/>
            </w:tcBorders>
            <w:noWrap w:val="0"/>
            <w:vAlign w:val="center"/>
          </w:tcPr>
          <w:p>
            <w:pPr>
              <w:ind w:firstLine="420"/>
              <w:jc w:val="center"/>
              <w:rPr>
                <w:rFonts w:ascii="宋体" w:hAnsi="宋体"/>
                <w:szCs w:val="21"/>
              </w:rPr>
            </w:pPr>
          </w:p>
        </w:tc>
        <w:tc>
          <w:tcPr>
            <w:tcW w:w="952" w:type="dxa"/>
            <w:vMerge w:val="continue"/>
            <w:tcBorders>
              <w:left w:val="single" w:color="000000" w:sz="6" w:space="0"/>
              <w:bottom w:val="single" w:color="auto" w:sz="4" w:space="0"/>
              <w:right w:val="single" w:color="000000" w:sz="6" w:space="0"/>
            </w:tcBorders>
            <w:noWrap w:val="0"/>
            <w:vAlign w:val="center"/>
          </w:tcPr>
          <w:p>
            <w:pPr>
              <w:ind w:firstLine="420"/>
              <w:jc w:val="center"/>
              <w:rPr>
                <w:rFonts w:ascii="宋体" w:hAnsi="宋体"/>
                <w:szCs w:val="21"/>
              </w:rPr>
            </w:pPr>
          </w:p>
        </w:tc>
        <w:tc>
          <w:tcPr>
            <w:tcW w:w="1080" w:type="dxa"/>
            <w:tcBorders>
              <w:top w:val="single" w:color="auto" w:sz="4" w:space="0"/>
              <w:left w:val="single" w:color="000000" w:sz="6" w:space="0"/>
              <w:bottom w:val="single" w:color="auto" w:sz="4" w:space="0"/>
              <w:right w:val="single" w:color="000000" w:sz="6" w:space="0"/>
            </w:tcBorders>
            <w:noWrap w:val="0"/>
            <w:vAlign w:val="center"/>
          </w:tcPr>
          <w:p>
            <w:pPr>
              <w:ind w:firstLine="199" w:firstLineChars="95"/>
              <w:jc w:val="center"/>
              <w:rPr>
                <w:rFonts w:ascii="宋体" w:hAnsi="宋体"/>
                <w:szCs w:val="21"/>
              </w:rPr>
            </w:pPr>
            <w:r>
              <w:rPr>
                <w:rFonts w:hint="eastAsia" w:ascii="宋体" w:hAnsi="宋体"/>
                <w:szCs w:val="21"/>
              </w:rPr>
              <w:t>单价</w:t>
            </w:r>
          </w:p>
        </w:tc>
        <w:tc>
          <w:tcPr>
            <w:tcW w:w="1227" w:type="dxa"/>
            <w:tcBorders>
              <w:top w:val="single" w:color="auto" w:sz="4" w:space="0"/>
              <w:left w:val="single" w:color="000000" w:sz="6" w:space="0"/>
              <w:bottom w:val="single" w:color="auto" w:sz="4" w:space="0"/>
              <w:right w:val="double" w:color="auto" w:sz="4" w:space="0"/>
            </w:tcBorders>
            <w:noWrap w:val="0"/>
            <w:vAlign w:val="center"/>
          </w:tcPr>
          <w:p>
            <w:pPr>
              <w:ind w:firstLine="199" w:firstLineChars="95"/>
              <w:jc w:val="center"/>
              <w:rPr>
                <w:rFonts w:ascii="宋体" w:hAnsi="宋体"/>
                <w:szCs w:val="21"/>
              </w:rPr>
            </w:pPr>
            <w:r>
              <w:rPr>
                <w:rFonts w:hint="eastAsia" w:ascii="宋体" w:hAnsi="宋体"/>
                <w:szCs w:val="21"/>
              </w:rPr>
              <w:t>合计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8" w:type="dxa"/>
            <w:tcBorders>
              <w:top w:val="single" w:color="auto" w:sz="4" w:space="0"/>
              <w:left w:val="double" w:color="auto" w:sz="4" w:space="0"/>
              <w:bottom w:val="single" w:color="000000" w:sz="6" w:space="0"/>
              <w:right w:val="single" w:color="auto" w:sz="4" w:space="0"/>
            </w:tcBorders>
            <w:noWrap w:val="0"/>
            <w:vAlign w:val="center"/>
          </w:tcPr>
          <w:p>
            <w:pPr>
              <w:ind w:firstLine="420"/>
              <w:rPr>
                <w:rFonts w:ascii="宋体" w:hAnsi="宋体"/>
                <w:szCs w:val="21"/>
              </w:rPr>
            </w:pPr>
            <w:r>
              <w:rPr>
                <w:rFonts w:hint="eastAsia" w:ascii="宋体" w:hAnsi="宋体"/>
                <w:szCs w:val="21"/>
              </w:rPr>
              <w:t>1</w:t>
            </w:r>
          </w:p>
        </w:tc>
        <w:tc>
          <w:tcPr>
            <w:tcW w:w="1397" w:type="dxa"/>
            <w:tcBorders>
              <w:top w:val="single" w:color="auto" w:sz="4" w:space="0"/>
              <w:left w:val="single" w:color="auto" w:sz="4" w:space="0"/>
              <w:bottom w:val="single" w:color="000000" w:sz="6" w:space="0"/>
              <w:right w:val="single" w:color="000000" w:sz="6" w:space="0"/>
            </w:tcBorders>
            <w:noWrap w:val="0"/>
            <w:vAlign w:val="center"/>
          </w:tcPr>
          <w:p>
            <w:pPr>
              <w:ind w:firstLine="420"/>
              <w:jc w:val="center"/>
              <w:rPr>
                <w:rFonts w:ascii="宋体" w:hAnsi="宋体"/>
                <w:szCs w:val="21"/>
              </w:rPr>
            </w:pPr>
          </w:p>
        </w:tc>
        <w:tc>
          <w:tcPr>
            <w:tcW w:w="1559" w:type="dxa"/>
            <w:tcBorders>
              <w:top w:val="single" w:color="auto" w:sz="4" w:space="0"/>
              <w:left w:val="single" w:color="000000" w:sz="6" w:space="0"/>
              <w:bottom w:val="single" w:color="000000" w:sz="6" w:space="0"/>
              <w:right w:val="single" w:color="auto" w:sz="4" w:space="0"/>
            </w:tcBorders>
            <w:noWrap w:val="0"/>
            <w:vAlign w:val="center"/>
          </w:tcPr>
          <w:p>
            <w:pPr>
              <w:ind w:firstLine="420"/>
              <w:jc w:val="center"/>
              <w:rPr>
                <w:rFonts w:ascii="宋体" w:hAnsi="宋体"/>
                <w:bCs/>
                <w:szCs w:val="21"/>
              </w:rPr>
            </w:pPr>
          </w:p>
        </w:tc>
        <w:tc>
          <w:tcPr>
            <w:tcW w:w="919" w:type="dxa"/>
            <w:tcBorders>
              <w:top w:val="single" w:color="auto" w:sz="4" w:space="0"/>
              <w:left w:val="single" w:color="auto" w:sz="4"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208" w:type="dxa"/>
            <w:tcBorders>
              <w:top w:val="single" w:color="auto" w:sz="4"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952" w:type="dxa"/>
            <w:tcBorders>
              <w:top w:val="single" w:color="auto" w:sz="4"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080" w:type="dxa"/>
            <w:tcBorders>
              <w:top w:val="single" w:color="auto" w:sz="4"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227" w:type="dxa"/>
            <w:tcBorders>
              <w:top w:val="single" w:color="auto" w:sz="4" w:space="0"/>
              <w:left w:val="single" w:color="000000" w:sz="6" w:space="0"/>
              <w:bottom w:val="single" w:color="auto" w:sz="4" w:space="0"/>
              <w:right w:val="double" w:color="auto" w:sz="4" w:space="0"/>
            </w:tcBorders>
            <w:noWrap w:val="0"/>
            <w:vAlign w:val="center"/>
          </w:tcPr>
          <w:p>
            <w:pPr>
              <w:ind w:firstLine="420"/>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8" w:type="dxa"/>
            <w:tcBorders>
              <w:top w:val="single" w:color="000000" w:sz="6" w:space="0"/>
              <w:left w:val="double" w:color="auto" w:sz="4" w:space="0"/>
              <w:bottom w:val="single" w:color="000000" w:sz="6" w:space="0"/>
              <w:right w:val="single" w:color="auto" w:sz="4" w:space="0"/>
            </w:tcBorders>
            <w:noWrap w:val="0"/>
            <w:vAlign w:val="center"/>
          </w:tcPr>
          <w:p>
            <w:pPr>
              <w:ind w:firstLine="420"/>
              <w:rPr>
                <w:rFonts w:ascii="宋体" w:hAnsi="宋体"/>
                <w:szCs w:val="21"/>
              </w:rPr>
            </w:pPr>
            <w:r>
              <w:rPr>
                <w:rFonts w:hint="eastAsia" w:ascii="宋体" w:hAnsi="宋体"/>
                <w:szCs w:val="21"/>
              </w:rPr>
              <w:t>2</w:t>
            </w:r>
          </w:p>
        </w:tc>
        <w:tc>
          <w:tcPr>
            <w:tcW w:w="1397" w:type="dxa"/>
            <w:tcBorders>
              <w:top w:val="single" w:color="000000" w:sz="6" w:space="0"/>
              <w:left w:val="single" w:color="auto" w:sz="4" w:space="0"/>
              <w:bottom w:val="single" w:color="000000" w:sz="6" w:space="0"/>
              <w:right w:val="single" w:color="000000" w:sz="6" w:space="0"/>
            </w:tcBorders>
            <w:noWrap w:val="0"/>
            <w:vAlign w:val="center"/>
          </w:tcPr>
          <w:p>
            <w:pPr>
              <w:ind w:firstLine="420"/>
              <w:jc w:val="center"/>
              <w:rPr>
                <w:rFonts w:ascii="宋体" w:hAnsi="宋体"/>
                <w:szCs w:val="21"/>
              </w:rPr>
            </w:pPr>
          </w:p>
        </w:tc>
        <w:tc>
          <w:tcPr>
            <w:tcW w:w="1559" w:type="dxa"/>
            <w:tcBorders>
              <w:top w:val="single" w:color="000000" w:sz="6" w:space="0"/>
              <w:left w:val="single" w:color="000000" w:sz="6" w:space="0"/>
              <w:bottom w:val="single" w:color="000000" w:sz="6" w:space="0"/>
              <w:right w:val="single" w:color="auto" w:sz="4" w:space="0"/>
            </w:tcBorders>
            <w:noWrap w:val="0"/>
            <w:vAlign w:val="center"/>
          </w:tcPr>
          <w:p>
            <w:pPr>
              <w:ind w:firstLine="420"/>
              <w:jc w:val="center"/>
              <w:rPr>
                <w:rFonts w:ascii="宋体" w:hAnsi="宋体"/>
                <w:bCs/>
                <w:szCs w:val="21"/>
              </w:rPr>
            </w:pPr>
          </w:p>
        </w:tc>
        <w:tc>
          <w:tcPr>
            <w:tcW w:w="919" w:type="dxa"/>
            <w:tcBorders>
              <w:top w:val="single" w:color="000000" w:sz="6" w:space="0"/>
              <w:left w:val="single" w:color="auto" w:sz="4"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208" w:type="dxa"/>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952" w:type="dxa"/>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227" w:type="dxa"/>
            <w:tcBorders>
              <w:top w:val="single" w:color="auto" w:sz="4" w:space="0"/>
              <w:left w:val="single" w:color="000000" w:sz="6" w:space="0"/>
              <w:bottom w:val="single" w:color="auto" w:sz="4" w:space="0"/>
              <w:right w:val="double" w:color="auto" w:sz="4" w:space="0"/>
            </w:tcBorders>
            <w:noWrap w:val="0"/>
            <w:vAlign w:val="center"/>
          </w:tcPr>
          <w:p>
            <w:pPr>
              <w:ind w:firstLine="420"/>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8" w:type="dxa"/>
            <w:tcBorders>
              <w:top w:val="single" w:color="000000" w:sz="6" w:space="0"/>
              <w:left w:val="double" w:color="auto" w:sz="4" w:space="0"/>
              <w:bottom w:val="single" w:color="000000" w:sz="6" w:space="0"/>
              <w:right w:val="single" w:color="auto" w:sz="4" w:space="0"/>
            </w:tcBorders>
            <w:noWrap w:val="0"/>
            <w:vAlign w:val="center"/>
          </w:tcPr>
          <w:p>
            <w:pPr>
              <w:ind w:firstLine="420"/>
              <w:rPr>
                <w:rFonts w:ascii="宋体" w:hAnsi="宋体"/>
                <w:szCs w:val="21"/>
              </w:rPr>
            </w:pPr>
            <w:r>
              <w:rPr>
                <w:rFonts w:ascii="宋体" w:hAnsi="宋体"/>
                <w:szCs w:val="21"/>
              </w:rPr>
              <w:t>…</w:t>
            </w:r>
          </w:p>
        </w:tc>
        <w:tc>
          <w:tcPr>
            <w:tcW w:w="1397" w:type="dxa"/>
            <w:tcBorders>
              <w:top w:val="single" w:color="000000" w:sz="6" w:space="0"/>
              <w:left w:val="single" w:color="auto" w:sz="4" w:space="0"/>
              <w:bottom w:val="single" w:color="000000" w:sz="6" w:space="0"/>
              <w:right w:val="single" w:color="000000" w:sz="6" w:space="0"/>
            </w:tcBorders>
            <w:noWrap w:val="0"/>
            <w:vAlign w:val="center"/>
          </w:tcPr>
          <w:p>
            <w:pPr>
              <w:ind w:firstLine="420"/>
              <w:jc w:val="center"/>
              <w:rPr>
                <w:rFonts w:ascii="宋体" w:hAnsi="宋体"/>
                <w:szCs w:val="21"/>
              </w:rPr>
            </w:pPr>
          </w:p>
        </w:tc>
        <w:tc>
          <w:tcPr>
            <w:tcW w:w="1559" w:type="dxa"/>
            <w:tcBorders>
              <w:top w:val="single" w:color="000000" w:sz="6" w:space="0"/>
              <w:left w:val="single" w:color="000000" w:sz="6" w:space="0"/>
              <w:bottom w:val="single" w:color="000000" w:sz="6" w:space="0"/>
              <w:right w:val="single" w:color="auto" w:sz="4" w:space="0"/>
            </w:tcBorders>
            <w:noWrap w:val="0"/>
            <w:vAlign w:val="center"/>
          </w:tcPr>
          <w:p>
            <w:pPr>
              <w:ind w:firstLine="420"/>
              <w:jc w:val="center"/>
              <w:rPr>
                <w:rFonts w:ascii="宋体" w:hAnsi="宋体"/>
                <w:bCs/>
                <w:szCs w:val="21"/>
              </w:rPr>
            </w:pPr>
          </w:p>
        </w:tc>
        <w:tc>
          <w:tcPr>
            <w:tcW w:w="919" w:type="dxa"/>
            <w:tcBorders>
              <w:top w:val="single" w:color="000000" w:sz="6" w:space="0"/>
              <w:left w:val="single" w:color="auto" w:sz="4"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208" w:type="dxa"/>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952" w:type="dxa"/>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227" w:type="dxa"/>
            <w:tcBorders>
              <w:top w:val="single" w:color="auto" w:sz="4" w:space="0"/>
              <w:left w:val="single" w:color="000000" w:sz="6" w:space="0"/>
              <w:bottom w:val="single" w:color="auto" w:sz="4" w:space="0"/>
              <w:right w:val="double" w:color="auto" w:sz="4" w:space="0"/>
            </w:tcBorders>
            <w:noWrap w:val="0"/>
            <w:vAlign w:val="center"/>
          </w:tcPr>
          <w:p>
            <w:pPr>
              <w:ind w:firstLine="420"/>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8" w:type="dxa"/>
            <w:tcBorders>
              <w:top w:val="single" w:color="000000" w:sz="6" w:space="0"/>
              <w:left w:val="double" w:color="auto" w:sz="4" w:space="0"/>
              <w:bottom w:val="single" w:color="000000" w:sz="6" w:space="0"/>
              <w:right w:val="single" w:color="auto" w:sz="4" w:space="0"/>
            </w:tcBorders>
            <w:noWrap w:val="0"/>
            <w:vAlign w:val="center"/>
          </w:tcPr>
          <w:p>
            <w:pPr>
              <w:ind w:firstLine="420"/>
              <w:jc w:val="center"/>
              <w:rPr>
                <w:rFonts w:ascii="宋体" w:hAnsi="宋体"/>
                <w:szCs w:val="21"/>
              </w:rPr>
            </w:pPr>
          </w:p>
        </w:tc>
        <w:tc>
          <w:tcPr>
            <w:tcW w:w="1397" w:type="dxa"/>
            <w:tcBorders>
              <w:top w:val="single" w:color="000000" w:sz="6" w:space="0"/>
              <w:left w:val="single" w:color="auto" w:sz="4" w:space="0"/>
              <w:bottom w:val="single" w:color="000000" w:sz="6" w:space="0"/>
              <w:right w:val="single" w:color="000000" w:sz="6" w:space="0"/>
            </w:tcBorders>
            <w:noWrap w:val="0"/>
            <w:vAlign w:val="center"/>
          </w:tcPr>
          <w:p>
            <w:pPr>
              <w:ind w:firstLine="420"/>
              <w:jc w:val="center"/>
              <w:rPr>
                <w:rFonts w:ascii="宋体" w:hAnsi="宋体"/>
                <w:szCs w:val="21"/>
              </w:rPr>
            </w:pPr>
          </w:p>
        </w:tc>
        <w:tc>
          <w:tcPr>
            <w:tcW w:w="1559" w:type="dxa"/>
            <w:tcBorders>
              <w:top w:val="single" w:color="000000" w:sz="6" w:space="0"/>
              <w:left w:val="single" w:color="000000" w:sz="6" w:space="0"/>
              <w:bottom w:val="single" w:color="000000" w:sz="6" w:space="0"/>
              <w:right w:val="single" w:color="auto" w:sz="4" w:space="0"/>
            </w:tcBorders>
            <w:noWrap w:val="0"/>
            <w:vAlign w:val="center"/>
          </w:tcPr>
          <w:p>
            <w:pPr>
              <w:ind w:firstLine="420"/>
              <w:jc w:val="center"/>
              <w:rPr>
                <w:rFonts w:ascii="宋体" w:hAnsi="宋体"/>
                <w:bCs/>
                <w:szCs w:val="21"/>
              </w:rPr>
            </w:pPr>
          </w:p>
        </w:tc>
        <w:tc>
          <w:tcPr>
            <w:tcW w:w="919" w:type="dxa"/>
            <w:tcBorders>
              <w:top w:val="single" w:color="000000" w:sz="6" w:space="0"/>
              <w:left w:val="single" w:color="auto" w:sz="4"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208" w:type="dxa"/>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952" w:type="dxa"/>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1227" w:type="dxa"/>
            <w:tcBorders>
              <w:top w:val="single" w:color="auto" w:sz="4" w:space="0"/>
              <w:left w:val="single" w:color="000000" w:sz="6" w:space="0"/>
              <w:bottom w:val="single" w:color="auto" w:sz="4" w:space="0"/>
              <w:right w:val="double" w:color="auto" w:sz="4" w:space="0"/>
            </w:tcBorders>
            <w:noWrap w:val="0"/>
            <w:vAlign w:val="center"/>
          </w:tcPr>
          <w:p>
            <w:pPr>
              <w:ind w:firstLine="420"/>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8" w:type="dxa"/>
            <w:tcBorders>
              <w:top w:val="double" w:color="auto" w:sz="4" w:space="0"/>
              <w:left w:val="double" w:color="auto" w:sz="4" w:space="0"/>
              <w:bottom w:val="single" w:color="000000" w:sz="6" w:space="0"/>
              <w:right w:val="single" w:color="auto" w:sz="4" w:space="0"/>
            </w:tcBorders>
            <w:noWrap w:val="0"/>
            <w:vAlign w:val="center"/>
          </w:tcPr>
          <w:p>
            <w:pPr>
              <w:ind w:firstLine="420"/>
              <w:jc w:val="center"/>
              <w:rPr>
                <w:rFonts w:ascii="宋体" w:hAnsi="宋体"/>
                <w:szCs w:val="21"/>
              </w:rPr>
            </w:pPr>
          </w:p>
        </w:tc>
        <w:tc>
          <w:tcPr>
            <w:tcW w:w="1397" w:type="dxa"/>
            <w:tcBorders>
              <w:top w:val="double" w:color="auto" w:sz="4" w:space="0"/>
              <w:left w:val="single" w:color="auto" w:sz="4" w:space="0"/>
              <w:bottom w:val="single" w:color="000000" w:sz="6" w:space="0"/>
              <w:right w:val="single" w:color="000000" w:sz="6" w:space="0"/>
            </w:tcBorders>
            <w:noWrap w:val="0"/>
            <w:vAlign w:val="center"/>
          </w:tcPr>
          <w:p>
            <w:pPr>
              <w:ind w:firstLine="0" w:firstLineChars="0"/>
              <w:jc w:val="center"/>
              <w:rPr>
                <w:rFonts w:ascii="宋体" w:hAnsi="宋体"/>
                <w:szCs w:val="21"/>
              </w:rPr>
            </w:pPr>
            <w:r>
              <w:rPr>
                <w:rFonts w:hint="eastAsia" w:ascii="宋体" w:hAnsi="宋体"/>
                <w:szCs w:val="21"/>
              </w:rPr>
              <w:t>安装调试费</w:t>
            </w:r>
          </w:p>
        </w:tc>
        <w:tc>
          <w:tcPr>
            <w:tcW w:w="4638" w:type="dxa"/>
            <w:gridSpan w:val="4"/>
            <w:tcBorders>
              <w:top w:val="double" w:color="auto" w:sz="4"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2307" w:type="dxa"/>
            <w:gridSpan w:val="2"/>
            <w:tcBorders>
              <w:top w:val="double" w:color="auto" w:sz="4" w:space="0"/>
              <w:left w:val="single" w:color="000000" w:sz="6" w:space="0"/>
              <w:bottom w:val="single" w:color="auto" w:sz="4" w:space="0"/>
              <w:right w:val="double" w:color="auto" w:sz="4" w:space="0"/>
            </w:tcBorders>
            <w:noWrap w:val="0"/>
            <w:vAlign w:val="center"/>
          </w:tcPr>
          <w:p>
            <w:pPr>
              <w:ind w:firstLine="420"/>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8" w:type="dxa"/>
            <w:tcBorders>
              <w:top w:val="single" w:color="000000" w:sz="6" w:space="0"/>
              <w:left w:val="double" w:color="auto" w:sz="4" w:space="0"/>
              <w:bottom w:val="single" w:color="000000" w:sz="6" w:space="0"/>
              <w:right w:val="single" w:color="auto" w:sz="4" w:space="0"/>
            </w:tcBorders>
            <w:noWrap w:val="0"/>
            <w:vAlign w:val="center"/>
          </w:tcPr>
          <w:p>
            <w:pPr>
              <w:ind w:firstLine="420"/>
              <w:jc w:val="center"/>
              <w:rPr>
                <w:rFonts w:ascii="宋体" w:hAnsi="宋体"/>
                <w:szCs w:val="21"/>
              </w:rPr>
            </w:pPr>
          </w:p>
        </w:tc>
        <w:tc>
          <w:tcPr>
            <w:tcW w:w="139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jc w:val="center"/>
              <w:rPr>
                <w:rFonts w:ascii="宋体" w:hAnsi="宋体"/>
                <w:szCs w:val="21"/>
              </w:rPr>
            </w:pPr>
            <w:r>
              <w:rPr>
                <w:rFonts w:hint="eastAsia" w:ascii="宋体" w:hAnsi="宋体"/>
                <w:szCs w:val="21"/>
              </w:rPr>
              <w:t>备品备件费</w:t>
            </w:r>
          </w:p>
        </w:tc>
        <w:tc>
          <w:tcPr>
            <w:tcW w:w="4638" w:type="dxa"/>
            <w:gridSpan w:val="4"/>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2307" w:type="dxa"/>
            <w:gridSpan w:val="2"/>
            <w:tcBorders>
              <w:top w:val="single" w:color="auto" w:sz="4" w:space="0"/>
              <w:left w:val="single" w:color="000000" w:sz="6" w:space="0"/>
              <w:bottom w:val="single" w:color="auto" w:sz="4" w:space="0"/>
              <w:right w:val="double" w:color="auto" w:sz="4" w:space="0"/>
            </w:tcBorders>
            <w:noWrap w:val="0"/>
            <w:vAlign w:val="center"/>
          </w:tcPr>
          <w:p>
            <w:pPr>
              <w:ind w:firstLine="420"/>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8" w:type="dxa"/>
            <w:tcBorders>
              <w:top w:val="single" w:color="000000" w:sz="6" w:space="0"/>
              <w:left w:val="double" w:color="auto" w:sz="4" w:space="0"/>
              <w:bottom w:val="single" w:color="000000" w:sz="6" w:space="0"/>
              <w:right w:val="single" w:color="auto" w:sz="4" w:space="0"/>
            </w:tcBorders>
            <w:noWrap w:val="0"/>
            <w:vAlign w:val="center"/>
          </w:tcPr>
          <w:p>
            <w:pPr>
              <w:ind w:firstLine="420"/>
              <w:jc w:val="center"/>
              <w:rPr>
                <w:rFonts w:ascii="宋体" w:hAnsi="宋体"/>
                <w:szCs w:val="21"/>
              </w:rPr>
            </w:pPr>
          </w:p>
        </w:tc>
        <w:tc>
          <w:tcPr>
            <w:tcW w:w="139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jc w:val="center"/>
              <w:rPr>
                <w:rFonts w:ascii="宋体" w:hAnsi="宋体"/>
                <w:szCs w:val="21"/>
              </w:rPr>
            </w:pPr>
            <w:r>
              <w:rPr>
                <w:rFonts w:hint="eastAsia" w:ascii="宋体" w:hAnsi="宋体"/>
                <w:szCs w:val="21"/>
              </w:rPr>
              <w:t>运输和保险费</w:t>
            </w:r>
          </w:p>
        </w:tc>
        <w:tc>
          <w:tcPr>
            <w:tcW w:w="4638" w:type="dxa"/>
            <w:gridSpan w:val="4"/>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2307" w:type="dxa"/>
            <w:gridSpan w:val="2"/>
            <w:tcBorders>
              <w:top w:val="single" w:color="auto" w:sz="4" w:space="0"/>
              <w:left w:val="single" w:color="000000" w:sz="6" w:space="0"/>
              <w:bottom w:val="single" w:color="auto" w:sz="4" w:space="0"/>
              <w:right w:val="double" w:color="auto" w:sz="4" w:space="0"/>
            </w:tcBorders>
            <w:noWrap w:val="0"/>
            <w:vAlign w:val="center"/>
          </w:tcPr>
          <w:p>
            <w:pPr>
              <w:ind w:firstLine="420"/>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8" w:type="dxa"/>
            <w:tcBorders>
              <w:top w:val="single" w:color="000000" w:sz="6" w:space="0"/>
              <w:left w:val="double" w:color="auto" w:sz="4" w:space="0"/>
              <w:bottom w:val="single" w:color="000000" w:sz="6" w:space="0"/>
              <w:right w:val="single" w:color="auto" w:sz="4" w:space="0"/>
            </w:tcBorders>
            <w:noWrap w:val="0"/>
            <w:vAlign w:val="center"/>
          </w:tcPr>
          <w:p>
            <w:pPr>
              <w:ind w:firstLine="420"/>
              <w:jc w:val="center"/>
              <w:rPr>
                <w:rFonts w:ascii="宋体" w:hAnsi="宋体"/>
                <w:szCs w:val="21"/>
              </w:rPr>
            </w:pPr>
          </w:p>
        </w:tc>
        <w:tc>
          <w:tcPr>
            <w:tcW w:w="139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jc w:val="center"/>
              <w:rPr>
                <w:rFonts w:ascii="宋体" w:hAnsi="宋体"/>
                <w:szCs w:val="21"/>
              </w:rPr>
            </w:pPr>
            <w:r>
              <w:rPr>
                <w:rFonts w:hint="eastAsia" w:ascii="宋体" w:hAnsi="宋体"/>
                <w:szCs w:val="21"/>
              </w:rPr>
              <w:t>技术服务费</w:t>
            </w:r>
          </w:p>
        </w:tc>
        <w:tc>
          <w:tcPr>
            <w:tcW w:w="4638" w:type="dxa"/>
            <w:gridSpan w:val="4"/>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2307" w:type="dxa"/>
            <w:gridSpan w:val="2"/>
            <w:tcBorders>
              <w:top w:val="single" w:color="auto" w:sz="4" w:space="0"/>
              <w:left w:val="single" w:color="000000" w:sz="6" w:space="0"/>
              <w:bottom w:val="single" w:color="auto" w:sz="4" w:space="0"/>
              <w:right w:val="double" w:color="auto" w:sz="4" w:space="0"/>
            </w:tcBorders>
            <w:noWrap w:val="0"/>
            <w:vAlign w:val="center"/>
          </w:tcPr>
          <w:p>
            <w:pPr>
              <w:ind w:firstLine="420"/>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8" w:type="dxa"/>
            <w:tcBorders>
              <w:top w:val="single" w:color="000000" w:sz="6" w:space="0"/>
              <w:left w:val="double" w:color="auto" w:sz="4" w:space="0"/>
              <w:bottom w:val="single" w:color="000000" w:sz="6" w:space="0"/>
              <w:right w:val="single" w:color="auto" w:sz="4" w:space="0"/>
            </w:tcBorders>
            <w:noWrap w:val="0"/>
            <w:vAlign w:val="center"/>
          </w:tcPr>
          <w:p>
            <w:pPr>
              <w:ind w:firstLine="420"/>
              <w:jc w:val="center"/>
              <w:rPr>
                <w:rFonts w:ascii="宋体" w:hAnsi="宋体"/>
                <w:szCs w:val="21"/>
              </w:rPr>
            </w:pPr>
          </w:p>
        </w:tc>
        <w:tc>
          <w:tcPr>
            <w:tcW w:w="1397" w:type="dxa"/>
            <w:tcBorders>
              <w:top w:val="single" w:color="000000" w:sz="6" w:space="0"/>
              <w:left w:val="single" w:color="auto" w:sz="4" w:space="0"/>
              <w:bottom w:val="single" w:color="000000" w:sz="6" w:space="0"/>
              <w:right w:val="single" w:color="000000" w:sz="6" w:space="0"/>
            </w:tcBorders>
            <w:noWrap w:val="0"/>
            <w:vAlign w:val="center"/>
          </w:tcPr>
          <w:p>
            <w:pPr>
              <w:ind w:firstLine="199" w:firstLineChars="95"/>
              <w:jc w:val="center"/>
              <w:rPr>
                <w:rFonts w:ascii="宋体" w:hAnsi="宋体"/>
                <w:szCs w:val="21"/>
              </w:rPr>
            </w:pPr>
            <w:r>
              <w:rPr>
                <w:rFonts w:hint="eastAsia" w:ascii="宋体" w:hAnsi="宋体"/>
                <w:szCs w:val="21"/>
              </w:rPr>
              <w:t>税金</w:t>
            </w:r>
          </w:p>
        </w:tc>
        <w:tc>
          <w:tcPr>
            <w:tcW w:w="4638" w:type="dxa"/>
            <w:gridSpan w:val="4"/>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2307" w:type="dxa"/>
            <w:gridSpan w:val="2"/>
            <w:tcBorders>
              <w:top w:val="single" w:color="auto" w:sz="4" w:space="0"/>
              <w:left w:val="single" w:color="000000" w:sz="6" w:space="0"/>
              <w:bottom w:val="single" w:color="auto" w:sz="4" w:space="0"/>
              <w:right w:val="double" w:color="auto" w:sz="4" w:space="0"/>
            </w:tcBorders>
            <w:noWrap w:val="0"/>
            <w:vAlign w:val="center"/>
          </w:tcPr>
          <w:p>
            <w:pPr>
              <w:ind w:firstLine="420"/>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8" w:type="dxa"/>
            <w:tcBorders>
              <w:top w:val="single" w:color="000000" w:sz="6" w:space="0"/>
              <w:left w:val="double" w:color="auto" w:sz="4" w:space="0"/>
              <w:bottom w:val="single" w:color="000000" w:sz="6" w:space="0"/>
              <w:right w:val="single" w:color="auto" w:sz="4" w:space="0"/>
            </w:tcBorders>
            <w:noWrap w:val="0"/>
            <w:vAlign w:val="center"/>
          </w:tcPr>
          <w:p>
            <w:pPr>
              <w:ind w:firstLine="420"/>
              <w:jc w:val="center"/>
              <w:rPr>
                <w:rFonts w:ascii="宋体" w:hAnsi="宋体"/>
                <w:szCs w:val="21"/>
              </w:rPr>
            </w:pPr>
          </w:p>
        </w:tc>
        <w:tc>
          <w:tcPr>
            <w:tcW w:w="1397" w:type="dxa"/>
            <w:tcBorders>
              <w:top w:val="single" w:color="000000" w:sz="6" w:space="0"/>
              <w:left w:val="single" w:color="auto" w:sz="4" w:space="0"/>
              <w:bottom w:val="single" w:color="000000" w:sz="6" w:space="0"/>
              <w:right w:val="single" w:color="000000" w:sz="6" w:space="0"/>
            </w:tcBorders>
            <w:noWrap w:val="0"/>
            <w:vAlign w:val="center"/>
          </w:tcPr>
          <w:p>
            <w:pPr>
              <w:ind w:firstLine="199" w:firstLineChars="95"/>
              <w:jc w:val="center"/>
              <w:rPr>
                <w:rFonts w:ascii="宋体" w:hAnsi="宋体"/>
                <w:szCs w:val="21"/>
              </w:rPr>
            </w:pPr>
            <w:r>
              <w:rPr>
                <w:rFonts w:hint="eastAsia" w:ascii="宋体" w:hAnsi="宋体"/>
                <w:szCs w:val="21"/>
              </w:rPr>
              <w:t>其他</w:t>
            </w:r>
          </w:p>
        </w:tc>
        <w:tc>
          <w:tcPr>
            <w:tcW w:w="4638" w:type="dxa"/>
            <w:gridSpan w:val="4"/>
            <w:tcBorders>
              <w:top w:val="single" w:color="000000" w:sz="6" w:space="0"/>
              <w:left w:val="single" w:color="000000" w:sz="6" w:space="0"/>
              <w:bottom w:val="single" w:color="000000" w:sz="6" w:space="0"/>
              <w:right w:val="single" w:color="000000" w:sz="6" w:space="0"/>
            </w:tcBorders>
            <w:noWrap w:val="0"/>
            <w:vAlign w:val="center"/>
          </w:tcPr>
          <w:p>
            <w:pPr>
              <w:ind w:firstLine="420"/>
              <w:jc w:val="center"/>
              <w:rPr>
                <w:rFonts w:ascii="宋体" w:hAnsi="宋体"/>
                <w:bCs/>
                <w:szCs w:val="21"/>
              </w:rPr>
            </w:pPr>
          </w:p>
        </w:tc>
        <w:tc>
          <w:tcPr>
            <w:tcW w:w="2307" w:type="dxa"/>
            <w:gridSpan w:val="2"/>
            <w:tcBorders>
              <w:top w:val="single" w:color="auto" w:sz="4" w:space="0"/>
              <w:left w:val="single" w:color="000000" w:sz="6" w:space="0"/>
              <w:bottom w:val="single" w:color="auto" w:sz="4" w:space="0"/>
              <w:right w:val="double" w:color="auto" w:sz="4" w:space="0"/>
            </w:tcBorders>
            <w:noWrap w:val="0"/>
            <w:vAlign w:val="center"/>
          </w:tcPr>
          <w:p>
            <w:pPr>
              <w:ind w:firstLine="420"/>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70" w:type="dxa"/>
            <w:gridSpan w:val="8"/>
            <w:tcBorders>
              <w:top w:val="single" w:color="000000" w:sz="6" w:space="0"/>
              <w:left w:val="double" w:color="auto" w:sz="4" w:space="0"/>
              <w:bottom w:val="single" w:color="000000" w:sz="6" w:space="0"/>
              <w:right w:val="double" w:color="auto" w:sz="4" w:space="0"/>
            </w:tcBorders>
            <w:noWrap w:val="0"/>
            <w:vAlign w:val="center"/>
          </w:tcPr>
          <w:p>
            <w:pPr>
              <w:ind w:firstLine="420"/>
              <w:jc w:val="center"/>
              <w:rPr>
                <w:rFonts w:ascii="宋体" w:hAnsi="宋体"/>
                <w:szCs w:val="21"/>
              </w:rPr>
            </w:pPr>
            <w:r>
              <w:rPr>
                <w:rFonts w:hint="eastAsia" w:ascii="宋体" w:hAnsi="宋体"/>
                <w:bCs/>
                <w:szCs w:val="21"/>
              </w:rPr>
              <w:t>投标总价（小写）：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7" w:hRule="atLeast"/>
          <w:jc w:val="center"/>
        </w:trPr>
        <w:tc>
          <w:tcPr>
            <w:tcW w:w="9270" w:type="dxa"/>
            <w:gridSpan w:val="8"/>
            <w:tcBorders>
              <w:top w:val="single" w:color="000000" w:sz="6" w:space="0"/>
              <w:left w:val="double" w:color="auto" w:sz="4" w:space="0"/>
              <w:bottom w:val="double" w:color="auto" w:sz="4" w:space="0"/>
              <w:right w:val="double" w:color="auto" w:sz="4" w:space="0"/>
            </w:tcBorders>
            <w:noWrap w:val="0"/>
            <w:vAlign w:val="center"/>
          </w:tcPr>
          <w:p>
            <w:pPr>
              <w:ind w:firstLine="420"/>
              <w:jc w:val="center"/>
              <w:rPr>
                <w:rFonts w:ascii="宋体" w:hAnsi="宋体"/>
                <w:szCs w:val="21"/>
              </w:rPr>
            </w:pPr>
            <w:r>
              <w:rPr>
                <w:rFonts w:hint="eastAsia" w:ascii="宋体" w:hAnsi="宋体"/>
                <w:szCs w:val="21"/>
              </w:rPr>
              <w:t>投标总价（大写）：</w:t>
            </w:r>
          </w:p>
        </w:tc>
      </w:tr>
    </w:tbl>
    <w:p>
      <w:pPr>
        <w:adjustRightInd w:val="0"/>
        <w:snapToGrid w:val="0"/>
        <w:spacing w:line="440" w:lineRule="exact"/>
        <w:ind w:left="-88" w:leftChars="-42" w:firstLine="422"/>
        <w:rPr>
          <w:bCs/>
          <w:sz w:val="24"/>
        </w:rPr>
      </w:pPr>
      <w:r>
        <w:rPr>
          <w:rFonts w:hint="eastAsia" w:ascii="仿宋_GB2312" w:hAnsi="宋体" w:eastAsia="仿宋_GB2312"/>
          <w:b/>
          <w:szCs w:val="21"/>
        </w:rPr>
        <w:t>备注：</w:t>
      </w:r>
    </w:p>
    <w:p>
      <w:pPr>
        <w:spacing w:line="300" w:lineRule="auto"/>
        <w:ind w:firstLine="480"/>
        <w:rPr>
          <w:rFonts w:ascii="宋体" w:hAnsi="宋体"/>
          <w:bCs/>
          <w:sz w:val="24"/>
        </w:rPr>
      </w:pPr>
      <w:r>
        <w:rPr>
          <w:rFonts w:hint="eastAsia" w:ascii="宋体" w:hAnsi="宋体"/>
          <w:bCs/>
          <w:sz w:val="24"/>
        </w:rPr>
        <w:t>注：</w:t>
      </w:r>
      <w:r>
        <w:rPr>
          <w:rFonts w:ascii="宋体" w:hAnsi="宋体"/>
          <w:bCs/>
          <w:sz w:val="24"/>
        </w:rPr>
        <w:t>1</w:t>
      </w:r>
      <w:r>
        <w:rPr>
          <w:rFonts w:hint="eastAsia" w:ascii="宋体" w:hAnsi="宋体"/>
          <w:bCs/>
          <w:sz w:val="24"/>
        </w:rPr>
        <w:t>、为方便唱标，请将所投货物的商标、生产厂家为非中文名称的译为中文名称。</w:t>
      </w:r>
    </w:p>
    <w:p>
      <w:pPr>
        <w:adjustRightInd w:val="0"/>
        <w:snapToGrid w:val="0"/>
        <w:spacing w:line="440" w:lineRule="exact"/>
        <w:ind w:left="1037" w:leftChars="208" w:hanging="600" w:hangingChars="250"/>
        <w:rPr>
          <w:rFonts w:ascii="宋体" w:hAnsi="宋体"/>
          <w:sz w:val="24"/>
        </w:rPr>
      </w:pPr>
      <w:r>
        <w:rPr>
          <w:rFonts w:ascii="宋体" w:hAnsi="宋体"/>
          <w:sz w:val="24"/>
        </w:rPr>
        <w:t>2</w:t>
      </w:r>
      <w:r>
        <w:rPr>
          <w:rFonts w:hint="eastAsia" w:ascii="宋体" w:hAnsi="宋体"/>
          <w:sz w:val="24"/>
        </w:rPr>
        <w:t>、单价应包括必不可少的部件、标准备件等费用。</w:t>
      </w:r>
    </w:p>
    <w:p>
      <w:pPr>
        <w:adjustRightInd w:val="0"/>
        <w:snapToGrid w:val="0"/>
        <w:spacing w:line="440" w:lineRule="exact"/>
        <w:ind w:left="-88" w:leftChars="-42" w:firstLine="480"/>
        <w:rPr>
          <w:rFonts w:ascii="宋体" w:hAnsi="宋体"/>
          <w:sz w:val="24"/>
        </w:rPr>
      </w:pPr>
      <w:r>
        <w:rPr>
          <w:rFonts w:hint="eastAsia" w:ascii="宋体" w:hAnsi="宋体"/>
          <w:sz w:val="24"/>
        </w:rPr>
        <w:t xml:space="preserve">     3、如果单价与总价不符时，以单价为准，并修正总价。</w:t>
      </w:r>
    </w:p>
    <w:p>
      <w:pPr>
        <w:spacing w:line="300" w:lineRule="auto"/>
        <w:ind w:firstLine="480"/>
        <w:rPr>
          <w:bCs/>
          <w:sz w:val="24"/>
        </w:rPr>
      </w:pPr>
    </w:p>
    <w:p>
      <w:pPr>
        <w:spacing w:line="300" w:lineRule="auto"/>
        <w:ind w:firstLine="3600" w:firstLineChars="1500"/>
        <w:rPr>
          <w:bCs/>
          <w:sz w:val="24"/>
        </w:rPr>
      </w:pPr>
      <w:r>
        <w:rPr>
          <w:rFonts w:hint="eastAsia"/>
          <w:bCs/>
          <w:sz w:val="24"/>
        </w:rPr>
        <w:t>投标人名称（盖章）：</w:t>
      </w:r>
    </w:p>
    <w:p>
      <w:pPr>
        <w:spacing w:line="300" w:lineRule="auto"/>
        <w:ind w:firstLine="480"/>
        <w:rPr>
          <w:bCs/>
          <w:sz w:val="24"/>
        </w:rPr>
      </w:pPr>
    </w:p>
    <w:p>
      <w:pPr>
        <w:spacing w:line="300" w:lineRule="auto"/>
        <w:ind w:firstLine="3600" w:firstLineChars="1500"/>
        <w:rPr>
          <w:bCs/>
          <w:sz w:val="24"/>
          <w:u w:val="single"/>
        </w:rPr>
      </w:pPr>
      <w:r>
        <w:rPr>
          <w:rFonts w:hint="eastAsia"/>
          <w:bCs/>
          <w:sz w:val="24"/>
        </w:rPr>
        <w:t>法定代表人或授权代表人（签字</w:t>
      </w:r>
      <w:r>
        <w:rPr>
          <w:rFonts w:hint="eastAsia"/>
          <w:sz w:val="24"/>
        </w:rPr>
        <w:t>或印章</w:t>
      </w:r>
      <w:r>
        <w:rPr>
          <w:rFonts w:hint="eastAsia"/>
          <w:bCs/>
          <w:sz w:val="24"/>
        </w:rPr>
        <w:t>）：</w:t>
      </w:r>
    </w:p>
    <w:p>
      <w:pPr>
        <w:spacing w:line="300" w:lineRule="auto"/>
        <w:ind w:firstLine="480"/>
        <w:rPr>
          <w:bCs/>
          <w:sz w:val="24"/>
          <w:u w:val="single"/>
        </w:rPr>
      </w:pPr>
    </w:p>
    <w:p>
      <w:pPr>
        <w:spacing w:line="300" w:lineRule="auto"/>
        <w:ind w:right="600" w:firstLine="5116" w:firstLineChars="2132"/>
        <w:rPr>
          <w:bCs/>
          <w:sz w:val="24"/>
        </w:rPr>
      </w:pPr>
      <w:r>
        <w:rPr>
          <w:rFonts w:hint="eastAsia"/>
          <w:bCs/>
          <w:sz w:val="24"/>
        </w:rPr>
        <w:t>年    月    日</w:t>
      </w:r>
    </w:p>
    <w:p>
      <w:pPr>
        <w:spacing w:line="300" w:lineRule="auto"/>
        <w:ind w:right="600" w:firstLine="6000" w:firstLineChars="2500"/>
        <w:rPr>
          <w:bCs/>
          <w:sz w:val="24"/>
        </w:rPr>
      </w:pPr>
    </w:p>
    <w:p>
      <w:pPr>
        <w:pStyle w:val="6"/>
        <w:ind w:firstLine="0" w:firstLineChars="0"/>
      </w:pPr>
      <w:bookmarkStart w:id="516" w:name="_Toc11946"/>
      <w:bookmarkStart w:id="517" w:name="_Toc447207041"/>
      <w:bookmarkStart w:id="518" w:name="_Toc447272177"/>
      <w:bookmarkStart w:id="519" w:name="_Toc526878964"/>
      <w:bookmarkStart w:id="520" w:name="_Toc459623021"/>
      <w:bookmarkStart w:id="521" w:name="_Toc30459"/>
      <w:bookmarkStart w:id="522" w:name="_Toc493013088"/>
      <w:bookmarkStart w:id="523" w:name="_Toc15479"/>
      <w:r>
        <w:rPr>
          <w:rFonts w:hint="eastAsia"/>
        </w:rPr>
        <w:t>附件7：</w:t>
      </w:r>
      <w:bookmarkStart w:id="524" w:name="_Toc139965364"/>
      <w:r>
        <w:rPr>
          <w:rFonts w:hint="eastAsia"/>
        </w:rPr>
        <w:t>投标商务、货物偏离表</w:t>
      </w:r>
      <w:bookmarkEnd w:id="516"/>
      <w:bookmarkEnd w:id="517"/>
      <w:bookmarkEnd w:id="518"/>
      <w:bookmarkEnd w:id="519"/>
      <w:bookmarkEnd w:id="520"/>
      <w:bookmarkEnd w:id="521"/>
      <w:bookmarkEnd w:id="522"/>
      <w:bookmarkEnd w:id="523"/>
    </w:p>
    <w:bookmarkEnd w:id="524"/>
    <w:p>
      <w:pPr>
        <w:ind w:firstLine="480"/>
        <w:rPr>
          <w:rFonts w:ascii="宋体"/>
          <w:bCs/>
          <w:sz w:val="24"/>
        </w:rPr>
      </w:pPr>
      <w:r>
        <w:rPr>
          <w:rFonts w:hint="eastAsia"/>
          <w:sz w:val="24"/>
        </w:rPr>
        <w:t>项目名称：</w:t>
      </w:r>
    </w:p>
    <w:p>
      <w:pPr>
        <w:snapToGrid w:val="0"/>
        <w:spacing w:line="300" w:lineRule="auto"/>
        <w:ind w:firstLine="480"/>
        <w:rPr>
          <w:bCs/>
          <w:sz w:val="24"/>
        </w:rPr>
      </w:pPr>
      <w:r>
        <w:rPr>
          <w:rFonts w:hint="eastAsia"/>
          <w:sz w:val="24"/>
        </w:rPr>
        <w:t>招标文件编号：</w:t>
      </w:r>
    </w:p>
    <w:tbl>
      <w:tblPr>
        <w:tblStyle w:val="38"/>
        <w:tblW w:w="9678" w:type="dxa"/>
        <w:jc w:val="center"/>
        <w:tblLayout w:type="fixed"/>
        <w:tblCellMar>
          <w:top w:w="0" w:type="dxa"/>
          <w:left w:w="0" w:type="dxa"/>
          <w:bottom w:w="0" w:type="dxa"/>
          <w:right w:w="0" w:type="dxa"/>
        </w:tblCellMar>
      </w:tblPr>
      <w:tblGrid>
        <w:gridCol w:w="606"/>
        <w:gridCol w:w="850"/>
        <w:gridCol w:w="1701"/>
        <w:gridCol w:w="2063"/>
        <w:gridCol w:w="2898"/>
        <w:gridCol w:w="1560"/>
      </w:tblGrid>
      <w:tr>
        <w:tblPrEx>
          <w:tblCellMar>
            <w:top w:w="0" w:type="dxa"/>
            <w:left w:w="0" w:type="dxa"/>
            <w:bottom w:w="0" w:type="dxa"/>
            <w:right w:w="0" w:type="dxa"/>
          </w:tblCellMar>
        </w:tblPrEx>
        <w:trPr>
          <w:cantSplit/>
          <w:trHeight w:val="402"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0" w:firstLineChars="0"/>
              <w:jc w:val="center"/>
              <w:rPr>
                <w:rFonts w:ascii="宋体"/>
                <w:sz w:val="24"/>
              </w:rPr>
            </w:pPr>
            <w:r>
              <w:rPr>
                <w:rFonts w:hint="eastAsia" w:ascii="宋体" w:hAnsi="宋体"/>
                <w:sz w:val="24"/>
              </w:rPr>
              <w:t>序号</w:t>
            </w:r>
          </w:p>
        </w:tc>
        <w:tc>
          <w:tcPr>
            <w:tcW w:w="8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0" w:firstLineChars="0"/>
              <w:jc w:val="center"/>
              <w:rPr>
                <w:rFonts w:ascii="宋体"/>
                <w:sz w:val="24"/>
              </w:rPr>
            </w:pPr>
            <w:r>
              <w:rPr>
                <w:rFonts w:hint="eastAsia" w:ascii="宋体"/>
                <w:sz w:val="24"/>
              </w:rPr>
              <w:t>条目号</w:t>
            </w:r>
          </w:p>
        </w:tc>
        <w:tc>
          <w:tcPr>
            <w:tcW w:w="17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0" w:firstLineChars="0"/>
              <w:jc w:val="center"/>
              <w:rPr>
                <w:rFonts w:ascii="宋体"/>
                <w:sz w:val="24"/>
                <w:highlight w:val="yellow"/>
              </w:rPr>
            </w:pPr>
            <w:r>
              <w:rPr>
                <w:rFonts w:hint="eastAsia" w:ascii="宋体"/>
                <w:sz w:val="24"/>
              </w:rPr>
              <w:t>招标文件商务、货物实际要求</w:t>
            </w:r>
          </w:p>
        </w:tc>
        <w:tc>
          <w:tcPr>
            <w:tcW w:w="20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0" w:firstLineChars="0"/>
              <w:jc w:val="center"/>
              <w:rPr>
                <w:rFonts w:ascii="宋体"/>
                <w:sz w:val="24"/>
              </w:rPr>
            </w:pPr>
            <w:r>
              <w:rPr>
                <w:rFonts w:hint="eastAsia" w:ascii="宋体"/>
                <w:sz w:val="24"/>
              </w:rPr>
              <w:t>投标文件商务、货物实际要求</w:t>
            </w:r>
          </w:p>
        </w:tc>
        <w:tc>
          <w:tcPr>
            <w:tcW w:w="28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r>
              <w:rPr>
                <w:rFonts w:hint="eastAsia" w:ascii="宋体"/>
                <w:sz w:val="24"/>
              </w:rPr>
              <w:t>响应情况</w:t>
            </w:r>
          </w:p>
        </w:tc>
        <w:tc>
          <w:tcPr>
            <w:tcW w:w="1560" w:type="dxa"/>
            <w:vMerge w:val="restart"/>
            <w:tcBorders>
              <w:top w:val="single" w:color="auto" w:sz="4" w:space="0"/>
              <w:left w:val="nil"/>
              <w:right w:val="single" w:color="auto" w:sz="4" w:space="0"/>
            </w:tcBorders>
            <w:noWrap w:val="0"/>
            <w:vAlign w:val="center"/>
          </w:tcPr>
          <w:p>
            <w:pPr>
              <w:ind w:firstLine="0" w:firstLineChars="0"/>
              <w:jc w:val="center"/>
              <w:rPr>
                <w:rFonts w:ascii="宋体"/>
                <w:sz w:val="24"/>
              </w:rPr>
            </w:pPr>
            <w:r>
              <w:rPr>
                <w:rFonts w:hint="eastAsia" w:ascii="宋体"/>
                <w:sz w:val="24"/>
              </w:rPr>
              <w:t>说明及证明材料</w:t>
            </w:r>
          </w:p>
        </w:tc>
      </w:tr>
      <w:tr>
        <w:tblPrEx>
          <w:tblCellMar>
            <w:top w:w="0" w:type="dxa"/>
            <w:left w:w="0" w:type="dxa"/>
            <w:bottom w:w="0" w:type="dxa"/>
            <w:right w:w="0" w:type="dxa"/>
          </w:tblCellMar>
        </w:tblPrEx>
        <w:trPr>
          <w:cantSplit/>
          <w:trHeight w:val="40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sz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sz w:val="24"/>
              </w:rPr>
            </w:pPr>
          </w:p>
        </w:tc>
        <w:tc>
          <w:tcPr>
            <w:tcW w:w="2063"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sz w:val="24"/>
              </w:rPr>
            </w:pPr>
          </w:p>
        </w:tc>
        <w:tc>
          <w:tcPr>
            <w:tcW w:w="289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20"/>
              <w:jc w:val="center"/>
              <w:rPr>
                <w:rFonts w:ascii="宋体"/>
                <w:sz w:val="24"/>
              </w:rPr>
            </w:pPr>
            <w:r>
              <w:rPr>
                <w:rFonts w:hint="eastAsia" w:ascii="宋体" w:hAnsi="宋体"/>
                <w:szCs w:val="21"/>
              </w:rPr>
              <w:t>响应/偏离</w:t>
            </w:r>
          </w:p>
        </w:tc>
        <w:tc>
          <w:tcPr>
            <w:tcW w:w="1560" w:type="dxa"/>
            <w:vMerge w:val="continue"/>
            <w:tcBorders>
              <w:left w:val="nil"/>
              <w:bottom w:val="single" w:color="auto" w:sz="4" w:space="0"/>
              <w:right w:val="single" w:color="auto" w:sz="4" w:space="0"/>
            </w:tcBorders>
            <w:noWrap w:val="0"/>
            <w:vAlign w:val="center"/>
          </w:tcPr>
          <w:p>
            <w:pPr>
              <w:ind w:right="458" w:rightChars="218" w:firstLine="480"/>
              <w:jc w:val="center"/>
              <w:rPr>
                <w:rFonts w:ascii="宋体"/>
                <w:sz w:val="24"/>
              </w:rPr>
            </w:pPr>
          </w:p>
        </w:tc>
      </w:tr>
      <w:tr>
        <w:tblPrEx>
          <w:tblCellMar>
            <w:top w:w="0" w:type="dxa"/>
            <w:left w:w="0" w:type="dxa"/>
            <w:bottom w:w="0" w:type="dxa"/>
            <w:right w:w="0" w:type="dxa"/>
          </w:tblCellMar>
        </w:tblPrEx>
        <w:trPr>
          <w:trHeight w:val="390" w:hRule="atLeast"/>
          <w:jc w:val="center"/>
        </w:trPr>
        <w:tc>
          <w:tcPr>
            <w:tcW w:w="60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85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0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89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p>
            <w:pPr>
              <w:ind w:firstLine="480"/>
              <w:jc w:val="center"/>
              <w:rPr>
                <w:rFonts w:ascii="宋体"/>
                <w:sz w:val="24"/>
              </w:rPr>
            </w:pPr>
          </w:p>
        </w:tc>
        <w:tc>
          <w:tcPr>
            <w:tcW w:w="1560" w:type="dxa"/>
            <w:tcBorders>
              <w:top w:val="nil"/>
              <w:left w:val="nil"/>
              <w:bottom w:val="single" w:color="auto" w:sz="4" w:space="0"/>
              <w:right w:val="single" w:color="auto" w:sz="4" w:space="0"/>
            </w:tcBorders>
            <w:noWrap w:val="0"/>
            <w:vAlign w:val="center"/>
          </w:tcPr>
          <w:p>
            <w:pPr>
              <w:ind w:firstLine="480"/>
              <w:jc w:val="center"/>
              <w:rPr>
                <w:rFonts w:ascii="宋体"/>
                <w:sz w:val="24"/>
              </w:rPr>
            </w:pPr>
          </w:p>
        </w:tc>
      </w:tr>
      <w:tr>
        <w:tblPrEx>
          <w:tblCellMar>
            <w:top w:w="0" w:type="dxa"/>
            <w:left w:w="0" w:type="dxa"/>
            <w:bottom w:w="0" w:type="dxa"/>
            <w:right w:w="0" w:type="dxa"/>
          </w:tblCellMar>
        </w:tblPrEx>
        <w:trPr>
          <w:trHeight w:val="402" w:hRule="atLeast"/>
          <w:jc w:val="center"/>
        </w:trPr>
        <w:tc>
          <w:tcPr>
            <w:tcW w:w="60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85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0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89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p>
            <w:pPr>
              <w:ind w:left="-15" w:leftChars="-7" w:firstLine="480"/>
              <w:jc w:val="center"/>
              <w:rPr>
                <w:rFonts w:ascii="宋体"/>
                <w:sz w:val="24"/>
              </w:rPr>
            </w:pPr>
          </w:p>
        </w:tc>
        <w:tc>
          <w:tcPr>
            <w:tcW w:w="1560" w:type="dxa"/>
            <w:tcBorders>
              <w:top w:val="nil"/>
              <w:left w:val="nil"/>
              <w:bottom w:val="single" w:color="auto" w:sz="4" w:space="0"/>
              <w:right w:val="single" w:color="auto" w:sz="4" w:space="0"/>
            </w:tcBorders>
            <w:noWrap w:val="0"/>
            <w:vAlign w:val="center"/>
          </w:tcPr>
          <w:p>
            <w:pPr>
              <w:ind w:firstLine="480"/>
              <w:jc w:val="center"/>
              <w:rPr>
                <w:rFonts w:ascii="宋体"/>
                <w:sz w:val="24"/>
              </w:rPr>
            </w:pPr>
          </w:p>
        </w:tc>
      </w:tr>
      <w:tr>
        <w:tblPrEx>
          <w:tblCellMar>
            <w:top w:w="0" w:type="dxa"/>
            <w:left w:w="0" w:type="dxa"/>
            <w:bottom w:w="0" w:type="dxa"/>
            <w:right w:w="0" w:type="dxa"/>
          </w:tblCellMar>
        </w:tblPrEx>
        <w:trPr>
          <w:trHeight w:val="402" w:hRule="atLeast"/>
          <w:jc w:val="center"/>
        </w:trPr>
        <w:tc>
          <w:tcPr>
            <w:tcW w:w="60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85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0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89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p>
            <w:pPr>
              <w:ind w:firstLine="480"/>
              <w:jc w:val="center"/>
              <w:rPr>
                <w:rFonts w:ascii="宋体"/>
                <w:sz w:val="24"/>
              </w:rPr>
            </w:pPr>
          </w:p>
        </w:tc>
        <w:tc>
          <w:tcPr>
            <w:tcW w:w="1560" w:type="dxa"/>
            <w:tcBorders>
              <w:top w:val="nil"/>
              <w:left w:val="nil"/>
              <w:bottom w:val="single" w:color="auto" w:sz="4" w:space="0"/>
              <w:right w:val="single" w:color="auto" w:sz="4" w:space="0"/>
            </w:tcBorders>
            <w:noWrap w:val="0"/>
            <w:vAlign w:val="center"/>
          </w:tcPr>
          <w:p>
            <w:pPr>
              <w:ind w:firstLine="480"/>
              <w:jc w:val="center"/>
              <w:rPr>
                <w:rFonts w:ascii="宋体"/>
                <w:sz w:val="24"/>
              </w:rPr>
            </w:pPr>
          </w:p>
        </w:tc>
      </w:tr>
      <w:tr>
        <w:tblPrEx>
          <w:tblCellMar>
            <w:top w:w="0" w:type="dxa"/>
            <w:left w:w="0" w:type="dxa"/>
            <w:bottom w:w="0" w:type="dxa"/>
            <w:right w:w="0" w:type="dxa"/>
          </w:tblCellMar>
        </w:tblPrEx>
        <w:trPr>
          <w:trHeight w:val="402" w:hRule="atLeast"/>
          <w:jc w:val="center"/>
        </w:trPr>
        <w:tc>
          <w:tcPr>
            <w:tcW w:w="60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85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0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89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p>
            <w:pPr>
              <w:ind w:firstLine="480"/>
              <w:jc w:val="center"/>
              <w:rPr>
                <w:rFonts w:ascii="宋体"/>
                <w:sz w:val="24"/>
              </w:rPr>
            </w:pPr>
          </w:p>
        </w:tc>
        <w:tc>
          <w:tcPr>
            <w:tcW w:w="1560" w:type="dxa"/>
            <w:tcBorders>
              <w:top w:val="nil"/>
              <w:left w:val="nil"/>
              <w:bottom w:val="single" w:color="auto" w:sz="4" w:space="0"/>
              <w:right w:val="single" w:color="auto" w:sz="4" w:space="0"/>
            </w:tcBorders>
            <w:noWrap w:val="0"/>
            <w:vAlign w:val="center"/>
          </w:tcPr>
          <w:p>
            <w:pPr>
              <w:ind w:firstLine="480"/>
              <w:jc w:val="center"/>
              <w:rPr>
                <w:rFonts w:ascii="宋体"/>
                <w:sz w:val="24"/>
              </w:rPr>
            </w:pPr>
          </w:p>
        </w:tc>
      </w:tr>
      <w:tr>
        <w:tblPrEx>
          <w:tblCellMar>
            <w:top w:w="0" w:type="dxa"/>
            <w:left w:w="0" w:type="dxa"/>
            <w:bottom w:w="0" w:type="dxa"/>
            <w:right w:w="0" w:type="dxa"/>
          </w:tblCellMar>
        </w:tblPrEx>
        <w:trPr>
          <w:trHeight w:val="402" w:hRule="atLeast"/>
          <w:jc w:val="center"/>
        </w:trPr>
        <w:tc>
          <w:tcPr>
            <w:tcW w:w="60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85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0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89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p>
            <w:pPr>
              <w:ind w:firstLine="480"/>
              <w:jc w:val="center"/>
              <w:rPr>
                <w:rFonts w:ascii="宋体"/>
                <w:sz w:val="24"/>
              </w:rPr>
            </w:pPr>
          </w:p>
        </w:tc>
        <w:tc>
          <w:tcPr>
            <w:tcW w:w="1560" w:type="dxa"/>
            <w:tcBorders>
              <w:top w:val="nil"/>
              <w:left w:val="nil"/>
              <w:bottom w:val="single" w:color="auto" w:sz="4" w:space="0"/>
              <w:right w:val="single" w:color="auto" w:sz="4" w:space="0"/>
            </w:tcBorders>
            <w:noWrap w:val="0"/>
            <w:vAlign w:val="center"/>
          </w:tcPr>
          <w:p>
            <w:pPr>
              <w:ind w:firstLine="480"/>
              <w:jc w:val="center"/>
              <w:rPr>
                <w:rFonts w:ascii="宋体"/>
                <w:sz w:val="24"/>
              </w:rPr>
            </w:pPr>
          </w:p>
        </w:tc>
      </w:tr>
      <w:tr>
        <w:tblPrEx>
          <w:tblCellMar>
            <w:top w:w="0" w:type="dxa"/>
            <w:left w:w="0" w:type="dxa"/>
            <w:bottom w:w="0" w:type="dxa"/>
            <w:right w:w="0" w:type="dxa"/>
          </w:tblCellMar>
        </w:tblPrEx>
        <w:trPr>
          <w:trHeight w:val="402" w:hRule="atLeast"/>
          <w:jc w:val="center"/>
        </w:trPr>
        <w:tc>
          <w:tcPr>
            <w:tcW w:w="60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85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0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tc>
        <w:tc>
          <w:tcPr>
            <w:tcW w:w="289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ind w:firstLine="480"/>
              <w:jc w:val="center"/>
              <w:rPr>
                <w:rFonts w:ascii="宋体"/>
                <w:sz w:val="24"/>
              </w:rPr>
            </w:pPr>
          </w:p>
          <w:p>
            <w:pPr>
              <w:ind w:firstLine="480"/>
              <w:jc w:val="center"/>
              <w:rPr>
                <w:rFonts w:ascii="宋体"/>
                <w:sz w:val="24"/>
              </w:rPr>
            </w:pPr>
          </w:p>
        </w:tc>
        <w:tc>
          <w:tcPr>
            <w:tcW w:w="1560" w:type="dxa"/>
            <w:tcBorders>
              <w:top w:val="nil"/>
              <w:left w:val="nil"/>
              <w:bottom w:val="single" w:color="auto" w:sz="4" w:space="0"/>
              <w:right w:val="single" w:color="auto" w:sz="4" w:space="0"/>
            </w:tcBorders>
            <w:noWrap w:val="0"/>
            <w:vAlign w:val="center"/>
          </w:tcPr>
          <w:p>
            <w:pPr>
              <w:ind w:firstLine="480"/>
              <w:jc w:val="center"/>
              <w:rPr>
                <w:rFonts w:ascii="宋体"/>
                <w:sz w:val="24"/>
              </w:rPr>
            </w:pPr>
          </w:p>
        </w:tc>
      </w:tr>
    </w:tbl>
    <w:p>
      <w:pPr>
        <w:spacing w:line="300" w:lineRule="auto"/>
        <w:ind w:firstLine="480"/>
        <w:rPr>
          <w:bCs/>
          <w:sz w:val="24"/>
        </w:rPr>
      </w:pPr>
    </w:p>
    <w:p>
      <w:pPr>
        <w:pStyle w:val="27"/>
        <w:ind w:firstLine="422"/>
      </w:pPr>
      <w:r>
        <w:rPr>
          <w:rFonts w:hint="eastAsia"/>
          <w:b/>
        </w:rPr>
        <w:t>备注</w:t>
      </w:r>
      <w:r>
        <w:rPr>
          <w:rFonts w:hint="eastAsia"/>
        </w:rPr>
        <w:t>：“响应/偏离”栏应注明“响应”或“偏离”。</w:t>
      </w:r>
    </w:p>
    <w:p>
      <w:pPr>
        <w:adjustRightInd w:val="0"/>
        <w:snapToGrid w:val="0"/>
        <w:ind w:left="-88" w:leftChars="-42" w:firstLine="420"/>
        <w:rPr>
          <w:rFonts w:ascii="仿宋_GB2312" w:hAnsi="宋体" w:eastAsia="仿宋_GB2312"/>
          <w:szCs w:val="21"/>
        </w:rPr>
      </w:pPr>
    </w:p>
    <w:p>
      <w:pPr>
        <w:spacing w:line="300" w:lineRule="auto"/>
        <w:ind w:firstLine="480"/>
        <w:rPr>
          <w:bCs/>
          <w:sz w:val="24"/>
        </w:rPr>
      </w:pPr>
    </w:p>
    <w:p>
      <w:pPr>
        <w:spacing w:line="300" w:lineRule="auto"/>
        <w:ind w:firstLine="480"/>
        <w:rPr>
          <w:bCs/>
          <w:sz w:val="24"/>
        </w:rPr>
      </w:pPr>
      <w:r>
        <w:rPr>
          <w:rFonts w:hint="eastAsia"/>
          <w:bCs/>
          <w:sz w:val="24"/>
        </w:rPr>
        <w:t>投标人名称（盖章）：</w:t>
      </w:r>
    </w:p>
    <w:p>
      <w:pPr>
        <w:spacing w:line="300" w:lineRule="auto"/>
        <w:ind w:firstLine="480"/>
        <w:rPr>
          <w:bCs/>
          <w:sz w:val="24"/>
        </w:rPr>
      </w:pPr>
    </w:p>
    <w:p>
      <w:pPr>
        <w:spacing w:line="300" w:lineRule="auto"/>
        <w:ind w:firstLine="480"/>
        <w:rPr>
          <w:bCs/>
          <w:sz w:val="24"/>
        </w:rPr>
      </w:pPr>
    </w:p>
    <w:p>
      <w:pPr>
        <w:spacing w:line="300" w:lineRule="auto"/>
        <w:ind w:firstLine="480"/>
        <w:rPr>
          <w:bCs/>
          <w:sz w:val="24"/>
        </w:rPr>
      </w:pPr>
    </w:p>
    <w:p>
      <w:pPr>
        <w:spacing w:line="300" w:lineRule="auto"/>
        <w:ind w:firstLine="480"/>
        <w:rPr>
          <w:bCs/>
          <w:sz w:val="24"/>
          <w:u w:val="single"/>
        </w:rPr>
      </w:pPr>
      <w:r>
        <w:rPr>
          <w:rFonts w:hint="eastAsia"/>
          <w:bCs/>
          <w:sz w:val="24"/>
        </w:rPr>
        <w:t>法定代表人或授权代表人（签字</w:t>
      </w:r>
      <w:r>
        <w:rPr>
          <w:rFonts w:hint="eastAsia"/>
          <w:sz w:val="24"/>
        </w:rPr>
        <w:t>或印章</w:t>
      </w:r>
      <w:r>
        <w:rPr>
          <w:rFonts w:hint="eastAsia"/>
          <w:bCs/>
          <w:sz w:val="24"/>
        </w:rPr>
        <w:t>）：</w:t>
      </w:r>
    </w:p>
    <w:p>
      <w:pPr>
        <w:spacing w:line="300" w:lineRule="auto"/>
        <w:ind w:firstLine="480"/>
        <w:rPr>
          <w:bCs/>
          <w:sz w:val="24"/>
        </w:rPr>
      </w:pPr>
    </w:p>
    <w:p>
      <w:pPr>
        <w:spacing w:line="300" w:lineRule="auto"/>
        <w:ind w:firstLine="480"/>
        <w:rPr>
          <w:bCs/>
          <w:sz w:val="24"/>
          <w:u w:val="single"/>
        </w:rPr>
      </w:pPr>
    </w:p>
    <w:p>
      <w:pPr>
        <w:snapToGrid w:val="0"/>
        <w:spacing w:line="300" w:lineRule="auto"/>
        <w:ind w:firstLine="5640" w:firstLineChars="2350"/>
        <w:rPr>
          <w:bCs/>
          <w:sz w:val="24"/>
        </w:rPr>
      </w:pPr>
      <w:r>
        <w:rPr>
          <w:rFonts w:hint="eastAsia"/>
          <w:bCs/>
          <w:sz w:val="24"/>
        </w:rPr>
        <w:t>年    月   日</w:t>
      </w:r>
      <w:r>
        <w:rPr>
          <w:rFonts w:ascii="宋体"/>
        </w:rPr>
        <w:br w:type="page"/>
      </w:r>
      <w:bookmarkStart w:id="525" w:name="_Toc493013090"/>
      <w:bookmarkStart w:id="526" w:name="_Toc493509534"/>
      <w:r>
        <w:rPr>
          <w:rFonts w:hint="eastAsia" w:ascii="宋体" w:hAnsi="宋体"/>
          <w:b/>
          <w:sz w:val="28"/>
          <w:szCs w:val="28"/>
        </w:rPr>
        <w:t>附件8：财政部工业和信息化部文件</w:t>
      </w:r>
      <w:bookmarkEnd w:id="525"/>
      <w:bookmarkEnd w:id="526"/>
    </w:p>
    <w:p>
      <w:pPr>
        <w:spacing w:line="480" w:lineRule="exact"/>
        <w:ind w:firstLine="482"/>
        <w:jc w:val="center"/>
        <w:rPr>
          <w:rFonts w:ascii="宋体" w:hAnsi="宋体"/>
          <w:b/>
          <w:sz w:val="24"/>
        </w:rPr>
      </w:pPr>
      <w:r>
        <w:rPr>
          <w:rFonts w:hint="eastAsia" w:ascii="宋体" w:hAnsi="宋体"/>
          <w:b/>
          <w:sz w:val="24"/>
        </w:rPr>
        <w:t>财库〔2011〕181号</w:t>
      </w:r>
    </w:p>
    <w:p>
      <w:pPr>
        <w:spacing w:line="500" w:lineRule="exact"/>
        <w:ind w:firstLine="480"/>
        <w:rPr>
          <w:rFonts w:ascii="宋体" w:hAnsi="宋体"/>
          <w:sz w:val="24"/>
        </w:rPr>
      </w:pPr>
      <w:r>
        <w:rPr>
          <w:rFonts w:hint="eastAsia" w:ascii="宋体" w:hAnsi="宋体"/>
          <w:sz w:val="24"/>
        </w:rPr>
        <w:t>关于印发《政府采购促进中小企业发展暂行办法》的通知</w:t>
      </w:r>
    </w:p>
    <w:p>
      <w:pPr>
        <w:spacing w:line="500" w:lineRule="exact"/>
        <w:ind w:firstLine="480"/>
        <w:rPr>
          <w:rFonts w:ascii="宋体" w:hAnsi="宋体"/>
          <w:sz w:val="24"/>
        </w:rPr>
      </w:pPr>
      <w:r>
        <w:rPr>
          <w:rFonts w:hint="eastAsia" w:ascii="宋体" w:hAnsi="宋体"/>
          <w:sz w:val="24"/>
        </w:rPr>
        <w:t>党中央有关部门，国务院各部委、各直属机构，全国人大常委会办公厅，全国政协办公厅，高法院，高检院，有关人民团体，各省、自治区、直辖市、计划单列市财政厅（局）、工业和信息化主管部门，新疆生产建设兵团财务局、工业和信息化主管部门：</w:t>
      </w:r>
    </w:p>
    <w:p>
      <w:pPr>
        <w:spacing w:line="500" w:lineRule="exact"/>
        <w:ind w:firstLine="480"/>
        <w:rPr>
          <w:rFonts w:ascii="宋体" w:hAnsi="宋体"/>
          <w:sz w:val="24"/>
        </w:rPr>
      </w:pPr>
      <w:r>
        <w:rPr>
          <w:rFonts w:hint="eastAsia" w:ascii="宋体" w:hAnsi="宋体"/>
          <w:sz w:val="24"/>
        </w:rPr>
        <w:t>为贯彻落实《国务院关于进一步促进中小企业发展的若干意见》（国发[2009]36号），发挥政府采购的政策功能，促进中小企业发展，根据《中华人民共和国政府采购法》和《中华人民共和国中小企业促进法》，财政部、工业和信息化部制定了《政府采购促进中小企业发展暂行办法》。现印发给你们，请遵照执行。</w:t>
      </w:r>
    </w:p>
    <w:p>
      <w:pPr>
        <w:spacing w:line="500" w:lineRule="exact"/>
        <w:ind w:firstLine="480"/>
        <w:rPr>
          <w:rFonts w:ascii="宋体" w:hAnsi="宋体"/>
          <w:sz w:val="24"/>
        </w:rPr>
      </w:pPr>
      <w:r>
        <w:rPr>
          <w:rFonts w:hint="eastAsia" w:ascii="宋体" w:hAnsi="宋体"/>
          <w:sz w:val="24"/>
        </w:rPr>
        <w:t>附件：政府采购促进中小企业发展暂行办法</w:t>
      </w:r>
    </w:p>
    <w:p>
      <w:pPr>
        <w:spacing w:line="500" w:lineRule="exact"/>
        <w:ind w:firstLine="480"/>
        <w:rPr>
          <w:rFonts w:ascii="宋体" w:hAnsi="宋体"/>
          <w:sz w:val="24"/>
        </w:rPr>
      </w:pPr>
      <w:r>
        <w:rPr>
          <w:rFonts w:hint="eastAsia" w:ascii="宋体" w:hAnsi="宋体"/>
          <w:sz w:val="24"/>
        </w:rPr>
        <w:t>　　　　</w:t>
      </w:r>
    </w:p>
    <w:p>
      <w:pPr>
        <w:spacing w:line="500" w:lineRule="exact"/>
        <w:ind w:firstLine="480"/>
        <w:rPr>
          <w:rFonts w:ascii="宋体" w:hAnsi="宋体"/>
          <w:sz w:val="24"/>
        </w:rPr>
      </w:pPr>
      <w:r>
        <w:rPr>
          <w:rFonts w:hint="eastAsia" w:ascii="宋体" w:hAnsi="宋体"/>
          <w:sz w:val="24"/>
        </w:rPr>
        <w:t xml:space="preserve">   财政部</w:t>
      </w:r>
    </w:p>
    <w:p>
      <w:pPr>
        <w:spacing w:line="500" w:lineRule="exact"/>
        <w:ind w:firstLine="480"/>
        <w:rPr>
          <w:rFonts w:ascii="宋体" w:hAnsi="宋体"/>
          <w:sz w:val="24"/>
        </w:rPr>
      </w:pPr>
      <w:r>
        <w:rPr>
          <w:rFonts w:hint="eastAsia" w:ascii="宋体" w:hAnsi="宋体"/>
          <w:sz w:val="24"/>
        </w:rPr>
        <w:t xml:space="preserve">   工业和信息化部</w:t>
      </w:r>
    </w:p>
    <w:p>
      <w:pPr>
        <w:spacing w:line="500" w:lineRule="exact"/>
        <w:ind w:firstLine="480"/>
        <w:rPr>
          <w:rFonts w:ascii="宋体" w:hAnsi="宋体"/>
          <w:sz w:val="24"/>
        </w:rPr>
      </w:pPr>
      <w:r>
        <w:rPr>
          <w:rFonts w:hint="eastAsia" w:ascii="宋体" w:hAnsi="宋体"/>
          <w:sz w:val="24"/>
        </w:rPr>
        <w:t xml:space="preserve">   二〇一一年十二月二十九日</w:t>
      </w:r>
    </w:p>
    <w:p>
      <w:pPr>
        <w:spacing w:line="500" w:lineRule="exact"/>
        <w:ind w:firstLine="480"/>
        <w:rPr>
          <w:rFonts w:ascii="宋体" w:hAnsi="宋体"/>
          <w:sz w:val="24"/>
        </w:rPr>
      </w:pPr>
    </w:p>
    <w:p>
      <w:pPr>
        <w:spacing w:line="500" w:lineRule="exact"/>
        <w:ind w:firstLine="480"/>
        <w:rPr>
          <w:rFonts w:ascii="宋体" w:hAnsi="宋体"/>
          <w:sz w:val="24"/>
        </w:rPr>
      </w:pPr>
      <w:r>
        <w:rPr>
          <w:rFonts w:hint="eastAsia" w:ascii="宋体" w:hAnsi="宋体"/>
          <w:sz w:val="24"/>
        </w:rPr>
        <w:t>附件：</w:t>
      </w:r>
    </w:p>
    <w:p>
      <w:pPr>
        <w:spacing w:line="500" w:lineRule="exact"/>
        <w:ind w:firstLine="480"/>
        <w:jc w:val="center"/>
        <w:rPr>
          <w:rFonts w:ascii="方正小标宋简体" w:hAnsi="宋体" w:eastAsia="方正小标宋简体"/>
          <w:sz w:val="24"/>
        </w:rPr>
      </w:pPr>
      <w:r>
        <w:rPr>
          <w:rFonts w:hint="eastAsia" w:ascii="方正小标宋简体" w:hAnsi="宋体" w:eastAsia="方正小标宋简体"/>
          <w:sz w:val="24"/>
        </w:rPr>
        <w:t>政府采购促进中小企业发展暂行办法</w:t>
      </w:r>
    </w:p>
    <w:p>
      <w:pPr>
        <w:spacing w:line="500" w:lineRule="exact"/>
        <w:ind w:firstLine="480"/>
        <w:rPr>
          <w:rFonts w:ascii="宋体" w:hAnsi="宋体"/>
          <w:sz w:val="24"/>
        </w:rPr>
      </w:pPr>
      <w:r>
        <w:rPr>
          <w:rFonts w:hint="eastAsia" w:ascii="宋体" w:hAnsi="宋体"/>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pPr>
        <w:spacing w:line="500" w:lineRule="exact"/>
        <w:ind w:firstLine="480"/>
        <w:rPr>
          <w:rFonts w:ascii="宋体" w:hAnsi="宋体"/>
          <w:sz w:val="24"/>
        </w:rPr>
      </w:pPr>
      <w:r>
        <w:rPr>
          <w:rFonts w:hint="eastAsia" w:ascii="宋体" w:hAnsi="宋体"/>
          <w:sz w:val="24"/>
        </w:rPr>
        <w:t>第二条 本办法所称中小企业（含中型、小型、微型企业，下同）应当同时符合以下条件：</w:t>
      </w:r>
    </w:p>
    <w:p>
      <w:pPr>
        <w:spacing w:line="500" w:lineRule="exact"/>
        <w:ind w:firstLine="480"/>
        <w:rPr>
          <w:rFonts w:ascii="宋体" w:hAnsi="宋体"/>
          <w:sz w:val="24"/>
        </w:rPr>
      </w:pPr>
      <w:r>
        <w:rPr>
          <w:rFonts w:hint="eastAsia" w:ascii="宋体" w:hAnsi="宋体"/>
          <w:sz w:val="24"/>
        </w:rPr>
        <w:t>（一）符合中小企业划分标准；</w:t>
      </w:r>
    </w:p>
    <w:p>
      <w:pPr>
        <w:spacing w:line="500" w:lineRule="exact"/>
        <w:ind w:firstLine="480"/>
        <w:rPr>
          <w:rFonts w:ascii="宋体" w:hAnsi="宋体"/>
          <w:sz w:val="24"/>
        </w:rPr>
      </w:pPr>
      <w:r>
        <w:rPr>
          <w:rFonts w:hint="eastAsia" w:ascii="宋体" w:hAnsi="宋体"/>
          <w:sz w:val="24"/>
        </w:rPr>
        <w:t>（二）提供本企业制造的货物、承担的工程或者服务，或者提供其他中小企业制造的货物。本项所称货物不包括使用大型企业注册商标的货物。</w:t>
      </w:r>
    </w:p>
    <w:p>
      <w:pPr>
        <w:spacing w:line="500" w:lineRule="exact"/>
        <w:ind w:firstLine="480"/>
        <w:rPr>
          <w:rFonts w:ascii="宋体" w:hAnsi="宋体"/>
          <w:sz w:val="24"/>
        </w:rPr>
      </w:pPr>
      <w:r>
        <w:rPr>
          <w:rFonts w:hint="eastAsia" w:ascii="宋体" w:hAnsi="宋体"/>
          <w:sz w:val="24"/>
        </w:rPr>
        <w:t>本办法所称中小企业划分标准，是指国务院有关部门根据企业从业人员、营业收入、资产总额等指标制定的中小企业划型标准。</w:t>
      </w:r>
    </w:p>
    <w:p>
      <w:pPr>
        <w:spacing w:line="500" w:lineRule="exact"/>
        <w:ind w:firstLine="480"/>
        <w:rPr>
          <w:rFonts w:ascii="宋体" w:hAnsi="宋体"/>
          <w:sz w:val="24"/>
        </w:rPr>
      </w:pPr>
      <w:r>
        <w:rPr>
          <w:rFonts w:hint="eastAsia" w:ascii="宋体" w:hAnsi="宋体"/>
          <w:sz w:val="24"/>
        </w:rPr>
        <w:t>小型、微型企业提供中型企业制造的货物的，视同为中型企业。</w:t>
      </w:r>
    </w:p>
    <w:p>
      <w:pPr>
        <w:spacing w:line="500" w:lineRule="exact"/>
        <w:ind w:firstLine="480"/>
        <w:rPr>
          <w:rFonts w:ascii="宋体" w:hAnsi="宋体"/>
          <w:sz w:val="24"/>
        </w:rPr>
      </w:pPr>
      <w:r>
        <w:rPr>
          <w:rFonts w:hint="eastAsia" w:ascii="宋体" w:hAnsi="宋体"/>
          <w:sz w:val="24"/>
        </w:rPr>
        <w:t>第三条 任何单位和个人不得阻挠和限制中小企业自由进入本地区和本行业的政府采购市场，政府采购活动不得以注册资本金、资产总额、营业收入、从业人员、利润、纳税额等投标人的规模条件对中小企业实行差别待遇或者歧视待遇。</w:t>
      </w:r>
    </w:p>
    <w:p>
      <w:pPr>
        <w:spacing w:line="500" w:lineRule="exact"/>
        <w:ind w:firstLine="480"/>
        <w:rPr>
          <w:rFonts w:ascii="宋体" w:hAnsi="宋体"/>
          <w:sz w:val="24"/>
        </w:rPr>
      </w:pPr>
      <w:r>
        <w:rPr>
          <w:rFonts w:hint="eastAsia" w:ascii="宋体" w:hAnsi="宋体"/>
          <w:sz w:val="24"/>
        </w:rPr>
        <w:t>第四条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pPr>
        <w:spacing w:line="500" w:lineRule="exact"/>
        <w:ind w:firstLine="480"/>
        <w:rPr>
          <w:rFonts w:ascii="宋体" w:hAnsi="宋体"/>
          <w:sz w:val="24"/>
        </w:rPr>
      </w:pPr>
      <w:r>
        <w:rPr>
          <w:rFonts w:hint="eastAsia" w:ascii="宋体" w:hAnsi="宋体"/>
          <w:sz w:val="24"/>
        </w:rPr>
        <w:t>采购人或者采购代理机构在组织采购活动时，应当在招标文件或谈判文件、询价文件中注明该项目专门面向中小企业或小型、微型企业采购。</w:t>
      </w:r>
    </w:p>
    <w:p>
      <w:pPr>
        <w:spacing w:line="500" w:lineRule="exact"/>
        <w:ind w:firstLine="480"/>
        <w:rPr>
          <w:rFonts w:ascii="宋体" w:hAnsi="宋体"/>
          <w:sz w:val="24"/>
        </w:rPr>
      </w:pPr>
      <w:r>
        <w:rPr>
          <w:rFonts w:hint="eastAsia" w:ascii="宋体" w:hAnsi="宋体"/>
          <w:sz w:val="24"/>
        </w:rPr>
        <w:t>第五条 对于非专门面向中小企业的项目，采购人或者采购代理机构应当在招标文件或者谈判文件、询价文件中作出规定，对小型和微型企业产品的价格给予6%-10%的扣除，用扣除后的价格参与评审，具体扣除比例由采购人或者采购代理机构确定。</w:t>
      </w:r>
    </w:p>
    <w:p>
      <w:pPr>
        <w:spacing w:line="500" w:lineRule="exact"/>
        <w:ind w:firstLine="480"/>
        <w:rPr>
          <w:rFonts w:ascii="宋体" w:hAnsi="宋体"/>
          <w:sz w:val="24"/>
        </w:rPr>
      </w:pPr>
      <w:r>
        <w:rPr>
          <w:rFonts w:hint="eastAsia" w:ascii="宋体" w:hAnsi="宋体"/>
          <w:sz w:val="24"/>
        </w:rPr>
        <w:t>参加政府采购活动的中小企业应当提供本办法规定的《中小企业声明函》（见附件）。</w:t>
      </w:r>
    </w:p>
    <w:p>
      <w:pPr>
        <w:spacing w:line="500" w:lineRule="exact"/>
        <w:ind w:firstLine="480"/>
        <w:rPr>
          <w:rFonts w:ascii="宋体" w:hAnsi="宋体"/>
          <w:sz w:val="24"/>
        </w:rPr>
      </w:pPr>
      <w:r>
        <w:rPr>
          <w:rFonts w:hint="eastAsia" w:ascii="宋体" w:hAnsi="宋体"/>
          <w:sz w:val="24"/>
        </w:rPr>
        <w:t>第六条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pPr>
        <w:spacing w:line="500" w:lineRule="exact"/>
        <w:ind w:firstLine="480"/>
        <w:rPr>
          <w:rFonts w:ascii="宋体" w:hAnsi="宋体"/>
          <w:sz w:val="24"/>
        </w:rPr>
      </w:pPr>
      <w:r>
        <w:rPr>
          <w:rFonts w:hint="eastAsia" w:ascii="宋体" w:hAnsi="宋体"/>
          <w:sz w:val="24"/>
        </w:rPr>
        <w:t>联合体各方均为小型、微型企业的，联合体视同为小型、微型企业享受本办法第四条、第五条规定的扶持政策。</w:t>
      </w:r>
    </w:p>
    <w:p>
      <w:pPr>
        <w:spacing w:line="500" w:lineRule="exact"/>
        <w:ind w:firstLine="480"/>
        <w:rPr>
          <w:rFonts w:ascii="宋体" w:hAnsi="宋体"/>
          <w:sz w:val="24"/>
        </w:rPr>
      </w:pPr>
      <w:r>
        <w:rPr>
          <w:rFonts w:hint="eastAsia" w:ascii="宋体" w:hAnsi="宋体"/>
          <w:sz w:val="24"/>
        </w:rPr>
        <w:t xml:space="preserve">组成联合体的大中型企业和其他自然人、法人或者其他组织，与小型、微型企业之间不得存在投资关系。 </w:t>
      </w:r>
    </w:p>
    <w:p>
      <w:pPr>
        <w:spacing w:line="500" w:lineRule="exact"/>
        <w:ind w:firstLine="480"/>
        <w:rPr>
          <w:rFonts w:ascii="宋体" w:hAnsi="宋体"/>
          <w:sz w:val="24"/>
        </w:rPr>
      </w:pPr>
      <w:r>
        <w:rPr>
          <w:rFonts w:hint="eastAsia" w:ascii="宋体" w:hAnsi="宋体"/>
          <w:sz w:val="24"/>
        </w:rPr>
        <w:t>第七条 中小企业依据本办法第四条、第五条、第六条规定的政策获取政府采购合同后，小型、微型企业不得分包或转包给大型、中型企业，中型企业不得分包或转包给大型企业。</w:t>
      </w:r>
    </w:p>
    <w:p>
      <w:pPr>
        <w:spacing w:line="500" w:lineRule="exact"/>
        <w:ind w:firstLine="480"/>
        <w:rPr>
          <w:rFonts w:ascii="宋体" w:hAnsi="宋体"/>
          <w:sz w:val="24"/>
        </w:rPr>
      </w:pPr>
      <w:r>
        <w:rPr>
          <w:rFonts w:hint="eastAsia" w:ascii="宋体" w:hAnsi="宋体"/>
          <w:sz w:val="24"/>
        </w:rPr>
        <w:t>第八条 鼓励采购人允许获得政府采购合同的大型企业依法向中小企业分包。</w:t>
      </w:r>
    </w:p>
    <w:p>
      <w:pPr>
        <w:spacing w:line="500" w:lineRule="exact"/>
        <w:ind w:firstLine="480"/>
        <w:rPr>
          <w:rFonts w:ascii="宋体" w:hAnsi="宋体"/>
          <w:sz w:val="24"/>
        </w:rPr>
      </w:pPr>
      <w:r>
        <w:rPr>
          <w:rFonts w:hint="eastAsia" w:ascii="宋体" w:hAnsi="宋体"/>
          <w:sz w:val="24"/>
        </w:rPr>
        <w:t>大型企业向中小企业分包的金额，计入面向中小企业采购的统计数额。</w:t>
      </w:r>
    </w:p>
    <w:p>
      <w:pPr>
        <w:spacing w:line="500" w:lineRule="exact"/>
        <w:ind w:firstLine="480"/>
        <w:rPr>
          <w:rFonts w:ascii="宋体" w:hAnsi="宋体"/>
          <w:sz w:val="24"/>
        </w:rPr>
      </w:pPr>
      <w:r>
        <w:rPr>
          <w:rFonts w:hint="eastAsia" w:ascii="宋体" w:hAnsi="宋体"/>
          <w:sz w:val="24"/>
        </w:rPr>
        <w:t>第九条 鼓励采购人在与中小企业签订政府采购合同时，在履约保证金、付款期限、付款方式等方面给予中小企业适当支持。采购人应当按照合同约定按时足额支付采购资金。</w:t>
      </w:r>
    </w:p>
    <w:p>
      <w:pPr>
        <w:spacing w:line="500" w:lineRule="exact"/>
        <w:ind w:firstLine="480"/>
        <w:rPr>
          <w:rFonts w:ascii="宋体" w:hAnsi="宋体"/>
          <w:sz w:val="24"/>
        </w:rPr>
      </w:pPr>
      <w:r>
        <w:rPr>
          <w:rFonts w:hint="eastAsia" w:ascii="宋体" w:hAnsi="宋体"/>
          <w:sz w:val="24"/>
        </w:rPr>
        <w:t>第十条 鼓励在政府采购活动中引入信用担保手段，为中小企业在融资、投标保证、履约保证等方面提供专业化的担保服务。</w:t>
      </w:r>
    </w:p>
    <w:p>
      <w:pPr>
        <w:spacing w:line="500" w:lineRule="exact"/>
        <w:ind w:firstLine="480"/>
        <w:rPr>
          <w:rFonts w:ascii="宋体" w:hAnsi="宋体"/>
          <w:sz w:val="24"/>
        </w:rPr>
      </w:pPr>
      <w:r>
        <w:rPr>
          <w:rFonts w:hint="eastAsia" w:ascii="宋体" w:hAnsi="宋体"/>
          <w:sz w:val="24"/>
        </w:rPr>
        <w:t>第十一条 各级财政部门和有关部门应当加大对中小企业参与政府采购的培训指导及专业化咨询服务力度，提高中小企业参与政府采购活动的能力。</w:t>
      </w:r>
    </w:p>
    <w:p>
      <w:pPr>
        <w:spacing w:line="500" w:lineRule="exact"/>
        <w:ind w:firstLine="480"/>
        <w:rPr>
          <w:rFonts w:ascii="宋体" w:hAnsi="宋体"/>
          <w:sz w:val="24"/>
        </w:rPr>
      </w:pPr>
      <w:r>
        <w:rPr>
          <w:rFonts w:hint="eastAsia" w:ascii="宋体" w:hAnsi="宋体"/>
          <w:sz w:val="24"/>
        </w:rPr>
        <w:t>第十二条 各部门应当每年第一季度向同级财政部门报告本部门上一年度面向中小企业采购的具体情况，并在财政部指定的政府采购发布媒体公开预留项目执行情况以及本部门其他项目面向中小企业采购的情况。</w:t>
      </w:r>
    </w:p>
    <w:p>
      <w:pPr>
        <w:spacing w:line="500" w:lineRule="exact"/>
        <w:ind w:firstLine="480"/>
        <w:rPr>
          <w:rFonts w:ascii="宋体" w:hAnsi="宋体"/>
          <w:sz w:val="24"/>
        </w:rPr>
      </w:pPr>
      <w:r>
        <w:rPr>
          <w:rFonts w:hint="eastAsia" w:ascii="宋体" w:hAnsi="宋体"/>
          <w:sz w:val="24"/>
        </w:rPr>
        <w:t>第十三条 各级财政部门应当积极推进政府采购信息化建设，提高政府采购信息发布透明度，提供便于中小企业获取政府采购信息的稳定渠道。</w:t>
      </w:r>
    </w:p>
    <w:p>
      <w:pPr>
        <w:spacing w:line="500" w:lineRule="exact"/>
        <w:ind w:firstLine="480"/>
        <w:rPr>
          <w:rFonts w:ascii="宋体" w:hAnsi="宋体"/>
          <w:sz w:val="24"/>
        </w:rPr>
      </w:pPr>
      <w:r>
        <w:rPr>
          <w:rFonts w:hint="eastAsia" w:ascii="宋体" w:hAnsi="宋体"/>
          <w:sz w:val="24"/>
        </w:rPr>
        <w:t>第十四条 各级财政部门会同中小企业主管部门建立健全政府采购促进中小企业发展的有关制度，加强有关政策执行情况的监督检查。</w:t>
      </w:r>
    </w:p>
    <w:p>
      <w:pPr>
        <w:spacing w:line="500" w:lineRule="exact"/>
        <w:ind w:firstLine="480"/>
        <w:rPr>
          <w:rFonts w:ascii="宋体" w:hAnsi="宋体"/>
          <w:sz w:val="24"/>
        </w:rPr>
      </w:pPr>
      <w:r>
        <w:rPr>
          <w:rFonts w:hint="eastAsia" w:ascii="宋体" w:hAnsi="宋体"/>
          <w:sz w:val="24"/>
        </w:rPr>
        <w:t>各部门负责对本部门政府采购促进中小企业发展各项工作的执行和管理。</w:t>
      </w:r>
    </w:p>
    <w:p>
      <w:pPr>
        <w:spacing w:line="500" w:lineRule="exact"/>
        <w:ind w:firstLine="480"/>
        <w:rPr>
          <w:rFonts w:ascii="宋体" w:hAnsi="宋体"/>
          <w:sz w:val="24"/>
        </w:rPr>
      </w:pPr>
      <w:r>
        <w:rPr>
          <w:rFonts w:hint="eastAsia" w:ascii="宋体" w:hAnsi="宋体"/>
          <w:sz w:val="24"/>
        </w:rPr>
        <w:t>第十五条 政府采购监督检查和投诉处理中对中小企业的认定，由企业所在地的县级以上中小企业主管部门负责。</w:t>
      </w:r>
    </w:p>
    <w:p>
      <w:pPr>
        <w:spacing w:line="500" w:lineRule="exact"/>
        <w:ind w:firstLine="480"/>
        <w:rPr>
          <w:rFonts w:ascii="宋体" w:hAnsi="宋体"/>
          <w:sz w:val="24"/>
        </w:rPr>
      </w:pPr>
      <w:r>
        <w:rPr>
          <w:rFonts w:hint="eastAsia" w:ascii="宋体" w:hAnsi="宋体"/>
          <w:sz w:val="24"/>
        </w:rPr>
        <w:t>第十六条 采购人、采购代理机构或者中小企业在政府采购活动中有违法违规行为的，依照政府采购法及有关法律法规处理。</w:t>
      </w:r>
    </w:p>
    <w:p>
      <w:pPr>
        <w:spacing w:line="500" w:lineRule="exact"/>
        <w:ind w:firstLine="480"/>
        <w:rPr>
          <w:rFonts w:ascii="宋体" w:hAnsi="宋体"/>
          <w:sz w:val="24"/>
        </w:rPr>
      </w:pPr>
      <w:r>
        <w:rPr>
          <w:rFonts w:hint="eastAsia" w:ascii="宋体" w:hAnsi="宋体"/>
          <w:sz w:val="24"/>
        </w:rPr>
        <w:t>第十七条 本办法由财政部、工业和信息化部负责解释。</w:t>
      </w:r>
    </w:p>
    <w:p>
      <w:pPr>
        <w:spacing w:line="500" w:lineRule="exact"/>
        <w:ind w:firstLine="480"/>
        <w:rPr>
          <w:rFonts w:ascii="宋体" w:hAnsi="宋体"/>
          <w:sz w:val="24"/>
        </w:rPr>
      </w:pPr>
      <w:r>
        <w:rPr>
          <w:rFonts w:hint="eastAsia" w:ascii="宋体" w:hAnsi="宋体"/>
          <w:sz w:val="24"/>
        </w:rPr>
        <w:t>第十八条 本办法自2012年1月1日起施行。</w:t>
      </w:r>
    </w:p>
    <w:p>
      <w:pPr>
        <w:spacing w:line="500" w:lineRule="exact"/>
        <w:ind w:firstLine="480"/>
        <w:rPr>
          <w:rFonts w:ascii="宋体" w:hAnsi="宋体"/>
          <w:sz w:val="24"/>
        </w:rPr>
      </w:pPr>
      <w:r>
        <w:rPr>
          <w:rFonts w:hint="eastAsia" w:ascii="宋体" w:hAnsi="宋体"/>
          <w:sz w:val="24"/>
        </w:rPr>
        <w:t>附：中小企业声明函</w:t>
      </w:r>
    </w:p>
    <w:p>
      <w:pPr>
        <w:spacing w:line="500" w:lineRule="exact"/>
        <w:ind w:firstLine="480"/>
        <w:jc w:val="center"/>
        <w:rPr>
          <w:rFonts w:ascii="方正小标宋简体" w:hAnsi="宋体" w:eastAsia="方正小标宋简体"/>
          <w:sz w:val="24"/>
        </w:rPr>
      </w:pPr>
      <w:r>
        <w:rPr>
          <w:rFonts w:hint="eastAsia" w:ascii="方正小标宋简体" w:hAnsi="宋体" w:eastAsia="方正小标宋简体"/>
          <w:sz w:val="24"/>
        </w:rPr>
        <w:t>中小企业声明函</w:t>
      </w:r>
    </w:p>
    <w:p>
      <w:pPr>
        <w:spacing w:line="500" w:lineRule="exact"/>
        <w:ind w:firstLine="480"/>
        <w:rPr>
          <w:rFonts w:ascii="宋体" w:hAnsi="宋体"/>
          <w:sz w:val="24"/>
        </w:rPr>
      </w:pPr>
      <w:r>
        <w:rPr>
          <w:rFonts w:hint="eastAsia" w:ascii="宋体" w:hAnsi="宋体"/>
          <w:sz w:val="24"/>
        </w:rPr>
        <w:t>本公司郑重声明，根据《政府采购促进中小企业发展暂行办法》（财库[2011]181号）的规定，本公司为______（请填写：中型、小型、微型）企业。即，本公司同时满足以下条件：</w:t>
      </w:r>
    </w:p>
    <w:p>
      <w:pPr>
        <w:spacing w:line="500" w:lineRule="exact"/>
        <w:ind w:firstLine="48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00" w:lineRule="exact"/>
        <w:ind w:firstLine="480"/>
        <w:rPr>
          <w:rFonts w:ascii="宋体" w:hAnsi="宋体"/>
          <w:sz w:val="24"/>
        </w:rPr>
      </w:pPr>
      <w:r>
        <w:rPr>
          <w:rFonts w:hint="eastAsia" w:ascii="宋体" w:hAnsi="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00" w:lineRule="exact"/>
        <w:ind w:firstLine="480"/>
        <w:rPr>
          <w:rFonts w:ascii="宋体" w:hAnsi="宋体"/>
          <w:sz w:val="24"/>
        </w:rPr>
      </w:pPr>
      <w:r>
        <w:rPr>
          <w:rFonts w:hint="eastAsia" w:ascii="宋体" w:hAnsi="宋体"/>
          <w:sz w:val="24"/>
        </w:rPr>
        <w:t>本公司对上述声明的真实性负责。如有虚假，将依法承担相应责任。</w:t>
      </w:r>
    </w:p>
    <w:p>
      <w:pPr>
        <w:spacing w:line="500" w:lineRule="exact"/>
        <w:ind w:firstLine="480"/>
        <w:rPr>
          <w:rFonts w:ascii="宋体" w:hAnsi="宋体"/>
          <w:sz w:val="24"/>
        </w:rPr>
      </w:pPr>
      <w:r>
        <w:rPr>
          <w:rFonts w:hint="eastAsia" w:ascii="宋体" w:hAnsi="宋体"/>
          <w:sz w:val="24"/>
        </w:rPr>
        <w:t xml:space="preserve">　　　　　　 　　　　　　　　　　　　　　 　企业名称（盖章）： </w:t>
      </w:r>
    </w:p>
    <w:p>
      <w:pPr>
        <w:spacing w:line="500" w:lineRule="exact"/>
        <w:ind w:firstLine="480"/>
        <w:rPr>
          <w:rFonts w:ascii="宋体" w:hAnsi="宋体"/>
          <w:sz w:val="24"/>
        </w:rPr>
      </w:pPr>
      <w:r>
        <w:rPr>
          <w:rFonts w:hint="eastAsia" w:ascii="宋体" w:hAnsi="宋体"/>
          <w:sz w:val="24"/>
        </w:rPr>
        <w:t>　　　　　　　　　　　　　　　　　　　　 　日 期：　</w:t>
      </w:r>
    </w:p>
    <w:p>
      <w:pPr>
        <w:spacing w:line="500" w:lineRule="exact"/>
        <w:ind w:firstLine="480"/>
        <w:rPr>
          <w:rFonts w:ascii="宋体" w:hAnsi="宋体"/>
          <w:sz w:val="24"/>
        </w:rPr>
      </w:pPr>
    </w:p>
    <w:p>
      <w:pPr>
        <w:pStyle w:val="33"/>
        <w:spacing w:line="480" w:lineRule="exact"/>
        <w:ind w:firstLine="482"/>
        <w:jc w:val="center"/>
      </w:pPr>
      <w:r>
        <w:rPr>
          <w:rStyle w:val="41"/>
          <w:rFonts w:hint="eastAsia"/>
        </w:rPr>
        <w:t>关于印发中小企业划型标准规定的通知</w:t>
      </w:r>
    </w:p>
    <w:p>
      <w:pPr>
        <w:pStyle w:val="33"/>
        <w:spacing w:line="480" w:lineRule="exact"/>
        <w:ind w:firstLine="482"/>
        <w:jc w:val="center"/>
      </w:pPr>
      <w:r>
        <w:rPr>
          <w:rFonts w:hint="eastAsia"/>
          <w:b/>
        </w:rPr>
        <w:t>工信部联企业〔2011〕300号</w:t>
      </w:r>
    </w:p>
    <w:p>
      <w:pPr>
        <w:pStyle w:val="33"/>
        <w:spacing w:line="480" w:lineRule="exact"/>
        <w:ind w:firstLine="480"/>
        <w:rPr>
          <w:rFonts w:cs="Times New Roman"/>
          <w:kern w:val="2"/>
        </w:rPr>
      </w:pPr>
      <w:r>
        <w:rPr>
          <w:rFonts w:hint="eastAsia" w:cs="Times New Roman"/>
          <w:kern w:val="2"/>
        </w:rPr>
        <w:t>各省、自治区、直辖市人民政府，国务院各部委、各直属机构及有关单位：</w:t>
      </w:r>
    </w:p>
    <w:p>
      <w:pPr>
        <w:pStyle w:val="33"/>
        <w:spacing w:line="480" w:lineRule="exact"/>
        <w:ind w:firstLine="480"/>
        <w:rPr>
          <w:rFonts w:cs="Times New Roman"/>
          <w:kern w:val="2"/>
        </w:rPr>
      </w:pPr>
      <w:r>
        <w:rPr>
          <w:rFonts w:hint="eastAsia" w:cs="Times New Roman"/>
          <w:kern w:val="2"/>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pPr>
        <w:snapToGrid w:val="0"/>
        <w:spacing w:before="100" w:beforeAutospacing="1" w:after="100" w:afterAutospacing="1" w:line="480" w:lineRule="exact"/>
        <w:ind w:firstLine="480"/>
        <w:jc w:val="right"/>
        <w:rPr>
          <w:rFonts w:ascii="宋体" w:hAnsi="宋体"/>
          <w:sz w:val="24"/>
        </w:rPr>
      </w:pPr>
      <w:r>
        <w:rPr>
          <w:rFonts w:hint="eastAsia" w:ascii="宋体" w:hAnsi="宋体"/>
          <w:sz w:val="24"/>
        </w:rPr>
        <w:t>　　　　　　　 工业和信息化部        国家统计局</w:t>
      </w:r>
    </w:p>
    <w:p>
      <w:pPr>
        <w:widowControl/>
        <w:snapToGrid w:val="0"/>
        <w:spacing w:before="100" w:beforeAutospacing="1" w:after="100" w:afterAutospacing="1" w:line="480" w:lineRule="exact"/>
        <w:ind w:firstLine="480"/>
        <w:jc w:val="right"/>
        <w:rPr>
          <w:rFonts w:ascii="宋体" w:hAnsi="宋体"/>
          <w:sz w:val="24"/>
        </w:rPr>
      </w:pPr>
      <w:r>
        <w:rPr>
          <w:rFonts w:hint="eastAsia" w:ascii="宋体" w:hAnsi="宋体"/>
          <w:sz w:val="24"/>
        </w:rPr>
        <w:t>　　           国家发展和改革委员会       财政部</w:t>
      </w:r>
    </w:p>
    <w:p>
      <w:pPr>
        <w:widowControl/>
        <w:snapToGrid w:val="0"/>
        <w:spacing w:before="100" w:beforeAutospacing="1" w:after="100" w:afterAutospacing="1" w:line="480" w:lineRule="exact"/>
        <w:ind w:firstLine="480"/>
        <w:jc w:val="right"/>
        <w:rPr>
          <w:rFonts w:ascii="宋体" w:hAnsi="宋体"/>
          <w:sz w:val="24"/>
        </w:rPr>
      </w:pPr>
      <w:r>
        <w:rPr>
          <w:rFonts w:hint="eastAsia" w:ascii="宋体" w:hAnsi="宋体"/>
          <w:sz w:val="24"/>
        </w:rPr>
        <w:t>二○一一年六月十八日</w:t>
      </w:r>
    </w:p>
    <w:p>
      <w:pPr>
        <w:pStyle w:val="33"/>
        <w:spacing w:line="480" w:lineRule="exact"/>
        <w:ind w:firstLine="480"/>
        <w:jc w:val="center"/>
      </w:pPr>
      <w:r>
        <w:rPr>
          <w:rStyle w:val="41"/>
          <w:rFonts w:hint="eastAsia"/>
        </w:rPr>
        <w:t>中小企业划型标准规定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rPr>
        <w:t>　　</w:t>
      </w:r>
      <w:r>
        <w:rPr>
          <w:rFonts w:hint="eastAsia" w:cs="Times New Roman"/>
          <w:kern w:val="2"/>
        </w:rPr>
        <w:t>一、根据《中华人民共和国中小企业促进法》和《国务院关于进一步促进中小企业发展的若干意见》(国发〔2009〕36号)，制定本规定。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二、中小企业划分为中型、小型、微型三种类型，具体标准根据企业从业人员、营业收入、资产总额等指标，结合行业特点制定。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四、各行业划型标准为：</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（一）农、林、牧、渔业。营业收入20000万元以下的为中小微型企业。其中，营业收入500万元及以上的为中型企业，营业收入50万元及以上的为小型企业，营业收入50万元以下的为微型企业。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（十六）其他未列明行业。从业人员300人以下的为中小微型企业。其中，从业人员100人及以上的为中型企业；从业人员10人及以上的为小型企业；从业人员10人以下的为微型企业。</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五、企业类型的划分以统计部门的统计数据为依据。</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六、本规定适用于在中华人民共和国境内依法设立的各类所有制和各种组织形式的企业。个体工商户和本规定以外的行业，参照本规定进行划型。</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八、本规定由工业和信息化部、国家统计局会同有关部门根据《国民经济行业分类》修订情况和企业发展变化情况适时修订。</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九、本规定由工业和信息化部、国家统计局会同有关部门负责解释。</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cs="Times New Roman"/>
          <w:kern w:val="2"/>
        </w:rPr>
      </w:pPr>
      <w:r>
        <w:rPr>
          <w:rFonts w:hint="eastAsia" w:cs="Times New Roman"/>
          <w:kern w:val="2"/>
        </w:rPr>
        <w:t>　　十、本规定自发布之日起执行，原国家经贸委、原国家计委、财政部和国家统计局2003年颁布的《中小企业标准暂行规定》同时废止。</w:t>
      </w:r>
    </w:p>
    <w:p>
      <w:pPr>
        <w:spacing w:before="240" w:beforeLines="100" w:after="240" w:afterLines="100"/>
        <w:ind w:firstLine="880"/>
        <w:jc w:val="center"/>
        <w:rPr>
          <w:rFonts w:hint="eastAsia"/>
          <w:sz w:val="44"/>
          <w:szCs w:val="44"/>
        </w:rPr>
      </w:pPr>
    </w:p>
    <w:p>
      <w:pPr>
        <w:pStyle w:val="4"/>
        <w:rPr>
          <w:rFonts w:hint="eastAsia"/>
          <w:sz w:val="44"/>
          <w:szCs w:val="44"/>
        </w:rPr>
      </w:pPr>
    </w:p>
    <w:p>
      <w:pPr>
        <w:rPr>
          <w:rFonts w:hint="eastAsia"/>
          <w:sz w:val="44"/>
          <w:szCs w:val="44"/>
        </w:rPr>
      </w:pPr>
    </w:p>
    <w:p>
      <w:pPr>
        <w:pStyle w:val="4"/>
        <w:rPr>
          <w:rFonts w:hint="eastAsia"/>
          <w:sz w:val="44"/>
          <w:szCs w:val="44"/>
        </w:rPr>
      </w:pPr>
    </w:p>
    <w:p>
      <w:pPr>
        <w:rPr>
          <w:rFonts w:hint="eastAsia"/>
          <w:sz w:val="44"/>
          <w:szCs w:val="44"/>
        </w:rPr>
      </w:pPr>
    </w:p>
    <w:p>
      <w:pPr>
        <w:pStyle w:val="4"/>
        <w:rPr>
          <w:rFonts w:hint="eastAsia"/>
        </w:rPr>
      </w:pPr>
    </w:p>
    <w:p>
      <w:pPr>
        <w:spacing w:before="240" w:beforeLines="100" w:after="240" w:afterLines="100"/>
        <w:ind w:firstLine="880"/>
        <w:jc w:val="center"/>
        <w:rPr>
          <w:sz w:val="44"/>
          <w:szCs w:val="44"/>
        </w:rPr>
      </w:pPr>
      <w:r>
        <w:rPr>
          <w:rFonts w:hint="eastAsia"/>
          <w:sz w:val="44"/>
          <w:szCs w:val="44"/>
        </w:rPr>
        <w:t>政府采购类项目招标文件确认函</w:t>
      </w:r>
    </w:p>
    <w:p>
      <w:pPr>
        <w:ind w:firstLine="640"/>
        <w:rPr>
          <w:rFonts w:ascii="仿宋_GB2312" w:eastAsia="仿宋_GB2312"/>
          <w:sz w:val="32"/>
          <w:szCs w:val="32"/>
        </w:rPr>
      </w:pPr>
      <w:r>
        <w:rPr>
          <w:rFonts w:hint="eastAsia" w:ascii="仿宋_GB2312" w:eastAsia="仿宋_GB2312"/>
          <w:sz w:val="32"/>
          <w:szCs w:val="32"/>
        </w:rPr>
        <w:t>靖远县政府采购中心 ：</w:t>
      </w:r>
    </w:p>
    <w:p>
      <w:pPr>
        <w:ind w:left="638" w:leftChars="304" w:firstLine="0" w:firstLineChars="0"/>
        <w:rPr>
          <w:rFonts w:hint="eastAsia" w:ascii="仿宋_GB2312" w:eastAsia="仿宋_GB2312"/>
          <w:sz w:val="32"/>
          <w:szCs w:val="32"/>
          <w:u w:val="single"/>
          <w:lang w:eastAsia="zh-CN"/>
        </w:rPr>
      </w:pPr>
      <w:r>
        <w:rPr>
          <w:rFonts w:hint="eastAsia" w:ascii="仿宋_GB2312" w:eastAsia="仿宋_GB2312"/>
          <w:sz w:val="32"/>
          <w:szCs w:val="32"/>
        </w:rPr>
        <w:t>项目名称：</w:t>
      </w:r>
      <w:r>
        <w:rPr>
          <w:rFonts w:hint="eastAsia" w:ascii="仿宋_GB2312" w:eastAsia="仿宋_GB2312"/>
          <w:sz w:val="32"/>
          <w:szCs w:val="32"/>
          <w:u w:val="single"/>
          <w:lang w:eastAsia="zh-CN"/>
        </w:rPr>
        <w:t>白银市靖远县刘川镇人民政府2019年度村级公益事业建设“一事一议”赵埫村道路亮化工程项目</w:t>
      </w:r>
    </w:p>
    <w:p>
      <w:pPr>
        <w:ind w:left="638" w:leftChars="304" w:firstLine="0" w:firstLineChars="0"/>
        <w:rPr>
          <w:rFonts w:hint="default" w:ascii="仿宋_GB2312" w:eastAsia="仿宋_GB2312"/>
          <w:sz w:val="32"/>
          <w:szCs w:val="32"/>
          <w:lang w:val="en-US" w:eastAsia="zh-CN"/>
        </w:rPr>
      </w:pPr>
      <w:r>
        <w:rPr>
          <w:rFonts w:hint="eastAsia" w:ascii="仿宋_GB2312" w:eastAsia="仿宋_GB2312"/>
          <w:sz w:val="32"/>
          <w:szCs w:val="32"/>
        </w:rPr>
        <w:t>招标编号：</w:t>
      </w:r>
      <w:r>
        <w:rPr>
          <w:rFonts w:hint="eastAsia" w:ascii="仿宋_GB2312" w:eastAsia="仿宋_GB2312"/>
          <w:sz w:val="32"/>
          <w:szCs w:val="32"/>
          <w:u w:val="single"/>
        </w:rPr>
        <w:t>JYCG-ZC1</w:t>
      </w:r>
      <w:r>
        <w:rPr>
          <w:rFonts w:hint="eastAsia" w:ascii="仿宋_GB2312" w:eastAsia="仿宋_GB2312"/>
          <w:sz w:val="32"/>
          <w:szCs w:val="32"/>
          <w:u w:val="single"/>
          <w:lang w:val="en-US" w:eastAsia="zh-CN"/>
        </w:rPr>
        <w:t>9070</w:t>
      </w:r>
    </w:p>
    <w:p>
      <w:pPr>
        <w:ind w:firstLine="640"/>
        <w:rPr>
          <w:rFonts w:hint="eastAsia" w:ascii="仿宋_GB2312" w:eastAsia="仿宋_GB2312"/>
          <w:sz w:val="32"/>
          <w:szCs w:val="32"/>
        </w:rPr>
      </w:pPr>
      <w:r>
        <w:rPr>
          <w:rFonts w:hint="eastAsia" w:ascii="仿宋_GB2312" w:eastAsia="仿宋_GB2312"/>
          <w:sz w:val="32"/>
          <w:szCs w:val="32"/>
        </w:rPr>
        <w:t>我单位关于此项政府采购类项目招标文件，由我单位及委托的</w:t>
      </w:r>
      <w:r>
        <w:rPr>
          <w:rFonts w:hint="eastAsia" w:ascii="仿宋_GB2312" w:eastAsia="仿宋_GB2312"/>
          <w:sz w:val="32"/>
          <w:szCs w:val="32"/>
          <w:u w:val="single"/>
        </w:rPr>
        <w:t xml:space="preserve"> 靖远县政府采购中心</w:t>
      </w:r>
      <w:r>
        <w:rPr>
          <w:rFonts w:hint="eastAsia" w:ascii="仿宋_GB2312" w:eastAsia="仿宋_GB2312"/>
          <w:sz w:val="32"/>
          <w:szCs w:val="32"/>
        </w:rPr>
        <w:t>制作，本招标文件内容符合《政府采购法》、《政府采购法实施条例》等相关法律法规之规定，无特指供应商绑定条款，无倾向性参数，对每个潜在投标人均体现公平、公正原则，无歧视性条款。若因招标文件内容引起质疑、问询，以及投诉及调查等，由我单位负责解释答疑及承担相关责任。</w:t>
      </w:r>
    </w:p>
    <w:p>
      <w:pPr>
        <w:ind w:firstLine="640"/>
        <w:rPr>
          <w:rFonts w:hint="eastAsia" w:ascii="仿宋_GB2312" w:eastAsia="仿宋_GB2312"/>
          <w:sz w:val="32"/>
          <w:szCs w:val="32"/>
        </w:rPr>
      </w:pPr>
    </w:p>
    <w:p>
      <w:pPr>
        <w:ind w:firstLine="640"/>
        <w:rPr>
          <w:rFonts w:hint="eastAsia" w:ascii="仿宋_GB2312" w:eastAsia="仿宋_GB2312"/>
          <w:sz w:val="32"/>
          <w:szCs w:val="32"/>
        </w:rPr>
      </w:pPr>
    </w:p>
    <w:p>
      <w:pPr>
        <w:ind w:firstLine="640"/>
        <w:rPr>
          <w:rFonts w:hint="eastAsia" w:ascii="仿宋_GB2312" w:eastAsia="仿宋_GB2312"/>
          <w:sz w:val="32"/>
          <w:szCs w:val="32"/>
        </w:rPr>
      </w:pPr>
      <w:r>
        <w:rPr>
          <w:rFonts w:hint="eastAsia" w:ascii="仿宋_GB2312" w:eastAsia="仿宋_GB2312"/>
          <w:sz w:val="32"/>
          <w:szCs w:val="32"/>
        </w:rPr>
        <w:t xml:space="preserve">                     招标人签字（盖章）： </w:t>
      </w:r>
    </w:p>
    <w:p>
      <w:pPr>
        <w:ind w:firstLine="640"/>
        <w:rPr>
          <w:rFonts w:hint="eastAsia" w:ascii="仿宋_GB2312" w:eastAsia="仿宋_GB2312"/>
          <w:sz w:val="32"/>
          <w:szCs w:val="32"/>
        </w:rPr>
      </w:pPr>
      <w:r>
        <w:rPr>
          <w:rFonts w:hint="eastAsia" w:ascii="仿宋_GB2312" w:eastAsia="仿宋_GB2312"/>
          <w:sz w:val="32"/>
          <w:szCs w:val="32"/>
        </w:rPr>
        <w:t xml:space="preserve">                     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p>
    <w:p>
      <w:pPr>
        <w:ind w:firstLine="420"/>
      </w:pPr>
    </w:p>
    <w:sectPr>
      <w:footerReference r:id="rId7" w:type="default"/>
      <w:pgSz w:w="11907" w:h="16840"/>
      <w:pgMar w:top="1440" w:right="794" w:bottom="1440"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fldChar w:fldCharType="begin"/>
    </w:r>
    <w:r>
      <w:instrText xml:space="preserve"> PAGE   \* MERGEFORMAT </w:instrText>
    </w:r>
    <w:r>
      <w:fldChar w:fldCharType="separate"/>
    </w:r>
    <w:r>
      <w:rPr>
        <w:lang w:val="zh-CN"/>
      </w:rPr>
      <w:t>45</w:t>
    </w:r>
    <w:r>
      <w:fldChar w:fldCharType="end"/>
    </w:r>
  </w:p>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fldChar w:fldCharType="begin"/>
    </w:r>
    <w:r>
      <w:instrText xml:space="preserve"> PAGE   \* MERGEFORMAT </w:instrText>
    </w:r>
    <w:r>
      <w:fldChar w:fldCharType="separate"/>
    </w:r>
    <w:r>
      <w:rPr>
        <w:lang w:val="zh-CN"/>
      </w:rPr>
      <w:t>29</w:t>
    </w:r>
    <w:r>
      <w:fldChar w:fldCharType="end"/>
    </w:r>
  </w:p>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fldChar w:fldCharType="begin"/>
    </w:r>
    <w:r>
      <w:instrText xml:space="preserve"> PAGE   \* MERGEFORMAT </w:instrText>
    </w:r>
    <w:r>
      <w:fldChar w:fldCharType="separate"/>
    </w:r>
    <w:r>
      <w:rPr>
        <w:lang w:val="zh-CN"/>
      </w:rPr>
      <w:t>59</w:t>
    </w:r>
    <w:r>
      <w:fldChar w:fldCharType="end"/>
    </w:r>
  </w:p>
  <w:p>
    <w:pPr>
      <w:pStyle w:val="2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8B22F"/>
    <w:multiLevelType w:val="singleLevel"/>
    <w:tmpl w:val="5698B22F"/>
    <w:lvl w:ilvl="0" w:tentative="0">
      <w:start w:val="2"/>
      <w:numFmt w:val="decimal"/>
      <w:suff w:val="nothing"/>
      <w:lvlText w:val="%1、"/>
      <w:lvlJc w:val="left"/>
    </w:lvl>
  </w:abstractNum>
  <w:abstractNum w:abstractNumId="1">
    <w:nsid w:val="5A72BE9C"/>
    <w:multiLevelType w:val="singleLevel"/>
    <w:tmpl w:val="5A72BE9C"/>
    <w:lvl w:ilvl="0" w:tentative="0">
      <w:start w:val="2"/>
      <w:numFmt w:val="chineseCounting"/>
      <w:suff w:val="nothing"/>
      <w:lvlText w:val="（%1）"/>
      <w:lvlJc w:val="left"/>
    </w:lvl>
  </w:abstractNum>
  <w:abstractNum w:abstractNumId="2">
    <w:nsid w:val="6C5C9F38"/>
    <w:multiLevelType w:val="singleLevel"/>
    <w:tmpl w:val="6C5C9F3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04"/>
    <w:rsid w:val="00000BF7"/>
    <w:rsid w:val="00003711"/>
    <w:rsid w:val="0000549D"/>
    <w:rsid w:val="00007C52"/>
    <w:rsid w:val="000141BC"/>
    <w:rsid w:val="00015F60"/>
    <w:rsid w:val="00021BA2"/>
    <w:rsid w:val="00023A08"/>
    <w:rsid w:val="00027349"/>
    <w:rsid w:val="000316F6"/>
    <w:rsid w:val="00040505"/>
    <w:rsid w:val="0004785C"/>
    <w:rsid w:val="00050028"/>
    <w:rsid w:val="00052833"/>
    <w:rsid w:val="00053C07"/>
    <w:rsid w:val="00057B6F"/>
    <w:rsid w:val="0006004F"/>
    <w:rsid w:val="00064DB7"/>
    <w:rsid w:val="00064F31"/>
    <w:rsid w:val="00066200"/>
    <w:rsid w:val="00071F9A"/>
    <w:rsid w:val="00074485"/>
    <w:rsid w:val="000754D7"/>
    <w:rsid w:val="000772B2"/>
    <w:rsid w:val="000835B5"/>
    <w:rsid w:val="00085655"/>
    <w:rsid w:val="00091190"/>
    <w:rsid w:val="00092AFF"/>
    <w:rsid w:val="00094F50"/>
    <w:rsid w:val="00095FC4"/>
    <w:rsid w:val="00096304"/>
    <w:rsid w:val="000A3209"/>
    <w:rsid w:val="000A3521"/>
    <w:rsid w:val="000A462B"/>
    <w:rsid w:val="000B3D09"/>
    <w:rsid w:val="000B491F"/>
    <w:rsid w:val="000C1DD8"/>
    <w:rsid w:val="000D5A49"/>
    <w:rsid w:val="000D6750"/>
    <w:rsid w:val="000E5248"/>
    <w:rsid w:val="000E5BB7"/>
    <w:rsid w:val="000E7637"/>
    <w:rsid w:val="000F331D"/>
    <w:rsid w:val="000F55A2"/>
    <w:rsid w:val="00102BD1"/>
    <w:rsid w:val="001032C5"/>
    <w:rsid w:val="00107B72"/>
    <w:rsid w:val="0011349A"/>
    <w:rsid w:val="00130B49"/>
    <w:rsid w:val="00131F86"/>
    <w:rsid w:val="00132429"/>
    <w:rsid w:val="00133CE6"/>
    <w:rsid w:val="00136008"/>
    <w:rsid w:val="00140DD9"/>
    <w:rsid w:val="00141C93"/>
    <w:rsid w:val="00143537"/>
    <w:rsid w:val="00143E24"/>
    <w:rsid w:val="001474C7"/>
    <w:rsid w:val="00151C9F"/>
    <w:rsid w:val="001521A9"/>
    <w:rsid w:val="00152C38"/>
    <w:rsid w:val="00156E30"/>
    <w:rsid w:val="001751B1"/>
    <w:rsid w:val="00186D8F"/>
    <w:rsid w:val="00190D72"/>
    <w:rsid w:val="001A6D50"/>
    <w:rsid w:val="001B4281"/>
    <w:rsid w:val="001B4369"/>
    <w:rsid w:val="001B60A0"/>
    <w:rsid w:val="001C0A66"/>
    <w:rsid w:val="001C0BC0"/>
    <w:rsid w:val="001C13B0"/>
    <w:rsid w:val="001C2AD6"/>
    <w:rsid w:val="001C4095"/>
    <w:rsid w:val="001C425B"/>
    <w:rsid w:val="001E0674"/>
    <w:rsid w:val="001E3967"/>
    <w:rsid w:val="001E4363"/>
    <w:rsid w:val="001F2C32"/>
    <w:rsid w:val="001F3A8A"/>
    <w:rsid w:val="001F5715"/>
    <w:rsid w:val="001F60C0"/>
    <w:rsid w:val="00203046"/>
    <w:rsid w:val="00206552"/>
    <w:rsid w:val="00211F3A"/>
    <w:rsid w:val="00214BE0"/>
    <w:rsid w:val="00214ECA"/>
    <w:rsid w:val="002159AE"/>
    <w:rsid w:val="002218CE"/>
    <w:rsid w:val="00221D19"/>
    <w:rsid w:val="002237DD"/>
    <w:rsid w:val="00225FF1"/>
    <w:rsid w:val="002303F9"/>
    <w:rsid w:val="00230B30"/>
    <w:rsid w:val="00230D23"/>
    <w:rsid w:val="002333BE"/>
    <w:rsid w:val="00235F79"/>
    <w:rsid w:val="00241235"/>
    <w:rsid w:val="00242241"/>
    <w:rsid w:val="00245166"/>
    <w:rsid w:val="002451F1"/>
    <w:rsid w:val="00250CAF"/>
    <w:rsid w:val="002516C1"/>
    <w:rsid w:val="00252F64"/>
    <w:rsid w:val="00254A9E"/>
    <w:rsid w:val="002557B0"/>
    <w:rsid w:val="002576C5"/>
    <w:rsid w:val="00270B72"/>
    <w:rsid w:val="00271FC4"/>
    <w:rsid w:val="00274754"/>
    <w:rsid w:val="00274775"/>
    <w:rsid w:val="00285FB8"/>
    <w:rsid w:val="0029164B"/>
    <w:rsid w:val="00293A88"/>
    <w:rsid w:val="00294B41"/>
    <w:rsid w:val="002955A7"/>
    <w:rsid w:val="0029746E"/>
    <w:rsid w:val="002A4328"/>
    <w:rsid w:val="002A698E"/>
    <w:rsid w:val="002A75DA"/>
    <w:rsid w:val="002A7784"/>
    <w:rsid w:val="002B066A"/>
    <w:rsid w:val="002B4EEC"/>
    <w:rsid w:val="002D2EB8"/>
    <w:rsid w:val="002D6527"/>
    <w:rsid w:val="002E04C3"/>
    <w:rsid w:val="002E23D7"/>
    <w:rsid w:val="002E2B3A"/>
    <w:rsid w:val="002E32BE"/>
    <w:rsid w:val="002E5E7A"/>
    <w:rsid w:val="0030237C"/>
    <w:rsid w:val="0031490F"/>
    <w:rsid w:val="003175DF"/>
    <w:rsid w:val="0033119F"/>
    <w:rsid w:val="00333282"/>
    <w:rsid w:val="003334D8"/>
    <w:rsid w:val="0033433E"/>
    <w:rsid w:val="00335341"/>
    <w:rsid w:val="0033561E"/>
    <w:rsid w:val="003411C5"/>
    <w:rsid w:val="0034459A"/>
    <w:rsid w:val="00346464"/>
    <w:rsid w:val="00354816"/>
    <w:rsid w:val="00356164"/>
    <w:rsid w:val="00356960"/>
    <w:rsid w:val="003644F2"/>
    <w:rsid w:val="0036556B"/>
    <w:rsid w:val="00366A98"/>
    <w:rsid w:val="00370814"/>
    <w:rsid w:val="00372679"/>
    <w:rsid w:val="00374AB7"/>
    <w:rsid w:val="003754DA"/>
    <w:rsid w:val="003756D5"/>
    <w:rsid w:val="00377C8B"/>
    <w:rsid w:val="0038300A"/>
    <w:rsid w:val="0038565F"/>
    <w:rsid w:val="00386958"/>
    <w:rsid w:val="00386EDF"/>
    <w:rsid w:val="00390CD3"/>
    <w:rsid w:val="00395CB6"/>
    <w:rsid w:val="003963A5"/>
    <w:rsid w:val="003A2A8D"/>
    <w:rsid w:val="003A52A0"/>
    <w:rsid w:val="003B0D51"/>
    <w:rsid w:val="003C392D"/>
    <w:rsid w:val="003C6061"/>
    <w:rsid w:val="003C6855"/>
    <w:rsid w:val="003C6965"/>
    <w:rsid w:val="003D1404"/>
    <w:rsid w:val="003D2CDB"/>
    <w:rsid w:val="003D7FC7"/>
    <w:rsid w:val="003E0CD3"/>
    <w:rsid w:val="003E0D0C"/>
    <w:rsid w:val="003E1493"/>
    <w:rsid w:val="003E5185"/>
    <w:rsid w:val="003F278D"/>
    <w:rsid w:val="003F30B6"/>
    <w:rsid w:val="003F7B2E"/>
    <w:rsid w:val="004045E4"/>
    <w:rsid w:val="00406D28"/>
    <w:rsid w:val="004120A8"/>
    <w:rsid w:val="00413016"/>
    <w:rsid w:val="00415039"/>
    <w:rsid w:val="004154F3"/>
    <w:rsid w:val="004159CE"/>
    <w:rsid w:val="00420DDE"/>
    <w:rsid w:val="00421DEC"/>
    <w:rsid w:val="00425A18"/>
    <w:rsid w:val="00443C33"/>
    <w:rsid w:val="0044559F"/>
    <w:rsid w:val="0045031B"/>
    <w:rsid w:val="00457EF0"/>
    <w:rsid w:val="00462326"/>
    <w:rsid w:val="00462C86"/>
    <w:rsid w:val="004659C4"/>
    <w:rsid w:val="00471A0E"/>
    <w:rsid w:val="00473673"/>
    <w:rsid w:val="00475E34"/>
    <w:rsid w:val="00476E3C"/>
    <w:rsid w:val="00477FAB"/>
    <w:rsid w:val="004813DF"/>
    <w:rsid w:val="00483612"/>
    <w:rsid w:val="004918CC"/>
    <w:rsid w:val="004920D4"/>
    <w:rsid w:val="004A298E"/>
    <w:rsid w:val="004A7608"/>
    <w:rsid w:val="004B1ABC"/>
    <w:rsid w:val="004B6C7F"/>
    <w:rsid w:val="004B75EF"/>
    <w:rsid w:val="004B7750"/>
    <w:rsid w:val="004C056D"/>
    <w:rsid w:val="004C2077"/>
    <w:rsid w:val="004C26CB"/>
    <w:rsid w:val="004C2C23"/>
    <w:rsid w:val="004C4EDA"/>
    <w:rsid w:val="004C523C"/>
    <w:rsid w:val="004C7069"/>
    <w:rsid w:val="004D053E"/>
    <w:rsid w:val="004D15C4"/>
    <w:rsid w:val="004D7077"/>
    <w:rsid w:val="004E043A"/>
    <w:rsid w:val="004E233A"/>
    <w:rsid w:val="004E32AA"/>
    <w:rsid w:val="004E438B"/>
    <w:rsid w:val="004F3B32"/>
    <w:rsid w:val="00503176"/>
    <w:rsid w:val="00510088"/>
    <w:rsid w:val="00510632"/>
    <w:rsid w:val="00520377"/>
    <w:rsid w:val="00524006"/>
    <w:rsid w:val="00530B93"/>
    <w:rsid w:val="005354D5"/>
    <w:rsid w:val="00536B27"/>
    <w:rsid w:val="00537563"/>
    <w:rsid w:val="005426F8"/>
    <w:rsid w:val="00555592"/>
    <w:rsid w:val="00561C4E"/>
    <w:rsid w:val="005634B9"/>
    <w:rsid w:val="005642B5"/>
    <w:rsid w:val="00571424"/>
    <w:rsid w:val="00573C98"/>
    <w:rsid w:val="0057428B"/>
    <w:rsid w:val="00581AFA"/>
    <w:rsid w:val="00581B7F"/>
    <w:rsid w:val="005823D8"/>
    <w:rsid w:val="005829D3"/>
    <w:rsid w:val="00582C51"/>
    <w:rsid w:val="00592E51"/>
    <w:rsid w:val="00595DDC"/>
    <w:rsid w:val="005B1701"/>
    <w:rsid w:val="005B2220"/>
    <w:rsid w:val="005C10CD"/>
    <w:rsid w:val="005D5208"/>
    <w:rsid w:val="005D6673"/>
    <w:rsid w:val="005D6E01"/>
    <w:rsid w:val="005E308B"/>
    <w:rsid w:val="005E44C2"/>
    <w:rsid w:val="005E4F8A"/>
    <w:rsid w:val="005F01E9"/>
    <w:rsid w:val="005F25D7"/>
    <w:rsid w:val="005F6596"/>
    <w:rsid w:val="00604A51"/>
    <w:rsid w:val="00612B41"/>
    <w:rsid w:val="006142BD"/>
    <w:rsid w:val="00614FCC"/>
    <w:rsid w:val="0062604C"/>
    <w:rsid w:val="00630A32"/>
    <w:rsid w:val="00632B4A"/>
    <w:rsid w:val="00634C4C"/>
    <w:rsid w:val="00636218"/>
    <w:rsid w:val="00644F25"/>
    <w:rsid w:val="006466C3"/>
    <w:rsid w:val="00653132"/>
    <w:rsid w:val="00657FEC"/>
    <w:rsid w:val="0066247F"/>
    <w:rsid w:val="0066708F"/>
    <w:rsid w:val="00667210"/>
    <w:rsid w:val="006678AE"/>
    <w:rsid w:val="00682A2E"/>
    <w:rsid w:val="006843A5"/>
    <w:rsid w:val="0069644D"/>
    <w:rsid w:val="006A0655"/>
    <w:rsid w:val="006A06B0"/>
    <w:rsid w:val="006A445E"/>
    <w:rsid w:val="006A6C3F"/>
    <w:rsid w:val="006B117F"/>
    <w:rsid w:val="006C3153"/>
    <w:rsid w:val="006C31E4"/>
    <w:rsid w:val="006C42E9"/>
    <w:rsid w:val="006D234F"/>
    <w:rsid w:val="006D76E3"/>
    <w:rsid w:val="006E1E1E"/>
    <w:rsid w:val="006E3369"/>
    <w:rsid w:val="006E724B"/>
    <w:rsid w:val="006F24DE"/>
    <w:rsid w:val="006F4265"/>
    <w:rsid w:val="00701703"/>
    <w:rsid w:val="00704AAB"/>
    <w:rsid w:val="007160ED"/>
    <w:rsid w:val="00716A3C"/>
    <w:rsid w:val="0071784C"/>
    <w:rsid w:val="00722A4D"/>
    <w:rsid w:val="007258EB"/>
    <w:rsid w:val="007364DB"/>
    <w:rsid w:val="00737D9D"/>
    <w:rsid w:val="00740265"/>
    <w:rsid w:val="00741149"/>
    <w:rsid w:val="00744E64"/>
    <w:rsid w:val="00745008"/>
    <w:rsid w:val="00750EA7"/>
    <w:rsid w:val="0075297F"/>
    <w:rsid w:val="0075530D"/>
    <w:rsid w:val="00756BEF"/>
    <w:rsid w:val="00757212"/>
    <w:rsid w:val="007679CB"/>
    <w:rsid w:val="0077006D"/>
    <w:rsid w:val="00772A3A"/>
    <w:rsid w:val="00774C3B"/>
    <w:rsid w:val="0077503A"/>
    <w:rsid w:val="007767F5"/>
    <w:rsid w:val="00782B3E"/>
    <w:rsid w:val="007906BB"/>
    <w:rsid w:val="00791363"/>
    <w:rsid w:val="00791746"/>
    <w:rsid w:val="00791D20"/>
    <w:rsid w:val="00792194"/>
    <w:rsid w:val="00793FE8"/>
    <w:rsid w:val="00794D9E"/>
    <w:rsid w:val="00795AC4"/>
    <w:rsid w:val="00797818"/>
    <w:rsid w:val="007A13E5"/>
    <w:rsid w:val="007A36F5"/>
    <w:rsid w:val="007A50EC"/>
    <w:rsid w:val="007A7754"/>
    <w:rsid w:val="007B3475"/>
    <w:rsid w:val="007B65B8"/>
    <w:rsid w:val="007C0951"/>
    <w:rsid w:val="007D3B36"/>
    <w:rsid w:val="007D4662"/>
    <w:rsid w:val="007D63CB"/>
    <w:rsid w:val="007E47A0"/>
    <w:rsid w:val="007E5EA8"/>
    <w:rsid w:val="007F1EE8"/>
    <w:rsid w:val="007F2DDF"/>
    <w:rsid w:val="007F3A99"/>
    <w:rsid w:val="007F3F68"/>
    <w:rsid w:val="007F7513"/>
    <w:rsid w:val="00801ABF"/>
    <w:rsid w:val="00803101"/>
    <w:rsid w:val="00813E48"/>
    <w:rsid w:val="0081403A"/>
    <w:rsid w:val="00826E7A"/>
    <w:rsid w:val="0083145A"/>
    <w:rsid w:val="008336FB"/>
    <w:rsid w:val="0083596B"/>
    <w:rsid w:val="00835DBE"/>
    <w:rsid w:val="008435B0"/>
    <w:rsid w:val="0084469B"/>
    <w:rsid w:val="00844B29"/>
    <w:rsid w:val="00846C5D"/>
    <w:rsid w:val="00847A72"/>
    <w:rsid w:val="0085190E"/>
    <w:rsid w:val="00852FCA"/>
    <w:rsid w:val="00853BBD"/>
    <w:rsid w:val="00854863"/>
    <w:rsid w:val="00854A76"/>
    <w:rsid w:val="0085602A"/>
    <w:rsid w:val="008579BF"/>
    <w:rsid w:val="00861697"/>
    <w:rsid w:val="00867164"/>
    <w:rsid w:val="008671D6"/>
    <w:rsid w:val="008728A1"/>
    <w:rsid w:val="00873888"/>
    <w:rsid w:val="00873C98"/>
    <w:rsid w:val="00873E86"/>
    <w:rsid w:val="00885C88"/>
    <w:rsid w:val="00886399"/>
    <w:rsid w:val="008976FE"/>
    <w:rsid w:val="008A14A4"/>
    <w:rsid w:val="008A3B74"/>
    <w:rsid w:val="008A4B79"/>
    <w:rsid w:val="008B17E2"/>
    <w:rsid w:val="008C1011"/>
    <w:rsid w:val="008C188A"/>
    <w:rsid w:val="008D26A6"/>
    <w:rsid w:val="008D443D"/>
    <w:rsid w:val="008E24D5"/>
    <w:rsid w:val="008E2EFD"/>
    <w:rsid w:val="008E3EE4"/>
    <w:rsid w:val="008E3FBB"/>
    <w:rsid w:val="008F422A"/>
    <w:rsid w:val="008F5DB0"/>
    <w:rsid w:val="008F7412"/>
    <w:rsid w:val="0090187C"/>
    <w:rsid w:val="00902541"/>
    <w:rsid w:val="009032CE"/>
    <w:rsid w:val="00910D67"/>
    <w:rsid w:val="0091254B"/>
    <w:rsid w:val="00916C62"/>
    <w:rsid w:val="00921CA6"/>
    <w:rsid w:val="00921CCB"/>
    <w:rsid w:val="00922FDC"/>
    <w:rsid w:val="00923017"/>
    <w:rsid w:val="00923387"/>
    <w:rsid w:val="00925A49"/>
    <w:rsid w:val="009301F2"/>
    <w:rsid w:val="00934D1B"/>
    <w:rsid w:val="0094285D"/>
    <w:rsid w:val="009428EE"/>
    <w:rsid w:val="0094352E"/>
    <w:rsid w:val="009515C6"/>
    <w:rsid w:val="00955DC3"/>
    <w:rsid w:val="0096003F"/>
    <w:rsid w:val="00965713"/>
    <w:rsid w:val="009716B2"/>
    <w:rsid w:val="00971905"/>
    <w:rsid w:val="009734CD"/>
    <w:rsid w:val="00985E69"/>
    <w:rsid w:val="00991063"/>
    <w:rsid w:val="0099160D"/>
    <w:rsid w:val="0099679F"/>
    <w:rsid w:val="0099689C"/>
    <w:rsid w:val="009A159B"/>
    <w:rsid w:val="009A2456"/>
    <w:rsid w:val="009A5BC9"/>
    <w:rsid w:val="009B233E"/>
    <w:rsid w:val="009D5C00"/>
    <w:rsid w:val="009D5C58"/>
    <w:rsid w:val="009E0E04"/>
    <w:rsid w:val="009F7545"/>
    <w:rsid w:val="00A00B75"/>
    <w:rsid w:val="00A01AB0"/>
    <w:rsid w:val="00A026CE"/>
    <w:rsid w:val="00A06B7C"/>
    <w:rsid w:val="00A1674A"/>
    <w:rsid w:val="00A26931"/>
    <w:rsid w:val="00A26DA5"/>
    <w:rsid w:val="00A34086"/>
    <w:rsid w:val="00A34927"/>
    <w:rsid w:val="00A352EC"/>
    <w:rsid w:val="00A40ADF"/>
    <w:rsid w:val="00A46A55"/>
    <w:rsid w:val="00A629CD"/>
    <w:rsid w:val="00A65DD3"/>
    <w:rsid w:val="00A704A4"/>
    <w:rsid w:val="00A72873"/>
    <w:rsid w:val="00A74FAB"/>
    <w:rsid w:val="00A81CB1"/>
    <w:rsid w:val="00A83865"/>
    <w:rsid w:val="00A976B0"/>
    <w:rsid w:val="00A97F1D"/>
    <w:rsid w:val="00AA05B8"/>
    <w:rsid w:val="00AA2CF1"/>
    <w:rsid w:val="00AB0484"/>
    <w:rsid w:val="00AB3457"/>
    <w:rsid w:val="00AB4104"/>
    <w:rsid w:val="00AB4900"/>
    <w:rsid w:val="00AC0499"/>
    <w:rsid w:val="00AC4927"/>
    <w:rsid w:val="00AC6786"/>
    <w:rsid w:val="00AC796B"/>
    <w:rsid w:val="00AC7C8F"/>
    <w:rsid w:val="00AD3BFF"/>
    <w:rsid w:val="00AD4556"/>
    <w:rsid w:val="00AD4DA8"/>
    <w:rsid w:val="00AD6574"/>
    <w:rsid w:val="00AD692B"/>
    <w:rsid w:val="00AE46B0"/>
    <w:rsid w:val="00AE7C54"/>
    <w:rsid w:val="00AE7E8A"/>
    <w:rsid w:val="00AF0460"/>
    <w:rsid w:val="00AF11B2"/>
    <w:rsid w:val="00AF24CE"/>
    <w:rsid w:val="00AF571B"/>
    <w:rsid w:val="00B00820"/>
    <w:rsid w:val="00B04586"/>
    <w:rsid w:val="00B0647D"/>
    <w:rsid w:val="00B118D8"/>
    <w:rsid w:val="00B14A23"/>
    <w:rsid w:val="00B15C8E"/>
    <w:rsid w:val="00B15E6A"/>
    <w:rsid w:val="00B20888"/>
    <w:rsid w:val="00B24915"/>
    <w:rsid w:val="00B36CC7"/>
    <w:rsid w:val="00B3746E"/>
    <w:rsid w:val="00B52062"/>
    <w:rsid w:val="00B5245E"/>
    <w:rsid w:val="00B52740"/>
    <w:rsid w:val="00B56ABB"/>
    <w:rsid w:val="00B5731B"/>
    <w:rsid w:val="00B61D9B"/>
    <w:rsid w:val="00B700FD"/>
    <w:rsid w:val="00B84649"/>
    <w:rsid w:val="00B91D43"/>
    <w:rsid w:val="00B92A7D"/>
    <w:rsid w:val="00B93A3B"/>
    <w:rsid w:val="00B93A54"/>
    <w:rsid w:val="00B943AC"/>
    <w:rsid w:val="00BA0AB1"/>
    <w:rsid w:val="00BB0252"/>
    <w:rsid w:val="00BB6B9C"/>
    <w:rsid w:val="00BC0293"/>
    <w:rsid w:val="00BC0ABB"/>
    <w:rsid w:val="00BC7FB1"/>
    <w:rsid w:val="00BD45C2"/>
    <w:rsid w:val="00BD475A"/>
    <w:rsid w:val="00BD4DB6"/>
    <w:rsid w:val="00BD584C"/>
    <w:rsid w:val="00BE076E"/>
    <w:rsid w:val="00BE1E9C"/>
    <w:rsid w:val="00BE5955"/>
    <w:rsid w:val="00BE7666"/>
    <w:rsid w:val="00BF0111"/>
    <w:rsid w:val="00BF291D"/>
    <w:rsid w:val="00C01733"/>
    <w:rsid w:val="00C0184D"/>
    <w:rsid w:val="00C0663E"/>
    <w:rsid w:val="00C07CE6"/>
    <w:rsid w:val="00C11CC6"/>
    <w:rsid w:val="00C16CCF"/>
    <w:rsid w:val="00C2170D"/>
    <w:rsid w:val="00C237AE"/>
    <w:rsid w:val="00C247BD"/>
    <w:rsid w:val="00C2707A"/>
    <w:rsid w:val="00C348EC"/>
    <w:rsid w:val="00C3758B"/>
    <w:rsid w:val="00C41BE1"/>
    <w:rsid w:val="00C452A2"/>
    <w:rsid w:val="00C46FA5"/>
    <w:rsid w:val="00C60F39"/>
    <w:rsid w:val="00C62A22"/>
    <w:rsid w:val="00C642C8"/>
    <w:rsid w:val="00C67182"/>
    <w:rsid w:val="00C71062"/>
    <w:rsid w:val="00C769EF"/>
    <w:rsid w:val="00C80AC5"/>
    <w:rsid w:val="00C83112"/>
    <w:rsid w:val="00C856E2"/>
    <w:rsid w:val="00C90220"/>
    <w:rsid w:val="00C90979"/>
    <w:rsid w:val="00C90CD7"/>
    <w:rsid w:val="00C9185E"/>
    <w:rsid w:val="00CA42D4"/>
    <w:rsid w:val="00CD130C"/>
    <w:rsid w:val="00CD5FDE"/>
    <w:rsid w:val="00CD6630"/>
    <w:rsid w:val="00CE4D4E"/>
    <w:rsid w:val="00CE50F9"/>
    <w:rsid w:val="00CE56D7"/>
    <w:rsid w:val="00CE6C63"/>
    <w:rsid w:val="00D10334"/>
    <w:rsid w:val="00D17024"/>
    <w:rsid w:val="00D226A0"/>
    <w:rsid w:val="00D32F0D"/>
    <w:rsid w:val="00D32F83"/>
    <w:rsid w:val="00D34324"/>
    <w:rsid w:val="00D35EBB"/>
    <w:rsid w:val="00D408AA"/>
    <w:rsid w:val="00D42883"/>
    <w:rsid w:val="00D45CC3"/>
    <w:rsid w:val="00D54193"/>
    <w:rsid w:val="00D54BF1"/>
    <w:rsid w:val="00D55964"/>
    <w:rsid w:val="00D64BD5"/>
    <w:rsid w:val="00D6555B"/>
    <w:rsid w:val="00D65BFF"/>
    <w:rsid w:val="00D741F1"/>
    <w:rsid w:val="00D77721"/>
    <w:rsid w:val="00D84853"/>
    <w:rsid w:val="00D90FBC"/>
    <w:rsid w:val="00DA0D5D"/>
    <w:rsid w:val="00DA6427"/>
    <w:rsid w:val="00DB3703"/>
    <w:rsid w:val="00DB3B20"/>
    <w:rsid w:val="00DB71DC"/>
    <w:rsid w:val="00DC1A89"/>
    <w:rsid w:val="00DC6AF8"/>
    <w:rsid w:val="00DD1719"/>
    <w:rsid w:val="00DD3EA7"/>
    <w:rsid w:val="00DE1163"/>
    <w:rsid w:val="00DE168F"/>
    <w:rsid w:val="00DE385D"/>
    <w:rsid w:val="00DE5851"/>
    <w:rsid w:val="00DE5A97"/>
    <w:rsid w:val="00DF170C"/>
    <w:rsid w:val="00DF1E8C"/>
    <w:rsid w:val="00DF5C2F"/>
    <w:rsid w:val="00DF6491"/>
    <w:rsid w:val="00DF685A"/>
    <w:rsid w:val="00E01178"/>
    <w:rsid w:val="00E015DE"/>
    <w:rsid w:val="00E01A02"/>
    <w:rsid w:val="00E04A38"/>
    <w:rsid w:val="00E0649C"/>
    <w:rsid w:val="00E1117F"/>
    <w:rsid w:val="00E11579"/>
    <w:rsid w:val="00E22598"/>
    <w:rsid w:val="00E22DC1"/>
    <w:rsid w:val="00E269FD"/>
    <w:rsid w:val="00E321E8"/>
    <w:rsid w:val="00E32B64"/>
    <w:rsid w:val="00E34395"/>
    <w:rsid w:val="00E35384"/>
    <w:rsid w:val="00E357D2"/>
    <w:rsid w:val="00E461FF"/>
    <w:rsid w:val="00E53395"/>
    <w:rsid w:val="00E64B59"/>
    <w:rsid w:val="00E66513"/>
    <w:rsid w:val="00E73840"/>
    <w:rsid w:val="00E806C3"/>
    <w:rsid w:val="00E85A07"/>
    <w:rsid w:val="00E90873"/>
    <w:rsid w:val="00E94396"/>
    <w:rsid w:val="00E956AA"/>
    <w:rsid w:val="00E962EE"/>
    <w:rsid w:val="00EA30FD"/>
    <w:rsid w:val="00EA4770"/>
    <w:rsid w:val="00EA4985"/>
    <w:rsid w:val="00EA6F5A"/>
    <w:rsid w:val="00EA77CE"/>
    <w:rsid w:val="00EB0CE8"/>
    <w:rsid w:val="00EB1BB0"/>
    <w:rsid w:val="00EB3BBA"/>
    <w:rsid w:val="00EC1199"/>
    <w:rsid w:val="00EC1D1B"/>
    <w:rsid w:val="00EC50DB"/>
    <w:rsid w:val="00ED0C56"/>
    <w:rsid w:val="00ED5832"/>
    <w:rsid w:val="00ED7695"/>
    <w:rsid w:val="00EE5AE2"/>
    <w:rsid w:val="00EE6021"/>
    <w:rsid w:val="00EE6E8B"/>
    <w:rsid w:val="00EF34D6"/>
    <w:rsid w:val="00EF3AE1"/>
    <w:rsid w:val="00EF4CFD"/>
    <w:rsid w:val="00F03FDA"/>
    <w:rsid w:val="00F057E9"/>
    <w:rsid w:val="00F05F47"/>
    <w:rsid w:val="00F07D53"/>
    <w:rsid w:val="00F07DC8"/>
    <w:rsid w:val="00F11F4B"/>
    <w:rsid w:val="00F128A3"/>
    <w:rsid w:val="00F12C1B"/>
    <w:rsid w:val="00F169B7"/>
    <w:rsid w:val="00F318C6"/>
    <w:rsid w:val="00F335D5"/>
    <w:rsid w:val="00F34ED9"/>
    <w:rsid w:val="00F35514"/>
    <w:rsid w:val="00F43B2E"/>
    <w:rsid w:val="00F45204"/>
    <w:rsid w:val="00F50988"/>
    <w:rsid w:val="00F52353"/>
    <w:rsid w:val="00F56B32"/>
    <w:rsid w:val="00F67DAF"/>
    <w:rsid w:val="00F771C4"/>
    <w:rsid w:val="00F77C6A"/>
    <w:rsid w:val="00F77D7F"/>
    <w:rsid w:val="00F92796"/>
    <w:rsid w:val="00F93562"/>
    <w:rsid w:val="00F95AEA"/>
    <w:rsid w:val="00FA2D12"/>
    <w:rsid w:val="00FA30D5"/>
    <w:rsid w:val="00FA7308"/>
    <w:rsid w:val="00FB027A"/>
    <w:rsid w:val="00FB1DF4"/>
    <w:rsid w:val="00FB5256"/>
    <w:rsid w:val="00FC6A9D"/>
    <w:rsid w:val="00FC7101"/>
    <w:rsid w:val="00FD2B22"/>
    <w:rsid w:val="00FD39BD"/>
    <w:rsid w:val="00FD4EEB"/>
    <w:rsid w:val="00FD629F"/>
    <w:rsid w:val="00FD7855"/>
    <w:rsid w:val="00FE761D"/>
    <w:rsid w:val="00FF1D91"/>
    <w:rsid w:val="00FF2681"/>
    <w:rsid w:val="00FF2FF4"/>
    <w:rsid w:val="00FF4DF8"/>
    <w:rsid w:val="0113174E"/>
    <w:rsid w:val="013D75C8"/>
    <w:rsid w:val="01561FB2"/>
    <w:rsid w:val="01A87F5F"/>
    <w:rsid w:val="022979C3"/>
    <w:rsid w:val="02362727"/>
    <w:rsid w:val="027D3CF9"/>
    <w:rsid w:val="028D67F8"/>
    <w:rsid w:val="02E334ED"/>
    <w:rsid w:val="02E85097"/>
    <w:rsid w:val="033B7180"/>
    <w:rsid w:val="034347E7"/>
    <w:rsid w:val="036530C4"/>
    <w:rsid w:val="037416CB"/>
    <w:rsid w:val="037D4615"/>
    <w:rsid w:val="03BA3A2A"/>
    <w:rsid w:val="03C86BA3"/>
    <w:rsid w:val="03DE688B"/>
    <w:rsid w:val="04AA6CC7"/>
    <w:rsid w:val="04E110F9"/>
    <w:rsid w:val="04EE0A14"/>
    <w:rsid w:val="04F5743E"/>
    <w:rsid w:val="04FE74F1"/>
    <w:rsid w:val="05441EA9"/>
    <w:rsid w:val="059E3DFF"/>
    <w:rsid w:val="05B21CD7"/>
    <w:rsid w:val="05B5531E"/>
    <w:rsid w:val="05B84B3D"/>
    <w:rsid w:val="05E13494"/>
    <w:rsid w:val="06162563"/>
    <w:rsid w:val="062E1550"/>
    <w:rsid w:val="06861B83"/>
    <w:rsid w:val="06AF3CB5"/>
    <w:rsid w:val="06E15D63"/>
    <w:rsid w:val="06E55389"/>
    <w:rsid w:val="06EC03E8"/>
    <w:rsid w:val="078D6A6F"/>
    <w:rsid w:val="07A215B2"/>
    <w:rsid w:val="07AA5DF1"/>
    <w:rsid w:val="07D0180F"/>
    <w:rsid w:val="07D37AA5"/>
    <w:rsid w:val="07D501E9"/>
    <w:rsid w:val="07F70F0C"/>
    <w:rsid w:val="08013892"/>
    <w:rsid w:val="085812E4"/>
    <w:rsid w:val="08741DB8"/>
    <w:rsid w:val="08B93048"/>
    <w:rsid w:val="08D44323"/>
    <w:rsid w:val="08EC37BB"/>
    <w:rsid w:val="09870104"/>
    <w:rsid w:val="09B259A3"/>
    <w:rsid w:val="09BD6255"/>
    <w:rsid w:val="09BE7664"/>
    <w:rsid w:val="09FA633C"/>
    <w:rsid w:val="0A090CB5"/>
    <w:rsid w:val="0AA273CA"/>
    <w:rsid w:val="0AFB1AC0"/>
    <w:rsid w:val="0B32177C"/>
    <w:rsid w:val="0B365A6D"/>
    <w:rsid w:val="0B3E1DE2"/>
    <w:rsid w:val="0BA5204D"/>
    <w:rsid w:val="0BAB618A"/>
    <w:rsid w:val="0BF72653"/>
    <w:rsid w:val="0C0D0D78"/>
    <w:rsid w:val="0C1B6745"/>
    <w:rsid w:val="0C27386F"/>
    <w:rsid w:val="0C2C4FB3"/>
    <w:rsid w:val="0C602234"/>
    <w:rsid w:val="0C654137"/>
    <w:rsid w:val="0C6871A5"/>
    <w:rsid w:val="0C7848E2"/>
    <w:rsid w:val="0C7D7DAD"/>
    <w:rsid w:val="0C9155A2"/>
    <w:rsid w:val="0C9B18CB"/>
    <w:rsid w:val="0CC819B0"/>
    <w:rsid w:val="0CE326D3"/>
    <w:rsid w:val="0D8C76D1"/>
    <w:rsid w:val="0D963910"/>
    <w:rsid w:val="0DA036FA"/>
    <w:rsid w:val="0DBC1531"/>
    <w:rsid w:val="0E2B3D38"/>
    <w:rsid w:val="0E3C5E80"/>
    <w:rsid w:val="0EC34490"/>
    <w:rsid w:val="0F436E8C"/>
    <w:rsid w:val="0F74334C"/>
    <w:rsid w:val="0FD964F0"/>
    <w:rsid w:val="10066C9A"/>
    <w:rsid w:val="101212DB"/>
    <w:rsid w:val="10340A27"/>
    <w:rsid w:val="103D39CA"/>
    <w:rsid w:val="1051471A"/>
    <w:rsid w:val="10516F8D"/>
    <w:rsid w:val="10916D77"/>
    <w:rsid w:val="1094621C"/>
    <w:rsid w:val="10994FC5"/>
    <w:rsid w:val="10A643EF"/>
    <w:rsid w:val="10E53C52"/>
    <w:rsid w:val="10EC460D"/>
    <w:rsid w:val="117B0948"/>
    <w:rsid w:val="1193251D"/>
    <w:rsid w:val="11F4280A"/>
    <w:rsid w:val="123E12B7"/>
    <w:rsid w:val="129874F3"/>
    <w:rsid w:val="129C2AB3"/>
    <w:rsid w:val="12C43B88"/>
    <w:rsid w:val="12FC5F41"/>
    <w:rsid w:val="131530CF"/>
    <w:rsid w:val="131A56DA"/>
    <w:rsid w:val="138A416A"/>
    <w:rsid w:val="13982556"/>
    <w:rsid w:val="13A17244"/>
    <w:rsid w:val="13A84EA1"/>
    <w:rsid w:val="13C3150B"/>
    <w:rsid w:val="14383D88"/>
    <w:rsid w:val="144A7AC4"/>
    <w:rsid w:val="146408AC"/>
    <w:rsid w:val="14F7493D"/>
    <w:rsid w:val="15085973"/>
    <w:rsid w:val="1522175E"/>
    <w:rsid w:val="152322B7"/>
    <w:rsid w:val="154634A9"/>
    <w:rsid w:val="15693FD1"/>
    <w:rsid w:val="159C54C6"/>
    <w:rsid w:val="168865CD"/>
    <w:rsid w:val="16E27A1E"/>
    <w:rsid w:val="16FB0D2D"/>
    <w:rsid w:val="170C74AF"/>
    <w:rsid w:val="170E0356"/>
    <w:rsid w:val="173D4E15"/>
    <w:rsid w:val="173E045B"/>
    <w:rsid w:val="17BB4BA1"/>
    <w:rsid w:val="17C420EF"/>
    <w:rsid w:val="18277BBE"/>
    <w:rsid w:val="18460A9D"/>
    <w:rsid w:val="18577D6E"/>
    <w:rsid w:val="188508DD"/>
    <w:rsid w:val="18B10922"/>
    <w:rsid w:val="19081F10"/>
    <w:rsid w:val="197549CF"/>
    <w:rsid w:val="19B370E3"/>
    <w:rsid w:val="19D46C43"/>
    <w:rsid w:val="19EE098B"/>
    <w:rsid w:val="19F316EB"/>
    <w:rsid w:val="19F51EAD"/>
    <w:rsid w:val="1A9F5A48"/>
    <w:rsid w:val="1AD975D5"/>
    <w:rsid w:val="1C79312F"/>
    <w:rsid w:val="1CF76C60"/>
    <w:rsid w:val="1D125EEB"/>
    <w:rsid w:val="1D5B0B68"/>
    <w:rsid w:val="1D832508"/>
    <w:rsid w:val="1D9859EE"/>
    <w:rsid w:val="1DA20540"/>
    <w:rsid w:val="1DC307BA"/>
    <w:rsid w:val="1DC52428"/>
    <w:rsid w:val="1E182FD7"/>
    <w:rsid w:val="1E5D647F"/>
    <w:rsid w:val="1E8E6837"/>
    <w:rsid w:val="1E9A1FB8"/>
    <w:rsid w:val="1EA82FC6"/>
    <w:rsid w:val="1EB22E1A"/>
    <w:rsid w:val="1EBC7050"/>
    <w:rsid w:val="1F0F0A69"/>
    <w:rsid w:val="1F912252"/>
    <w:rsid w:val="1F9D4D65"/>
    <w:rsid w:val="1FB55921"/>
    <w:rsid w:val="1FB66716"/>
    <w:rsid w:val="1FBC4A96"/>
    <w:rsid w:val="1FDE3E95"/>
    <w:rsid w:val="200F5F12"/>
    <w:rsid w:val="20891F17"/>
    <w:rsid w:val="21245AAA"/>
    <w:rsid w:val="21982FAD"/>
    <w:rsid w:val="21DB4284"/>
    <w:rsid w:val="21FD02CE"/>
    <w:rsid w:val="22153B3B"/>
    <w:rsid w:val="221D327E"/>
    <w:rsid w:val="228A0695"/>
    <w:rsid w:val="229A64D2"/>
    <w:rsid w:val="22B0040A"/>
    <w:rsid w:val="22CA7E70"/>
    <w:rsid w:val="233A15DB"/>
    <w:rsid w:val="23683FA0"/>
    <w:rsid w:val="23A701B7"/>
    <w:rsid w:val="24267089"/>
    <w:rsid w:val="242A5E4C"/>
    <w:rsid w:val="2435413E"/>
    <w:rsid w:val="24485EA9"/>
    <w:rsid w:val="249462AA"/>
    <w:rsid w:val="24A5077F"/>
    <w:rsid w:val="24AE06FD"/>
    <w:rsid w:val="24BB7783"/>
    <w:rsid w:val="24C226DF"/>
    <w:rsid w:val="24EA457E"/>
    <w:rsid w:val="24ED788D"/>
    <w:rsid w:val="24EE3C31"/>
    <w:rsid w:val="250C35E6"/>
    <w:rsid w:val="253D3FD4"/>
    <w:rsid w:val="257829C1"/>
    <w:rsid w:val="259926E9"/>
    <w:rsid w:val="259B06A8"/>
    <w:rsid w:val="25E20E7F"/>
    <w:rsid w:val="261717DC"/>
    <w:rsid w:val="264B188C"/>
    <w:rsid w:val="26665A12"/>
    <w:rsid w:val="26D77575"/>
    <w:rsid w:val="27024040"/>
    <w:rsid w:val="274614D1"/>
    <w:rsid w:val="27703C33"/>
    <w:rsid w:val="27B1620A"/>
    <w:rsid w:val="27DC0900"/>
    <w:rsid w:val="27DD4013"/>
    <w:rsid w:val="27F912F4"/>
    <w:rsid w:val="2829114A"/>
    <w:rsid w:val="28660498"/>
    <w:rsid w:val="287E2A2D"/>
    <w:rsid w:val="28B6790F"/>
    <w:rsid w:val="28FB2545"/>
    <w:rsid w:val="2912681D"/>
    <w:rsid w:val="291F1460"/>
    <w:rsid w:val="29362DA1"/>
    <w:rsid w:val="295B1F07"/>
    <w:rsid w:val="29627B80"/>
    <w:rsid w:val="2A4261B5"/>
    <w:rsid w:val="2A9F3AB4"/>
    <w:rsid w:val="2ACA3792"/>
    <w:rsid w:val="2AD84053"/>
    <w:rsid w:val="2AE862D0"/>
    <w:rsid w:val="2B0B037C"/>
    <w:rsid w:val="2B3C2B60"/>
    <w:rsid w:val="2BB33D6F"/>
    <w:rsid w:val="2BF466BA"/>
    <w:rsid w:val="2C1627BC"/>
    <w:rsid w:val="2C567429"/>
    <w:rsid w:val="2C5C0EBE"/>
    <w:rsid w:val="2D0C56DA"/>
    <w:rsid w:val="2D26307A"/>
    <w:rsid w:val="2D2808E4"/>
    <w:rsid w:val="2D29504C"/>
    <w:rsid w:val="2D5F04CB"/>
    <w:rsid w:val="2D6F0C68"/>
    <w:rsid w:val="2D716F30"/>
    <w:rsid w:val="2D82113B"/>
    <w:rsid w:val="2D90049E"/>
    <w:rsid w:val="2DB17998"/>
    <w:rsid w:val="2DDA7762"/>
    <w:rsid w:val="2DF82AF2"/>
    <w:rsid w:val="2E047EEF"/>
    <w:rsid w:val="2E060A7D"/>
    <w:rsid w:val="2E4A6674"/>
    <w:rsid w:val="2E8450A1"/>
    <w:rsid w:val="2E8B65E3"/>
    <w:rsid w:val="2EA345D8"/>
    <w:rsid w:val="2EB739BA"/>
    <w:rsid w:val="2EBF5480"/>
    <w:rsid w:val="2EC8724B"/>
    <w:rsid w:val="2F4E2A9D"/>
    <w:rsid w:val="2F7A1230"/>
    <w:rsid w:val="30171F99"/>
    <w:rsid w:val="301D034F"/>
    <w:rsid w:val="30492E6F"/>
    <w:rsid w:val="3062467C"/>
    <w:rsid w:val="30900F1C"/>
    <w:rsid w:val="30AD2FDA"/>
    <w:rsid w:val="30C222E8"/>
    <w:rsid w:val="31706915"/>
    <w:rsid w:val="31A14478"/>
    <w:rsid w:val="31A863C3"/>
    <w:rsid w:val="31B72511"/>
    <w:rsid w:val="31B87E75"/>
    <w:rsid w:val="31F00FD4"/>
    <w:rsid w:val="320150C0"/>
    <w:rsid w:val="32027786"/>
    <w:rsid w:val="321D085B"/>
    <w:rsid w:val="32276AD2"/>
    <w:rsid w:val="32374E30"/>
    <w:rsid w:val="32532DDF"/>
    <w:rsid w:val="3297411D"/>
    <w:rsid w:val="3299507F"/>
    <w:rsid w:val="32B3247E"/>
    <w:rsid w:val="330678A8"/>
    <w:rsid w:val="33364444"/>
    <w:rsid w:val="33F73056"/>
    <w:rsid w:val="343B17E0"/>
    <w:rsid w:val="34621E11"/>
    <w:rsid w:val="348375F1"/>
    <w:rsid w:val="349B34C8"/>
    <w:rsid w:val="34CB6E69"/>
    <w:rsid w:val="35223109"/>
    <w:rsid w:val="35337811"/>
    <w:rsid w:val="3553618E"/>
    <w:rsid w:val="35BE321D"/>
    <w:rsid w:val="35F743E2"/>
    <w:rsid w:val="35FD5EF3"/>
    <w:rsid w:val="36243A77"/>
    <w:rsid w:val="36791BC1"/>
    <w:rsid w:val="375B2FC2"/>
    <w:rsid w:val="37872323"/>
    <w:rsid w:val="37E54286"/>
    <w:rsid w:val="38FF7360"/>
    <w:rsid w:val="39202920"/>
    <w:rsid w:val="39375434"/>
    <w:rsid w:val="3942339C"/>
    <w:rsid w:val="394D57D6"/>
    <w:rsid w:val="39CD3BC1"/>
    <w:rsid w:val="39D835BD"/>
    <w:rsid w:val="39F23F33"/>
    <w:rsid w:val="3A1571B1"/>
    <w:rsid w:val="3A400227"/>
    <w:rsid w:val="3A4F5575"/>
    <w:rsid w:val="3A597E80"/>
    <w:rsid w:val="3A7F772D"/>
    <w:rsid w:val="3A827C4B"/>
    <w:rsid w:val="3A9F4FA4"/>
    <w:rsid w:val="3AA4231F"/>
    <w:rsid w:val="3AD44C19"/>
    <w:rsid w:val="3ADA7187"/>
    <w:rsid w:val="3AEA1B8F"/>
    <w:rsid w:val="3B263BC8"/>
    <w:rsid w:val="3B622C34"/>
    <w:rsid w:val="3B7C182D"/>
    <w:rsid w:val="3B9652C9"/>
    <w:rsid w:val="3BA06D2F"/>
    <w:rsid w:val="3BB52D13"/>
    <w:rsid w:val="3BDA1093"/>
    <w:rsid w:val="3BDD49E2"/>
    <w:rsid w:val="3BEC4D88"/>
    <w:rsid w:val="3C1C63E0"/>
    <w:rsid w:val="3C874B80"/>
    <w:rsid w:val="3C88441B"/>
    <w:rsid w:val="3C963DBF"/>
    <w:rsid w:val="3CB61B04"/>
    <w:rsid w:val="3CB84BAD"/>
    <w:rsid w:val="3CD673B5"/>
    <w:rsid w:val="3CF46D3E"/>
    <w:rsid w:val="3CFF6957"/>
    <w:rsid w:val="3D0931D1"/>
    <w:rsid w:val="3D0972AD"/>
    <w:rsid w:val="3D305879"/>
    <w:rsid w:val="3D3E1AB4"/>
    <w:rsid w:val="3DC468FA"/>
    <w:rsid w:val="3E3B2175"/>
    <w:rsid w:val="3EA213BE"/>
    <w:rsid w:val="3F225DC2"/>
    <w:rsid w:val="40256303"/>
    <w:rsid w:val="40662C10"/>
    <w:rsid w:val="40814815"/>
    <w:rsid w:val="4091242B"/>
    <w:rsid w:val="409F360D"/>
    <w:rsid w:val="40A41616"/>
    <w:rsid w:val="40B2705C"/>
    <w:rsid w:val="40C7097F"/>
    <w:rsid w:val="40FE5824"/>
    <w:rsid w:val="41085956"/>
    <w:rsid w:val="411073AC"/>
    <w:rsid w:val="41331628"/>
    <w:rsid w:val="41357825"/>
    <w:rsid w:val="419A5BE5"/>
    <w:rsid w:val="41AA738C"/>
    <w:rsid w:val="42007E2F"/>
    <w:rsid w:val="421233D1"/>
    <w:rsid w:val="42562EEF"/>
    <w:rsid w:val="42637E1B"/>
    <w:rsid w:val="426D12D1"/>
    <w:rsid w:val="42960E65"/>
    <w:rsid w:val="42B249C6"/>
    <w:rsid w:val="42BD5B77"/>
    <w:rsid w:val="42CE0BEB"/>
    <w:rsid w:val="42E05923"/>
    <w:rsid w:val="42EA69EE"/>
    <w:rsid w:val="437103E4"/>
    <w:rsid w:val="43780D58"/>
    <w:rsid w:val="437E6CDE"/>
    <w:rsid w:val="43AB00BC"/>
    <w:rsid w:val="44015876"/>
    <w:rsid w:val="443D03DA"/>
    <w:rsid w:val="444C7DA6"/>
    <w:rsid w:val="45382651"/>
    <w:rsid w:val="4559319E"/>
    <w:rsid w:val="460F66A6"/>
    <w:rsid w:val="46241FA6"/>
    <w:rsid w:val="467E5934"/>
    <w:rsid w:val="46A77FEB"/>
    <w:rsid w:val="46BF302E"/>
    <w:rsid w:val="46F9556F"/>
    <w:rsid w:val="4762133A"/>
    <w:rsid w:val="47F73A31"/>
    <w:rsid w:val="482C0436"/>
    <w:rsid w:val="482E4D23"/>
    <w:rsid w:val="487E4137"/>
    <w:rsid w:val="48AD272C"/>
    <w:rsid w:val="48B20A73"/>
    <w:rsid w:val="48B76C21"/>
    <w:rsid w:val="48CE0AE0"/>
    <w:rsid w:val="48DD3DED"/>
    <w:rsid w:val="491822A6"/>
    <w:rsid w:val="493856D3"/>
    <w:rsid w:val="498C2814"/>
    <w:rsid w:val="4990231D"/>
    <w:rsid w:val="49A83413"/>
    <w:rsid w:val="49C2025D"/>
    <w:rsid w:val="49F73DE6"/>
    <w:rsid w:val="4A8355B0"/>
    <w:rsid w:val="4B166044"/>
    <w:rsid w:val="4B2A50C8"/>
    <w:rsid w:val="4B512DBE"/>
    <w:rsid w:val="4B9F1145"/>
    <w:rsid w:val="4BAB0148"/>
    <w:rsid w:val="4BB85B9D"/>
    <w:rsid w:val="4BB96D05"/>
    <w:rsid w:val="4BC775F2"/>
    <w:rsid w:val="4BD352A2"/>
    <w:rsid w:val="4BD61565"/>
    <w:rsid w:val="4BFC195B"/>
    <w:rsid w:val="4C0B51F3"/>
    <w:rsid w:val="4C4C5802"/>
    <w:rsid w:val="4C784820"/>
    <w:rsid w:val="4C81344A"/>
    <w:rsid w:val="4C831DF2"/>
    <w:rsid w:val="4CD17EF4"/>
    <w:rsid w:val="4CED6C89"/>
    <w:rsid w:val="4D2C47E0"/>
    <w:rsid w:val="4D3640F9"/>
    <w:rsid w:val="4D71531B"/>
    <w:rsid w:val="4D8E1E72"/>
    <w:rsid w:val="4DFA5C99"/>
    <w:rsid w:val="4E336D05"/>
    <w:rsid w:val="4E6A2DBF"/>
    <w:rsid w:val="4E784456"/>
    <w:rsid w:val="4EF622F7"/>
    <w:rsid w:val="4F520F8B"/>
    <w:rsid w:val="4F5E0A09"/>
    <w:rsid w:val="501016EE"/>
    <w:rsid w:val="50617C14"/>
    <w:rsid w:val="506C1895"/>
    <w:rsid w:val="506C6907"/>
    <w:rsid w:val="50CC6CFC"/>
    <w:rsid w:val="50D70FE5"/>
    <w:rsid w:val="50F1670B"/>
    <w:rsid w:val="51347FD3"/>
    <w:rsid w:val="514E2A1B"/>
    <w:rsid w:val="515D5712"/>
    <w:rsid w:val="51AF460D"/>
    <w:rsid w:val="51CE4826"/>
    <w:rsid w:val="51D6609C"/>
    <w:rsid w:val="51EE1058"/>
    <w:rsid w:val="521478C2"/>
    <w:rsid w:val="52417D7B"/>
    <w:rsid w:val="5271315E"/>
    <w:rsid w:val="528E02F6"/>
    <w:rsid w:val="52D06AE8"/>
    <w:rsid w:val="532B76DF"/>
    <w:rsid w:val="53615E9D"/>
    <w:rsid w:val="53B65F7F"/>
    <w:rsid w:val="53F539BA"/>
    <w:rsid w:val="545A2ED4"/>
    <w:rsid w:val="546619E2"/>
    <w:rsid w:val="54AB2838"/>
    <w:rsid w:val="54BE4176"/>
    <w:rsid w:val="54C57B52"/>
    <w:rsid w:val="54E108F3"/>
    <w:rsid w:val="552B7E44"/>
    <w:rsid w:val="55791A32"/>
    <w:rsid w:val="559A78B1"/>
    <w:rsid w:val="55B65625"/>
    <w:rsid w:val="55B82810"/>
    <w:rsid w:val="55C77FAB"/>
    <w:rsid w:val="561D1D45"/>
    <w:rsid w:val="56884AA0"/>
    <w:rsid w:val="56D00550"/>
    <w:rsid w:val="56EA77B3"/>
    <w:rsid w:val="570313BC"/>
    <w:rsid w:val="570F5900"/>
    <w:rsid w:val="57290360"/>
    <w:rsid w:val="573D56D4"/>
    <w:rsid w:val="57646BA7"/>
    <w:rsid w:val="58091A47"/>
    <w:rsid w:val="58281422"/>
    <w:rsid w:val="59071EF7"/>
    <w:rsid w:val="59341BD7"/>
    <w:rsid w:val="599771DB"/>
    <w:rsid w:val="59AC2A6B"/>
    <w:rsid w:val="59C02890"/>
    <w:rsid w:val="59E36FBB"/>
    <w:rsid w:val="59EE4CB9"/>
    <w:rsid w:val="5A1C565F"/>
    <w:rsid w:val="5A2F3C52"/>
    <w:rsid w:val="5A505AB3"/>
    <w:rsid w:val="5A767CB9"/>
    <w:rsid w:val="5A8E0673"/>
    <w:rsid w:val="5AA805EC"/>
    <w:rsid w:val="5AD53AB3"/>
    <w:rsid w:val="5AD62B30"/>
    <w:rsid w:val="5AE35CD6"/>
    <w:rsid w:val="5AF320B6"/>
    <w:rsid w:val="5B0E277D"/>
    <w:rsid w:val="5B0F6973"/>
    <w:rsid w:val="5B295FC6"/>
    <w:rsid w:val="5BFB0BC2"/>
    <w:rsid w:val="5C1D2A4A"/>
    <w:rsid w:val="5C476CB3"/>
    <w:rsid w:val="5C782A07"/>
    <w:rsid w:val="5C7B587A"/>
    <w:rsid w:val="5C851D65"/>
    <w:rsid w:val="5C874DFA"/>
    <w:rsid w:val="5C8F6064"/>
    <w:rsid w:val="5CB110D5"/>
    <w:rsid w:val="5D465E67"/>
    <w:rsid w:val="5D543C0E"/>
    <w:rsid w:val="5D666072"/>
    <w:rsid w:val="5D8407F9"/>
    <w:rsid w:val="5D9F5DA3"/>
    <w:rsid w:val="5E1013F1"/>
    <w:rsid w:val="5E423844"/>
    <w:rsid w:val="5E580C3B"/>
    <w:rsid w:val="5EDC4365"/>
    <w:rsid w:val="5EFB069E"/>
    <w:rsid w:val="5F36779D"/>
    <w:rsid w:val="5F5E2528"/>
    <w:rsid w:val="5F7114E5"/>
    <w:rsid w:val="5F8074AA"/>
    <w:rsid w:val="5F880700"/>
    <w:rsid w:val="5FAE01F6"/>
    <w:rsid w:val="5FC54041"/>
    <w:rsid w:val="60045DC9"/>
    <w:rsid w:val="60171E83"/>
    <w:rsid w:val="606C71CE"/>
    <w:rsid w:val="607054CB"/>
    <w:rsid w:val="609807D5"/>
    <w:rsid w:val="60C92829"/>
    <w:rsid w:val="60E00C42"/>
    <w:rsid w:val="61247AF1"/>
    <w:rsid w:val="613C0B74"/>
    <w:rsid w:val="61BA0BB7"/>
    <w:rsid w:val="6225195E"/>
    <w:rsid w:val="623A2DD4"/>
    <w:rsid w:val="624050BA"/>
    <w:rsid w:val="626B76B1"/>
    <w:rsid w:val="626E4890"/>
    <w:rsid w:val="62B02F8D"/>
    <w:rsid w:val="63160009"/>
    <w:rsid w:val="632B1727"/>
    <w:rsid w:val="63556F42"/>
    <w:rsid w:val="635F7D92"/>
    <w:rsid w:val="63BB0BE8"/>
    <w:rsid w:val="6456647B"/>
    <w:rsid w:val="655E69E0"/>
    <w:rsid w:val="6567231F"/>
    <w:rsid w:val="65775882"/>
    <w:rsid w:val="658E7499"/>
    <w:rsid w:val="65E56390"/>
    <w:rsid w:val="66284957"/>
    <w:rsid w:val="66420B1B"/>
    <w:rsid w:val="66693839"/>
    <w:rsid w:val="66801191"/>
    <w:rsid w:val="66844181"/>
    <w:rsid w:val="668F5101"/>
    <w:rsid w:val="669B3EBB"/>
    <w:rsid w:val="66A52BD8"/>
    <w:rsid w:val="66B67C5D"/>
    <w:rsid w:val="66C53751"/>
    <w:rsid w:val="66CA52AB"/>
    <w:rsid w:val="66E22D75"/>
    <w:rsid w:val="66E36880"/>
    <w:rsid w:val="6776165D"/>
    <w:rsid w:val="6784315E"/>
    <w:rsid w:val="67BE6A06"/>
    <w:rsid w:val="6808127B"/>
    <w:rsid w:val="6848692E"/>
    <w:rsid w:val="684A2231"/>
    <w:rsid w:val="68CE2A0C"/>
    <w:rsid w:val="68D94027"/>
    <w:rsid w:val="693A1E03"/>
    <w:rsid w:val="6A150C70"/>
    <w:rsid w:val="6A1D4574"/>
    <w:rsid w:val="6A2962D4"/>
    <w:rsid w:val="6A4D11F8"/>
    <w:rsid w:val="6AA24E88"/>
    <w:rsid w:val="6AB44C2B"/>
    <w:rsid w:val="6AB667E5"/>
    <w:rsid w:val="6AEF173B"/>
    <w:rsid w:val="6AFB15E0"/>
    <w:rsid w:val="6B401580"/>
    <w:rsid w:val="6B6B6571"/>
    <w:rsid w:val="6BDB267E"/>
    <w:rsid w:val="6C0E1A05"/>
    <w:rsid w:val="6C3D0BE6"/>
    <w:rsid w:val="6CB64075"/>
    <w:rsid w:val="6CC5347D"/>
    <w:rsid w:val="6D264A5F"/>
    <w:rsid w:val="6D347128"/>
    <w:rsid w:val="6D422593"/>
    <w:rsid w:val="6D63501A"/>
    <w:rsid w:val="6D727D86"/>
    <w:rsid w:val="6DA72C25"/>
    <w:rsid w:val="6DC456AD"/>
    <w:rsid w:val="6DDC0DBC"/>
    <w:rsid w:val="6DFD4304"/>
    <w:rsid w:val="6EBA4A92"/>
    <w:rsid w:val="6F626F7F"/>
    <w:rsid w:val="6F73676C"/>
    <w:rsid w:val="6FE8438B"/>
    <w:rsid w:val="7037125A"/>
    <w:rsid w:val="704C2C0E"/>
    <w:rsid w:val="70947B77"/>
    <w:rsid w:val="70E63312"/>
    <w:rsid w:val="71501F06"/>
    <w:rsid w:val="716A7D6E"/>
    <w:rsid w:val="718545B1"/>
    <w:rsid w:val="71B43DCC"/>
    <w:rsid w:val="71F255E2"/>
    <w:rsid w:val="722144DE"/>
    <w:rsid w:val="724657F3"/>
    <w:rsid w:val="7270731A"/>
    <w:rsid w:val="72731E1E"/>
    <w:rsid w:val="72A32A4F"/>
    <w:rsid w:val="72D85B8D"/>
    <w:rsid w:val="72E2297B"/>
    <w:rsid w:val="73006644"/>
    <w:rsid w:val="73114CB9"/>
    <w:rsid w:val="73175B29"/>
    <w:rsid w:val="733D4E1A"/>
    <w:rsid w:val="73756165"/>
    <w:rsid w:val="73E63781"/>
    <w:rsid w:val="73F72C52"/>
    <w:rsid w:val="74014579"/>
    <w:rsid w:val="74330F87"/>
    <w:rsid w:val="743725A9"/>
    <w:rsid w:val="7461284E"/>
    <w:rsid w:val="74FF008E"/>
    <w:rsid w:val="750523C4"/>
    <w:rsid w:val="75305F53"/>
    <w:rsid w:val="756A23FF"/>
    <w:rsid w:val="76681DDF"/>
    <w:rsid w:val="76745B00"/>
    <w:rsid w:val="767714A3"/>
    <w:rsid w:val="76836875"/>
    <w:rsid w:val="76B05A04"/>
    <w:rsid w:val="77246F70"/>
    <w:rsid w:val="77443A70"/>
    <w:rsid w:val="777350B3"/>
    <w:rsid w:val="77874CE6"/>
    <w:rsid w:val="77A1005B"/>
    <w:rsid w:val="77AA2B38"/>
    <w:rsid w:val="77B00BB2"/>
    <w:rsid w:val="77E87B7E"/>
    <w:rsid w:val="77F95FC2"/>
    <w:rsid w:val="780833E9"/>
    <w:rsid w:val="783D3A88"/>
    <w:rsid w:val="7868580B"/>
    <w:rsid w:val="787F162A"/>
    <w:rsid w:val="78B379E2"/>
    <w:rsid w:val="79016EF1"/>
    <w:rsid w:val="79432405"/>
    <w:rsid w:val="794F570A"/>
    <w:rsid w:val="7988166A"/>
    <w:rsid w:val="798F7FBE"/>
    <w:rsid w:val="79EF5EA4"/>
    <w:rsid w:val="7A0F6BEC"/>
    <w:rsid w:val="7A21678D"/>
    <w:rsid w:val="7A640C10"/>
    <w:rsid w:val="7AAF0185"/>
    <w:rsid w:val="7AB21CA3"/>
    <w:rsid w:val="7ABB1C82"/>
    <w:rsid w:val="7B1101B3"/>
    <w:rsid w:val="7B127CBA"/>
    <w:rsid w:val="7B4A2A9A"/>
    <w:rsid w:val="7B616454"/>
    <w:rsid w:val="7B6C37E9"/>
    <w:rsid w:val="7C1C5B1B"/>
    <w:rsid w:val="7C4E06E0"/>
    <w:rsid w:val="7C807688"/>
    <w:rsid w:val="7C9C0B0F"/>
    <w:rsid w:val="7CC5121B"/>
    <w:rsid w:val="7CE80D0C"/>
    <w:rsid w:val="7CFE3FE1"/>
    <w:rsid w:val="7D0422AB"/>
    <w:rsid w:val="7D636CF7"/>
    <w:rsid w:val="7D73265F"/>
    <w:rsid w:val="7D7663DE"/>
    <w:rsid w:val="7D782508"/>
    <w:rsid w:val="7DE354E4"/>
    <w:rsid w:val="7E0F0BAE"/>
    <w:rsid w:val="7E550F0F"/>
    <w:rsid w:val="7EC03362"/>
    <w:rsid w:val="7EC479F3"/>
    <w:rsid w:val="7ED477BF"/>
    <w:rsid w:val="7F171519"/>
    <w:rsid w:val="7F3E2266"/>
    <w:rsid w:val="7F7235D8"/>
    <w:rsid w:val="7F7A028F"/>
    <w:rsid w:val="7FBA1FD5"/>
    <w:rsid w:val="7FC319F3"/>
    <w:rsid w:val="7FC37B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64"/>
    <w:qFormat/>
    <w:uiPriority w:val="9"/>
    <w:pPr>
      <w:spacing w:line="360" w:lineRule="auto"/>
      <w:jc w:val="center"/>
      <w:outlineLvl w:val="0"/>
    </w:pPr>
    <w:rPr>
      <w:rFonts w:ascii="宋体" w:hAnsi="宋体"/>
      <w:b/>
      <w:bCs/>
      <w:kern w:val="44"/>
      <w:sz w:val="32"/>
      <w:szCs w:val="32"/>
    </w:rPr>
  </w:style>
  <w:style w:type="paragraph" w:styleId="5">
    <w:name w:val="heading 2"/>
    <w:basedOn w:val="1"/>
    <w:next w:val="1"/>
    <w:link w:val="161"/>
    <w:qFormat/>
    <w:uiPriority w:val="0"/>
    <w:pPr>
      <w:keepNext/>
      <w:keepLines/>
      <w:spacing w:before="260" w:after="260" w:line="415" w:lineRule="auto"/>
      <w:ind w:firstLine="0" w:firstLineChars="0"/>
      <w:outlineLvl w:val="1"/>
    </w:pPr>
    <w:rPr>
      <w:rFonts w:ascii="Cambria" w:hAnsi="Cambria"/>
      <w:b/>
      <w:bCs/>
      <w:sz w:val="28"/>
      <w:szCs w:val="32"/>
    </w:rPr>
  </w:style>
  <w:style w:type="paragraph" w:styleId="6">
    <w:name w:val="heading 3"/>
    <w:basedOn w:val="1"/>
    <w:next w:val="1"/>
    <w:link w:val="195"/>
    <w:qFormat/>
    <w:uiPriority w:val="0"/>
    <w:pPr>
      <w:keepNext/>
      <w:keepLines/>
      <w:spacing w:before="260" w:after="260" w:line="360" w:lineRule="auto"/>
      <w:ind w:firstLine="200" w:firstLineChars="200"/>
      <w:jc w:val="left"/>
      <w:outlineLvl w:val="2"/>
    </w:pPr>
    <w:rPr>
      <w:b/>
      <w:bCs/>
      <w:sz w:val="24"/>
      <w:szCs w:val="32"/>
    </w:rPr>
  </w:style>
  <w:style w:type="paragraph" w:styleId="7">
    <w:name w:val="heading 4"/>
    <w:basedOn w:val="1"/>
    <w:next w:val="1"/>
    <w:link w:val="16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62"/>
    <w:qFormat/>
    <w:uiPriority w:val="0"/>
    <w:pPr>
      <w:keepNext/>
      <w:keepLines/>
      <w:spacing w:before="280" w:after="290" w:line="376" w:lineRule="auto"/>
      <w:outlineLvl w:val="4"/>
    </w:pPr>
    <w:rPr>
      <w:b/>
      <w:bCs/>
      <w:sz w:val="28"/>
      <w:szCs w:val="28"/>
    </w:rPr>
  </w:style>
  <w:style w:type="paragraph" w:styleId="9">
    <w:name w:val="heading 6"/>
    <w:basedOn w:val="1"/>
    <w:next w:val="1"/>
    <w:link w:val="175"/>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173"/>
    <w:qFormat/>
    <w:uiPriority w:val="0"/>
    <w:pPr>
      <w:keepNext/>
      <w:keepLines/>
      <w:spacing w:before="240" w:after="64" w:line="320" w:lineRule="auto"/>
      <w:outlineLvl w:val="6"/>
    </w:pPr>
    <w:rPr>
      <w:b/>
      <w:bCs/>
      <w:sz w:val="24"/>
      <w:szCs w:val="24"/>
    </w:rPr>
  </w:style>
  <w:style w:type="paragraph" w:styleId="11">
    <w:name w:val="heading 8"/>
    <w:basedOn w:val="1"/>
    <w:next w:val="1"/>
    <w:link w:val="168"/>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link w:val="165"/>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150"/>
    <w:unhideWhenUsed/>
    <w:qFormat/>
    <w:uiPriority w:val="0"/>
    <w:pPr>
      <w:spacing w:after="120"/>
      <w:ind w:left="420" w:leftChars="200"/>
    </w:pPr>
  </w:style>
  <w:style w:type="paragraph" w:styleId="13">
    <w:name w:val="toc 7"/>
    <w:basedOn w:val="1"/>
    <w:next w:val="1"/>
    <w:qFormat/>
    <w:uiPriority w:val="0"/>
    <w:pPr>
      <w:ind w:left="2520" w:leftChars="1200"/>
    </w:pPr>
  </w:style>
  <w:style w:type="paragraph" w:styleId="14">
    <w:name w:val="Normal Indent"/>
    <w:basedOn w:val="1"/>
    <w:qFormat/>
    <w:uiPriority w:val="0"/>
    <w:pPr>
      <w:spacing w:after="120" w:line="360" w:lineRule="auto"/>
      <w:ind w:firstLine="420"/>
    </w:pPr>
    <w:rPr>
      <w:rFonts w:ascii="Times New Roman" w:hAnsi="Times New Roman"/>
      <w:sz w:val="24"/>
      <w:szCs w:val="20"/>
    </w:rPr>
  </w:style>
  <w:style w:type="paragraph" w:styleId="15">
    <w:name w:val="Document Map"/>
    <w:basedOn w:val="1"/>
    <w:link w:val="192"/>
    <w:qFormat/>
    <w:uiPriority w:val="0"/>
    <w:rPr>
      <w:rFonts w:ascii="宋体"/>
      <w:sz w:val="18"/>
      <w:szCs w:val="18"/>
    </w:rPr>
  </w:style>
  <w:style w:type="paragraph" w:styleId="16">
    <w:name w:val="annotation text"/>
    <w:basedOn w:val="1"/>
    <w:link w:val="157"/>
    <w:semiHidden/>
    <w:qFormat/>
    <w:uiPriority w:val="0"/>
    <w:pPr>
      <w:jc w:val="left"/>
    </w:pPr>
  </w:style>
  <w:style w:type="paragraph" w:styleId="17">
    <w:name w:val="Body Text"/>
    <w:basedOn w:val="1"/>
    <w:link w:val="182"/>
    <w:qFormat/>
    <w:uiPriority w:val="0"/>
    <w:pPr>
      <w:snapToGrid w:val="0"/>
      <w:spacing w:line="300" w:lineRule="auto"/>
    </w:pPr>
    <w:rPr>
      <w:rFonts w:ascii="宋体" w:hAnsi="宋体"/>
      <w:spacing w:val="4"/>
      <w:kern w:val="0"/>
      <w:sz w:val="24"/>
      <w:szCs w:val="20"/>
    </w:rPr>
  </w:style>
  <w:style w:type="paragraph" w:styleId="18">
    <w:name w:val="toc 5"/>
    <w:basedOn w:val="1"/>
    <w:next w:val="1"/>
    <w:qFormat/>
    <w:uiPriority w:val="0"/>
    <w:pPr>
      <w:ind w:left="1680" w:leftChars="800"/>
    </w:pPr>
  </w:style>
  <w:style w:type="paragraph" w:styleId="19">
    <w:name w:val="toc 3"/>
    <w:basedOn w:val="1"/>
    <w:next w:val="1"/>
    <w:unhideWhenUsed/>
    <w:qFormat/>
    <w:uiPriority w:val="39"/>
    <w:pPr>
      <w:ind w:left="840" w:leftChars="400"/>
    </w:pPr>
  </w:style>
  <w:style w:type="paragraph" w:styleId="20">
    <w:name w:val="Plain Text"/>
    <w:basedOn w:val="1"/>
    <w:link w:val="178"/>
    <w:qFormat/>
    <w:uiPriority w:val="0"/>
    <w:pPr>
      <w:adjustRightInd w:val="0"/>
      <w:spacing w:line="335" w:lineRule="atLeast"/>
      <w:textAlignment w:val="baseline"/>
    </w:pPr>
    <w:rPr>
      <w:rFonts w:ascii="宋体" w:hAnsi="Courier New"/>
      <w:kern w:val="0"/>
      <w:sz w:val="20"/>
      <w:szCs w:val="21"/>
    </w:rPr>
  </w:style>
  <w:style w:type="paragraph" w:styleId="21">
    <w:name w:val="toc 8"/>
    <w:basedOn w:val="1"/>
    <w:next w:val="1"/>
    <w:qFormat/>
    <w:uiPriority w:val="0"/>
    <w:pPr>
      <w:ind w:left="2940" w:leftChars="1400"/>
    </w:pPr>
  </w:style>
  <w:style w:type="paragraph" w:styleId="22">
    <w:name w:val="Date"/>
    <w:basedOn w:val="1"/>
    <w:next w:val="1"/>
    <w:link w:val="184"/>
    <w:qFormat/>
    <w:uiPriority w:val="0"/>
    <w:pPr>
      <w:ind w:left="100" w:leftChars="2500"/>
    </w:pPr>
    <w:rPr>
      <w:kern w:val="0"/>
      <w:sz w:val="28"/>
      <w:szCs w:val="24"/>
    </w:rPr>
  </w:style>
  <w:style w:type="paragraph" w:styleId="23">
    <w:name w:val="Body Text Indent 2"/>
    <w:basedOn w:val="1"/>
    <w:link w:val="193"/>
    <w:qFormat/>
    <w:uiPriority w:val="0"/>
    <w:pPr>
      <w:spacing w:line="460" w:lineRule="exact"/>
      <w:ind w:firstLine="570"/>
    </w:pPr>
    <w:rPr>
      <w:sz w:val="28"/>
      <w:szCs w:val="20"/>
    </w:rPr>
  </w:style>
  <w:style w:type="paragraph" w:styleId="24">
    <w:name w:val="Balloon Text"/>
    <w:basedOn w:val="1"/>
    <w:link w:val="145"/>
    <w:qFormat/>
    <w:uiPriority w:val="0"/>
    <w:rPr>
      <w:sz w:val="18"/>
      <w:szCs w:val="18"/>
    </w:rPr>
  </w:style>
  <w:style w:type="paragraph" w:styleId="25">
    <w:name w:val="footer"/>
    <w:basedOn w:val="1"/>
    <w:link w:val="194"/>
    <w:unhideWhenUsed/>
    <w:qFormat/>
    <w:uiPriority w:val="99"/>
    <w:pPr>
      <w:tabs>
        <w:tab w:val="center" w:pos="4153"/>
        <w:tab w:val="right" w:pos="8306"/>
      </w:tabs>
      <w:snapToGrid w:val="0"/>
      <w:jc w:val="left"/>
    </w:pPr>
    <w:rPr>
      <w:kern w:val="0"/>
      <w:sz w:val="18"/>
      <w:szCs w:val="18"/>
    </w:rPr>
  </w:style>
  <w:style w:type="paragraph" w:styleId="26">
    <w:name w:val="header"/>
    <w:basedOn w:val="1"/>
    <w:link w:val="14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188"/>
    <w:qFormat/>
    <w:uiPriority w:val="0"/>
    <w:pPr>
      <w:spacing w:after="120"/>
      <w:ind w:left="420"/>
    </w:pPr>
    <w:rPr>
      <w:sz w:val="16"/>
      <w:szCs w:val="16"/>
    </w:rPr>
  </w:style>
  <w:style w:type="paragraph" w:styleId="31">
    <w:name w:val="toc 2"/>
    <w:basedOn w:val="1"/>
    <w:next w:val="1"/>
    <w:unhideWhenUsed/>
    <w:qFormat/>
    <w:uiPriority w:val="39"/>
    <w:pPr>
      <w:ind w:left="420" w:leftChars="200"/>
    </w:pPr>
  </w:style>
  <w:style w:type="paragraph" w:styleId="32">
    <w:name w:val="toc 9"/>
    <w:basedOn w:val="1"/>
    <w:next w:val="1"/>
    <w:qFormat/>
    <w:uiPriority w:val="0"/>
    <w:pPr>
      <w:ind w:left="3360" w:leftChars="1600"/>
    </w:p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4">
    <w:name w:val="index 1"/>
    <w:basedOn w:val="1"/>
    <w:next w:val="1"/>
    <w:qFormat/>
    <w:uiPriority w:val="0"/>
    <w:rPr>
      <w:rFonts w:ascii="Times New Roman" w:hAnsi="Times New Roman"/>
      <w:szCs w:val="24"/>
    </w:rPr>
  </w:style>
  <w:style w:type="paragraph" w:styleId="35">
    <w:name w:val="index 2"/>
    <w:basedOn w:val="1"/>
    <w:next w:val="1"/>
    <w:qFormat/>
    <w:uiPriority w:val="0"/>
    <w:pPr>
      <w:ind w:left="200" w:leftChars="200"/>
    </w:pPr>
    <w:rPr>
      <w:rFonts w:ascii="Times New Roman" w:hAnsi="Times New Roman"/>
      <w:szCs w:val="24"/>
    </w:rPr>
  </w:style>
  <w:style w:type="paragraph" w:styleId="36">
    <w:name w:val="Title"/>
    <w:basedOn w:val="1"/>
    <w:next w:val="1"/>
    <w:link w:val="153"/>
    <w:qFormat/>
    <w:uiPriority w:val="0"/>
    <w:pPr>
      <w:spacing w:before="240" w:after="60" w:line="240" w:lineRule="auto"/>
      <w:ind w:firstLine="0" w:firstLineChars="0"/>
      <w:jc w:val="center"/>
      <w:outlineLvl w:val="0"/>
    </w:pPr>
    <w:rPr>
      <w:rFonts w:ascii="Cambria" w:hAnsi="Cambria"/>
      <w:b/>
      <w:bCs/>
      <w:sz w:val="32"/>
      <w:szCs w:val="32"/>
    </w:rPr>
  </w:style>
  <w:style w:type="paragraph" w:styleId="37">
    <w:name w:val="annotation subject"/>
    <w:basedOn w:val="16"/>
    <w:next w:val="16"/>
    <w:link w:val="154"/>
    <w:semiHidden/>
    <w:qFormat/>
    <w:uiPriority w:val="0"/>
    <w:rPr>
      <w:b/>
      <w:bCs/>
    </w:rPr>
  </w:style>
  <w:style w:type="table" w:styleId="39">
    <w:name w:val="Table Grid"/>
    <w:basedOn w:val="3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0"/>
  </w:style>
  <w:style w:type="character" w:styleId="43">
    <w:name w:val="FollowedHyperlink"/>
    <w:qFormat/>
    <w:uiPriority w:val="99"/>
    <w:rPr>
      <w:color w:val="800080"/>
      <w:u w:val="single"/>
    </w:rPr>
  </w:style>
  <w:style w:type="character" w:styleId="44">
    <w:name w:val="Hyperlink"/>
    <w:qFormat/>
    <w:uiPriority w:val="99"/>
    <w:rPr>
      <w:color w:val="0000FF"/>
      <w:u w:val="single"/>
    </w:rPr>
  </w:style>
  <w:style w:type="paragraph" w:customStyle="1" w:styleId="45">
    <w:name w:val="TOC 标题1"/>
    <w:basedOn w:val="4"/>
    <w:next w:val="1"/>
    <w:qFormat/>
    <w:uiPriority w:val="99"/>
    <w:pPr>
      <w:tabs>
        <w:tab w:val="left" w:pos="432"/>
      </w:tabs>
      <w:spacing w:before="480" w:line="276" w:lineRule="auto"/>
      <w:outlineLvl w:val="9"/>
    </w:pPr>
    <w:rPr>
      <w:rFonts w:ascii="仿宋" w:hAnsi="仿宋" w:eastAsia="仿宋"/>
      <w:color w:val="000000"/>
      <w:kern w:val="0"/>
      <w:szCs w:val="32"/>
    </w:rPr>
  </w:style>
  <w:style w:type="paragraph" w:customStyle="1" w:styleId="4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47">
    <w:name w:val="xl71"/>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48">
    <w:name w:val="xl137"/>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49">
    <w:name w:val="xl103"/>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50">
    <w:name w:val="p0"/>
    <w:basedOn w:val="1"/>
    <w:qFormat/>
    <w:uiPriority w:val="0"/>
    <w:pPr>
      <w:widowControl/>
    </w:pPr>
    <w:rPr>
      <w:rFonts w:ascii="Times New Roman" w:hAnsi="Times New Roman"/>
      <w:kern w:val="0"/>
      <w:szCs w:val="21"/>
    </w:rPr>
  </w:style>
  <w:style w:type="paragraph" w:customStyle="1" w:styleId="51">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52">
    <w:name w:val="xl66"/>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53">
    <w:name w:val="xl73"/>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54">
    <w:name w:val="xl9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55">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5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58">
    <w:name w:val="xl85"/>
    <w:basedOn w:val="1"/>
    <w:qFormat/>
    <w:uiPriority w:val="0"/>
    <w:pPr>
      <w:widowControl/>
      <w:spacing w:before="100" w:beforeAutospacing="1" w:after="100" w:afterAutospacing="1" w:line="240" w:lineRule="auto"/>
      <w:ind w:firstLine="0" w:firstLineChars="0"/>
      <w:jc w:val="center"/>
    </w:pPr>
    <w:rPr>
      <w:rFonts w:ascii="宋体" w:hAnsi="宋体" w:cs="宋体"/>
      <w:b/>
      <w:bCs/>
      <w:kern w:val="0"/>
      <w:sz w:val="32"/>
      <w:szCs w:val="32"/>
    </w:rPr>
  </w:style>
  <w:style w:type="paragraph" w:customStyle="1" w:styleId="59">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60">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61">
    <w:name w:val="xl110"/>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62">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styleId="6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标准正文"/>
    <w:basedOn w:val="1"/>
    <w:link w:val="155"/>
    <w:qFormat/>
    <w:uiPriority w:val="0"/>
    <w:pPr>
      <w:spacing w:line="360" w:lineRule="auto"/>
      <w:ind w:firstLine="480" w:firstLineChars="200"/>
      <w:jc w:val="left"/>
    </w:pPr>
    <w:rPr>
      <w:rFonts w:ascii="宋体" w:hAnsi="宋体"/>
      <w:kern w:val="0"/>
      <w:sz w:val="24"/>
      <w:szCs w:val="24"/>
    </w:rPr>
  </w:style>
  <w:style w:type="paragraph" w:customStyle="1" w:styleId="65">
    <w:name w:val="正文文字2"/>
    <w:basedOn w:val="17"/>
    <w:qFormat/>
    <w:uiPriority w:val="0"/>
    <w:pPr>
      <w:adjustRightInd w:val="0"/>
      <w:spacing w:after="60" w:line="360" w:lineRule="atLeast"/>
      <w:ind w:left="72" w:leftChars="30" w:right="72" w:rightChars="30"/>
      <w:jc w:val="center"/>
      <w:textAlignment w:val="baseline"/>
    </w:pPr>
    <w:rPr>
      <w:rFonts w:ascii="Arial" w:hAnsi="Times New Roman" w:eastAsia="黑体"/>
      <w:kern w:val="0"/>
      <w:szCs w:val="20"/>
    </w:rPr>
  </w:style>
  <w:style w:type="paragraph" w:customStyle="1" w:styleId="66">
    <w:name w:val="样式2"/>
    <w:basedOn w:val="1"/>
    <w:link w:val="185"/>
    <w:qFormat/>
    <w:uiPriority w:val="0"/>
    <w:pPr>
      <w:spacing w:line="360" w:lineRule="auto"/>
    </w:pPr>
    <w:rPr>
      <w:rFonts w:ascii="宋体" w:hAnsi="宋体"/>
      <w:kern w:val="0"/>
      <w:sz w:val="24"/>
      <w:szCs w:val="24"/>
    </w:rPr>
  </w:style>
  <w:style w:type="paragraph" w:customStyle="1" w:styleId="67">
    <w:name w:val="xl124"/>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69">
    <w:name w:val="注"/>
    <w:basedOn w:val="1"/>
    <w:qFormat/>
    <w:uiPriority w:val="0"/>
    <w:pPr>
      <w:adjustRightInd w:val="0"/>
      <w:spacing w:line="420" w:lineRule="atLeast"/>
      <w:ind w:firstLine="340"/>
      <w:textAlignment w:val="baseline"/>
    </w:pPr>
    <w:rPr>
      <w:rFonts w:ascii="Times New Roman" w:hAnsi="Times New Roman"/>
      <w:kern w:val="0"/>
      <w:sz w:val="18"/>
      <w:szCs w:val="20"/>
    </w:rPr>
  </w:style>
  <w:style w:type="paragraph" w:customStyle="1" w:styleId="70">
    <w:name w:val="样式3"/>
    <w:basedOn w:val="20"/>
    <w:qFormat/>
    <w:uiPriority w:val="0"/>
    <w:pPr>
      <w:spacing w:line="0" w:lineRule="atLeast"/>
      <w:outlineLvl w:val="0"/>
    </w:pPr>
    <w:rPr>
      <w:rFonts w:eastAsia="宋体"/>
    </w:rPr>
  </w:style>
  <w:style w:type="paragraph" w:customStyle="1" w:styleId="71">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
    <w:name w:val="xl65"/>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73">
    <w:name w:val="xl130"/>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4">
    <w:name w:val="表中"/>
    <w:basedOn w:val="1"/>
    <w:qFormat/>
    <w:uiPriority w:val="0"/>
    <w:pPr>
      <w:adjustRightInd w:val="0"/>
      <w:snapToGrid w:val="0"/>
      <w:spacing w:line="420" w:lineRule="atLeast"/>
      <w:jc w:val="center"/>
      <w:textAlignment w:val="baseline"/>
    </w:pPr>
    <w:rPr>
      <w:rFonts w:ascii="Times New Roman" w:hAnsi="Times New Roman"/>
      <w:snapToGrid w:val="0"/>
      <w:kern w:val="0"/>
      <w:szCs w:val="20"/>
    </w:rPr>
  </w:style>
  <w:style w:type="paragraph" w:customStyle="1" w:styleId="75">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6">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7">
    <w:name w:val="xl131"/>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8">
    <w:name w:val="xl12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79">
    <w:name w:val="xl133"/>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80">
    <w:name w:val="xl13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1">
    <w:name w:val="xl99"/>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2">
    <w:name w:val="xl96"/>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8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8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4"/>
      <w:szCs w:val="24"/>
    </w:rPr>
  </w:style>
  <w:style w:type="paragraph" w:customStyle="1" w:styleId="85">
    <w:name w:val="样式 标题 1 + 加粗"/>
    <w:basedOn w:val="4"/>
    <w:qFormat/>
    <w:uiPriority w:val="0"/>
    <w:pPr>
      <w:keepNext/>
      <w:keepLines/>
      <w:spacing w:before="100" w:after="100" w:line="240" w:lineRule="auto"/>
      <w:jc w:val="both"/>
    </w:pPr>
    <w:rPr>
      <w:rFonts w:ascii="Times New Roman" w:hAnsi="Times New Roman" w:eastAsia="黑体"/>
      <w:bCs w:val="0"/>
      <w:sz w:val="28"/>
      <w:szCs w:val="20"/>
    </w:rPr>
  </w:style>
  <w:style w:type="paragraph" w:customStyle="1" w:styleId="86">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7">
    <w:name w:val="xl92"/>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8">
    <w:name w:val="xl105"/>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89">
    <w:name w:val="xl129"/>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90">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91">
    <w:name w:val="xl125"/>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92">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93">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9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9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32"/>
      <w:szCs w:val="32"/>
    </w:rPr>
  </w:style>
  <w:style w:type="paragraph" w:customStyle="1" w:styleId="96">
    <w:name w:val="xl87"/>
    <w:basedOn w:val="1"/>
    <w:qFormat/>
    <w:uiPriority w:val="0"/>
    <w:pPr>
      <w:widowControl/>
      <w:spacing w:before="100" w:beforeAutospacing="1" w:after="100" w:afterAutospacing="1" w:line="240" w:lineRule="auto"/>
      <w:ind w:firstLine="0" w:firstLineChars="0"/>
      <w:jc w:val="center"/>
    </w:pPr>
    <w:rPr>
      <w:rFonts w:ascii="宋体" w:hAnsi="宋体" w:cs="宋体"/>
      <w:kern w:val="0"/>
      <w:sz w:val="32"/>
      <w:szCs w:val="32"/>
    </w:rPr>
  </w:style>
  <w:style w:type="paragraph" w:customStyle="1" w:styleId="97">
    <w:name w:val="没有缩进（为图形使用）"/>
    <w:basedOn w:val="1"/>
    <w:qFormat/>
    <w:uiPriority w:val="0"/>
    <w:pPr>
      <w:spacing w:before="120" w:after="120" w:line="360" w:lineRule="auto"/>
    </w:pPr>
    <w:rPr>
      <w:rFonts w:ascii="Times New Roman" w:hAnsi="Times New Roman"/>
      <w:sz w:val="24"/>
      <w:szCs w:val="20"/>
    </w:rPr>
  </w:style>
  <w:style w:type="paragraph" w:customStyle="1" w:styleId="98">
    <w:name w:val="List Paragraph1"/>
    <w:basedOn w:val="1"/>
    <w:qFormat/>
    <w:uiPriority w:val="0"/>
    <w:pPr>
      <w:ind w:firstLine="420" w:firstLineChars="200"/>
    </w:pPr>
    <w:rPr>
      <w:rFonts w:ascii="Times New Roman" w:hAnsi="Times New Roman"/>
      <w:szCs w:val="24"/>
    </w:rPr>
  </w:style>
  <w:style w:type="paragraph" w:customStyle="1" w:styleId="99">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0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02">
    <w:name w:val="xl132"/>
    <w:basedOn w:val="1"/>
    <w:qFormat/>
    <w:uiPriority w:val="0"/>
    <w:pPr>
      <w:widowControl/>
      <w:pBdr>
        <w:bottom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03">
    <w:name w:val="xl81"/>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04">
    <w:name w:val="列出段落1"/>
    <w:basedOn w:val="1"/>
    <w:qFormat/>
    <w:uiPriority w:val="0"/>
    <w:pPr>
      <w:ind w:firstLine="420" w:firstLineChars="200"/>
    </w:pPr>
    <w:rPr>
      <w:rFonts w:ascii="Times New Roman" w:hAnsi="Times New Roman"/>
      <w:szCs w:val="24"/>
    </w:rPr>
  </w:style>
  <w:style w:type="paragraph" w:customStyle="1" w:styleId="10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06">
    <w:name w:val="xl72"/>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8">
    <w:name w:val="List Paragraph"/>
    <w:basedOn w:val="1"/>
    <w:qFormat/>
    <w:uiPriority w:val="34"/>
    <w:pPr>
      <w:ind w:firstLine="420" w:firstLineChars="200"/>
    </w:pPr>
    <w:rPr>
      <w:rFonts w:ascii="Times New Roman" w:hAnsi="Times New Roman"/>
      <w:szCs w:val="24"/>
    </w:rPr>
  </w:style>
  <w:style w:type="paragraph" w:customStyle="1" w:styleId="109">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10">
    <w:name w:val="xl127"/>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1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12">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13">
    <w:name w:val="_Style 111"/>
    <w:basedOn w:val="4"/>
    <w:next w:val="1"/>
    <w:qFormat/>
    <w:uiPriority w:val="39"/>
    <w:pPr>
      <w:keepNext/>
      <w:keepLines/>
      <w:widowControl/>
      <w:spacing w:before="480" w:line="276" w:lineRule="auto"/>
      <w:jc w:val="left"/>
      <w:outlineLvl w:val="9"/>
    </w:pPr>
    <w:rPr>
      <w:rFonts w:ascii="Cambria" w:hAnsi="Cambria" w:eastAsia="宋体" w:cs="Times New Roman"/>
      <w:color w:val="365F91"/>
      <w:kern w:val="0"/>
      <w:sz w:val="28"/>
      <w:szCs w:val="28"/>
    </w:rPr>
  </w:style>
  <w:style w:type="paragraph" w:customStyle="1" w:styleId="114">
    <w:name w:val="1"/>
    <w:basedOn w:val="1"/>
    <w:next w:val="17"/>
    <w:qFormat/>
    <w:uiPriority w:val="0"/>
    <w:pPr>
      <w:autoSpaceDE w:val="0"/>
      <w:autoSpaceDN w:val="0"/>
      <w:adjustRightInd w:val="0"/>
      <w:jc w:val="left"/>
      <w:textAlignment w:val="baseline"/>
    </w:pPr>
    <w:rPr>
      <w:rFonts w:ascii="宋体" w:hAnsi="Times New Roman"/>
      <w:kern w:val="0"/>
      <w:sz w:val="28"/>
      <w:szCs w:val="20"/>
    </w:rPr>
  </w:style>
  <w:style w:type="paragraph" w:customStyle="1" w:styleId="115">
    <w:name w:val="xl135"/>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16">
    <w:name w:val="_Style 29"/>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xl10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18">
    <w:name w:val="列出段落2"/>
    <w:basedOn w:val="1"/>
    <w:qFormat/>
    <w:uiPriority w:val="34"/>
    <w:pPr>
      <w:ind w:firstLine="420" w:firstLineChars="200"/>
    </w:pPr>
    <w:rPr>
      <w:rFonts w:ascii="Times New Roman" w:hAnsi="Times New Roman" w:eastAsia="宋体" w:cs="Times New Roman"/>
      <w:szCs w:val="24"/>
    </w:rPr>
  </w:style>
  <w:style w:type="paragraph" w:customStyle="1" w:styleId="11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2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22">
    <w:name w:val="xl112"/>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23">
    <w:name w:val="xl128"/>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24">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2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27">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29">
    <w:name w:val="xl10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30">
    <w:name w:val="xl86"/>
    <w:basedOn w:val="1"/>
    <w:qFormat/>
    <w:uiPriority w:val="0"/>
    <w:pPr>
      <w:widowControl/>
      <w:spacing w:before="100" w:beforeAutospacing="1" w:after="100" w:afterAutospacing="1" w:line="240" w:lineRule="auto"/>
      <w:ind w:firstLine="0" w:firstLineChars="0"/>
      <w:jc w:val="center"/>
    </w:pPr>
    <w:rPr>
      <w:rFonts w:ascii="宋体" w:hAnsi="宋体" w:cs="宋体"/>
      <w:kern w:val="0"/>
      <w:sz w:val="32"/>
      <w:szCs w:val="32"/>
    </w:rPr>
  </w:style>
  <w:style w:type="paragraph" w:customStyle="1" w:styleId="13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3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32"/>
      <w:szCs w:val="32"/>
    </w:rPr>
  </w:style>
  <w:style w:type="paragraph" w:customStyle="1" w:styleId="134">
    <w:name w:val="样式 标题 1 + 首行缩进:  2 字符 段前: 1 行 段后: 1 行"/>
    <w:basedOn w:val="4"/>
    <w:qFormat/>
    <w:uiPriority w:val="0"/>
    <w:pPr>
      <w:spacing w:beforeLines="100" w:afterLines="100" w:line="240" w:lineRule="auto"/>
      <w:jc w:val="both"/>
    </w:pPr>
    <w:rPr>
      <w:sz w:val="24"/>
      <w:szCs w:val="20"/>
    </w:rPr>
  </w:style>
  <w:style w:type="paragraph" w:customStyle="1" w:styleId="135">
    <w:name w:val="xl134"/>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36">
    <w:name w:val="标题4"/>
    <w:basedOn w:val="1"/>
    <w:qFormat/>
    <w:uiPriority w:val="0"/>
    <w:pPr>
      <w:spacing w:beforeLines="100" w:afterLines="100" w:line="360" w:lineRule="auto"/>
    </w:pPr>
    <w:rPr>
      <w:rFonts w:ascii="Times New Roman" w:hAnsi="Times New Roman"/>
      <w:sz w:val="28"/>
      <w:szCs w:val="24"/>
    </w:rPr>
  </w:style>
  <w:style w:type="paragraph" w:customStyle="1" w:styleId="137">
    <w:name w:val="xl82"/>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138">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39">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41">
    <w:name w:val="样式 样式 标题 2 + 段前: 0.5 行 段后: 0.5 行 + 首行缩进:  2 字符 段前: 0.5 行 段后: 0..."/>
    <w:basedOn w:val="1"/>
    <w:qFormat/>
    <w:uiPriority w:val="0"/>
    <w:pPr>
      <w:keepNext/>
      <w:keepLines/>
      <w:spacing w:beforeLines="50" w:afterLines="50"/>
      <w:outlineLvl w:val="1"/>
    </w:pPr>
    <w:rPr>
      <w:rFonts w:ascii="Times New Roman" w:hAnsi="宋体"/>
      <w:b/>
      <w:bCs/>
      <w:sz w:val="24"/>
      <w:szCs w:val="24"/>
    </w:rPr>
  </w:style>
  <w:style w:type="paragraph" w:customStyle="1" w:styleId="142">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character" w:customStyle="1" w:styleId="143">
    <w:name w:val="font31"/>
    <w:qFormat/>
    <w:uiPriority w:val="0"/>
    <w:rPr>
      <w:rFonts w:ascii="宋体" w:hAnsi="宋体" w:eastAsia="宋体" w:cs="宋体"/>
      <w:color w:val="000000"/>
      <w:sz w:val="20"/>
      <w:szCs w:val="20"/>
      <w:u w:val="none"/>
    </w:rPr>
  </w:style>
  <w:style w:type="character" w:customStyle="1" w:styleId="144">
    <w:name w:val="apple-converted-space"/>
    <w:qFormat/>
    <w:uiPriority w:val="0"/>
    <w:rPr>
      <w:rFonts w:cs="Times New Roman"/>
    </w:rPr>
  </w:style>
  <w:style w:type="character" w:customStyle="1" w:styleId="145">
    <w:name w:val="批注框文本 Char"/>
    <w:link w:val="24"/>
    <w:qFormat/>
    <w:uiPriority w:val="0"/>
    <w:rPr>
      <w:kern w:val="2"/>
      <w:sz w:val="18"/>
      <w:szCs w:val="18"/>
    </w:rPr>
  </w:style>
  <w:style w:type="character" w:customStyle="1" w:styleId="146">
    <w:name w:val="font101"/>
    <w:qFormat/>
    <w:uiPriority w:val="0"/>
    <w:rPr>
      <w:rFonts w:ascii="宋体" w:hAnsi="宋体" w:eastAsia="宋体" w:cs="宋体"/>
      <w:color w:val="000000"/>
      <w:sz w:val="20"/>
      <w:szCs w:val="20"/>
      <w:u w:val="none"/>
    </w:rPr>
  </w:style>
  <w:style w:type="character" w:customStyle="1" w:styleId="147">
    <w:name w:val="正文文本缩进 Char1"/>
    <w:qFormat/>
    <w:uiPriority w:val="0"/>
    <w:rPr>
      <w:kern w:val="2"/>
      <w:sz w:val="21"/>
      <w:szCs w:val="24"/>
    </w:rPr>
  </w:style>
  <w:style w:type="character" w:customStyle="1" w:styleId="148">
    <w:name w:val="样式 标题 1 + 加粗 Char Char"/>
    <w:qFormat/>
    <w:uiPriority w:val="0"/>
    <w:rPr>
      <w:rFonts w:eastAsia="黑体"/>
      <w:b/>
      <w:bCs/>
      <w:kern w:val="44"/>
      <w:sz w:val="28"/>
      <w:szCs w:val="28"/>
      <w:lang w:val="en-US" w:eastAsia="zh-CN" w:bidi="ar-SA"/>
    </w:rPr>
  </w:style>
  <w:style w:type="character" w:customStyle="1" w:styleId="149">
    <w:name w:val="页眉 Char"/>
    <w:link w:val="26"/>
    <w:semiHidden/>
    <w:qFormat/>
    <w:uiPriority w:val="0"/>
    <w:rPr>
      <w:sz w:val="18"/>
      <w:szCs w:val="18"/>
    </w:rPr>
  </w:style>
  <w:style w:type="character" w:customStyle="1" w:styleId="150">
    <w:name w:val="正文文本缩进 Char"/>
    <w:basedOn w:val="40"/>
    <w:link w:val="3"/>
    <w:semiHidden/>
    <w:qFormat/>
    <w:uiPriority w:val="0"/>
  </w:style>
  <w:style w:type="character" w:customStyle="1" w:styleId="151">
    <w:name w:val="标题 2 Char Char"/>
    <w:qFormat/>
    <w:uiPriority w:val="0"/>
    <w:rPr>
      <w:rFonts w:ascii="Arial" w:hAnsi="Arial" w:eastAsia="宋体"/>
      <w:b/>
      <w:bCs/>
      <w:kern w:val="2"/>
      <w:sz w:val="48"/>
      <w:szCs w:val="32"/>
      <w:lang w:val="en-US" w:eastAsia="zh-CN" w:bidi="ar-SA"/>
    </w:rPr>
  </w:style>
  <w:style w:type="character" w:customStyle="1" w:styleId="152">
    <w:name w:val="批注框文本 Char1"/>
    <w:semiHidden/>
    <w:qFormat/>
    <w:uiPriority w:val="99"/>
    <w:rPr>
      <w:kern w:val="2"/>
      <w:sz w:val="18"/>
      <w:szCs w:val="18"/>
    </w:rPr>
  </w:style>
  <w:style w:type="character" w:customStyle="1" w:styleId="153">
    <w:name w:val="标题 Char"/>
    <w:link w:val="36"/>
    <w:qFormat/>
    <w:uiPriority w:val="0"/>
    <w:rPr>
      <w:rFonts w:ascii="Cambria" w:hAnsi="Cambria"/>
      <w:b/>
      <w:bCs/>
      <w:kern w:val="2"/>
      <w:sz w:val="32"/>
      <w:szCs w:val="32"/>
    </w:rPr>
  </w:style>
  <w:style w:type="character" w:customStyle="1" w:styleId="154">
    <w:name w:val="批注主题 Char"/>
    <w:link w:val="37"/>
    <w:semiHidden/>
    <w:qFormat/>
    <w:uiPriority w:val="0"/>
    <w:rPr>
      <w:b/>
      <w:bCs/>
      <w:kern w:val="2"/>
      <w:sz w:val="21"/>
      <w:szCs w:val="22"/>
    </w:rPr>
  </w:style>
  <w:style w:type="character" w:customStyle="1" w:styleId="155">
    <w:name w:val="标准正文 Char"/>
    <w:link w:val="64"/>
    <w:qFormat/>
    <w:locked/>
    <w:uiPriority w:val="0"/>
    <w:rPr>
      <w:rFonts w:ascii="宋体" w:hAnsi="宋体"/>
      <w:sz w:val="24"/>
      <w:szCs w:val="24"/>
    </w:rPr>
  </w:style>
  <w:style w:type="character" w:customStyle="1" w:styleId="156">
    <w:name w:val="正文文本缩进 Char2"/>
    <w:semiHidden/>
    <w:qFormat/>
    <w:uiPriority w:val="99"/>
    <w:rPr>
      <w:kern w:val="2"/>
      <w:sz w:val="21"/>
      <w:szCs w:val="24"/>
    </w:rPr>
  </w:style>
  <w:style w:type="character" w:customStyle="1" w:styleId="157">
    <w:name w:val="批注文字 Char"/>
    <w:link w:val="16"/>
    <w:semiHidden/>
    <w:qFormat/>
    <w:uiPriority w:val="0"/>
    <w:rPr>
      <w:kern w:val="2"/>
      <w:sz w:val="21"/>
      <w:szCs w:val="22"/>
    </w:rPr>
  </w:style>
  <w:style w:type="character" w:customStyle="1" w:styleId="158">
    <w:name w:val="ask-title"/>
    <w:qFormat/>
    <w:uiPriority w:val="0"/>
  </w:style>
  <w:style w:type="character" w:customStyle="1" w:styleId="159">
    <w:name w:val="font71"/>
    <w:qFormat/>
    <w:uiPriority w:val="0"/>
    <w:rPr>
      <w:rFonts w:ascii="Times New Roman" w:hAnsi="Times New Roman" w:cs="Times New Roman"/>
      <w:color w:val="000000"/>
      <w:sz w:val="20"/>
      <w:szCs w:val="20"/>
      <w:u w:val="none"/>
    </w:rPr>
  </w:style>
  <w:style w:type="character" w:customStyle="1" w:styleId="160">
    <w:name w:val="标题 Char1"/>
    <w:qFormat/>
    <w:uiPriority w:val="10"/>
    <w:rPr>
      <w:rFonts w:hint="default" w:ascii="Cambria" w:hAnsi="Cambria" w:cs="Times New Roman"/>
      <w:b/>
      <w:bCs/>
      <w:kern w:val="2"/>
      <w:sz w:val="32"/>
      <w:szCs w:val="32"/>
    </w:rPr>
  </w:style>
  <w:style w:type="character" w:customStyle="1" w:styleId="161">
    <w:name w:val="标题 2 Char"/>
    <w:link w:val="5"/>
    <w:qFormat/>
    <w:uiPriority w:val="0"/>
    <w:rPr>
      <w:rFonts w:ascii="Cambria" w:hAnsi="Cambria"/>
      <w:b/>
      <w:bCs/>
      <w:kern w:val="2"/>
      <w:sz w:val="28"/>
      <w:szCs w:val="32"/>
    </w:rPr>
  </w:style>
  <w:style w:type="character" w:customStyle="1" w:styleId="162">
    <w:name w:val="标题 5 Char"/>
    <w:link w:val="8"/>
    <w:qFormat/>
    <w:uiPriority w:val="0"/>
    <w:rPr>
      <w:rFonts w:ascii="Times New Roman" w:hAnsi="Times New Roman"/>
      <w:b/>
      <w:bCs/>
      <w:kern w:val="2"/>
      <w:sz w:val="28"/>
      <w:szCs w:val="28"/>
    </w:rPr>
  </w:style>
  <w:style w:type="character" w:customStyle="1" w:styleId="163">
    <w:name w:val="font161"/>
    <w:basedOn w:val="40"/>
    <w:qFormat/>
    <w:uiPriority w:val="0"/>
    <w:rPr>
      <w:rFonts w:hint="eastAsia" w:ascii="宋体" w:hAnsi="宋体" w:eastAsia="宋体" w:cs="宋体"/>
      <w:color w:val="000000"/>
      <w:sz w:val="16"/>
      <w:szCs w:val="16"/>
      <w:u w:val="none"/>
      <w:vertAlign w:val="superscript"/>
    </w:rPr>
  </w:style>
  <w:style w:type="character" w:customStyle="1" w:styleId="164">
    <w:name w:val="标题 1 Char"/>
    <w:link w:val="4"/>
    <w:qFormat/>
    <w:uiPriority w:val="9"/>
    <w:rPr>
      <w:rFonts w:ascii="宋体" w:hAnsi="宋体" w:eastAsia="宋体" w:cs="Times New Roman"/>
      <w:b/>
      <w:bCs/>
      <w:kern w:val="44"/>
      <w:sz w:val="32"/>
      <w:szCs w:val="32"/>
    </w:rPr>
  </w:style>
  <w:style w:type="character" w:customStyle="1" w:styleId="165">
    <w:name w:val="标题 9 Char"/>
    <w:link w:val="12"/>
    <w:qFormat/>
    <w:uiPriority w:val="0"/>
    <w:rPr>
      <w:rFonts w:ascii="Arial" w:hAnsi="Arial" w:eastAsia="黑体"/>
      <w:kern w:val="2"/>
      <w:sz w:val="21"/>
      <w:szCs w:val="21"/>
    </w:rPr>
  </w:style>
  <w:style w:type="character" w:customStyle="1" w:styleId="166">
    <w:name w:val="标题 4 Char"/>
    <w:link w:val="7"/>
    <w:qFormat/>
    <w:uiPriority w:val="0"/>
    <w:rPr>
      <w:rFonts w:ascii="Arial" w:hAnsi="Arial" w:eastAsia="黑体"/>
      <w:b/>
      <w:bCs/>
      <w:kern w:val="2"/>
      <w:sz w:val="28"/>
      <w:szCs w:val="28"/>
    </w:rPr>
  </w:style>
  <w:style w:type="character" w:customStyle="1" w:styleId="167">
    <w:name w:val="font111"/>
    <w:qFormat/>
    <w:uiPriority w:val="0"/>
    <w:rPr>
      <w:rFonts w:ascii="Times New Roman" w:hAnsi="Times New Roman" w:cs="Times New Roman"/>
      <w:color w:val="000000"/>
      <w:sz w:val="20"/>
      <w:szCs w:val="20"/>
      <w:u w:val="none"/>
    </w:rPr>
  </w:style>
  <w:style w:type="character" w:customStyle="1" w:styleId="168">
    <w:name w:val="标题 8 Char"/>
    <w:link w:val="11"/>
    <w:qFormat/>
    <w:uiPriority w:val="0"/>
    <w:rPr>
      <w:rFonts w:ascii="Arial" w:hAnsi="Arial" w:eastAsia="黑体"/>
      <w:kern w:val="2"/>
      <w:sz w:val="24"/>
      <w:szCs w:val="24"/>
    </w:rPr>
  </w:style>
  <w:style w:type="character" w:customStyle="1" w:styleId="169">
    <w:name w:val="Char Char"/>
    <w:qFormat/>
    <w:uiPriority w:val="0"/>
    <w:rPr>
      <w:rFonts w:ascii="Arial" w:hAnsi="Arial" w:eastAsia="宋体"/>
      <w:b/>
      <w:bCs/>
      <w:kern w:val="2"/>
      <w:sz w:val="48"/>
      <w:szCs w:val="32"/>
      <w:lang w:val="en-US" w:eastAsia="zh-CN" w:bidi="ar-SA"/>
    </w:rPr>
  </w:style>
  <w:style w:type="character" w:customStyle="1" w:styleId="170">
    <w:name w:val="Char Char1"/>
    <w:qFormat/>
    <w:uiPriority w:val="0"/>
    <w:rPr>
      <w:rFonts w:eastAsia="宋体"/>
      <w:b/>
      <w:bCs/>
      <w:kern w:val="44"/>
      <w:sz w:val="52"/>
      <w:szCs w:val="44"/>
      <w:lang w:val="en-US" w:eastAsia="zh-CN" w:bidi="ar-SA"/>
    </w:rPr>
  </w:style>
  <w:style w:type="character" w:customStyle="1" w:styleId="171">
    <w:name w:val="纯文本 Char1"/>
    <w:semiHidden/>
    <w:qFormat/>
    <w:uiPriority w:val="99"/>
    <w:rPr>
      <w:rFonts w:ascii="宋体" w:hAnsi="Courier New" w:eastAsia="宋体" w:cs="Courier New"/>
      <w:szCs w:val="21"/>
    </w:rPr>
  </w:style>
  <w:style w:type="character" w:customStyle="1" w:styleId="172">
    <w:name w:val="页脚 Char1"/>
    <w:semiHidden/>
    <w:qFormat/>
    <w:uiPriority w:val="99"/>
    <w:rPr>
      <w:kern w:val="2"/>
      <w:sz w:val="18"/>
      <w:szCs w:val="18"/>
    </w:rPr>
  </w:style>
  <w:style w:type="character" w:customStyle="1" w:styleId="173">
    <w:name w:val="标题 7 Char"/>
    <w:link w:val="10"/>
    <w:qFormat/>
    <w:uiPriority w:val="0"/>
    <w:rPr>
      <w:rFonts w:ascii="Times New Roman" w:hAnsi="Times New Roman"/>
      <w:b/>
      <w:bCs/>
      <w:kern w:val="2"/>
      <w:sz w:val="24"/>
      <w:szCs w:val="24"/>
    </w:rPr>
  </w:style>
  <w:style w:type="character" w:customStyle="1" w:styleId="174">
    <w:name w:val="font21"/>
    <w:qFormat/>
    <w:uiPriority w:val="0"/>
    <w:rPr>
      <w:rFonts w:hint="eastAsia" w:ascii="宋体" w:hAnsi="宋体" w:eastAsia="宋体" w:cs="宋体"/>
      <w:color w:val="000000"/>
      <w:sz w:val="22"/>
      <w:szCs w:val="22"/>
      <w:u w:val="none"/>
    </w:rPr>
  </w:style>
  <w:style w:type="character" w:customStyle="1" w:styleId="175">
    <w:name w:val="标题 6 Char"/>
    <w:link w:val="9"/>
    <w:qFormat/>
    <w:uiPriority w:val="0"/>
    <w:rPr>
      <w:rFonts w:ascii="Arial" w:hAnsi="Arial" w:eastAsia="黑体"/>
      <w:b/>
      <w:bCs/>
      <w:kern w:val="2"/>
      <w:sz w:val="24"/>
      <w:szCs w:val="24"/>
    </w:rPr>
  </w:style>
  <w:style w:type="character" w:customStyle="1" w:styleId="176">
    <w:name w:val="文档结构图 Char2"/>
    <w:semiHidden/>
    <w:qFormat/>
    <w:uiPriority w:val="99"/>
    <w:rPr>
      <w:rFonts w:ascii="宋体"/>
      <w:kern w:val="2"/>
      <w:sz w:val="18"/>
      <w:szCs w:val="18"/>
    </w:rPr>
  </w:style>
  <w:style w:type="character" w:customStyle="1" w:styleId="177">
    <w:name w:val="font51"/>
    <w:basedOn w:val="40"/>
    <w:qFormat/>
    <w:uiPriority w:val="0"/>
    <w:rPr>
      <w:rFonts w:ascii="Times New Roman" w:hAnsi="Times New Roman" w:cs="Times New Roman"/>
      <w:color w:val="000000"/>
      <w:sz w:val="20"/>
      <w:szCs w:val="20"/>
      <w:u w:val="none"/>
    </w:rPr>
  </w:style>
  <w:style w:type="character" w:customStyle="1" w:styleId="178">
    <w:name w:val="纯文本 Char"/>
    <w:link w:val="20"/>
    <w:qFormat/>
    <w:uiPriority w:val="0"/>
    <w:rPr>
      <w:rFonts w:ascii="宋体" w:hAnsi="Courier New" w:eastAsia="宋体" w:cs="Courier New"/>
      <w:szCs w:val="21"/>
    </w:rPr>
  </w:style>
  <w:style w:type="character" w:customStyle="1" w:styleId="179">
    <w:name w:val="Heading 2 Char"/>
    <w:qFormat/>
    <w:locked/>
    <w:uiPriority w:val="0"/>
    <w:rPr>
      <w:rFonts w:ascii="宋体" w:hAnsi="宋体" w:eastAsia="宋体" w:cs="宋体"/>
      <w:b/>
      <w:bCs/>
      <w:kern w:val="0"/>
      <w:sz w:val="36"/>
      <w:szCs w:val="36"/>
    </w:rPr>
  </w:style>
  <w:style w:type="character" w:customStyle="1" w:styleId="180">
    <w:name w:val="15"/>
    <w:qFormat/>
    <w:uiPriority w:val="0"/>
    <w:rPr>
      <w:rFonts w:hint="eastAsia" w:ascii="宋体" w:hAnsi="宋体" w:eastAsia="宋体"/>
      <w:color w:val="000000"/>
      <w:sz w:val="18"/>
      <w:szCs w:val="18"/>
    </w:rPr>
  </w:style>
  <w:style w:type="character" w:customStyle="1" w:styleId="181">
    <w:name w:val="日期 Char1"/>
    <w:basedOn w:val="40"/>
    <w:link w:val="22"/>
    <w:semiHidden/>
    <w:qFormat/>
    <w:uiPriority w:val="99"/>
  </w:style>
  <w:style w:type="character" w:customStyle="1" w:styleId="182">
    <w:name w:val="正文文本 Char"/>
    <w:link w:val="17"/>
    <w:qFormat/>
    <w:uiPriority w:val="0"/>
    <w:rPr>
      <w:rFonts w:ascii="宋体" w:hAnsi="宋体" w:eastAsia="宋体" w:cs="Times New Roman"/>
      <w:spacing w:val="4"/>
      <w:sz w:val="24"/>
      <w:szCs w:val="20"/>
    </w:rPr>
  </w:style>
  <w:style w:type="character" w:customStyle="1" w:styleId="183">
    <w:name w:val="页眉 Char1"/>
    <w:semiHidden/>
    <w:qFormat/>
    <w:uiPriority w:val="99"/>
    <w:rPr>
      <w:kern w:val="2"/>
      <w:sz w:val="18"/>
      <w:szCs w:val="18"/>
    </w:rPr>
  </w:style>
  <w:style w:type="character" w:customStyle="1" w:styleId="184">
    <w:name w:val="日期 Char"/>
    <w:link w:val="22"/>
    <w:qFormat/>
    <w:uiPriority w:val="0"/>
    <w:rPr>
      <w:sz w:val="28"/>
      <w:szCs w:val="24"/>
    </w:rPr>
  </w:style>
  <w:style w:type="character" w:customStyle="1" w:styleId="185">
    <w:name w:val="样式2 Char"/>
    <w:link w:val="66"/>
    <w:qFormat/>
    <w:uiPriority w:val="0"/>
    <w:rPr>
      <w:rFonts w:ascii="宋体" w:hAnsi="宋体"/>
      <w:sz w:val="24"/>
      <w:szCs w:val="24"/>
    </w:rPr>
  </w:style>
  <w:style w:type="character" w:customStyle="1" w:styleId="186">
    <w:name w:val="font41"/>
    <w:qFormat/>
    <w:uiPriority w:val="0"/>
    <w:rPr>
      <w:rFonts w:ascii="宋体" w:hAnsi="宋体" w:eastAsia="宋体" w:cs="宋体"/>
      <w:color w:val="000000"/>
      <w:sz w:val="20"/>
      <w:szCs w:val="20"/>
      <w:u w:val="none"/>
    </w:rPr>
  </w:style>
  <w:style w:type="character" w:customStyle="1" w:styleId="187">
    <w:name w:val="font01"/>
    <w:qFormat/>
    <w:uiPriority w:val="0"/>
    <w:rPr>
      <w:rFonts w:hint="eastAsia" w:ascii="宋体" w:hAnsi="宋体" w:eastAsia="宋体" w:cs="宋体"/>
      <w:color w:val="000000"/>
      <w:sz w:val="18"/>
      <w:szCs w:val="18"/>
      <w:u w:val="none"/>
    </w:rPr>
  </w:style>
  <w:style w:type="character" w:customStyle="1" w:styleId="188">
    <w:name w:val="正文文本缩进 3 Char"/>
    <w:link w:val="30"/>
    <w:qFormat/>
    <w:uiPriority w:val="0"/>
    <w:rPr>
      <w:rFonts w:ascii="Times New Roman" w:hAnsi="Times New Roman"/>
      <w:kern w:val="2"/>
      <w:sz w:val="16"/>
      <w:szCs w:val="16"/>
    </w:rPr>
  </w:style>
  <w:style w:type="character" w:customStyle="1" w:styleId="189">
    <w:name w:val="font171"/>
    <w:basedOn w:val="40"/>
    <w:qFormat/>
    <w:uiPriority w:val="0"/>
    <w:rPr>
      <w:rFonts w:hint="eastAsia" w:ascii="宋体" w:hAnsi="宋体" w:eastAsia="宋体" w:cs="宋体"/>
      <w:b/>
      <w:color w:val="000000"/>
      <w:sz w:val="22"/>
      <w:szCs w:val="22"/>
      <w:u w:val="none"/>
    </w:rPr>
  </w:style>
  <w:style w:type="character" w:customStyle="1" w:styleId="190">
    <w:name w:val="标题 1 Char Char"/>
    <w:qFormat/>
    <w:uiPriority w:val="0"/>
    <w:rPr>
      <w:rFonts w:eastAsia="黑体"/>
      <w:kern w:val="44"/>
      <w:sz w:val="28"/>
      <w:szCs w:val="28"/>
      <w:lang w:val="en-US" w:eastAsia="zh-CN" w:bidi="ar-SA"/>
    </w:rPr>
  </w:style>
  <w:style w:type="character" w:customStyle="1" w:styleId="191">
    <w:name w:val="文档结构图 Char1"/>
    <w:qFormat/>
    <w:uiPriority w:val="0"/>
    <w:rPr>
      <w:rFonts w:ascii="宋体"/>
      <w:kern w:val="2"/>
      <w:sz w:val="18"/>
      <w:szCs w:val="18"/>
    </w:rPr>
  </w:style>
  <w:style w:type="character" w:customStyle="1" w:styleId="192">
    <w:name w:val="文档结构图 Char"/>
    <w:link w:val="15"/>
    <w:qFormat/>
    <w:uiPriority w:val="0"/>
    <w:rPr>
      <w:rFonts w:ascii="宋体"/>
      <w:kern w:val="2"/>
      <w:sz w:val="18"/>
      <w:szCs w:val="18"/>
    </w:rPr>
  </w:style>
  <w:style w:type="character" w:customStyle="1" w:styleId="193">
    <w:name w:val="正文文本缩进 2 Char"/>
    <w:link w:val="23"/>
    <w:qFormat/>
    <w:uiPriority w:val="0"/>
    <w:rPr>
      <w:rFonts w:ascii="Times New Roman" w:hAnsi="Times New Roman"/>
      <w:kern w:val="2"/>
      <w:sz w:val="28"/>
    </w:rPr>
  </w:style>
  <w:style w:type="character" w:customStyle="1" w:styleId="194">
    <w:name w:val="页脚 Char"/>
    <w:link w:val="25"/>
    <w:qFormat/>
    <w:uiPriority w:val="99"/>
    <w:rPr>
      <w:sz w:val="18"/>
      <w:szCs w:val="18"/>
    </w:rPr>
  </w:style>
  <w:style w:type="character" w:customStyle="1" w:styleId="195">
    <w:name w:val="标题 3 Char"/>
    <w:link w:val="6"/>
    <w:qFormat/>
    <w:uiPriority w:val="0"/>
    <w:rPr>
      <w:b/>
      <w:bCs/>
      <w:kern w:val="2"/>
      <w:sz w:val="24"/>
      <w:szCs w:val="32"/>
    </w:rPr>
  </w:style>
  <w:style w:type="character" w:customStyle="1" w:styleId="196">
    <w:name w:val="font11"/>
    <w:basedOn w:val="40"/>
    <w:qFormat/>
    <w:uiPriority w:val="0"/>
    <w:rPr>
      <w:rFonts w:ascii="宋体" w:hAnsi="宋体" w:eastAsia="宋体" w:cs="宋体"/>
      <w:color w:val="000000"/>
      <w:sz w:val="18"/>
      <w:szCs w:val="18"/>
      <w:u w:val="none"/>
    </w:rPr>
  </w:style>
  <w:style w:type="paragraph" w:customStyle="1" w:styleId="197">
    <w:name w:val="正文（缩进）"/>
    <w:basedOn w:val="1"/>
    <w:qFormat/>
    <w:uiPriority w:val="0"/>
    <w:pPr>
      <w:spacing w:beforeLines="50" w:afterLines="50"/>
      <w:ind w:firstLine="480"/>
    </w:pPr>
    <w:rPr>
      <w:sz w:val="24"/>
    </w:rPr>
  </w:style>
  <w:style w:type="character" w:customStyle="1" w:styleId="198">
    <w:name w:val="font131"/>
    <w:basedOn w:val="40"/>
    <w:qFormat/>
    <w:uiPriority w:val="0"/>
    <w:rPr>
      <w:rFonts w:hint="eastAsia" w:ascii="宋体" w:hAnsi="宋体" w:eastAsia="宋体" w:cs="宋体"/>
      <w:color w:val="000000"/>
      <w:sz w:val="18"/>
      <w:szCs w:val="18"/>
      <w:u w:val="none"/>
    </w:rPr>
  </w:style>
  <w:style w:type="paragraph" w:customStyle="1" w:styleId="199">
    <w:name w:val="Table Paragraph"/>
    <w:basedOn w:val="1"/>
    <w:qFormat/>
    <w:uiPriority w:val="1"/>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control" Target="activeX/activeX11.xml"/><Relationship Id="rId28" Type="http://schemas.openxmlformats.org/officeDocument/2006/relationships/image" Target="media/image10.wmf"/><Relationship Id="rId27" Type="http://schemas.openxmlformats.org/officeDocument/2006/relationships/control" Target="activeX/activeX10.xml"/><Relationship Id="rId26" Type="http://schemas.openxmlformats.org/officeDocument/2006/relationships/image" Target="media/image9.wmf"/><Relationship Id="rId25" Type="http://schemas.openxmlformats.org/officeDocument/2006/relationships/control" Target="activeX/activeX9.xml"/><Relationship Id="rId24" Type="http://schemas.openxmlformats.org/officeDocument/2006/relationships/image" Target="media/image8.wmf"/><Relationship Id="rId23" Type="http://schemas.openxmlformats.org/officeDocument/2006/relationships/control" Target="activeX/activeX8.xml"/><Relationship Id="rId22" Type="http://schemas.openxmlformats.org/officeDocument/2006/relationships/image" Target="media/image7.wmf"/><Relationship Id="rId21" Type="http://schemas.openxmlformats.org/officeDocument/2006/relationships/control" Target="activeX/activeX7.xml"/><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control" Target="activeX/activeX6.xml"/><Relationship Id="rId18" Type="http://schemas.openxmlformats.org/officeDocument/2006/relationships/image" Target="media/image5.wmf"/><Relationship Id="rId17" Type="http://schemas.openxmlformats.org/officeDocument/2006/relationships/control" Target="activeX/activeX5.xml"/><Relationship Id="rId16" Type="http://schemas.openxmlformats.org/officeDocument/2006/relationships/image" Target="media/image4.wmf"/><Relationship Id="rId15" Type="http://schemas.openxmlformats.org/officeDocument/2006/relationships/control" Target="activeX/activeX4.xml"/><Relationship Id="rId14" Type="http://schemas.openxmlformats.org/officeDocument/2006/relationships/image" Target="media/image3.wmf"/><Relationship Id="rId13" Type="http://schemas.openxmlformats.org/officeDocument/2006/relationships/control" Target="activeX/activeX3.xml"/><Relationship Id="rId12" Type="http://schemas.openxmlformats.org/officeDocument/2006/relationships/image" Target="media/image2.wmf"/><Relationship Id="rId11" Type="http://schemas.openxmlformats.org/officeDocument/2006/relationships/control" Target="activeX/activeX2.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6051</Words>
  <Characters>34493</Characters>
  <Lines>287</Lines>
  <Paragraphs>80</Paragraphs>
  <TotalTime>2</TotalTime>
  <ScaleCrop>false</ScaleCrop>
  <LinksUpToDate>false</LinksUpToDate>
  <CharactersWithSpaces>40464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2018-02-09T07:41:00Z</dcterms:created>
  <dc:creator>Windows 用户</dc:creator>
  <cp:lastModifiedBy>哇哈哈</cp:lastModifiedBy>
  <cp:lastPrinted>2017-12-08T02:13:00Z</cp:lastPrinted>
  <dcterms:modified xsi:type="dcterms:W3CDTF">2019-12-19T03:20:46Z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