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eastAsia="宋体"/>
          <w:b/>
          <w:bCs/>
          <w:sz w:val="36"/>
          <w:szCs w:val="44"/>
        </w:rPr>
      </w:pPr>
      <w:bookmarkStart w:id="0" w:name="_Toc19111_WPSOffice_Type2"/>
    </w:p>
    <w:p>
      <w:pPr>
        <w:pStyle w:val="2"/>
        <w:rPr>
          <w:rFonts w:ascii="宋体" w:hAnsi="宋体" w:eastAsia="宋体"/>
          <w:b/>
          <w:bCs/>
          <w:sz w:val="36"/>
          <w:szCs w:val="44"/>
        </w:rPr>
      </w:pPr>
      <w:r>
        <w:drawing>
          <wp:inline distT="0" distB="0" distL="114300" distR="114300">
            <wp:extent cx="5419725" cy="7419975"/>
            <wp:effectExtent l="0" t="0" r="9525"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2"/>
                    <a:stretch>
                      <a:fillRect/>
                    </a:stretch>
                  </pic:blipFill>
                  <pic:spPr>
                    <a:xfrm>
                      <a:off x="0" y="0"/>
                      <a:ext cx="5419725" cy="7419975"/>
                    </a:xfrm>
                    <a:prstGeom prst="rect">
                      <a:avLst/>
                    </a:prstGeom>
                    <a:noFill/>
                    <a:ln>
                      <a:noFill/>
                    </a:ln>
                  </pic:spPr>
                </pic:pic>
              </a:graphicData>
            </a:graphic>
          </wp:inline>
        </w:drawing>
      </w:r>
    </w:p>
    <w:p>
      <w:pPr>
        <w:pStyle w:val="2"/>
        <w:rPr>
          <w:rFonts w:ascii="宋体" w:hAnsi="宋体" w:eastAsia="宋体"/>
          <w:b/>
          <w:bCs/>
          <w:sz w:val="36"/>
          <w:szCs w:val="44"/>
        </w:rPr>
      </w:pPr>
    </w:p>
    <w:p>
      <w:pPr>
        <w:jc w:val="both"/>
        <w:rPr>
          <w:rFonts w:ascii="宋体" w:hAnsi="宋体" w:eastAsia="宋体"/>
          <w:b/>
          <w:bCs/>
          <w:sz w:val="36"/>
          <w:szCs w:val="44"/>
        </w:rPr>
      </w:pPr>
    </w:p>
    <w:p>
      <w:pPr>
        <w:jc w:val="center"/>
        <w:rPr>
          <w:b/>
          <w:bCs/>
          <w:sz w:val="36"/>
          <w:szCs w:val="44"/>
        </w:rPr>
      </w:pPr>
      <w:r>
        <w:rPr>
          <w:rFonts w:ascii="宋体" w:hAnsi="宋体" w:eastAsia="宋体"/>
          <w:b/>
          <w:bCs/>
          <w:sz w:val="36"/>
          <w:szCs w:val="44"/>
        </w:rPr>
        <w:t>目</w:t>
      </w:r>
      <w:r>
        <w:rPr>
          <w:rFonts w:hint="eastAsia" w:ascii="宋体" w:hAnsi="宋体" w:eastAsia="宋体"/>
          <w:b/>
          <w:bCs/>
          <w:sz w:val="36"/>
          <w:szCs w:val="44"/>
        </w:rPr>
        <w:t xml:space="preserve">  </w:t>
      </w:r>
      <w:r>
        <w:rPr>
          <w:rFonts w:hint="eastAsia" w:ascii="宋体" w:hAnsi="宋体"/>
          <w:b/>
          <w:bCs/>
          <w:sz w:val="36"/>
          <w:szCs w:val="44"/>
          <w:lang w:val="en-US" w:eastAsia="zh-CN"/>
        </w:rPr>
        <w:t xml:space="preserve"> </w:t>
      </w:r>
      <w:r>
        <w:rPr>
          <w:rFonts w:ascii="宋体" w:hAnsi="宋体" w:eastAsia="宋体"/>
          <w:b/>
          <w:bCs/>
          <w:sz w:val="36"/>
          <w:szCs w:val="44"/>
        </w:rPr>
        <w:t>录</w:t>
      </w:r>
    </w:p>
    <w:p>
      <w:pPr>
        <w:pStyle w:val="24"/>
        <w:tabs>
          <w:tab w:val="right" w:leader="dot" w:pos="9746"/>
        </w:tabs>
        <w:rPr>
          <w:sz w:val="28"/>
          <w:szCs w:val="28"/>
        </w:rPr>
      </w:pPr>
      <w:r>
        <w:fldChar w:fldCharType="begin"/>
      </w:r>
      <w:r>
        <w:instrText xml:space="preserve"> HYPERLINK \l "_Toc425_WPSOffice_Level1" </w:instrText>
      </w:r>
      <w:r>
        <w:fldChar w:fldCharType="separate"/>
      </w:r>
      <w:r>
        <w:rPr>
          <w:rFonts w:hint="eastAsia" w:ascii="Calibri" w:hAnsi="Calibri" w:eastAsia="宋体" w:cs="宋体"/>
          <w:b/>
          <w:bCs/>
          <w:sz w:val="28"/>
          <w:szCs w:val="28"/>
        </w:rPr>
        <w:t>第一部分</w:t>
      </w:r>
      <w:r>
        <w:rPr>
          <w:rFonts w:ascii="Calibri" w:hAnsi="Calibri" w:eastAsia="宋体" w:cs="宋体"/>
          <w:b/>
          <w:bCs/>
          <w:sz w:val="28"/>
          <w:szCs w:val="28"/>
        </w:rPr>
        <w:t xml:space="preserve">  </w:t>
      </w:r>
      <w:r>
        <w:rPr>
          <w:rFonts w:hint="eastAsia" w:ascii="Calibri" w:hAnsi="Calibri" w:eastAsia="宋体" w:cs="宋体"/>
          <w:b/>
          <w:bCs/>
          <w:sz w:val="28"/>
          <w:szCs w:val="28"/>
        </w:rPr>
        <w:t>公开招标公告</w:t>
      </w:r>
      <w:r>
        <w:rPr>
          <w:b/>
          <w:bCs/>
          <w:sz w:val="28"/>
          <w:szCs w:val="28"/>
        </w:rPr>
        <w:tab/>
      </w:r>
      <w:r>
        <w:rPr>
          <w:rFonts w:hint="eastAsia"/>
          <w:b/>
          <w:bCs/>
          <w:sz w:val="28"/>
          <w:szCs w:val="28"/>
          <w:lang w:val="en-US" w:eastAsia="zh-CN"/>
        </w:rPr>
        <w:t>1</w:t>
      </w:r>
      <w:r>
        <w:fldChar w:fldCharType="end"/>
      </w:r>
    </w:p>
    <w:p>
      <w:pPr>
        <w:pStyle w:val="24"/>
        <w:tabs>
          <w:tab w:val="right" w:leader="dot" w:pos="9746"/>
        </w:tabs>
        <w:rPr>
          <w:sz w:val="28"/>
          <w:szCs w:val="28"/>
        </w:rPr>
      </w:pPr>
      <w:r>
        <w:fldChar w:fldCharType="begin"/>
      </w:r>
      <w:r>
        <w:instrText xml:space="preserve"> HYPERLINK \l "_Toc19111_WPSOffice_Level1" </w:instrText>
      </w:r>
      <w:r>
        <w:fldChar w:fldCharType="separate"/>
      </w:r>
      <w:r>
        <w:rPr>
          <w:rFonts w:hint="eastAsia" w:ascii="Calibri" w:hAnsi="Calibri" w:eastAsia="宋体" w:cs="宋体"/>
          <w:b/>
          <w:bCs/>
          <w:sz w:val="28"/>
          <w:szCs w:val="28"/>
        </w:rPr>
        <w:t>第二部分</w:t>
      </w:r>
      <w:r>
        <w:rPr>
          <w:rFonts w:ascii="Calibri" w:hAnsi="Calibri" w:eastAsia="宋体" w:cs="宋体"/>
          <w:b/>
          <w:bCs/>
          <w:sz w:val="28"/>
          <w:szCs w:val="28"/>
        </w:rPr>
        <w:t xml:space="preserve">  </w:t>
      </w:r>
      <w:r>
        <w:rPr>
          <w:rFonts w:hint="eastAsia" w:ascii="Calibri" w:hAnsi="Calibri" w:eastAsia="宋体" w:cs="宋体"/>
          <w:b/>
          <w:bCs/>
          <w:sz w:val="28"/>
          <w:szCs w:val="28"/>
        </w:rPr>
        <w:t>供应商须知</w:t>
      </w:r>
      <w:r>
        <w:rPr>
          <w:b/>
          <w:bCs/>
          <w:sz w:val="28"/>
          <w:szCs w:val="28"/>
        </w:rPr>
        <w:tab/>
      </w:r>
      <w:r>
        <w:rPr>
          <w:rFonts w:hint="eastAsia"/>
          <w:b/>
          <w:bCs/>
          <w:sz w:val="28"/>
          <w:szCs w:val="28"/>
          <w:lang w:val="en-US" w:eastAsia="zh-CN"/>
        </w:rPr>
        <w:t>6</w:t>
      </w:r>
      <w:r>
        <w:fldChar w:fldCharType="end"/>
      </w:r>
    </w:p>
    <w:p>
      <w:pPr>
        <w:pStyle w:val="24"/>
        <w:tabs>
          <w:tab w:val="right" w:leader="dot" w:pos="9746"/>
        </w:tabs>
        <w:rPr>
          <w:rFonts w:hint="eastAsia" w:eastAsia="宋体"/>
          <w:sz w:val="28"/>
          <w:szCs w:val="28"/>
          <w:lang w:val="en-US" w:eastAsia="zh-CN"/>
        </w:rPr>
      </w:pPr>
      <w:r>
        <w:fldChar w:fldCharType="begin"/>
      </w:r>
      <w:r>
        <w:instrText xml:space="preserve"> HYPERLINK \l "_Toc18923_WPSOffice_Level1" </w:instrText>
      </w:r>
      <w:r>
        <w:fldChar w:fldCharType="separate"/>
      </w:r>
      <w:r>
        <w:rPr>
          <w:rFonts w:hint="eastAsia" w:ascii="Calibri" w:hAnsi="Calibri" w:eastAsia="宋体" w:cs="宋体"/>
          <w:b/>
          <w:bCs/>
          <w:sz w:val="28"/>
          <w:szCs w:val="28"/>
        </w:rPr>
        <w:t>第三部分</w:t>
      </w:r>
      <w:r>
        <w:rPr>
          <w:rFonts w:ascii="Calibri" w:hAnsi="Calibri" w:eastAsia="宋体" w:cs="宋体"/>
          <w:b/>
          <w:bCs/>
          <w:sz w:val="28"/>
          <w:szCs w:val="28"/>
        </w:rPr>
        <w:t xml:space="preserve">  </w:t>
      </w:r>
      <w:r>
        <w:rPr>
          <w:rFonts w:hint="eastAsia" w:ascii="Calibri" w:hAnsi="Calibri" w:eastAsia="宋体" w:cs="宋体"/>
          <w:b/>
          <w:bCs/>
          <w:sz w:val="28"/>
          <w:szCs w:val="28"/>
        </w:rPr>
        <w:t>技术参数要求</w:t>
      </w:r>
      <w:r>
        <w:rPr>
          <w:b/>
          <w:bCs/>
          <w:sz w:val="28"/>
          <w:szCs w:val="28"/>
        </w:rPr>
        <w:tab/>
      </w:r>
      <w:r>
        <w:rPr>
          <w:rFonts w:hint="eastAsia"/>
          <w:b/>
          <w:bCs/>
          <w:sz w:val="28"/>
          <w:szCs w:val="28"/>
          <w:lang w:val="en-US" w:eastAsia="zh-CN"/>
        </w:rPr>
        <w:t>2</w:t>
      </w:r>
      <w:r>
        <w:fldChar w:fldCharType="end"/>
      </w:r>
      <w:r>
        <w:rPr>
          <w:rFonts w:hint="eastAsia"/>
          <w:sz w:val="28"/>
          <w:szCs w:val="28"/>
          <w:lang w:val="en-US" w:eastAsia="zh-CN"/>
        </w:rPr>
        <w:t>4</w:t>
      </w:r>
    </w:p>
    <w:p>
      <w:pPr>
        <w:pStyle w:val="24"/>
        <w:tabs>
          <w:tab w:val="right" w:leader="dot" w:pos="9746"/>
        </w:tabs>
        <w:rPr>
          <w:rFonts w:hint="eastAsia" w:eastAsia="宋体"/>
          <w:sz w:val="28"/>
          <w:szCs w:val="28"/>
          <w:lang w:val="en-US" w:eastAsia="zh-CN"/>
        </w:rPr>
      </w:pPr>
      <w:r>
        <w:fldChar w:fldCharType="begin"/>
      </w:r>
      <w:r>
        <w:instrText xml:space="preserve"> HYPERLINK \l "_Toc23238_WPSOffice_Level1" </w:instrText>
      </w:r>
      <w:r>
        <w:fldChar w:fldCharType="separate"/>
      </w:r>
      <w:r>
        <w:rPr>
          <w:rFonts w:hint="eastAsia" w:ascii="Calibri" w:hAnsi="Calibri" w:eastAsia="宋体" w:cs="宋体"/>
          <w:b/>
          <w:bCs/>
          <w:sz w:val="28"/>
          <w:szCs w:val="28"/>
        </w:rPr>
        <w:t>第四部分</w:t>
      </w:r>
      <w:r>
        <w:rPr>
          <w:rFonts w:ascii="Calibri" w:hAnsi="Calibri" w:eastAsia="宋体" w:cs="宋体"/>
          <w:b/>
          <w:bCs/>
          <w:sz w:val="28"/>
          <w:szCs w:val="28"/>
        </w:rPr>
        <w:t xml:space="preserve">  </w:t>
      </w:r>
      <w:r>
        <w:rPr>
          <w:rFonts w:hint="eastAsia" w:ascii="Calibri" w:hAnsi="Calibri" w:eastAsia="宋体" w:cs="宋体"/>
          <w:b/>
          <w:bCs/>
          <w:sz w:val="28"/>
          <w:szCs w:val="28"/>
        </w:rPr>
        <w:t>投标文件格式</w:t>
      </w:r>
      <w:r>
        <w:rPr>
          <w:b/>
          <w:bCs/>
          <w:sz w:val="28"/>
          <w:szCs w:val="28"/>
        </w:rPr>
        <w:tab/>
      </w:r>
      <w:r>
        <w:rPr>
          <w:rFonts w:hint="eastAsia"/>
          <w:b/>
          <w:bCs/>
          <w:sz w:val="28"/>
          <w:szCs w:val="28"/>
          <w:lang w:val="en-US" w:eastAsia="zh-CN"/>
        </w:rPr>
        <w:t>3</w:t>
      </w:r>
      <w:r>
        <w:fldChar w:fldCharType="end"/>
      </w:r>
      <w:r>
        <w:rPr>
          <w:rFonts w:hint="eastAsia"/>
          <w:b/>
          <w:bCs/>
          <w:sz w:val="24"/>
          <w:szCs w:val="24"/>
          <w:lang w:val="en-US" w:eastAsia="zh-CN"/>
        </w:rPr>
        <w:t>7</w:t>
      </w:r>
    </w:p>
    <w:p>
      <w:pPr>
        <w:pStyle w:val="24"/>
        <w:tabs>
          <w:tab w:val="right" w:leader="dot" w:pos="9746"/>
        </w:tabs>
        <w:rPr>
          <w:rFonts w:hint="eastAsia" w:eastAsia="宋体"/>
          <w:sz w:val="28"/>
          <w:szCs w:val="28"/>
          <w:lang w:eastAsia="zh-CN"/>
        </w:rPr>
      </w:pPr>
      <w:r>
        <w:fldChar w:fldCharType="begin"/>
      </w:r>
      <w:r>
        <w:instrText xml:space="preserve"> HYPERLINK \l "_Toc2543_WPSOffice_Level1" </w:instrText>
      </w:r>
      <w:r>
        <w:fldChar w:fldCharType="separate"/>
      </w:r>
      <w:r>
        <w:rPr>
          <w:rFonts w:hint="eastAsia" w:ascii="Calibri" w:hAnsi="Calibri" w:eastAsia="宋体" w:cs="宋体"/>
          <w:b/>
          <w:bCs/>
          <w:sz w:val="28"/>
          <w:szCs w:val="28"/>
        </w:rPr>
        <w:t>第五部分</w:t>
      </w:r>
      <w:r>
        <w:rPr>
          <w:rFonts w:ascii="Calibri" w:hAnsi="Calibri" w:eastAsia="宋体" w:cs="宋体"/>
          <w:b/>
          <w:bCs/>
          <w:sz w:val="28"/>
          <w:szCs w:val="28"/>
        </w:rPr>
        <w:t xml:space="preserve">  </w:t>
      </w:r>
      <w:r>
        <w:rPr>
          <w:rFonts w:hint="eastAsia" w:ascii="Calibri" w:hAnsi="Calibri" w:eastAsia="宋体" w:cs="宋体"/>
          <w:b/>
          <w:bCs/>
          <w:sz w:val="28"/>
          <w:szCs w:val="28"/>
        </w:rPr>
        <w:t>合同文件</w:t>
      </w:r>
      <w:r>
        <w:rPr>
          <w:b/>
          <w:bCs/>
          <w:sz w:val="28"/>
          <w:szCs w:val="28"/>
        </w:rPr>
        <w:tab/>
      </w:r>
      <w:r>
        <w:rPr>
          <w:rFonts w:hint="eastAsia"/>
          <w:b/>
          <w:bCs/>
          <w:sz w:val="28"/>
          <w:szCs w:val="28"/>
          <w:lang w:val="en-US" w:eastAsia="zh-CN"/>
        </w:rPr>
        <w:t>6</w:t>
      </w:r>
      <w:r>
        <w:fldChar w:fldCharType="end"/>
      </w:r>
      <w:r>
        <w:rPr>
          <w:rFonts w:hint="eastAsia"/>
          <w:b/>
          <w:bCs/>
          <w:sz w:val="28"/>
          <w:szCs w:val="28"/>
          <w:lang w:val="en-US" w:eastAsia="zh-CN"/>
        </w:rPr>
        <w:t>3</w:t>
      </w:r>
    </w:p>
    <w:p>
      <w:pPr>
        <w:pStyle w:val="24"/>
        <w:tabs>
          <w:tab w:val="right" w:leader="dot" w:pos="9746"/>
        </w:tabs>
        <w:rPr>
          <w:rFonts w:hint="eastAsia" w:eastAsia="宋体"/>
          <w:lang w:eastAsia="zh-CN"/>
        </w:rPr>
      </w:pPr>
      <w:r>
        <w:fldChar w:fldCharType="begin"/>
      </w:r>
      <w:r>
        <w:instrText xml:space="preserve"> HYPERLINK \l "_Toc28218_WPSOffice_Level1" </w:instrText>
      </w:r>
      <w:r>
        <w:fldChar w:fldCharType="separate"/>
      </w:r>
      <w:r>
        <w:rPr>
          <w:rFonts w:hint="eastAsia" w:ascii="Calibri" w:hAnsi="Calibri" w:eastAsia="宋体" w:cs="宋体"/>
          <w:b/>
          <w:bCs/>
          <w:sz w:val="28"/>
          <w:szCs w:val="28"/>
        </w:rPr>
        <w:t>第六部分</w:t>
      </w:r>
      <w:r>
        <w:rPr>
          <w:rFonts w:ascii="Calibri" w:hAnsi="Calibri" w:eastAsia="宋体" w:cs="宋体"/>
          <w:b/>
          <w:bCs/>
          <w:sz w:val="28"/>
          <w:szCs w:val="28"/>
        </w:rPr>
        <w:t xml:space="preserve">  </w:t>
      </w:r>
      <w:r>
        <w:rPr>
          <w:rFonts w:hint="eastAsia" w:ascii="Calibri" w:hAnsi="Calibri" w:eastAsia="宋体" w:cs="宋体"/>
          <w:b/>
          <w:bCs/>
          <w:sz w:val="28"/>
          <w:szCs w:val="28"/>
        </w:rPr>
        <w:t>评标办法</w:t>
      </w:r>
      <w:r>
        <w:rPr>
          <w:b/>
          <w:bCs/>
          <w:sz w:val="28"/>
          <w:szCs w:val="28"/>
        </w:rPr>
        <w:tab/>
      </w:r>
      <w:r>
        <w:rPr>
          <w:rFonts w:hint="eastAsia"/>
          <w:b/>
          <w:bCs/>
          <w:sz w:val="28"/>
          <w:szCs w:val="28"/>
          <w:lang w:val="en-US" w:eastAsia="zh-CN"/>
        </w:rPr>
        <w:t>6</w:t>
      </w:r>
      <w:r>
        <w:fldChar w:fldCharType="end"/>
      </w:r>
      <w:r>
        <w:rPr>
          <w:rFonts w:hint="eastAsia"/>
          <w:b/>
          <w:bCs/>
          <w:sz w:val="28"/>
          <w:szCs w:val="28"/>
          <w:lang w:val="en-US" w:eastAsia="zh-CN"/>
        </w:rPr>
        <w:t>9</w:t>
      </w:r>
    </w:p>
    <w:p>
      <w:pPr>
        <w:rPr>
          <w:rFonts w:ascii="宋体"/>
          <w:sz w:val="30"/>
          <w:szCs w:val="30"/>
        </w:rPr>
      </w:pPr>
    </w:p>
    <w:bookmarkEnd w:id="0"/>
    <w:p>
      <w:pPr>
        <w:rPr>
          <w:rFonts w:ascii="宋体"/>
          <w:sz w:val="30"/>
          <w:szCs w:val="30"/>
        </w:rPr>
      </w:pPr>
    </w:p>
    <w:p>
      <w:pPr>
        <w:rPr>
          <w:rFonts w:ascii="宋体"/>
          <w:sz w:val="30"/>
          <w:szCs w:val="30"/>
        </w:rPr>
      </w:pPr>
    </w:p>
    <w:p>
      <w:pPr>
        <w:rPr>
          <w:rFonts w:ascii="宋体"/>
          <w:sz w:val="30"/>
          <w:szCs w:val="30"/>
        </w:rPr>
      </w:pPr>
    </w:p>
    <w:p>
      <w:pPr>
        <w:pStyle w:val="3"/>
        <w:jc w:val="center"/>
      </w:pPr>
      <w:bookmarkStart w:id="1" w:name="_Toc14896"/>
    </w:p>
    <w:p/>
    <w:p/>
    <w:p/>
    <w:p/>
    <w:p/>
    <w:p/>
    <w:p/>
    <w:p/>
    <w:p/>
    <w:p/>
    <w:p/>
    <w:p/>
    <w:p/>
    <w:p/>
    <w:p/>
    <w:p/>
    <w:p>
      <w:pPr>
        <w:sectPr>
          <w:headerReference r:id="rId3" w:type="default"/>
          <w:footerReference r:id="rId4" w:type="default"/>
          <w:pgSz w:w="11906" w:h="16838"/>
          <w:pgMar w:top="1440" w:right="1080" w:bottom="1440" w:left="1080" w:header="851" w:footer="680" w:gutter="0"/>
          <w:pgNumType w:start="1"/>
          <w:cols w:space="720" w:num="1"/>
          <w:titlePg/>
          <w:docGrid w:type="lines" w:linePitch="312" w:charSpace="0"/>
        </w:sectPr>
      </w:pPr>
    </w:p>
    <w:p>
      <w:pPr>
        <w:pStyle w:val="2"/>
      </w:pPr>
    </w:p>
    <w:p/>
    <w:p/>
    <w:p/>
    <w:p/>
    <w:p/>
    <w:p/>
    <w:p/>
    <w:p/>
    <w:p/>
    <w:p/>
    <w:p/>
    <w:p/>
    <w:p>
      <w:pPr>
        <w:pStyle w:val="3"/>
        <w:jc w:val="center"/>
        <w:rPr>
          <w:rFonts w:hint="eastAsia"/>
        </w:rPr>
      </w:pPr>
      <w:bookmarkStart w:id="2" w:name="_Toc425_WPSOffice_Level1"/>
    </w:p>
    <w:p>
      <w:pPr>
        <w:pStyle w:val="3"/>
        <w:jc w:val="center"/>
      </w:pPr>
      <w:r>
        <w:rPr>
          <w:rFonts w:hint="eastAsia"/>
        </w:rPr>
        <w:t>第一部分</w:t>
      </w:r>
      <w:r>
        <w:t xml:space="preserve">  </w:t>
      </w:r>
      <w:r>
        <w:rPr>
          <w:rFonts w:hint="eastAsia"/>
        </w:rPr>
        <w:t>公开招标公告</w:t>
      </w:r>
      <w:bookmarkEnd w:id="1"/>
      <w:bookmarkEnd w:id="2"/>
    </w:p>
    <w:p>
      <w:pPr>
        <w:ind w:firstLine="883" w:firstLineChars="200"/>
        <w:jc w:val="center"/>
        <w:rPr>
          <w:rFonts w:ascii="宋体"/>
          <w:b/>
          <w:sz w:val="44"/>
          <w:szCs w:val="44"/>
        </w:rPr>
      </w:pPr>
    </w:p>
    <w:p>
      <w:pPr>
        <w:ind w:firstLine="883" w:firstLineChars="200"/>
        <w:jc w:val="center"/>
        <w:rPr>
          <w:rFonts w:ascii="宋体"/>
          <w:b/>
          <w:sz w:val="44"/>
          <w:szCs w:val="44"/>
        </w:rPr>
      </w:pPr>
    </w:p>
    <w:p>
      <w:pPr>
        <w:ind w:firstLine="883" w:firstLineChars="200"/>
        <w:rPr>
          <w:rFonts w:ascii="宋体"/>
          <w:b/>
          <w:sz w:val="44"/>
          <w:szCs w:val="44"/>
        </w:rPr>
      </w:pPr>
    </w:p>
    <w:p>
      <w:pPr>
        <w:ind w:firstLine="883" w:firstLineChars="200"/>
        <w:jc w:val="center"/>
        <w:rPr>
          <w:rFonts w:ascii="宋体"/>
          <w:b/>
          <w:sz w:val="44"/>
          <w:szCs w:val="44"/>
        </w:rPr>
      </w:pPr>
    </w:p>
    <w:p>
      <w:pPr>
        <w:ind w:firstLine="883" w:firstLineChars="200"/>
        <w:jc w:val="center"/>
        <w:rPr>
          <w:rFonts w:ascii="宋体"/>
          <w:b/>
          <w:sz w:val="44"/>
          <w:szCs w:val="44"/>
        </w:rPr>
      </w:pPr>
    </w:p>
    <w:p>
      <w:pPr>
        <w:ind w:firstLine="883" w:firstLineChars="200"/>
        <w:jc w:val="center"/>
        <w:rPr>
          <w:rFonts w:ascii="宋体"/>
          <w:b/>
          <w:sz w:val="44"/>
          <w:szCs w:val="44"/>
        </w:rPr>
      </w:pPr>
    </w:p>
    <w:p>
      <w:pPr>
        <w:ind w:firstLine="883" w:firstLineChars="200"/>
        <w:jc w:val="center"/>
        <w:rPr>
          <w:rFonts w:ascii="宋体"/>
          <w:b/>
          <w:sz w:val="44"/>
          <w:szCs w:val="44"/>
        </w:rPr>
      </w:pPr>
    </w:p>
    <w:p>
      <w:pPr>
        <w:ind w:firstLine="883" w:firstLineChars="200"/>
        <w:jc w:val="center"/>
        <w:rPr>
          <w:rFonts w:ascii="宋体"/>
          <w:b/>
          <w:sz w:val="44"/>
          <w:szCs w:val="44"/>
        </w:rPr>
      </w:pPr>
    </w:p>
    <w:p>
      <w:pPr>
        <w:spacing w:line="560" w:lineRule="exact"/>
        <w:rPr>
          <w:rFonts w:ascii="宋体" w:hAnsi="宋体" w:eastAsia="宋体" w:cs="宋体"/>
          <w:b/>
          <w:spacing w:val="8"/>
          <w:sz w:val="30"/>
          <w:szCs w:val="30"/>
        </w:rPr>
      </w:pPr>
    </w:p>
    <w:p>
      <w:pPr>
        <w:pStyle w:val="3"/>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jc w:val="center"/>
        <w:textAlignment w:val="auto"/>
        <w:rPr>
          <w:rFonts w:hint="eastAsia"/>
          <w:sz w:val="36"/>
          <w:szCs w:val="36"/>
        </w:rPr>
      </w:pPr>
    </w:p>
    <w:p>
      <w:pPr>
        <w:pStyle w:val="3"/>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jc w:val="center"/>
        <w:textAlignment w:val="auto"/>
        <w:rPr>
          <w:rFonts w:hint="eastAsia"/>
          <w:sz w:val="36"/>
          <w:szCs w:val="36"/>
        </w:rPr>
      </w:pPr>
    </w:p>
    <w:p>
      <w:pPr>
        <w:pStyle w:val="3"/>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jc w:val="center"/>
        <w:textAlignment w:val="auto"/>
        <w:rPr>
          <w:rFonts w:hint="eastAsia"/>
          <w:sz w:val="36"/>
          <w:szCs w:val="36"/>
        </w:rPr>
      </w:pPr>
    </w:p>
    <w:p>
      <w:pPr>
        <w:pStyle w:val="3"/>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jc w:val="center"/>
        <w:textAlignment w:val="auto"/>
        <w:rPr>
          <w:rFonts w:hint="eastAsia"/>
          <w:sz w:val="36"/>
          <w:szCs w:val="36"/>
          <w:lang w:eastAsia="zh-CN"/>
        </w:rPr>
      </w:pPr>
      <w:r>
        <w:rPr>
          <w:rFonts w:hint="eastAsia"/>
          <w:sz w:val="36"/>
          <w:szCs w:val="36"/>
        </w:rPr>
        <w:t>民乐县人民法院数据机房</w:t>
      </w:r>
      <w:r>
        <w:rPr>
          <w:rFonts w:hint="eastAsia"/>
          <w:sz w:val="36"/>
          <w:szCs w:val="36"/>
          <w:lang w:eastAsia="zh-CN"/>
        </w:rPr>
        <w:t>及办公楼安防监控改造项目</w:t>
      </w:r>
    </w:p>
    <w:p>
      <w:pPr>
        <w:pStyle w:val="3"/>
        <w:keepNext w:val="0"/>
        <w:keepLines w:val="0"/>
        <w:pageBreakBefore w:val="0"/>
        <w:widowControl w:val="0"/>
        <w:kinsoku/>
        <w:wordWrap/>
        <w:overflowPunct/>
        <w:topLinePunct w:val="0"/>
        <w:autoSpaceDE w:val="0"/>
        <w:autoSpaceDN w:val="0"/>
        <w:bidi w:val="0"/>
        <w:adjustRightInd/>
        <w:snapToGrid/>
        <w:spacing w:before="0" w:after="0" w:line="500" w:lineRule="exact"/>
        <w:ind w:left="0" w:right="0"/>
        <w:jc w:val="center"/>
        <w:textAlignment w:val="auto"/>
        <w:rPr>
          <w:sz w:val="36"/>
          <w:szCs w:val="36"/>
        </w:rPr>
      </w:pPr>
      <w:r>
        <w:rPr>
          <w:rFonts w:hint="eastAsia"/>
          <w:sz w:val="36"/>
          <w:szCs w:val="36"/>
          <w:lang w:eastAsia="zh-CN"/>
        </w:rPr>
        <w:t>公开招标</w:t>
      </w:r>
      <w:r>
        <w:rPr>
          <w:sz w:val="36"/>
          <w:szCs w:val="36"/>
        </w:rPr>
        <w:t>公告</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jc w:val="center"/>
        <w:textAlignment w:val="auto"/>
        <w:rPr>
          <w:rFonts w:hint="default" w:ascii="Calibri" w:eastAsia="宋体"/>
          <w:sz w:val="30"/>
          <w:lang w:val="en-US" w:eastAsia="zh-CN"/>
        </w:rPr>
      </w:pPr>
      <w:r>
        <w:t>交易编号：</w:t>
      </w:r>
      <w:r>
        <w:rPr>
          <w:rFonts w:hint="eastAsia"/>
          <w:lang w:val="en-US" w:eastAsia="zh-CN"/>
        </w:rPr>
        <w:t>MLZC1911-106</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480"/>
        <w:textAlignment w:val="auto"/>
      </w:pPr>
      <w:r>
        <w:rPr>
          <w:rFonts w:hint="eastAsia"/>
          <w:spacing w:val="-5"/>
          <w:lang w:eastAsia="zh-CN"/>
        </w:rPr>
        <w:t>甘肃金盛招标代理有限公司</w:t>
      </w:r>
      <w:r>
        <w:rPr>
          <w:spacing w:val="-5"/>
        </w:rPr>
        <w:t>受民乐县</w:t>
      </w:r>
      <w:r>
        <w:rPr>
          <w:rFonts w:hint="eastAsia"/>
          <w:spacing w:val="-5"/>
          <w:lang w:eastAsia="zh-CN"/>
        </w:rPr>
        <w:t>人民法院</w:t>
      </w:r>
      <w:r>
        <w:rPr>
          <w:spacing w:val="-5"/>
        </w:rPr>
        <w:t>的委托，对</w:t>
      </w:r>
      <w:r>
        <w:rPr>
          <w:rFonts w:hint="eastAsia"/>
        </w:rPr>
        <w:t>民乐县人民法院数据机房</w:t>
      </w:r>
      <w:r>
        <w:rPr>
          <w:rFonts w:hint="eastAsia"/>
          <w:lang w:eastAsia="zh-CN"/>
        </w:rPr>
        <w:t>及办公楼安防监控改造项目</w:t>
      </w:r>
      <w:r>
        <w:t>以</w:t>
      </w:r>
      <w:r>
        <w:rPr>
          <w:rFonts w:hint="eastAsia"/>
          <w:lang w:eastAsia="zh-CN"/>
        </w:rPr>
        <w:t>公开招标</w:t>
      </w:r>
      <w:r>
        <w:t>的方式进行采购，欢迎符合资格条件的供应商前来参加。</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00" w:lineRule="exact"/>
        <w:ind w:right="0" w:rightChars="0"/>
        <w:textAlignment w:val="auto"/>
      </w:pPr>
      <w:r>
        <w:rPr>
          <w:rFonts w:hint="eastAsia"/>
          <w:b/>
          <w:bCs/>
          <w:sz w:val="24"/>
          <w:szCs w:val="24"/>
          <w:lang w:eastAsia="zh-CN"/>
        </w:rPr>
        <w:t>一、采购</w:t>
      </w:r>
      <w:r>
        <w:rPr>
          <w:b/>
          <w:bCs/>
          <w:sz w:val="24"/>
          <w:szCs w:val="24"/>
        </w:rPr>
        <w:t>内容</w:t>
      </w:r>
      <w:r>
        <w:t>：</w:t>
      </w:r>
      <w:r>
        <w:rPr>
          <w:rFonts w:hint="eastAsia"/>
        </w:rPr>
        <w:t>民乐县人民法院数据机房</w:t>
      </w:r>
      <w:r>
        <w:rPr>
          <w:rFonts w:hint="eastAsia"/>
          <w:lang w:eastAsia="zh-CN"/>
        </w:rPr>
        <w:t>及办公楼安防监控改造</w:t>
      </w:r>
      <w:r>
        <w:t>（具体要求详见</w:t>
      </w:r>
      <w:r>
        <w:rPr>
          <w:rFonts w:hint="eastAsia"/>
          <w:lang w:eastAsia="zh-CN"/>
        </w:rPr>
        <w:t>招标</w:t>
      </w:r>
      <w:r>
        <w:t xml:space="preserve">文件） </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00" w:lineRule="exact"/>
        <w:ind w:leftChars="0" w:right="0" w:rightChars="0"/>
        <w:textAlignment w:val="auto"/>
      </w:pPr>
      <w:r>
        <w:rPr>
          <w:rFonts w:hint="eastAsia"/>
          <w:b/>
          <w:bCs/>
          <w:lang w:eastAsia="zh-CN"/>
        </w:rPr>
        <w:t>二</w:t>
      </w:r>
      <w:r>
        <w:rPr>
          <w:rFonts w:hint="eastAsia"/>
          <w:b w:val="0"/>
          <w:bCs w:val="0"/>
          <w:lang w:eastAsia="zh-CN"/>
        </w:rPr>
        <w:t>、</w:t>
      </w:r>
      <w:r>
        <w:rPr>
          <w:rFonts w:hint="eastAsia"/>
          <w:b/>
          <w:bCs/>
          <w:lang w:eastAsia="zh-CN"/>
        </w:rPr>
        <w:t>预算金额</w:t>
      </w:r>
      <w:r>
        <w:t>：</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30" w:lineRule="exact"/>
        <w:ind w:leftChars="0" w:right="0" w:rightChars="0"/>
        <w:textAlignment w:val="auto"/>
        <w:rPr>
          <w:rFonts w:hint="eastAsia"/>
          <w:b/>
          <w:bCs/>
          <w:lang w:eastAsia="zh-CN"/>
        </w:rPr>
      </w:pPr>
      <w:r>
        <w:rPr>
          <w:rFonts w:hint="eastAsia"/>
          <w:b/>
          <w:bCs/>
          <w:lang w:val="en-US" w:eastAsia="zh-CN"/>
        </w:rPr>
        <w:t>大写：</w:t>
      </w:r>
      <w:r>
        <w:rPr>
          <w:rFonts w:hint="eastAsia"/>
          <w:b w:val="0"/>
          <w:bCs w:val="0"/>
          <w:lang w:val="en-US" w:eastAsia="zh-CN"/>
        </w:rPr>
        <w:t>壹佰万元整（</w:t>
      </w:r>
      <w:r>
        <w:rPr>
          <w:rFonts w:hint="default" w:ascii="Arial" w:hAnsi="Arial" w:cs="Arial"/>
          <w:b w:val="0"/>
          <w:bCs w:val="0"/>
          <w:lang w:val="en-US" w:eastAsia="zh-CN"/>
        </w:rPr>
        <w:t>¥</w:t>
      </w:r>
      <w:r>
        <w:rPr>
          <w:rFonts w:hint="eastAsia"/>
          <w:b w:val="0"/>
          <w:bCs w:val="0"/>
          <w:lang w:val="en-US" w:eastAsia="zh-CN"/>
        </w:rPr>
        <w:t>1000000.00）</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00" w:lineRule="exact"/>
        <w:ind w:leftChars="0" w:right="0" w:rightChars="0"/>
        <w:textAlignment w:val="auto"/>
      </w:pPr>
      <w:r>
        <w:rPr>
          <w:rFonts w:hint="eastAsia"/>
          <w:b/>
          <w:bCs/>
          <w:lang w:eastAsia="zh-CN"/>
        </w:rPr>
        <w:t>三、</w:t>
      </w:r>
      <w:r>
        <w:rPr>
          <w:b/>
          <w:bCs/>
        </w:rPr>
        <w:t>评标方法</w:t>
      </w:r>
      <w:r>
        <w:t>：综合评分法。</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00" w:lineRule="exact"/>
        <w:ind w:leftChars="0" w:right="0" w:rightChars="0"/>
        <w:textAlignment w:val="auto"/>
      </w:pPr>
      <w:r>
        <w:rPr>
          <w:b/>
          <w:bCs/>
        </w:rPr>
        <w:t>四</w:t>
      </w:r>
      <w:r>
        <w:t>、</w:t>
      </w:r>
      <w:r>
        <w:rPr>
          <w:b/>
          <w:bCs/>
        </w:rPr>
        <w:t>供应商资格要求：</w:t>
      </w:r>
    </w:p>
    <w:p>
      <w:pPr>
        <w:pStyle w:val="29"/>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line="500" w:lineRule="exact"/>
        <w:ind w:right="0" w:rightChars="0" w:firstLine="480" w:firstLineChars="200"/>
        <w:jc w:val="left"/>
        <w:textAlignment w:val="auto"/>
        <w:rPr>
          <w:rFonts w:hint="eastAsia" w:ascii="Calibri" w:hAnsi="Calibri" w:eastAsia="宋体" w:cs="宋体"/>
          <w:color w:val="000000"/>
          <w:kern w:val="2"/>
          <w:sz w:val="24"/>
          <w:szCs w:val="24"/>
          <w:lang w:val="en-US" w:eastAsia="zh-CN" w:bidi="ar-SA"/>
        </w:rPr>
      </w:pPr>
      <w:r>
        <w:rPr>
          <w:rFonts w:hint="eastAsia" w:ascii="Calibri" w:hAnsi="Calibri" w:eastAsia="宋体" w:cs="宋体"/>
          <w:color w:val="000000"/>
          <w:kern w:val="2"/>
          <w:sz w:val="24"/>
          <w:szCs w:val="24"/>
          <w:lang w:val="en-US" w:eastAsia="zh-CN" w:bidi="ar-SA"/>
        </w:rPr>
        <w:t>1.符合《中华人民共和国政府采购法》第二十二条规定；</w:t>
      </w:r>
    </w:p>
    <w:p>
      <w:pPr>
        <w:pStyle w:val="29"/>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line="500" w:lineRule="exact"/>
        <w:ind w:right="0" w:rightChars="0"/>
        <w:jc w:val="left"/>
        <w:textAlignment w:val="auto"/>
        <w:rPr>
          <w:rFonts w:hint="eastAsia" w:ascii="Calibri" w:hAnsi="Calibri" w:eastAsia="宋体" w:cs="宋体"/>
          <w:color w:val="000000"/>
          <w:kern w:val="2"/>
          <w:sz w:val="24"/>
          <w:szCs w:val="24"/>
          <w:lang w:val="en-US" w:eastAsia="zh-CN" w:bidi="ar-SA"/>
        </w:rPr>
      </w:pPr>
      <w:r>
        <w:rPr>
          <w:rFonts w:hint="eastAsia" w:ascii="Calibri" w:hAnsi="Calibri" w:eastAsia="宋体" w:cs="宋体"/>
          <w:color w:val="000000"/>
          <w:kern w:val="2"/>
          <w:sz w:val="24"/>
          <w:szCs w:val="24"/>
          <w:lang w:val="en-US" w:eastAsia="zh-CN" w:bidi="ar-SA"/>
        </w:rPr>
        <w:t>（1）具有独立承担民事责任的能力；</w:t>
      </w:r>
    </w:p>
    <w:p>
      <w:pPr>
        <w:pStyle w:val="29"/>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line="500" w:lineRule="exact"/>
        <w:ind w:right="0" w:rightChars="0"/>
        <w:jc w:val="left"/>
        <w:textAlignment w:val="auto"/>
        <w:rPr>
          <w:rFonts w:hint="eastAsia" w:ascii="Calibri" w:hAnsi="Calibri" w:eastAsia="宋体" w:cs="宋体"/>
          <w:color w:val="000000"/>
          <w:kern w:val="2"/>
          <w:sz w:val="24"/>
          <w:szCs w:val="24"/>
          <w:lang w:val="en-US" w:eastAsia="zh-CN" w:bidi="ar-SA"/>
        </w:rPr>
      </w:pPr>
      <w:r>
        <w:rPr>
          <w:rFonts w:hint="eastAsia" w:ascii="Calibri" w:hAnsi="Calibri" w:eastAsia="宋体" w:cs="宋体"/>
          <w:color w:val="000000"/>
          <w:kern w:val="2"/>
          <w:sz w:val="24"/>
          <w:szCs w:val="24"/>
          <w:lang w:val="en-US" w:eastAsia="zh-CN" w:bidi="ar-SA"/>
        </w:rPr>
        <w:t>（2）具有良好的商业信誉和健全的财务会计制度；</w:t>
      </w:r>
    </w:p>
    <w:p>
      <w:pPr>
        <w:pStyle w:val="29"/>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line="500" w:lineRule="exact"/>
        <w:ind w:right="0" w:rightChars="0"/>
        <w:jc w:val="left"/>
        <w:textAlignment w:val="auto"/>
        <w:rPr>
          <w:rFonts w:hint="eastAsia" w:ascii="Calibri" w:hAnsi="Calibri" w:eastAsia="宋体" w:cs="宋体"/>
          <w:color w:val="000000"/>
          <w:kern w:val="2"/>
          <w:sz w:val="24"/>
          <w:szCs w:val="24"/>
          <w:lang w:val="en-US" w:eastAsia="zh-CN" w:bidi="ar-SA"/>
        </w:rPr>
      </w:pPr>
      <w:r>
        <w:rPr>
          <w:rFonts w:hint="eastAsia" w:ascii="Calibri" w:hAnsi="Calibri" w:eastAsia="宋体" w:cs="宋体"/>
          <w:color w:val="000000"/>
          <w:kern w:val="2"/>
          <w:sz w:val="24"/>
          <w:szCs w:val="24"/>
          <w:lang w:val="en-US" w:eastAsia="zh-CN" w:bidi="ar-SA"/>
        </w:rPr>
        <w:t>（3）具有履行合同所必需的设备和专业技术能力；</w:t>
      </w:r>
    </w:p>
    <w:p>
      <w:pPr>
        <w:pStyle w:val="29"/>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line="500" w:lineRule="exact"/>
        <w:ind w:right="0" w:rightChars="0"/>
        <w:jc w:val="left"/>
        <w:textAlignment w:val="auto"/>
        <w:rPr>
          <w:rFonts w:hint="eastAsia" w:ascii="Calibri" w:hAnsi="Calibri" w:eastAsia="宋体" w:cs="宋体"/>
          <w:color w:val="000000"/>
          <w:kern w:val="2"/>
          <w:sz w:val="24"/>
          <w:szCs w:val="24"/>
          <w:lang w:val="en-US" w:eastAsia="zh-CN" w:bidi="ar-SA"/>
        </w:rPr>
      </w:pPr>
      <w:r>
        <w:rPr>
          <w:rFonts w:hint="eastAsia" w:ascii="Calibri" w:hAnsi="Calibri" w:eastAsia="宋体" w:cs="宋体"/>
          <w:color w:val="000000"/>
          <w:kern w:val="2"/>
          <w:sz w:val="24"/>
          <w:szCs w:val="24"/>
          <w:lang w:val="en-US" w:eastAsia="zh-CN" w:bidi="ar-SA"/>
        </w:rPr>
        <w:t>（4）有依法缴纳税收和社会保障资金的良好记录；</w:t>
      </w:r>
    </w:p>
    <w:p>
      <w:pPr>
        <w:pStyle w:val="29"/>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line="500" w:lineRule="exact"/>
        <w:ind w:right="0" w:rightChars="0"/>
        <w:jc w:val="left"/>
        <w:textAlignment w:val="auto"/>
        <w:rPr>
          <w:rFonts w:hint="eastAsia" w:ascii="Calibri" w:hAnsi="Calibri" w:eastAsia="宋体" w:cs="宋体"/>
          <w:color w:val="000000"/>
          <w:kern w:val="2"/>
          <w:sz w:val="24"/>
          <w:szCs w:val="24"/>
          <w:lang w:val="en-US" w:eastAsia="zh-CN" w:bidi="ar-SA"/>
        </w:rPr>
      </w:pPr>
      <w:r>
        <w:rPr>
          <w:rFonts w:hint="eastAsia" w:ascii="Calibri" w:hAnsi="Calibri" w:eastAsia="宋体" w:cs="宋体"/>
          <w:color w:val="000000"/>
          <w:kern w:val="2"/>
          <w:sz w:val="24"/>
          <w:szCs w:val="24"/>
          <w:lang w:val="en-US" w:eastAsia="zh-CN" w:bidi="ar-SA"/>
        </w:rPr>
        <w:t>（5）参加政府采购活动前三年内，在经营活动中没有重大违法记录；</w:t>
      </w:r>
    </w:p>
    <w:p>
      <w:pPr>
        <w:pStyle w:val="29"/>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line="500" w:lineRule="exact"/>
        <w:ind w:right="0" w:rightChars="0"/>
        <w:jc w:val="left"/>
        <w:textAlignment w:val="auto"/>
        <w:rPr>
          <w:rFonts w:hint="eastAsia" w:ascii="Calibri" w:hAnsi="Calibri" w:eastAsia="宋体" w:cs="宋体"/>
          <w:color w:val="000000"/>
          <w:kern w:val="2"/>
          <w:sz w:val="24"/>
          <w:szCs w:val="24"/>
          <w:lang w:val="en-US" w:eastAsia="zh-CN" w:bidi="ar-SA"/>
        </w:rPr>
      </w:pPr>
      <w:r>
        <w:rPr>
          <w:rFonts w:hint="eastAsia" w:ascii="Calibri" w:hAnsi="Calibri" w:eastAsia="宋体" w:cs="宋体"/>
          <w:color w:val="000000"/>
          <w:kern w:val="2"/>
          <w:sz w:val="24"/>
          <w:szCs w:val="24"/>
          <w:lang w:val="en-US" w:eastAsia="zh-CN" w:bidi="ar-SA"/>
        </w:rPr>
        <w:t>（6）法律、行政法规规定的其他条件。</w:t>
      </w:r>
    </w:p>
    <w:p>
      <w:pPr>
        <w:pStyle w:val="29"/>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line="500" w:lineRule="exact"/>
        <w:ind w:right="0" w:rightChars="0" w:firstLine="480" w:firstLineChars="200"/>
        <w:jc w:val="left"/>
        <w:textAlignment w:val="auto"/>
        <w:rPr>
          <w:rFonts w:hint="eastAsia" w:ascii="Calibri" w:hAnsi="Calibri" w:eastAsia="宋体" w:cs="宋体"/>
          <w:color w:val="000000"/>
          <w:kern w:val="2"/>
          <w:sz w:val="24"/>
          <w:szCs w:val="24"/>
          <w:lang w:val="en-US" w:eastAsia="zh-CN" w:bidi="ar-SA"/>
        </w:rPr>
      </w:pPr>
      <w:r>
        <w:rPr>
          <w:rFonts w:hint="eastAsia" w:ascii="Calibri" w:hAnsi="Calibri" w:eastAsia="宋体" w:cs="宋体"/>
          <w:color w:val="000000"/>
          <w:kern w:val="2"/>
          <w:sz w:val="24"/>
          <w:szCs w:val="24"/>
          <w:lang w:val="en-US" w:eastAsia="zh-CN" w:bidi="ar-SA"/>
        </w:rPr>
        <w:t>2.提供合法有效含统一社会信用代码和二维码标识的法人营业执照副本复印将并加盖公章（营业执照二维码清晰可查）；</w:t>
      </w:r>
    </w:p>
    <w:p>
      <w:pPr>
        <w:pStyle w:val="29"/>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line="500" w:lineRule="exact"/>
        <w:ind w:left="0" w:right="0" w:rightChars="0" w:firstLine="480" w:firstLineChars="200"/>
        <w:jc w:val="left"/>
        <w:textAlignment w:val="auto"/>
        <w:rPr>
          <w:rFonts w:hint="eastAsia" w:ascii="Calibri" w:hAnsi="Calibri" w:eastAsia="宋体" w:cs="宋体"/>
          <w:color w:val="000000"/>
          <w:kern w:val="2"/>
          <w:sz w:val="24"/>
          <w:szCs w:val="24"/>
          <w:lang w:val="en-US" w:eastAsia="zh-CN" w:bidi="ar-SA"/>
        </w:rPr>
      </w:pPr>
      <w:r>
        <w:rPr>
          <w:rFonts w:hint="eastAsia" w:ascii="Calibri" w:hAnsi="Calibri" w:eastAsia="宋体" w:cs="宋体"/>
          <w:color w:val="000000"/>
          <w:kern w:val="2"/>
          <w:sz w:val="24"/>
          <w:szCs w:val="24"/>
          <w:lang w:val="en-US" w:eastAsia="zh-CN" w:bidi="ar-SA"/>
        </w:rPr>
        <w:t>3.参加投标的人员（被授权人）须提供近三个月内本企业为其缴纳社保的证明；</w:t>
      </w:r>
    </w:p>
    <w:p>
      <w:pPr>
        <w:pStyle w:val="29"/>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line="500" w:lineRule="exact"/>
        <w:ind w:left="0" w:right="0" w:rightChars="0" w:firstLine="480" w:firstLineChars="200"/>
        <w:jc w:val="left"/>
        <w:textAlignment w:val="auto"/>
        <w:rPr>
          <w:rFonts w:hint="eastAsia" w:ascii="Calibri" w:hAnsi="Calibri" w:eastAsia="宋体" w:cs="宋体"/>
          <w:color w:val="000000"/>
          <w:kern w:val="2"/>
          <w:sz w:val="24"/>
          <w:szCs w:val="24"/>
          <w:lang w:val="en-US" w:eastAsia="zh-CN" w:bidi="ar-SA"/>
        </w:rPr>
      </w:pPr>
      <w:r>
        <w:rPr>
          <w:rFonts w:hint="eastAsia" w:ascii="Calibri" w:hAnsi="Calibri" w:eastAsia="宋体" w:cs="宋体"/>
          <w:color w:val="000000"/>
          <w:kern w:val="2"/>
          <w:sz w:val="24"/>
          <w:szCs w:val="24"/>
          <w:lang w:val="en-US" w:eastAsia="zh-CN" w:bidi="ar-SA"/>
        </w:rPr>
        <w:t>4.供应商须具有本次投标报价服务的经营范围；</w:t>
      </w:r>
    </w:p>
    <w:p>
      <w:pPr>
        <w:pStyle w:val="29"/>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line="500" w:lineRule="exact"/>
        <w:ind w:leftChars="0" w:right="0" w:rightChars="0" w:firstLine="480" w:firstLineChars="200"/>
        <w:jc w:val="left"/>
        <w:textAlignment w:val="auto"/>
        <w:rPr>
          <w:rFonts w:hint="eastAsia" w:ascii="Calibri" w:hAnsi="Calibri" w:eastAsia="宋体" w:cs="宋体"/>
          <w:color w:val="000000"/>
          <w:kern w:val="2"/>
          <w:sz w:val="24"/>
          <w:szCs w:val="24"/>
          <w:lang w:val="en-US" w:eastAsia="zh-CN" w:bidi="ar-SA"/>
        </w:rPr>
      </w:pPr>
      <w:r>
        <w:rPr>
          <w:rFonts w:hint="eastAsia" w:ascii="Calibri" w:hAnsi="Calibri" w:eastAsia="宋体" w:cs="宋体"/>
          <w:color w:val="000000"/>
          <w:kern w:val="2"/>
          <w:sz w:val="24"/>
          <w:szCs w:val="24"/>
          <w:lang w:val="en-US" w:eastAsia="zh-CN" w:bidi="ar-SA"/>
        </w:rPr>
        <w:t>5.未被列入“信用中国”网(www.creditchina.gov.cn)记录失信被执行人或重大税收违法案件当事人名单或政府采购严重违法失信行为”记录名单、不处于中国政府采购网(</w:t>
      </w:r>
      <w:r>
        <w:rPr>
          <w:rFonts w:hint="eastAsia" w:ascii="Calibri" w:hAnsi="Calibri" w:eastAsia="宋体" w:cs="宋体"/>
          <w:color w:val="000000"/>
          <w:kern w:val="2"/>
          <w:sz w:val="24"/>
          <w:szCs w:val="24"/>
          <w:lang w:val="en-US" w:eastAsia="zh-CN" w:bidi="ar-SA"/>
        </w:rPr>
        <w:fldChar w:fldCharType="begin"/>
      </w:r>
      <w:r>
        <w:rPr>
          <w:rFonts w:hint="eastAsia" w:ascii="Calibri" w:hAnsi="Calibri" w:eastAsia="宋体" w:cs="宋体"/>
          <w:color w:val="000000"/>
          <w:kern w:val="2"/>
          <w:sz w:val="24"/>
          <w:szCs w:val="24"/>
          <w:lang w:val="en-US" w:eastAsia="zh-CN" w:bidi="ar-SA"/>
        </w:rPr>
        <w:instrText xml:space="preserve"> HYPERLINK "http://www.ccgp.gov.cn/" \h </w:instrText>
      </w:r>
      <w:r>
        <w:rPr>
          <w:rFonts w:hint="eastAsia" w:ascii="Calibri" w:hAnsi="Calibri" w:eastAsia="宋体" w:cs="宋体"/>
          <w:color w:val="000000"/>
          <w:kern w:val="2"/>
          <w:sz w:val="24"/>
          <w:szCs w:val="24"/>
          <w:lang w:val="en-US" w:eastAsia="zh-CN" w:bidi="ar-SA"/>
        </w:rPr>
        <w:fldChar w:fldCharType="separate"/>
      </w:r>
      <w:r>
        <w:rPr>
          <w:rFonts w:hint="eastAsia" w:ascii="Calibri" w:hAnsi="Calibri" w:eastAsia="宋体" w:cs="宋体"/>
          <w:color w:val="000000"/>
          <w:kern w:val="2"/>
          <w:sz w:val="24"/>
          <w:szCs w:val="24"/>
          <w:lang w:val="en-US" w:eastAsia="zh-CN" w:bidi="ar-SA"/>
        </w:rPr>
        <w:t>www.ccgp.gov.cn</w:t>
      </w:r>
      <w:r>
        <w:rPr>
          <w:rFonts w:hint="eastAsia" w:ascii="Calibri" w:hAnsi="Calibri" w:eastAsia="宋体" w:cs="宋体"/>
          <w:color w:val="000000"/>
          <w:kern w:val="2"/>
          <w:sz w:val="24"/>
          <w:szCs w:val="24"/>
          <w:lang w:val="en-US" w:eastAsia="zh-CN" w:bidi="ar-SA"/>
        </w:rPr>
        <w:fldChar w:fldCharType="end"/>
      </w:r>
      <w:r>
        <w:rPr>
          <w:rFonts w:hint="eastAsia" w:ascii="Calibri" w:hAnsi="Calibri" w:eastAsia="宋体" w:cs="宋体"/>
          <w:color w:val="000000"/>
          <w:kern w:val="2"/>
          <w:sz w:val="24"/>
          <w:szCs w:val="24"/>
          <w:lang w:val="en-US" w:eastAsia="zh-CN" w:bidi="ar-SA"/>
        </w:rPr>
        <w:t>)政府采购严重违法失信行为信息记录中的禁止参加政府采购活动期间、未被列入“信用甘肃”网站（</w:t>
      </w:r>
      <w:r>
        <w:rPr>
          <w:rFonts w:hint="eastAsia" w:ascii="Calibri" w:hAnsi="Calibri" w:eastAsia="宋体" w:cs="宋体"/>
          <w:color w:val="000000"/>
          <w:kern w:val="2"/>
          <w:sz w:val="24"/>
          <w:szCs w:val="24"/>
          <w:lang w:val="en-US" w:eastAsia="zh-CN" w:bidi="ar-SA"/>
        </w:rPr>
        <w:fldChar w:fldCharType="begin"/>
      </w:r>
      <w:r>
        <w:rPr>
          <w:rFonts w:hint="eastAsia" w:ascii="Calibri" w:hAnsi="Calibri" w:eastAsia="宋体" w:cs="宋体"/>
          <w:color w:val="000000"/>
          <w:kern w:val="2"/>
          <w:sz w:val="24"/>
          <w:szCs w:val="24"/>
          <w:lang w:val="en-US" w:eastAsia="zh-CN" w:bidi="ar-SA"/>
        </w:rPr>
        <w:instrText xml:space="preserve"> HYPERLINK "http://www.gscredit.gov.cn/" \h </w:instrText>
      </w:r>
      <w:r>
        <w:rPr>
          <w:rFonts w:hint="eastAsia" w:ascii="Calibri" w:hAnsi="Calibri" w:eastAsia="宋体" w:cs="宋体"/>
          <w:color w:val="000000"/>
          <w:kern w:val="2"/>
          <w:sz w:val="24"/>
          <w:szCs w:val="24"/>
          <w:lang w:val="en-US" w:eastAsia="zh-CN" w:bidi="ar-SA"/>
        </w:rPr>
        <w:fldChar w:fldCharType="separate"/>
      </w:r>
      <w:r>
        <w:rPr>
          <w:rFonts w:hint="eastAsia" w:ascii="Calibri" w:hAnsi="Calibri" w:eastAsia="宋体" w:cs="宋体"/>
          <w:color w:val="000000"/>
          <w:kern w:val="2"/>
          <w:sz w:val="24"/>
          <w:szCs w:val="24"/>
          <w:lang w:val="en-US" w:eastAsia="zh-CN" w:bidi="ar-SA"/>
        </w:rPr>
        <w:t>www.gscredit.gov.cn</w:t>
      </w:r>
      <w:r>
        <w:rPr>
          <w:rFonts w:hint="eastAsia" w:ascii="Calibri" w:hAnsi="Calibri" w:eastAsia="宋体" w:cs="宋体"/>
          <w:color w:val="000000"/>
          <w:kern w:val="2"/>
          <w:sz w:val="24"/>
          <w:szCs w:val="24"/>
          <w:lang w:val="en-US" w:eastAsia="zh-CN" w:bidi="ar-SA"/>
        </w:rPr>
        <w:fldChar w:fldCharType="end"/>
      </w:r>
      <w:r>
        <w:rPr>
          <w:rFonts w:hint="eastAsia" w:ascii="Calibri" w:hAnsi="Calibri" w:eastAsia="宋体" w:cs="宋体"/>
          <w:color w:val="000000"/>
          <w:kern w:val="2"/>
          <w:sz w:val="24"/>
          <w:szCs w:val="24"/>
          <w:lang w:val="en-US" w:eastAsia="zh-CN" w:bidi="ar-SA"/>
        </w:rPr>
        <w:t>）记录失信被执行人或财政性资金管理使用领域相关失信责任主体、统计领域严重失信企业及其有关人员等的方可参加本项目的投标。（以投标截止日 1-3 天在“信用中国”网站（</w:t>
      </w:r>
      <w:r>
        <w:rPr>
          <w:rFonts w:hint="eastAsia" w:ascii="Calibri" w:hAnsi="Calibri" w:eastAsia="宋体" w:cs="宋体"/>
          <w:color w:val="000000"/>
          <w:kern w:val="2"/>
          <w:sz w:val="24"/>
          <w:szCs w:val="24"/>
          <w:lang w:val="en-US" w:eastAsia="zh-CN" w:bidi="ar-SA"/>
        </w:rPr>
        <w:fldChar w:fldCharType="begin"/>
      </w:r>
      <w:r>
        <w:rPr>
          <w:rFonts w:hint="eastAsia" w:ascii="Calibri" w:hAnsi="Calibri" w:eastAsia="宋体" w:cs="宋体"/>
          <w:color w:val="000000"/>
          <w:kern w:val="2"/>
          <w:sz w:val="24"/>
          <w:szCs w:val="24"/>
          <w:lang w:val="en-US" w:eastAsia="zh-CN" w:bidi="ar-SA"/>
        </w:rPr>
        <w:instrText xml:space="preserve"> HYPERLINK "http://www.creditchina.gov.cn/" \h </w:instrText>
      </w:r>
      <w:r>
        <w:rPr>
          <w:rFonts w:hint="eastAsia" w:ascii="Calibri" w:hAnsi="Calibri" w:eastAsia="宋体" w:cs="宋体"/>
          <w:color w:val="000000"/>
          <w:kern w:val="2"/>
          <w:sz w:val="24"/>
          <w:szCs w:val="24"/>
          <w:lang w:val="en-US" w:eastAsia="zh-CN" w:bidi="ar-SA"/>
        </w:rPr>
        <w:fldChar w:fldCharType="separate"/>
      </w:r>
      <w:r>
        <w:rPr>
          <w:rFonts w:hint="eastAsia" w:ascii="Calibri" w:hAnsi="Calibri" w:eastAsia="宋体" w:cs="宋体"/>
          <w:color w:val="000000"/>
          <w:kern w:val="2"/>
          <w:sz w:val="24"/>
          <w:szCs w:val="24"/>
          <w:lang w:val="en-US" w:eastAsia="zh-CN" w:bidi="ar-SA"/>
        </w:rPr>
        <w:t>www.creditchina.gov.cn</w:t>
      </w:r>
      <w:r>
        <w:rPr>
          <w:rFonts w:hint="eastAsia" w:ascii="Calibri" w:hAnsi="Calibri" w:eastAsia="宋体" w:cs="宋体"/>
          <w:color w:val="000000"/>
          <w:kern w:val="2"/>
          <w:sz w:val="24"/>
          <w:szCs w:val="24"/>
          <w:lang w:val="en-US" w:eastAsia="zh-CN" w:bidi="ar-SA"/>
        </w:rPr>
        <w:fldChar w:fldCharType="end"/>
      </w:r>
      <w:r>
        <w:rPr>
          <w:rFonts w:hint="eastAsia" w:ascii="Calibri" w:hAnsi="Calibri" w:eastAsia="宋体" w:cs="宋体"/>
          <w:color w:val="000000"/>
          <w:kern w:val="2"/>
          <w:sz w:val="24"/>
          <w:szCs w:val="24"/>
          <w:lang w:val="en-US" w:eastAsia="zh-CN" w:bidi="ar-SA"/>
        </w:rPr>
        <w:t>）、中国政府采购网(</w:t>
      </w:r>
      <w:r>
        <w:rPr>
          <w:rFonts w:hint="eastAsia" w:ascii="Calibri" w:hAnsi="Calibri" w:eastAsia="宋体" w:cs="宋体"/>
          <w:color w:val="000000"/>
          <w:kern w:val="2"/>
          <w:sz w:val="24"/>
          <w:szCs w:val="24"/>
          <w:lang w:val="en-US" w:eastAsia="zh-CN" w:bidi="ar-SA"/>
        </w:rPr>
        <w:fldChar w:fldCharType="begin"/>
      </w:r>
      <w:r>
        <w:rPr>
          <w:rFonts w:hint="eastAsia" w:ascii="Calibri" w:hAnsi="Calibri" w:eastAsia="宋体" w:cs="宋体"/>
          <w:color w:val="000000"/>
          <w:kern w:val="2"/>
          <w:sz w:val="24"/>
          <w:szCs w:val="24"/>
          <w:lang w:val="en-US" w:eastAsia="zh-CN" w:bidi="ar-SA"/>
        </w:rPr>
        <w:instrText xml:space="preserve"> HYPERLINK "http://www.ccgp.gov.cn/" \h </w:instrText>
      </w:r>
      <w:r>
        <w:rPr>
          <w:rFonts w:hint="eastAsia" w:ascii="Calibri" w:hAnsi="Calibri" w:eastAsia="宋体" w:cs="宋体"/>
          <w:color w:val="000000"/>
          <w:kern w:val="2"/>
          <w:sz w:val="24"/>
          <w:szCs w:val="24"/>
          <w:lang w:val="en-US" w:eastAsia="zh-CN" w:bidi="ar-SA"/>
        </w:rPr>
        <w:fldChar w:fldCharType="separate"/>
      </w:r>
      <w:r>
        <w:rPr>
          <w:rFonts w:hint="eastAsia" w:ascii="Calibri" w:hAnsi="Calibri" w:eastAsia="宋体" w:cs="宋体"/>
          <w:color w:val="000000"/>
          <w:kern w:val="2"/>
          <w:sz w:val="24"/>
          <w:szCs w:val="24"/>
          <w:lang w:val="en-US" w:eastAsia="zh-CN" w:bidi="ar-SA"/>
        </w:rPr>
        <w:t>www.ccgp.gov.cn</w:t>
      </w:r>
      <w:r>
        <w:rPr>
          <w:rFonts w:hint="eastAsia" w:ascii="Calibri" w:hAnsi="Calibri" w:eastAsia="宋体" w:cs="宋体"/>
          <w:color w:val="000000"/>
          <w:kern w:val="2"/>
          <w:sz w:val="24"/>
          <w:szCs w:val="24"/>
          <w:lang w:val="en-US" w:eastAsia="zh-CN" w:bidi="ar-SA"/>
        </w:rPr>
        <w:fldChar w:fldCharType="end"/>
      </w:r>
      <w:r>
        <w:rPr>
          <w:rFonts w:hint="eastAsia" w:ascii="Calibri" w:hAnsi="Calibri" w:eastAsia="宋体" w:cs="宋体"/>
          <w:color w:val="000000"/>
          <w:kern w:val="2"/>
          <w:sz w:val="24"/>
          <w:szCs w:val="24"/>
          <w:lang w:val="en-US" w:eastAsia="zh-CN" w:bidi="ar-SA"/>
        </w:rPr>
        <w:t>)及“信用甘肃” 网（</w:t>
      </w:r>
      <w:r>
        <w:rPr>
          <w:rFonts w:hint="eastAsia" w:ascii="Calibri" w:hAnsi="Calibri" w:eastAsia="宋体" w:cs="宋体"/>
          <w:color w:val="000000"/>
          <w:kern w:val="2"/>
          <w:sz w:val="24"/>
          <w:szCs w:val="24"/>
          <w:lang w:val="en-US" w:eastAsia="zh-CN" w:bidi="ar-SA"/>
        </w:rPr>
        <w:fldChar w:fldCharType="begin"/>
      </w:r>
      <w:r>
        <w:rPr>
          <w:rFonts w:hint="eastAsia" w:ascii="Calibri" w:hAnsi="Calibri" w:eastAsia="宋体" w:cs="宋体"/>
          <w:color w:val="000000"/>
          <w:kern w:val="2"/>
          <w:sz w:val="24"/>
          <w:szCs w:val="24"/>
          <w:lang w:val="en-US" w:eastAsia="zh-CN" w:bidi="ar-SA"/>
        </w:rPr>
        <w:instrText xml:space="preserve"> HYPERLINK "http://www.gscredit.gov.cn/" \h </w:instrText>
      </w:r>
      <w:r>
        <w:rPr>
          <w:rFonts w:hint="eastAsia" w:ascii="Calibri" w:hAnsi="Calibri" w:eastAsia="宋体" w:cs="宋体"/>
          <w:color w:val="000000"/>
          <w:kern w:val="2"/>
          <w:sz w:val="24"/>
          <w:szCs w:val="24"/>
          <w:lang w:val="en-US" w:eastAsia="zh-CN" w:bidi="ar-SA"/>
        </w:rPr>
        <w:fldChar w:fldCharType="separate"/>
      </w:r>
      <w:r>
        <w:rPr>
          <w:rFonts w:hint="eastAsia" w:ascii="Calibri" w:hAnsi="Calibri" w:eastAsia="宋体" w:cs="宋体"/>
          <w:color w:val="000000"/>
          <w:kern w:val="2"/>
          <w:sz w:val="24"/>
          <w:szCs w:val="24"/>
          <w:lang w:val="en-US" w:eastAsia="zh-CN" w:bidi="ar-SA"/>
        </w:rPr>
        <w:t>www.gscredit.gov.cn</w:t>
      </w:r>
      <w:r>
        <w:rPr>
          <w:rFonts w:hint="eastAsia" w:ascii="Calibri" w:hAnsi="Calibri" w:eastAsia="宋体" w:cs="宋体"/>
          <w:color w:val="000000"/>
          <w:kern w:val="2"/>
          <w:sz w:val="24"/>
          <w:szCs w:val="24"/>
          <w:lang w:val="en-US" w:eastAsia="zh-CN" w:bidi="ar-SA"/>
        </w:rPr>
        <w:fldChar w:fldCharType="end"/>
      </w:r>
      <w:r>
        <w:rPr>
          <w:rFonts w:hint="eastAsia" w:ascii="Calibri" w:hAnsi="Calibri" w:eastAsia="宋体" w:cs="宋体"/>
          <w:color w:val="000000"/>
          <w:kern w:val="2"/>
          <w:sz w:val="24"/>
          <w:szCs w:val="24"/>
          <w:lang w:val="en-US" w:eastAsia="zh-CN" w:bidi="ar-SA"/>
        </w:rPr>
        <w:t>）查询结果为准，如相关失信记录已失效，投标人需提供相关证明资料）,供应商提供以上查询记录最终由资格审查小组对各供应商信用记录进行甄别。</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right="0" w:firstLine="480" w:firstLineChars="200"/>
        <w:textAlignment w:val="auto"/>
      </w:pPr>
      <w:r>
        <w:rPr>
          <w:rFonts w:hint="eastAsia"/>
          <w:sz w:val="24"/>
          <w:lang w:val="en-US" w:eastAsia="zh-CN"/>
        </w:rPr>
        <w:t>6.</w:t>
      </w:r>
      <w:r>
        <w:rPr>
          <w:sz w:val="24"/>
        </w:rPr>
        <w:t>本项目不接受联合体投标；</w:t>
      </w:r>
      <w:r>
        <w:rPr>
          <w:spacing w:val="-16"/>
        </w:rPr>
        <w:t>特别强调：各投标商在开标时，请携带投标文件中规定的资质证件的原件供评委会查验，否则，</w:t>
      </w:r>
      <w:r>
        <w:t>视为无效投标。</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b/>
          <w:bCs/>
        </w:rPr>
        <w:t>五、</w:t>
      </w:r>
      <w:r>
        <w:rPr>
          <w:rFonts w:hint="eastAsia" w:asciiTheme="majorEastAsia" w:hAnsiTheme="majorEastAsia" w:eastAsiaTheme="majorEastAsia" w:cstheme="majorEastAsia"/>
          <w:b/>
          <w:bCs/>
          <w:color w:val="000000" w:themeColor="text1"/>
          <w:sz w:val="24"/>
          <w:szCs w:val="24"/>
          <w14:textFill>
            <w14:solidFill>
              <w14:schemeClr w14:val="tx1"/>
            </w14:solidFill>
          </w14:textFill>
        </w:rPr>
        <w:t>项目需要落实的政府采购政策</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1</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根据财政部发布的《政府采购促进中小企业发展暂行办法》规定，本项目对小型和微型企业产品的价格给予6%的扣除。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2</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根据财政部发布的《关于政府采购支持监狱企业发展有关问题的通知》规定，本项目对监狱企业产品的价格给予6%的扣除。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3</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根据财政部、民政部、中国残疾人联合会发布的《关于促进残疾人就业政府采购政策的通知》规定，本项目对残疾人福利性单位产品的价格给予6%的扣除。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4.须满足《政府采购目录清单》。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5.</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根据财政部</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生态环境部、国家发展改革委“节能产品政府采购清单”规定，具备环保清单所列产品为政府优先采购产品。对于同时列入环保清单和节能产品政府采购清单的产品，应当优先于只列入其中一个清单的产品。</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lang w:eastAsia="zh-CN"/>
          <w14:textFill>
            <w14:solidFill>
              <w14:schemeClr w14:val="tx1"/>
            </w14:solidFill>
          </w14:textFill>
        </w:rPr>
        <w:t>六、</w:t>
      </w:r>
      <w:r>
        <w:rPr>
          <w:rFonts w:hint="eastAsia" w:asciiTheme="majorEastAsia" w:hAnsiTheme="majorEastAsia" w:eastAsiaTheme="majorEastAsia" w:cstheme="majorEastAsia"/>
          <w:b/>
          <w:bCs/>
          <w:color w:val="000000" w:themeColor="text1"/>
          <w:sz w:val="24"/>
          <w:szCs w:val="24"/>
          <w14:textFill>
            <w14:solidFill>
              <w14:schemeClr w14:val="tx1"/>
            </w14:solidFill>
          </w14:textFill>
        </w:rPr>
        <w:t>获取招标文件的时间期限、地点、方式及招标文件售价</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1</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采用</w:t>
      </w:r>
      <w:r>
        <w:rPr>
          <w:rFonts w:hint="eastAsia" w:asciiTheme="majorEastAsia" w:hAnsiTheme="majorEastAsia" w:eastAsiaTheme="majorEastAsia" w:cstheme="majorEastAsia"/>
          <w:b w:val="0"/>
          <w:bCs w:val="0"/>
          <w:color w:val="000000" w:themeColor="text1"/>
          <w:sz w:val="24"/>
          <w:szCs w:val="24"/>
          <w:u w:val="single"/>
          <w:shd w:val="clear" w:color="FFFFFF" w:fill="D9D9D9"/>
          <w14:textFill>
            <w14:solidFill>
              <w14:schemeClr w14:val="tx1"/>
            </w14:solidFill>
          </w14:textFill>
        </w:rPr>
        <w:t>网上报名</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方式</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2</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报名时间：自</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2019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年</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11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月</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14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日</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08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时起</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至</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2019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年</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11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月</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20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日</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18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时(节假日除外)止</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3.</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网上报名请登陆张掖市公共资源交易中心网（http://www.zhangye.gov.cn/ggzy/）</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电子服务系统网上报名</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，网上报名完成后，请</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投标</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单位</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（供应商）</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随时关注“张掖市公共资源交易中心网</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站</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”关于本项目相关书面变更及通知，如因未主动登录网站而未获取相关信息，对其产生不利因素由供应商自行承担。 </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b/>
          <w:bCs/>
        </w:rPr>
      </w:pPr>
      <w:r>
        <w:rPr>
          <w:rFonts w:hint="eastAsia"/>
          <w:b/>
          <w:bCs/>
          <w:lang w:eastAsia="zh-CN"/>
        </w:rPr>
        <w:t>七</w:t>
      </w:r>
      <w:r>
        <w:rPr>
          <w:b/>
          <w:bCs/>
        </w:rPr>
        <w:t>、公告期限：</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firstLine="120"/>
        <w:textAlignment w:val="auto"/>
        <w:rPr>
          <w:rFonts w:hint="eastAsia" w:ascii="宋体" w:hAnsi="宋体" w:eastAsia="宋体" w:cs="宋体"/>
        </w:rPr>
      </w:pPr>
      <w:r>
        <w:rPr>
          <w:rFonts w:hint="eastAsia" w:ascii="宋体" w:hAnsi="宋体" w:eastAsia="宋体" w:cs="宋体"/>
          <w:u w:val="single"/>
        </w:rPr>
        <w:t>2019 年 1</w:t>
      </w:r>
      <w:r>
        <w:rPr>
          <w:rFonts w:hint="eastAsia" w:ascii="宋体" w:hAnsi="宋体" w:eastAsia="宋体" w:cs="宋体"/>
          <w:u w:val="single"/>
          <w:lang w:val="en-US" w:eastAsia="zh-CN"/>
        </w:rPr>
        <w:t>1</w:t>
      </w:r>
      <w:r>
        <w:rPr>
          <w:rFonts w:hint="eastAsia" w:ascii="宋体" w:hAnsi="宋体" w:eastAsia="宋体" w:cs="宋体"/>
          <w:u w:val="single"/>
        </w:rPr>
        <w:t xml:space="preserve"> 月 </w:t>
      </w:r>
      <w:r>
        <w:rPr>
          <w:rFonts w:hint="eastAsia" w:ascii="宋体" w:hAnsi="宋体" w:cs="宋体"/>
          <w:u w:val="single"/>
          <w:lang w:val="en-US" w:eastAsia="zh-CN"/>
        </w:rPr>
        <w:t xml:space="preserve">14 </w:t>
      </w:r>
      <w:r>
        <w:rPr>
          <w:rFonts w:hint="eastAsia" w:ascii="宋体" w:hAnsi="宋体" w:eastAsia="宋体" w:cs="宋体"/>
          <w:u w:val="single"/>
          <w:lang w:val="en-US" w:eastAsia="zh-CN"/>
        </w:rPr>
        <w:t xml:space="preserve"> </w:t>
      </w:r>
      <w:r>
        <w:rPr>
          <w:rFonts w:hint="eastAsia" w:ascii="宋体" w:hAnsi="宋体" w:eastAsia="宋体" w:cs="宋体"/>
          <w:u w:val="single"/>
        </w:rPr>
        <w:t>日至 2019 年 1</w:t>
      </w:r>
      <w:r>
        <w:rPr>
          <w:rFonts w:hint="eastAsia" w:ascii="宋体" w:hAnsi="宋体" w:eastAsia="宋体" w:cs="宋体"/>
          <w:u w:val="single"/>
          <w:lang w:val="en-US" w:eastAsia="zh-CN"/>
        </w:rPr>
        <w:t>2</w:t>
      </w:r>
      <w:r>
        <w:rPr>
          <w:rFonts w:hint="eastAsia" w:ascii="宋体" w:hAnsi="宋体" w:eastAsia="宋体" w:cs="宋体"/>
          <w:u w:val="single"/>
        </w:rPr>
        <w:t xml:space="preserve"> 月 </w:t>
      </w:r>
      <w:r>
        <w:rPr>
          <w:rFonts w:hint="eastAsia" w:ascii="宋体" w:hAnsi="宋体" w:cs="宋体"/>
          <w:u w:val="single"/>
          <w:lang w:val="en-US" w:eastAsia="zh-CN"/>
        </w:rPr>
        <w:t xml:space="preserve"> 5 </w:t>
      </w:r>
      <w:r>
        <w:rPr>
          <w:rFonts w:hint="eastAsia" w:ascii="宋体" w:hAnsi="宋体" w:eastAsia="宋体" w:cs="宋体"/>
          <w:u w:val="single"/>
          <w:lang w:val="en-US" w:eastAsia="zh-CN"/>
        </w:rPr>
        <w:t xml:space="preserve"> </w:t>
      </w:r>
      <w:r>
        <w:rPr>
          <w:rFonts w:hint="eastAsia" w:ascii="宋体" w:hAnsi="宋体" w:eastAsia="宋体" w:cs="宋体"/>
          <w:u w:val="single"/>
        </w:rPr>
        <w:t>日</w:t>
      </w:r>
      <w:r>
        <w:rPr>
          <w:rFonts w:hint="eastAsia" w:ascii="宋体" w:hAnsi="宋体" w:eastAsia="宋体" w:cs="宋体"/>
        </w:rPr>
        <w:t>。</w:t>
      </w:r>
    </w:p>
    <w:p>
      <w:pPr>
        <w:pStyle w:val="2"/>
        <w:keepNext w:val="0"/>
        <w:keepLines w:val="0"/>
        <w:pageBreakBefore w:val="0"/>
        <w:widowControl w:val="0"/>
        <w:numPr>
          <w:ilvl w:val="0"/>
          <w:numId w:val="1"/>
        </w:numPr>
        <w:kinsoku/>
        <w:wordWrap/>
        <w:overflowPunct/>
        <w:topLinePunct w:val="0"/>
        <w:autoSpaceDE w:val="0"/>
        <w:autoSpaceDN w:val="0"/>
        <w:bidi w:val="0"/>
        <w:adjustRightInd/>
        <w:snapToGrid/>
        <w:spacing w:before="0" w:line="500" w:lineRule="exact"/>
        <w:ind w:right="0"/>
        <w:textAlignment w:val="auto"/>
        <w:rPr>
          <w:rFonts w:hint="eastAsia"/>
          <w:b/>
          <w:bCs/>
          <w:highlight w:val="none"/>
          <w:lang w:eastAsia="zh-CN"/>
        </w:rPr>
      </w:pPr>
      <w:r>
        <w:rPr>
          <w:rFonts w:hint="eastAsia"/>
          <w:b/>
          <w:bCs/>
          <w:highlight w:val="none"/>
          <w:lang w:eastAsia="zh-CN"/>
        </w:rPr>
        <w:t>发布媒介：</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u w:val="none"/>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u w:val="none"/>
          <w:lang w:eastAsia="zh-CN"/>
          <w14:textFill>
            <w14:solidFill>
              <w14:schemeClr w14:val="tx1"/>
            </w14:solidFill>
          </w14:textFill>
        </w:rPr>
        <w:t>本次采购公告同时在甘肃政府采购网（http://www.gszfcg.gansu.gov.cn/）和张掖市公共资源交易中心网站（http://www.zhangye.gov.cn/ggzy/）上发布。</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left="0" w:leftChars="0" w:firstLine="0" w:firstLineChars="0"/>
        <w:textAlignment w:val="auto"/>
        <w:outlineLvl w:val="9"/>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14:textFill>
            <w14:solidFill>
              <w14:schemeClr w14:val="tx1"/>
            </w14:solidFill>
          </w14:textFill>
        </w:rPr>
        <w:t>《投标文件》递交时间</w:t>
      </w:r>
      <w:r>
        <w:rPr>
          <w:rFonts w:hint="eastAsia" w:asciiTheme="majorEastAsia" w:hAnsiTheme="majorEastAsia" w:eastAsiaTheme="majorEastAsia" w:cstheme="majorEastAsia"/>
          <w:b/>
          <w:bCs/>
          <w:color w:val="000000" w:themeColor="text1"/>
          <w:sz w:val="24"/>
          <w:szCs w:val="24"/>
          <w:lang w:eastAsia="zh-CN"/>
          <w14:textFill>
            <w14:solidFill>
              <w14:schemeClr w14:val="tx1"/>
            </w14:solidFill>
          </w14:textFill>
        </w:rPr>
        <w:t>、地点及</w:t>
      </w:r>
      <w:r>
        <w:rPr>
          <w:rFonts w:hint="eastAsia" w:asciiTheme="majorEastAsia" w:hAnsiTheme="majorEastAsia" w:eastAsiaTheme="majorEastAsia" w:cstheme="majorEastAsia"/>
          <w:b/>
          <w:bCs/>
          <w:color w:val="000000" w:themeColor="text1"/>
          <w:sz w:val="24"/>
          <w:szCs w:val="24"/>
          <w14:textFill>
            <w14:solidFill>
              <w14:schemeClr w14:val="tx1"/>
            </w14:solidFill>
          </w14:textFill>
        </w:rPr>
        <w:t>开标时间</w:t>
      </w:r>
      <w:r>
        <w:rPr>
          <w:rFonts w:hint="eastAsia" w:asciiTheme="majorEastAsia" w:hAnsiTheme="majorEastAsia" w:eastAsiaTheme="majorEastAsia" w:cstheme="majorEastAsia"/>
          <w:b/>
          <w:bCs/>
          <w:color w:val="000000" w:themeColor="text1"/>
          <w:sz w:val="24"/>
          <w:szCs w:val="24"/>
          <w:lang w:eastAsia="zh-CN"/>
          <w14:textFill>
            <w14:solidFill>
              <w14:schemeClr w14:val="tx1"/>
            </w14:solidFill>
          </w14:textFill>
        </w:rPr>
        <w:t>、</w:t>
      </w:r>
      <w:r>
        <w:rPr>
          <w:rFonts w:hint="eastAsia" w:asciiTheme="majorEastAsia" w:hAnsiTheme="majorEastAsia" w:eastAsiaTheme="majorEastAsia" w:cstheme="majorEastAsia"/>
          <w:b/>
          <w:bCs/>
          <w:color w:val="000000" w:themeColor="text1"/>
          <w:sz w:val="24"/>
          <w:szCs w:val="24"/>
          <w14:textFill>
            <w14:solidFill>
              <w14:schemeClr w14:val="tx1"/>
            </w14:solidFill>
          </w14:textFill>
        </w:rPr>
        <w:t>地点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1</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递交文件</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时间：</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2019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年</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11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月</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14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日</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08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时</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30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分至</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15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时</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00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分（北京时间），逾期不再受理。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2</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投标文件递交地点：张掖市公共资源交易中心民乐县分中心（</w:t>
      </w:r>
      <w:r>
        <w:rPr>
          <w:rStyle w:val="15"/>
          <w:rFonts w:hint="eastAsia" w:asciiTheme="majorEastAsia" w:hAnsiTheme="majorEastAsia" w:eastAsiaTheme="majorEastAsia" w:cstheme="majorEastAsia"/>
          <w:b w:val="0"/>
          <w:bCs w:val="0"/>
          <w:i w:val="0"/>
          <w:caps w:val="0"/>
          <w:color w:val="000000" w:themeColor="text1"/>
          <w:spacing w:val="0"/>
          <w:sz w:val="24"/>
          <w:szCs w:val="24"/>
          <w:shd w:val="clear" w:fill="FFFFFF"/>
          <w14:textFill>
            <w14:solidFill>
              <w14:schemeClr w14:val="tx1"/>
            </w14:solidFill>
          </w14:textFill>
        </w:rPr>
        <w:t>民乐县锦绣家园东门北侧100米</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一号</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开标厅。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3</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开标时间：</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2019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年</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12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月</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5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日</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09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时</w:t>
      </w:r>
      <w:r>
        <w:rPr>
          <w:rFonts w:hint="eastAsia" w:asciiTheme="majorEastAsia" w:hAnsiTheme="majorEastAsia" w:eastAsiaTheme="majorEastAsia" w:cstheme="majorEastAsia"/>
          <w:b w:val="0"/>
          <w:bCs w:val="0"/>
          <w:color w:val="000000" w:themeColor="text1"/>
          <w:sz w:val="24"/>
          <w:szCs w:val="24"/>
          <w:u w:val="single"/>
          <w:lang w:val="en-US" w:eastAsia="zh-CN"/>
          <w14:textFill>
            <w14:solidFill>
              <w14:schemeClr w14:val="tx1"/>
            </w14:solidFill>
          </w14:textFill>
        </w:rPr>
        <w:t xml:space="preserve"> 00 </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分（北京时间）。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right="0" w:rightChars="0"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4</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开标地点：张掖市公共资源交易中心民乐县分中心</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一号</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开标厅。</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lang w:val="en-US" w:eastAsia="zh-CN"/>
          <w14:textFill>
            <w14:solidFill>
              <w14:schemeClr w14:val="tx1"/>
            </w14:solidFill>
          </w14:textFill>
        </w:rPr>
        <w:t>十、</w:t>
      </w:r>
      <w:r>
        <w:rPr>
          <w:rFonts w:hint="eastAsia" w:asciiTheme="majorEastAsia" w:hAnsiTheme="majorEastAsia" w:eastAsiaTheme="majorEastAsia" w:cstheme="majorEastAsia"/>
          <w:b/>
          <w:bCs/>
          <w:color w:val="000000" w:themeColor="text1"/>
          <w:sz w:val="24"/>
          <w:szCs w:val="24"/>
          <w14:textFill>
            <w14:solidFill>
              <w14:schemeClr w14:val="tx1"/>
            </w14:solidFill>
          </w14:textFill>
        </w:rPr>
        <w:t>投标保证金递交须知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bCs/>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1.</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投标保证金到账截止时间：以招标文件要求的投标截止时间为准。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2.</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投标人</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（供应商）</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必须从基本账户提交保证金，</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提交的</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投标保证金</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凭证中</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单位名称须与投标单位名称一致，</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并</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将所参加采购项目名称及分（包）段在用途栏</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简要</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注明，若因项目名称及分（包）段不清造成无法辨别保证金是否到帐的，对其产生不利因素由供应商自行承担。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3.</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为提高投标保证金信息保密度，投标人</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（供应商）</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在缴纳投标保证金时，收款名称为：张掖市公共资源交易中心</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民乐</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县分中心，收款账号及开户银行在投标人</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（供应商）</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报名成功后，通过投标人系统查询，具体查询保证金账号信息请参照新版网站“下载专区”栏目下《张掖市公共资源交易中心-采购代理保证金操作手册》。</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4.</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供应商在办理投标保证金汇款手续时，需注意每一</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包</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）标段</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的子账号都为不同的账号，</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投标人（</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供应商</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）提交</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 xml:space="preserve">投标保证金须仔细核对子账号进行缴纳，交易系统无法识别保证金所对应的项目的，对其产生不利因素由供应商自行承担。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5.</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投标保证金亦可以支票、汇票、本票或者金融机构、担保机构出具的保函等非现金形式提交。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pP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为保证开标现场对投标保证金到账情况进行核对，提醒投标人要充分考虑汇款及到账所需时间以及发现问题后采取补救措施所需时间，以确保投标保证金在规定时间前到账。因不能在投标截止时间前到达指定账户的，导致投标无效的后果由投标人自行承担</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。（如有保证金</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办理相关问题，投标供应商请及时致电：0936-4456516,093</w:t>
      </w:r>
      <w:r>
        <w:rPr>
          <w:rFonts w:hint="eastAsia" w:asciiTheme="majorEastAsia" w:hAnsiTheme="majorEastAsia" w:eastAsiaTheme="majorEastAsia" w:cstheme="majorEastAsia"/>
          <w:b w:val="0"/>
          <w:bCs w:val="0"/>
          <w:color w:val="000000" w:themeColor="text1"/>
          <w:sz w:val="24"/>
          <w:szCs w:val="24"/>
          <w:lang w:val="en-US" w:eastAsia="zh-CN"/>
          <w14:textFill>
            <w14:solidFill>
              <w14:schemeClr w14:val="tx1"/>
            </w14:solidFill>
          </w14:textFill>
        </w:rPr>
        <w:t>6</w:t>
      </w:r>
      <w:r>
        <w:rPr>
          <w:rFonts w:hint="eastAsia" w:asciiTheme="majorEastAsia" w:hAnsiTheme="majorEastAsia" w:eastAsiaTheme="majorEastAsia" w:cstheme="majorEastAsia"/>
          <w:b w:val="0"/>
          <w:bCs w:val="0"/>
          <w:color w:val="000000" w:themeColor="text1"/>
          <w:sz w:val="24"/>
          <w:szCs w:val="24"/>
          <w14:textFill>
            <w14:solidFill>
              <w14:schemeClr w14:val="tx1"/>
            </w14:solidFill>
          </w14:textFill>
        </w:rPr>
        <w:t>-4415789咨询办理。</w:t>
      </w:r>
      <w:r>
        <w:rPr>
          <w:rFonts w:hint="eastAsia" w:asciiTheme="majorEastAsia" w:hAnsiTheme="majorEastAsia" w:eastAsiaTheme="majorEastAsia" w:cstheme="majorEastAsia"/>
          <w:b w:val="0"/>
          <w:bCs w:val="0"/>
          <w:color w:val="000000" w:themeColor="text1"/>
          <w:sz w:val="24"/>
          <w:szCs w:val="24"/>
          <w:lang w:eastAsia="zh-CN"/>
          <w14:textFill>
            <w14:solidFill>
              <w14:schemeClr w14:val="tx1"/>
            </w14:solidFill>
          </w14:textFill>
        </w:rPr>
        <w:t>）</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right="0"/>
        <w:textAlignment w:val="auto"/>
        <w:rPr>
          <w:b/>
          <w:bCs/>
          <w:highlight w:val="none"/>
        </w:rPr>
      </w:pPr>
      <w:r>
        <w:rPr>
          <w:rFonts w:hint="eastAsia"/>
          <w:b/>
          <w:bCs/>
          <w:highlight w:val="none"/>
          <w:lang w:eastAsia="zh-CN"/>
        </w:rPr>
        <w:t>十一</w:t>
      </w:r>
      <w:r>
        <w:rPr>
          <w:b/>
          <w:bCs/>
          <w:highlight w:val="none"/>
        </w:rPr>
        <w:t>、采购人及集中采购机构：</w:t>
      </w:r>
    </w:p>
    <w:p>
      <w:pPr>
        <w:pStyle w:val="2"/>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eastAsia="宋体"/>
          <w:lang w:eastAsia="zh-CN"/>
        </w:rPr>
      </w:pPr>
      <w:r>
        <w:rPr>
          <w:rFonts w:hint="eastAsia" w:ascii="宋体" w:hAnsi="宋体" w:eastAsia="宋体" w:cs="宋体"/>
          <w:sz w:val="24"/>
          <w:szCs w:val="24"/>
          <w:lang w:val="en-US" w:eastAsia="zh-CN"/>
        </w:rPr>
        <w:t>1.</w:t>
      </w:r>
      <w:r>
        <w:t>采 购 人</w:t>
      </w:r>
      <w:r>
        <w:rPr>
          <w:rFonts w:ascii="Calibri" w:eastAsia="Calibri"/>
        </w:rPr>
        <w:t xml:space="preserve">: </w:t>
      </w:r>
      <w:r>
        <w:rPr>
          <w:rFonts w:hint="eastAsia"/>
          <w:lang w:eastAsia="zh-CN"/>
        </w:rPr>
        <w:t>民乐县人民法院</w:t>
      </w:r>
    </w:p>
    <w:p>
      <w:pPr>
        <w:pStyle w:val="2"/>
        <w:keepNext w:val="0"/>
        <w:keepLines w:val="0"/>
        <w:pageBreakBefore w:val="0"/>
        <w:widowControl w:val="0"/>
        <w:tabs>
          <w:tab w:val="left" w:pos="859"/>
          <w:tab w:val="left" w:pos="4579"/>
        </w:tabs>
        <w:kinsoku/>
        <w:wordWrap/>
        <w:overflowPunct/>
        <w:topLinePunct w:val="0"/>
        <w:autoSpaceDE w:val="0"/>
        <w:autoSpaceDN w:val="0"/>
        <w:bidi w:val="0"/>
        <w:adjustRightInd/>
        <w:snapToGrid/>
        <w:spacing w:before="0" w:line="500" w:lineRule="exact"/>
        <w:ind w:left="0" w:right="0"/>
        <w:textAlignment w:val="auto"/>
        <w:rPr>
          <w:rFonts w:hint="eastAsia" w:eastAsia="宋体"/>
          <w:lang w:eastAsia="zh-CN"/>
        </w:rPr>
      </w:pPr>
      <w:r>
        <w:t>联 系 人：</w:t>
      </w:r>
      <w:r>
        <w:rPr>
          <w:rFonts w:hint="eastAsia"/>
          <w:lang w:eastAsia="zh-CN"/>
        </w:rPr>
        <w:t>李福德</w:t>
      </w:r>
    </w:p>
    <w:p>
      <w:pPr>
        <w:pStyle w:val="2"/>
        <w:keepNext w:val="0"/>
        <w:keepLines w:val="0"/>
        <w:pageBreakBefore w:val="0"/>
        <w:widowControl w:val="0"/>
        <w:tabs>
          <w:tab w:val="left" w:pos="859"/>
          <w:tab w:val="left" w:pos="4579"/>
        </w:tabs>
        <w:kinsoku/>
        <w:wordWrap/>
        <w:overflowPunct/>
        <w:topLinePunct w:val="0"/>
        <w:autoSpaceDE w:val="0"/>
        <w:autoSpaceDN w:val="0"/>
        <w:bidi w:val="0"/>
        <w:adjustRightInd/>
        <w:snapToGrid/>
        <w:spacing w:before="0" w:line="500" w:lineRule="exact"/>
        <w:ind w:left="0" w:right="0"/>
        <w:textAlignment w:val="auto"/>
        <w:rPr>
          <w:rFonts w:hint="eastAsia"/>
          <w:lang w:val="en-US" w:eastAsia="zh-CN"/>
        </w:rPr>
      </w:pPr>
      <w:r>
        <w:rPr>
          <w:spacing w:val="-1"/>
        </w:rPr>
        <w:t>联系电</w:t>
      </w:r>
      <w:r>
        <w:t>话：</w:t>
      </w:r>
      <w:r>
        <w:rPr>
          <w:rFonts w:hint="eastAsia" w:ascii="宋体" w:hAnsi="宋体" w:eastAsia="宋体" w:cs="宋体"/>
          <w:i w:val="0"/>
          <w:caps w:val="0"/>
          <w:color w:val="333333"/>
          <w:spacing w:val="0"/>
          <w:kern w:val="0"/>
          <w:sz w:val="24"/>
          <w:szCs w:val="24"/>
          <w:shd w:val="clear" w:color="auto" w:fill="FFFFFF"/>
          <w:lang w:val="en-US" w:eastAsia="zh-CN" w:bidi="ar"/>
        </w:rPr>
        <w:t>18919369899</w:t>
      </w:r>
      <w:r>
        <w:rPr>
          <w:rFonts w:ascii="Calibri" w:eastAsia="Calibri"/>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9"/>
      </w:pPr>
      <w:r>
        <w:rPr>
          <w:rFonts w:hint="eastAsia" w:ascii="宋体" w:hAnsi="宋体" w:eastAsia="宋体" w:cs="宋体"/>
          <w:sz w:val="24"/>
          <w:szCs w:val="32"/>
          <w:lang w:val="en-US" w:eastAsia="zh-CN"/>
        </w:rPr>
        <w:t>2.</w:t>
      </w:r>
      <w:r>
        <w:t>集中采购机构（招标代理机构）：</w:t>
      </w: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甘肃金盛招标代理有限公司</w:t>
      </w:r>
    </w:p>
    <w:p>
      <w:pPr>
        <w:pStyle w:val="2"/>
        <w:keepNext w:val="0"/>
        <w:keepLines w:val="0"/>
        <w:pageBreakBefore w:val="0"/>
        <w:widowControl w:val="0"/>
        <w:tabs>
          <w:tab w:val="left" w:pos="859"/>
          <w:tab w:val="left" w:pos="4579"/>
        </w:tabs>
        <w:kinsoku/>
        <w:wordWrap/>
        <w:overflowPunct/>
        <w:topLinePunct w:val="0"/>
        <w:autoSpaceDE w:val="0"/>
        <w:autoSpaceDN w:val="0"/>
        <w:bidi w:val="0"/>
        <w:adjustRightInd/>
        <w:snapToGrid/>
        <w:spacing w:before="0" w:line="500" w:lineRule="exact"/>
        <w:ind w:left="0" w:right="0"/>
        <w:textAlignment w:val="auto"/>
      </w:pPr>
      <w:r>
        <w:t>地</w:t>
      </w:r>
      <w:r>
        <w:rPr>
          <w:rFonts w:hint="eastAsia"/>
          <w:lang w:val="en-US" w:eastAsia="zh-CN"/>
        </w:rPr>
        <w:t xml:space="preserve">    </w:t>
      </w:r>
      <w:r>
        <w:t>址：</w:t>
      </w: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张掖市甘州区东大街101号</w:t>
      </w:r>
    </w:p>
    <w:p>
      <w:pPr>
        <w:pStyle w:val="2"/>
        <w:keepNext w:val="0"/>
        <w:keepLines w:val="0"/>
        <w:pageBreakBefore w:val="0"/>
        <w:widowControl w:val="0"/>
        <w:tabs>
          <w:tab w:val="left" w:pos="4219"/>
        </w:tabs>
        <w:kinsoku/>
        <w:wordWrap/>
        <w:overflowPunct/>
        <w:topLinePunct w:val="0"/>
        <w:autoSpaceDE w:val="0"/>
        <w:autoSpaceDN w:val="0"/>
        <w:bidi w:val="0"/>
        <w:adjustRightInd/>
        <w:snapToGrid/>
        <w:spacing w:before="0" w:line="500" w:lineRule="exact"/>
        <w:ind w:left="0" w:right="0"/>
        <w:textAlignment w:val="auto"/>
      </w:pPr>
      <w:r>
        <w:t>联 系 人：</w:t>
      </w:r>
      <w:r>
        <w:rPr>
          <w:rFonts w:hint="eastAsia"/>
          <w:lang w:eastAsia="zh-CN"/>
        </w:rPr>
        <w:t>张晓琴</w:t>
      </w:r>
      <w:r>
        <w:tab/>
      </w:r>
    </w:p>
    <w:p>
      <w:pPr>
        <w:pStyle w:val="2"/>
        <w:keepNext w:val="0"/>
        <w:keepLines w:val="0"/>
        <w:pageBreakBefore w:val="0"/>
        <w:widowControl w:val="0"/>
        <w:tabs>
          <w:tab w:val="left" w:pos="4219"/>
        </w:tabs>
        <w:kinsoku/>
        <w:wordWrap/>
        <w:overflowPunct/>
        <w:topLinePunct w:val="0"/>
        <w:autoSpaceDE w:val="0"/>
        <w:autoSpaceDN w:val="0"/>
        <w:bidi w:val="0"/>
        <w:adjustRightInd/>
        <w:snapToGrid/>
        <w:spacing w:before="0" w:line="500" w:lineRule="exact"/>
        <w:ind w:left="0" w:right="0"/>
        <w:textAlignment w:val="auto"/>
      </w:pPr>
      <w:r>
        <w:t>联系电话：</w:t>
      </w:r>
      <w:r>
        <w:rPr>
          <w:rFonts w:hint="eastAsia" w:ascii="宋体" w:hAnsi="宋体" w:eastAsia="宋体" w:cs="宋体"/>
          <w:lang w:val="en-US" w:eastAsia="zh-CN"/>
        </w:rPr>
        <w:t>15379778071</w:t>
      </w:r>
    </w:p>
    <w:p>
      <w:pPr>
        <w:pStyle w:val="2"/>
        <w:keepNext w:val="0"/>
        <w:keepLines w:val="0"/>
        <w:pageBreakBefore w:val="0"/>
        <w:widowControl w:val="0"/>
        <w:kinsoku/>
        <w:wordWrap/>
        <w:overflowPunct/>
        <w:topLinePunct w:val="0"/>
        <w:bidi w:val="0"/>
        <w:adjustRightInd/>
        <w:snapToGrid/>
        <w:spacing w:line="500" w:lineRule="exact"/>
        <w:textAlignment w:val="auto"/>
      </w:pPr>
    </w:p>
    <w:p>
      <w:pPr>
        <w:keepNext w:val="0"/>
        <w:keepLines w:val="0"/>
        <w:pageBreakBefore w:val="0"/>
        <w:widowControl w:val="0"/>
        <w:kinsoku/>
        <w:wordWrap/>
        <w:overflowPunct/>
        <w:topLinePunct w:val="0"/>
        <w:bidi w:val="0"/>
        <w:adjustRightInd/>
        <w:snapToGrid/>
        <w:spacing w:line="500" w:lineRule="exact"/>
        <w:textAlignment w:val="auto"/>
        <w:rPr>
          <w:rFonts w:ascii="宋体" w:cs="宋体"/>
          <w:sz w:val="28"/>
          <w:szCs w:val="28"/>
        </w:rPr>
      </w:pPr>
    </w:p>
    <w:p>
      <w:pPr>
        <w:keepNext w:val="0"/>
        <w:keepLines w:val="0"/>
        <w:pageBreakBefore w:val="0"/>
        <w:widowControl w:val="0"/>
        <w:kinsoku/>
        <w:wordWrap/>
        <w:overflowPunct/>
        <w:topLinePunct w:val="0"/>
        <w:bidi w:val="0"/>
        <w:adjustRightInd/>
        <w:snapToGrid/>
        <w:spacing w:line="500" w:lineRule="exact"/>
        <w:textAlignment w:val="auto"/>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spacing w:line="560" w:lineRule="exact"/>
        <w:rPr>
          <w:rFonts w:ascii="宋体" w:cs="宋体"/>
          <w:sz w:val="28"/>
          <w:szCs w:val="28"/>
        </w:rPr>
      </w:pPr>
    </w:p>
    <w:p>
      <w:pPr>
        <w:pStyle w:val="3"/>
        <w:jc w:val="center"/>
      </w:pPr>
      <w:bookmarkStart w:id="3" w:name="_Toc2374"/>
      <w:bookmarkStart w:id="4" w:name="_Toc449469103"/>
      <w:bookmarkStart w:id="5" w:name="_Toc19111_WPSOffice_Level1"/>
    </w:p>
    <w:p/>
    <w:p>
      <w:pPr>
        <w:pStyle w:val="2"/>
      </w:pPr>
    </w:p>
    <w:p>
      <w:pPr>
        <w:pStyle w:val="2"/>
      </w:pPr>
    </w:p>
    <w:p>
      <w:pPr>
        <w:pStyle w:val="3"/>
        <w:jc w:val="center"/>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pStyle w:val="3"/>
        <w:jc w:val="center"/>
        <w:rPr>
          <w:rFonts w:hint="eastAsia"/>
        </w:rPr>
      </w:pPr>
    </w:p>
    <w:p>
      <w:pPr>
        <w:pStyle w:val="3"/>
        <w:jc w:val="center"/>
      </w:pPr>
      <w:r>
        <w:rPr>
          <w:rFonts w:hint="eastAsia"/>
        </w:rPr>
        <w:t>第二部分</w:t>
      </w:r>
      <w:r>
        <w:t xml:space="preserve">  </w:t>
      </w:r>
      <w:r>
        <w:rPr>
          <w:rFonts w:hint="eastAsia"/>
        </w:rPr>
        <w:t>供应商须知</w:t>
      </w:r>
      <w:bookmarkEnd w:id="3"/>
      <w:bookmarkEnd w:id="4"/>
      <w:bookmarkEnd w:id="5"/>
    </w:p>
    <w:p>
      <w:pPr>
        <w:adjustRightInd w:val="0"/>
        <w:spacing w:line="560" w:lineRule="exact"/>
        <w:jc w:val="center"/>
        <w:rPr>
          <w:rFonts w:ascii="宋体"/>
          <w:b/>
          <w:sz w:val="44"/>
          <w:szCs w:val="44"/>
        </w:rPr>
      </w:pPr>
    </w:p>
    <w:p>
      <w:pPr>
        <w:adjustRightInd w:val="0"/>
        <w:spacing w:line="560" w:lineRule="exact"/>
        <w:jc w:val="center"/>
        <w:rPr>
          <w:rFonts w:ascii="宋体"/>
          <w:b/>
          <w:sz w:val="44"/>
          <w:szCs w:val="44"/>
        </w:rPr>
      </w:pPr>
    </w:p>
    <w:p>
      <w:pPr>
        <w:adjustRightInd w:val="0"/>
        <w:spacing w:line="560" w:lineRule="exact"/>
        <w:jc w:val="center"/>
        <w:rPr>
          <w:rFonts w:ascii="宋体"/>
          <w:b/>
          <w:sz w:val="44"/>
          <w:szCs w:val="44"/>
        </w:rPr>
      </w:pPr>
    </w:p>
    <w:p>
      <w:pPr>
        <w:adjustRightInd w:val="0"/>
        <w:spacing w:line="560" w:lineRule="exact"/>
        <w:jc w:val="center"/>
        <w:rPr>
          <w:rFonts w:ascii="宋体"/>
          <w:b/>
          <w:sz w:val="44"/>
          <w:szCs w:val="44"/>
        </w:rPr>
      </w:pPr>
    </w:p>
    <w:p>
      <w:pPr>
        <w:adjustRightInd w:val="0"/>
        <w:spacing w:line="560" w:lineRule="exact"/>
        <w:rPr>
          <w:rFonts w:ascii="宋体"/>
          <w:b/>
          <w:sz w:val="44"/>
          <w:szCs w:val="44"/>
        </w:rPr>
      </w:pPr>
    </w:p>
    <w:p>
      <w:pPr>
        <w:adjustRightInd w:val="0"/>
        <w:spacing w:line="560" w:lineRule="exact"/>
        <w:rPr>
          <w:rFonts w:ascii="宋体"/>
          <w:b/>
          <w:sz w:val="44"/>
          <w:szCs w:val="44"/>
        </w:rPr>
      </w:pPr>
    </w:p>
    <w:p>
      <w:pPr>
        <w:adjustRightInd w:val="0"/>
        <w:spacing w:line="560" w:lineRule="exact"/>
        <w:rPr>
          <w:rFonts w:ascii="宋体"/>
          <w:b/>
          <w:sz w:val="44"/>
          <w:szCs w:val="44"/>
        </w:rPr>
      </w:pPr>
    </w:p>
    <w:p>
      <w:pPr>
        <w:pStyle w:val="2"/>
        <w:rPr>
          <w:rFonts w:ascii="宋体"/>
          <w:b/>
          <w:sz w:val="44"/>
          <w:szCs w:val="44"/>
        </w:rPr>
      </w:pPr>
    </w:p>
    <w:p>
      <w:pPr>
        <w:pStyle w:val="2"/>
        <w:rPr>
          <w:rFonts w:ascii="宋体"/>
          <w:b/>
          <w:sz w:val="44"/>
          <w:szCs w:val="44"/>
        </w:rPr>
      </w:pPr>
    </w:p>
    <w:p>
      <w:pPr>
        <w:pStyle w:val="2"/>
        <w:rPr>
          <w:rFonts w:ascii="宋体"/>
          <w:b/>
          <w:sz w:val="44"/>
          <w:szCs w:val="44"/>
        </w:rPr>
      </w:pPr>
    </w:p>
    <w:p>
      <w:pPr>
        <w:pStyle w:val="2"/>
        <w:rPr>
          <w:rFonts w:ascii="宋体"/>
          <w:b/>
          <w:sz w:val="44"/>
          <w:szCs w:val="44"/>
        </w:rPr>
      </w:pPr>
    </w:p>
    <w:p>
      <w:pPr>
        <w:pStyle w:val="2"/>
        <w:rPr>
          <w:rFonts w:ascii="宋体"/>
          <w:b/>
          <w:sz w:val="44"/>
          <w:szCs w:val="44"/>
        </w:rPr>
      </w:pPr>
    </w:p>
    <w:p>
      <w:pPr>
        <w:pStyle w:val="5"/>
        <w:numPr>
          <w:ilvl w:val="0"/>
          <w:numId w:val="2"/>
        </w:numPr>
        <w:adjustRightInd w:val="0"/>
        <w:spacing w:after="156" w:afterLines="50" w:line="400" w:lineRule="exact"/>
        <w:jc w:val="center"/>
        <w:rPr>
          <w:rFonts w:hAnsi="宋体"/>
          <w:b/>
          <w:spacing w:val="-6"/>
          <w:w w:val="95"/>
          <w:sz w:val="32"/>
          <w:szCs w:val="32"/>
        </w:rPr>
      </w:pPr>
      <w:bookmarkStart w:id="6" w:name="_Toc10955_WPSOffice_Level2"/>
      <w:bookmarkStart w:id="7" w:name="_Toc4730_WPSOffice_Level2"/>
      <w:bookmarkStart w:id="8" w:name="_Toc12831_WPSOffice_Level2"/>
      <w:r>
        <w:rPr>
          <w:rFonts w:hint="eastAsia" w:hAnsi="宋体"/>
          <w:b/>
          <w:spacing w:val="-6"/>
          <w:w w:val="95"/>
          <w:sz w:val="32"/>
          <w:szCs w:val="32"/>
        </w:rPr>
        <w:t>供应商须知前附表</w:t>
      </w:r>
      <w:bookmarkEnd w:id="6"/>
      <w:bookmarkEnd w:id="7"/>
      <w:bookmarkEnd w:id="8"/>
    </w:p>
    <w:p>
      <w:pPr>
        <w:pStyle w:val="5"/>
        <w:adjustRightInd w:val="0"/>
        <w:spacing w:after="156" w:afterLines="50" w:line="400" w:lineRule="exact"/>
        <w:jc w:val="left"/>
        <w:rPr>
          <w:rFonts w:hAnsi="宋体"/>
          <w:b/>
          <w:spacing w:val="-6"/>
          <w:w w:val="95"/>
          <w:sz w:val="24"/>
          <w:szCs w:val="24"/>
        </w:rPr>
      </w:pPr>
      <w:r>
        <w:rPr>
          <w:rFonts w:hint="eastAsia" w:hAnsi="宋体"/>
          <w:b/>
          <w:spacing w:val="-6"/>
          <w:w w:val="95"/>
          <w:sz w:val="24"/>
          <w:szCs w:val="24"/>
        </w:rPr>
        <w:t>（本表关于投标所需的具体资料是对供应商须知的具体补充和修改，如有矛盾，以本附表为准）</w:t>
      </w:r>
    </w:p>
    <w:tbl>
      <w:tblPr>
        <w:tblStyle w:val="12"/>
        <w:tblW w:w="97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941"/>
        <w:gridCol w:w="7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01" w:type="dxa"/>
            <w:vAlign w:val="center"/>
          </w:tcPr>
          <w:p>
            <w:pPr>
              <w:pStyle w:val="5"/>
              <w:adjustRightInd w:val="0"/>
              <w:spacing w:line="400" w:lineRule="exact"/>
              <w:jc w:val="center"/>
              <w:rPr>
                <w:rFonts w:ascii="宋体" w:hAnsi="宋体" w:cs="宋体"/>
                <w:b/>
                <w:w w:val="95"/>
                <w:sz w:val="24"/>
                <w:szCs w:val="24"/>
              </w:rPr>
            </w:pPr>
            <w:r>
              <w:rPr>
                <w:rFonts w:hint="eastAsia" w:ascii="宋体" w:hAnsi="宋体" w:cs="宋体"/>
                <w:b/>
                <w:w w:val="95"/>
                <w:sz w:val="24"/>
                <w:szCs w:val="24"/>
              </w:rPr>
              <w:t>序号</w:t>
            </w:r>
          </w:p>
        </w:tc>
        <w:tc>
          <w:tcPr>
            <w:tcW w:w="1941" w:type="dxa"/>
            <w:vAlign w:val="center"/>
          </w:tcPr>
          <w:p>
            <w:pPr>
              <w:pStyle w:val="5"/>
              <w:adjustRightInd w:val="0"/>
              <w:spacing w:line="400" w:lineRule="exact"/>
              <w:jc w:val="center"/>
              <w:rPr>
                <w:rFonts w:ascii="宋体" w:hAnsi="宋体" w:cs="宋体"/>
                <w:b/>
                <w:w w:val="95"/>
                <w:sz w:val="24"/>
                <w:szCs w:val="24"/>
              </w:rPr>
            </w:pPr>
            <w:r>
              <w:rPr>
                <w:rFonts w:hint="eastAsia" w:ascii="宋体" w:hAnsi="宋体" w:cs="宋体"/>
                <w:b/>
                <w:w w:val="95"/>
                <w:sz w:val="24"/>
                <w:szCs w:val="24"/>
              </w:rPr>
              <w:t>名称</w:t>
            </w:r>
          </w:p>
        </w:tc>
        <w:tc>
          <w:tcPr>
            <w:tcW w:w="7099" w:type="dxa"/>
            <w:vAlign w:val="center"/>
          </w:tcPr>
          <w:p>
            <w:pPr>
              <w:pStyle w:val="5"/>
              <w:adjustRightInd w:val="0"/>
              <w:spacing w:line="400" w:lineRule="exact"/>
              <w:jc w:val="center"/>
              <w:rPr>
                <w:rFonts w:ascii="宋体" w:hAnsi="宋体" w:cs="宋体"/>
                <w:b/>
                <w:w w:val="95"/>
                <w:sz w:val="24"/>
                <w:szCs w:val="24"/>
              </w:rPr>
            </w:pPr>
            <w:r>
              <w:rPr>
                <w:rFonts w:hint="eastAsia" w:ascii="宋体" w:hAnsi="宋体" w:cs="宋体"/>
                <w:b/>
                <w:w w:val="95"/>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1</w:t>
            </w:r>
          </w:p>
        </w:tc>
        <w:tc>
          <w:tcPr>
            <w:tcW w:w="1941" w:type="dxa"/>
            <w:vAlign w:val="center"/>
          </w:tcPr>
          <w:p>
            <w:pPr>
              <w:pStyle w:val="5"/>
              <w:adjustRightInd w:val="0"/>
              <w:spacing w:line="400" w:lineRule="exact"/>
              <w:jc w:val="center"/>
              <w:rPr>
                <w:rFonts w:ascii="宋体" w:hAnsi="宋体" w:cs="宋体"/>
                <w:kern w:val="0"/>
                <w:sz w:val="24"/>
                <w:szCs w:val="24"/>
              </w:rPr>
            </w:pPr>
            <w:r>
              <w:rPr>
                <w:rFonts w:hint="eastAsia" w:ascii="宋体" w:hAnsi="宋体" w:cs="宋体"/>
                <w:kern w:val="0"/>
                <w:sz w:val="24"/>
                <w:szCs w:val="24"/>
              </w:rPr>
              <w:t>采购人</w:t>
            </w:r>
          </w:p>
        </w:tc>
        <w:tc>
          <w:tcPr>
            <w:tcW w:w="7099" w:type="dxa"/>
            <w:vAlign w:val="center"/>
          </w:tcPr>
          <w:p>
            <w:pPr>
              <w:pStyle w:val="28"/>
              <w:keepNext w:val="0"/>
              <w:keepLines w:val="0"/>
              <w:pageBreakBefore w:val="0"/>
              <w:widowControl w:val="0"/>
              <w:kinsoku/>
              <w:wordWrap/>
              <w:overflowPunct/>
              <w:topLinePunct w:val="0"/>
              <w:autoSpaceDE w:val="0"/>
              <w:autoSpaceDN w:val="0"/>
              <w:bidi w:val="0"/>
              <w:adjustRightInd/>
              <w:snapToGrid/>
              <w:spacing w:before="0" w:line="500" w:lineRule="exact"/>
              <w:ind w:left="0" w:right="0"/>
              <w:textAlignment w:val="auto"/>
              <w:rPr>
                <w:rFonts w:hint="eastAsia"/>
                <w:sz w:val="24"/>
                <w:lang w:eastAsia="zh-CN"/>
              </w:rPr>
            </w:pPr>
            <w:r>
              <w:rPr>
                <w:sz w:val="24"/>
              </w:rPr>
              <w:t>采 购 人：民乐县</w:t>
            </w:r>
            <w:r>
              <w:rPr>
                <w:rFonts w:hint="eastAsia"/>
                <w:sz w:val="24"/>
                <w:lang w:eastAsia="zh-CN"/>
              </w:rPr>
              <w:t>人民法院</w:t>
            </w:r>
          </w:p>
          <w:p>
            <w:pPr>
              <w:pStyle w:val="28"/>
              <w:keepNext w:val="0"/>
              <w:keepLines w:val="0"/>
              <w:pageBreakBefore w:val="0"/>
              <w:widowControl w:val="0"/>
              <w:kinsoku/>
              <w:wordWrap/>
              <w:overflowPunct/>
              <w:topLinePunct w:val="0"/>
              <w:autoSpaceDE w:val="0"/>
              <w:autoSpaceDN w:val="0"/>
              <w:bidi w:val="0"/>
              <w:adjustRightInd/>
              <w:snapToGrid/>
              <w:spacing w:before="0" w:line="500" w:lineRule="exact"/>
              <w:ind w:right="0"/>
              <w:textAlignment w:val="auto"/>
              <w:rPr>
                <w:sz w:val="24"/>
              </w:rPr>
            </w:pPr>
            <w:r>
              <w:rPr>
                <w:sz w:val="24"/>
              </w:rPr>
              <w:t>联 系 人：</w:t>
            </w:r>
            <w:r>
              <w:rPr>
                <w:rFonts w:hint="eastAsia"/>
                <w:lang w:eastAsia="zh-CN"/>
              </w:rPr>
              <w:t>李福德</w:t>
            </w:r>
          </w:p>
          <w:p>
            <w:pPr>
              <w:keepNext w:val="0"/>
              <w:keepLines w:val="0"/>
              <w:pageBreakBefore w:val="0"/>
              <w:widowControl w:val="0"/>
              <w:kinsoku/>
              <w:wordWrap/>
              <w:overflowPunct/>
              <w:topLinePunct w:val="0"/>
              <w:bidi w:val="0"/>
              <w:adjustRightInd/>
              <w:snapToGrid/>
              <w:spacing w:line="500" w:lineRule="exact"/>
              <w:textAlignment w:val="auto"/>
              <w:rPr>
                <w:rFonts w:ascii="宋体" w:hAnsi="宋体" w:cs="宋体"/>
                <w:spacing w:val="-16"/>
                <w:kern w:val="0"/>
                <w:sz w:val="24"/>
              </w:rPr>
            </w:pPr>
            <w:r>
              <w:rPr>
                <w:sz w:val="24"/>
              </w:rPr>
              <w:t>联系电话：</w:t>
            </w:r>
            <w:r>
              <w:rPr>
                <w:rFonts w:hint="eastAsia" w:ascii="宋体" w:hAnsi="宋体" w:eastAsia="宋体" w:cs="宋体"/>
                <w:i w:val="0"/>
                <w:caps w:val="0"/>
                <w:color w:val="333333"/>
                <w:spacing w:val="0"/>
                <w:kern w:val="0"/>
                <w:sz w:val="24"/>
                <w:szCs w:val="24"/>
                <w:shd w:val="clear" w:color="auto" w:fill="FFFFFF"/>
                <w:lang w:val="en-US" w:eastAsia="zh-CN" w:bidi="ar"/>
              </w:rPr>
              <w:t>18919369899</w:t>
            </w:r>
            <w:r>
              <w:rPr>
                <w:rFonts w:ascii="Calibri" w:eastAsia="Calibri"/>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2</w:t>
            </w:r>
          </w:p>
        </w:tc>
        <w:tc>
          <w:tcPr>
            <w:tcW w:w="1941" w:type="dxa"/>
            <w:vAlign w:val="center"/>
          </w:tcPr>
          <w:p>
            <w:pPr>
              <w:pStyle w:val="5"/>
              <w:adjustRightInd w:val="0"/>
              <w:spacing w:line="400" w:lineRule="exact"/>
              <w:jc w:val="center"/>
              <w:rPr>
                <w:rFonts w:ascii="宋体" w:hAnsi="宋体" w:cs="宋体"/>
                <w:kern w:val="0"/>
                <w:sz w:val="24"/>
                <w:szCs w:val="24"/>
              </w:rPr>
            </w:pPr>
            <w:r>
              <w:rPr>
                <w:rFonts w:hint="eastAsia" w:ascii="宋体" w:hAnsi="宋体" w:cs="宋体"/>
                <w:spacing w:val="-16"/>
                <w:kern w:val="0"/>
                <w:sz w:val="24"/>
                <w:szCs w:val="24"/>
              </w:rPr>
              <w:t>招标代理机构</w:t>
            </w:r>
          </w:p>
        </w:tc>
        <w:tc>
          <w:tcPr>
            <w:tcW w:w="70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right="0" w:rightChars="0"/>
              <w:textAlignment w:val="auto"/>
              <w:outlineLvl w:val="9"/>
            </w:pP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甘肃金盛招标代理有限公司</w:t>
            </w:r>
          </w:p>
          <w:p>
            <w:pPr>
              <w:pStyle w:val="5"/>
              <w:keepNext w:val="0"/>
              <w:keepLines w:val="0"/>
              <w:pageBreakBefore w:val="0"/>
              <w:kinsoku/>
              <w:wordWrap/>
              <w:overflowPunct/>
              <w:topLinePunct w:val="0"/>
              <w:autoSpaceDE/>
              <w:autoSpaceDN/>
              <w:bidi w:val="0"/>
              <w:adjustRightInd w:val="0"/>
              <w:snapToGrid/>
              <w:spacing w:line="500" w:lineRule="exact"/>
              <w:textAlignment w:val="auto"/>
              <w:rPr>
                <w:rFonts w:hint="default" w:ascii="宋体" w:hAnsi="宋体" w:eastAsia="宋体" w:cs="宋体"/>
                <w:sz w:val="24"/>
                <w:szCs w:val="24"/>
                <w:lang w:val="en-US" w:eastAsia="zh-CN"/>
              </w:rPr>
            </w:pPr>
            <w:r>
              <w:rPr>
                <w:rFonts w:hint="eastAsia" w:ascii="宋体" w:hAnsi="宋体" w:cs="宋体"/>
                <w:sz w:val="24"/>
                <w:szCs w:val="24"/>
              </w:rPr>
              <w:t>联系人：</w:t>
            </w:r>
            <w:r>
              <w:rPr>
                <w:rFonts w:hint="eastAsia" w:hAnsi="宋体" w:cs="宋体"/>
                <w:sz w:val="24"/>
                <w:szCs w:val="24"/>
                <w:lang w:eastAsia="zh-CN"/>
              </w:rPr>
              <w:t>张晓琴</w:t>
            </w:r>
            <w:r>
              <w:rPr>
                <w:rFonts w:hint="eastAsia" w:ascii="宋体" w:hAnsi="宋体" w:cs="宋体"/>
                <w:sz w:val="24"/>
                <w:szCs w:val="24"/>
              </w:rPr>
              <w:t xml:space="preserve">          联系电话：</w:t>
            </w:r>
            <w:r>
              <w:rPr>
                <w:rFonts w:hint="eastAsia" w:hAnsi="宋体" w:cs="宋体"/>
                <w:sz w:val="24"/>
                <w:szCs w:val="24"/>
                <w:lang w:val="en-US" w:eastAsia="zh-CN"/>
              </w:rPr>
              <w:t>15379778071</w:t>
            </w:r>
          </w:p>
          <w:p>
            <w:pPr>
              <w:keepNext w:val="0"/>
              <w:keepLines w:val="0"/>
              <w:pageBreakBefore w:val="0"/>
              <w:widowControl/>
              <w:kinsoku/>
              <w:wordWrap/>
              <w:overflowPunct/>
              <w:topLinePunct w:val="0"/>
              <w:autoSpaceDE/>
              <w:autoSpaceDN/>
              <w:bidi w:val="0"/>
              <w:snapToGrid/>
              <w:spacing w:line="500" w:lineRule="exact"/>
              <w:textAlignment w:val="auto"/>
              <w:rPr>
                <w:rFonts w:ascii="宋体" w:hAnsi="宋体" w:cs="宋体"/>
                <w:sz w:val="24"/>
              </w:rPr>
            </w:pPr>
            <w:r>
              <w:rPr>
                <w:rFonts w:hint="eastAsia" w:ascii="宋体" w:hAnsi="宋体" w:cs="宋体"/>
                <w:sz w:val="24"/>
              </w:rPr>
              <w:t>地  址：</w:t>
            </w: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张掖市甘州区东大街101号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3</w:t>
            </w:r>
          </w:p>
        </w:tc>
        <w:tc>
          <w:tcPr>
            <w:tcW w:w="1941" w:type="dxa"/>
            <w:vAlign w:val="center"/>
          </w:tcPr>
          <w:p>
            <w:pPr>
              <w:pStyle w:val="5"/>
              <w:adjustRightInd w:val="0"/>
              <w:spacing w:line="400" w:lineRule="exact"/>
              <w:jc w:val="center"/>
              <w:rPr>
                <w:rFonts w:ascii="宋体" w:hAnsi="宋体" w:cs="宋体"/>
                <w:sz w:val="24"/>
                <w:szCs w:val="24"/>
              </w:rPr>
            </w:pPr>
            <w:r>
              <w:rPr>
                <w:rFonts w:hint="eastAsia" w:ascii="宋体" w:hAnsi="宋体" w:cs="宋体"/>
                <w:sz w:val="24"/>
                <w:szCs w:val="24"/>
              </w:rPr>
              <w:t>项目名称</w:t>
            </w:r>
          </w:p>
        </w:tc>
        <w:tc>
          <w:tcPr>
            <w:tcW w:w="7099" w:type="dxa"/>
            <w:vAlign w:val="center"/>
          </w:tcPr>
          <w:p>
            <w:pPr>
              <w:rPr>
                <w:rFonts w:ascii="宋体" w:hAnsi="宋体" w:cs="宋体"/>
                <w:sz w:val="24"/>
              </w:rPr>
            </w:pPr>
            <w:r>
              <w:rPr>
                <w:rFonts w:hint="eastAsia"/>
              </w:rPr>
              <w:t>民乐县人民法院数据机房</w:t>
            </w:r>
            <w:r>
              <w:rPr>
                <w:rFonts w:hint="eastAsia"/>
                <w:lang w:eastAsia="zh-CN"/>
              </w:rPr>
              <w:t>及办公楼安防监控改造项目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4</w:t>
            </w:r>
          </w:p>
        </w:tc>
        <w:tc>
          <w:tcPr>
            <w:tcW w:w="1941" w:type="dxa"/>
            <w:vAlign w:val="center"/>
          </w:tcPr>
          <w:p>
            <w:pPr>
              <w:pStyle w:val="5"/>
              <w:adjustRightInd w:val="0"/>
              <w:spacing w:line="400" w:lineRule="exact"/>
              <w:ind w:firstLine="480" w:firstLineChars="200"/>
              <w:rPr>
                <w:rFonts w:ascii="宋体" w:hAnsi="宋体" w:cs="宋体"/>
                <w:kern w:val="0"/>
                <w:sz w:val="24"/>
                <w:szCs w:val="24"/>
              </w:rPr>
            </w:pPr>
            <w:r>
              <w:rPr>
                <w:rFonts w:hint="eastAsia" w:ascii="宋体" w:hAnsi="宋体" w:cs="宋体"/>
                <w:sz w:val="24"/>
                <w:szCs w:val="24"/>
              </w:rPr>
              <w:t>招标内容</w:t>
            </w:r>
          </w:p>
        </w:tc>
        <w:tc>
          <w:tcPr>
            <w:tcW w:w="7099" w:type="dxa"/>
            <w:vAlign w:val="center"/>
          </w:tcPr>
          <w:p>
            <w:pPr>
              <w:pStyle w:val="5"/>
              <w:adjustRightInd w:val="0"/>
              <w:spacing w:line="400" w:lineRule="exact"/>
              <w:rPr>
                <w:rFonts w:ascii="宋体" w:hAnsi="宋体" w:cs="宋体"/>
                <w:spacing w:val="-16"/>
                <w:kern w:val="0"/>
                <w:sz w:val="24"/>
                <w:szCs w:val="24"/>
              </w:rPr>
            </w:pPr>
            <w:r>
              <w:rPr>
                <w:rFonts w:hint="eastAsia" w:ascii="宋体" w:hAnsi="宋体" w:cs="宋体"/>
                <w:spacing w:val="-16"/>
                <w:kern w:val="0"/>
                <w:sz w:val="24"/>
                <w:szCs w:val="24"/>
              </w:rPr>
              <w:t>详见《招标文件》第三部分技术参数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5</w:t>
            </w:r>
          </w:p>
        </w:tc>
        <w:tc>
          <w:tcPr>
            <w:tcW w:w="1941" w:type="dxa"/>
            <w:vAlign w:val="center"/>
          </w:tcPr>
          <w:p>
            <w:pPr>
              <w:pStyle w:val="5"/>
              <w:adjustRightInd w:val="0"/>
              <w:spacing w:line="400" w:lineRule="exact"/>
              <w:jc w:val="center"/>
              <w:rPr>
                <w:rFonts w:ascii="宋体" w:hAnsi="宋体" w:cs="宋体"/>
                <w:sz w:val="24"/>
                <w:szCs w:val="24"/>
              </w:rPr>
            </w:pPr>
            <w:r>
              <w:rPr>
                <w:rFonts w:hint="eastAsia" w:ascii="宋体" w:hAnsi="宋体" w:cs="宋体"/>
                <w:sz w:val="24"/>
                <w:szCs w:val="24"/>
              </w:rPr>
              <w:t>资金来源</w:t>
            </w:r>
          </w:p>
        </w:tc>
        <w:tc>
          <w:tcPr>
            <w:tcW w:w="7099" w:type="dxa"/>
            <w:vAlign w:val="center"/>
          </w:tcPr>
          <w:p>
            <w:pPr>
              <w:pStyle w:val="5"/>
              <w:adjustRightInd w:val="0"/>
              <w:spacing w:line="400" w:lineRule="exact"/>
              <w:rPr>
                <w:rFonts w:ascii="宋体" w:hAnsi="宋体" w:cs="宋体"/>
                <w:spacing w:val="-16"/>
                <w:kern w:val="0"/>
                <w:sz w:val="24"/>
                <w:szCs w:val="24"/>
              </w:rPr>
            </w:pPr>
            <w:r>
              <w:rPr>
                <w:rFonts w:hint="eastAsia" w:ascii="宋体" w:hAnsi="宋体" w:cs="宋体"/>
                <w:spacing w:val="-16"/>
                <w:kern w:val="0"/>
                <w:sz w:val="24"/>
                <w:szCs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6</w:t>
            </w:r>
          </w:p>
        </w:tc>
        <w:tc>
          <w:tcPr>
            <w:tcW w:w="1941" w:type="dxa"/>
            <w:vAlign w:val="center"/>
          </w:tcPr>
          <w:p>
            <w:pPr>
              <w:pStyle w:val="5"/>
              <w:adjustRightInd w:val="0"/>
              <w:spacing w:line="400" w:lineRule="exact"/>
              <w:jc w:val="center"/>
              <w:rPr>
                <w:rFonts w:ascii="宋体" w:hAnsi="宋体" w:cs="宋体"/>
                <w:sz w:val="24"/>
                <w:szCs w:val="24"/>
              </w:rPr>
            </w:pPr>
            <w:r>
              <w:rPr>
                <w:rFonts w:hint="eastAsia" w:ascii="宋体" w:hAnsi="宋体" w:cs="宋体"/>
                <w:color w:val="auto"/>
                <w:kern w:val="0"/>
                <w:sz w:val="24"/>
                <w:szCs w:val="24"/>
              </w:rPr>
              <w:t>项目预算</w:t>
            </w:r>
          </w:p>
        </w:tc>
        <w:tc>
          <w:tcPr>
            <w:tcW w:w="7099" w:type="dxa"/>
            <w:vAlign w:val="center"/>
          </w:tcPr>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line="530" w:lineRule="exact"/>
              <w:ind w:leftChars="0" w:right="0" w:rightChars="0"/>
              <w:textAlignment w:val="auto"/>
              <w:rPr>
                <w:rFonts w:ascii="宋体" w:hAnsi="宋体" w:cs="宋体"/>
                <w:sz w:val="24"/>
                <w:szCs w:val="24"/>
              </w:rPr>
            </w:pPr>
            <w:r>
              <w:rPr>
                <w:rFonts w:hint="eastAsia"/>
                <w:b/>
                <w:bCs/>
                <w:lang w:val="en-US" w:eastAsia="zh-CN"/>
              </w:rPr>
              <w:t>大写：</w:t>
            </w:r>
            <w:r>
              <w:rPr>
                <w:rFonts w:hint="eastAsia"/>
                <w:b w:val="0"/>
                <w:bCs w:val="0"/>
                <w:lang w:val="en-US" w:eastAsia="zh-CN"/>
              </w:rPr>
              <w:t>壹佰万元整（</w:t>
            </w:r>
            <w:r>
              <w:rPr>
                <w:rFonts w:hint="eastAsia" w:ascii="宋体" w:hAnsi="宋体" w:eastAsia="宋体" w:cs="宋体"/>
                <w:b w:val="0"/>
                <w:bCs w:val="0"/>
                <w:lang w:val="en-US" w:eastAsia="zh-CN"/>
              </w:rPr>
              <w:t>¥1000000.00</w:t>
            </w:r>
            <w:r>
              <w:rPr>
                <w:rFonts w:hint="eastAsia"/>
                <w:b w:val="0"/>
                <w:bCs w:val="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7</w:t>
            </w:r>
          </w:p>
        </w:tc>
        <w:tc>
          <w:tcPr>
            <w:tcW w:w="1941" w:type="dxa"/>
            <w:vAlign w:val="center"/>
          </w:tcPr>
          <w:p>
            <w:pPr>
              <w:pStyle w:val="5"/>
              <w:adjustRightInd w:val="0"/>
              <w:spacing w:line="400" w:lineRule="exact"/>
              <w:jc w:val="center"/>
              <w:rPr>
                <w:rFonts w:ascii="宋体" w:hAnsi="宋体" w:cs="宋体"/>
                <w:sz w:val="24"/>
                <w:szCs w:val="24"/>
              </w:rPr>
            </w:pPr>
            <w:r>
              <w:rPr>
                <w:rFonts w:hint="eastAsia" w:ascii="宋体" w:hAnsi="宋体" w:cs="宋体"/>
                <w:kern w:val="0"/>
                <w:sz w:val="24"/>
                <w:szCs w:val="24"/>
              </w:rPr>
              <w:t>投标有效期</w:t>
            </w:r>
          </w:p>
        </w:tc>
        <w:tc>
          <w:tcPr>
            <w:tcW w:w="7099" w:type="dxa"/>
            <w:vAlign w:val="center"/>
          </w:tcPr>
          <w:p>
            <w:pPr>
              <w:pStyle w:val="5"/>
              <w:adjustRightInd w:val="0"/>
              <w:spacing w:line="400" w:lineRule="exact"/>
              <w:rPr>
                <w:rFonts w:ascii="宋体" w:hAnsi="宋体" w:cs="宋体"/>
                <w:sz w:val="24"/>
                <w:szCs w:val="24"/>
              </w:rPr>
            </w:pPr>
            <w:r>
              <w:rPr>
                <w:rFonts w:hint="eastAsia" w:ascii="宋体" w:hAnsi="宋体" w:cs="宋体"/>
                <w:sz w:val="24"/>
                <w:szCs w:val="24"/>
              </w:rPr>
              <w:t>60日历天（从投标截止之日起）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8</w:t>
            </w:r>
          </w:p>
        </w:tc>
        <w:tc>
          <w:tcPr>
            <w:tcW w:w="1941" w:type="dxa"/>
            <w:vAlign w:val="center"/>
          </w:tcPr>
          <w:p>
            <w:pPr>
              <w:pStyle w:val="5"/>
              <w:adjustRightInd w:val="0"/>
              <w:spacing w:line="400" w:lineRule="exact"/>
              <w:jc w:val="center"/>
              <w:rPr>
                <w:rFonts w:ascii="宋体" w:hAnsi="宋体" w:cs="宋体"/>
                <w:sz w:val="24"/>
                <w:szCs w:val="24"/>
              </w:rPr>
            </w:pPr>
            <w:r>
              <w:rPr>
                <w:rFonts w:hint="eastAsia" w:ascii="宋体" w:hAnsi="宋体" w:cs="宋体"/>
                <w:sz w:val="24"/>
                <w:szCs w:val="24"/>
              </w:rPr>
              <w:t>资格审查方式</w:t>
            </w:r>
          </w:p>
        </w:tc>
        <w:tc>
          <w:tcPr>
            <w:tcW w:w="7099" w:type="dxa"/>
            <w:vAlign w:val="center"/>
          </w:tcPr>
          <w:p>
            <w:pPr>
              <w:pStyle w:val="5"/>
              <w:adjustRightInd w:val="0"/>
              <w:spacing w:line="400" w:lineRule="exact"/>
              <w:rPr>
                <w:rFonts w:ascii="宋体" w:hAnsi="宋体" w:cs="宋体"/>
                <w:sz w:val="24"/>
                <w:szCs w:val="24"/>
              </w:rPr>
            </w:pPr>
            <w:r>
              <w:rPr>
                <w:rFonts w:hint="eastAsia" w:ascii="宋体" w:hAnsi="宋体" w:cs="宋体"/>
                <w:sz w:val="24"/>
                <w:szCs w:val="24"/>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9</w:t>
            </w:r>
          </w:p>
        </w:tc>
        <w:tc>
          <w:tcPr>
            <w:tcW w:w="1941" w:type="dxa"/>
            <w:vAlign w:val="center"/>
          </w:tcPr>
          <w:p>
            <w:pPr>
              <w:widowControl/>
              <w:adjustRightInd w:val="0"/>
              <w:spacing w:line="400" w:lineRule="exact"/>
              <w:jc w:val="center"/>
              <w:rPr>
                <w:rFonts w:ascii="宋体" w:hAnsi="宋体" w:cs="宋体"/>
                <w:sz w:val="24"/>
              </w:rPr>
            </w:pPr>
            <w:r>
              <w:rPr>
                <w:rFonts w:hint="eastAsia" w:ascii="宋体" w:hAnsi="宋体" w:cs="宋体"/>
                <w:sz w:val="24"/>
              </w:rPr>
              <w:t>供货期</w:t>
            </w:r>
          </w:p>
        </w:tc>
        <w:tc>
          <w:tcPr>
            <w:tcW w:w="7099" w:type="dxa"/>
            <w:vAlign w:val="center"/>
          </w:tcPr>
          <w:p>
            <w:pPr>
              <w:widowControl/>
              <w:adjustRightInd w:val="0"/>
              <w:spacing w:line="400" w:lineRule="exact"/>
              <w:rPr>
                <w:rFonts w:ascii="宋体" w:hAnsi="宋体" w:cs="宋体"/>
                <w:sz w:val="24"/>
              </w:rPr>
            </w:pPr>
            <w:r>
              <w:rPr>
                <w:rFonts w:hint="eastAsia" w:ascii="宋体" w:hAnsi="宋体" w:cs="宋体"/>
                <w:sz w:val="24"/>
              </w:rPr>
              <w:t>签订合同时协商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10</w:t>
            </w:r>
          </w:p>
        </w:tc>
        <w:tc>
          <w:tcPr>
            <w:tcW w:w="1941" w:type="dxa"/>
            <w:vAlign w:val="center"/>
          </w:tcPr>
          <w:p>
            <w:pPr>
              <w:widowControl/>
              <w:adjustRightInd w:val="0"/>
              <w:spacing w:line="400" w:lineRule="exact"/>
              <w:jc w:val="center"/>
              <w:rPr>
                <w:rFonts w:ascii="宋体" w:hAnsi="宋体" w:cs="宋体"/>
                <w:sz w:val="24"/>
              </w:rPr>
            </w:pPr>
            <w:r>
              <w:rPr>
                <w:rFonts w:hint="eastAsia" w:ascii="宋体" w:hAnsi="宋体" w:cs="宋体"/>
                <w:kern w:val="0"/>
                <w:sz w:val="24"/>
              </w:rPr>
              <w:t>项目地点</w:t>
            </w:r>
          </w:p>
        </w:tc>
        <w:tc>
          <w:tcPr>
            <w:tcW w:w="7099" w:type="dxa"/>
            <w:vAlign w:val="center"/>
          </w:tcPr>
          <w:p>
            <w:pPr>
              <w:widowControl/>
              <w:adjustRightInd w:val="0"/>
              <w:spacing w:line="400" w:lineRule="exact"/>
              <w:rPr>
                <w:rFonts w:ascii="宋体" w:hAnsi="宋体" w:cs="宋体"/>
                <w:sz w:val="24"/>
              </w:rPr>
            </w:pPr>
            <w:r>
              <w:rPr>
                <w:rFonts w:hint="eastAsia" w:ascii="宋体" w:hAnsi="宋体" w:cs="宋体"/>
                <w:kern w:val="0"/>
                <w:sz w:val="24"/>
                <w:lang w:val="ru-RU"/>
              </w:rPr>
              <w:t>甘肃省民乐县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11</w:t>
            </w:r>
          </w:p>
        </w:tc>
        <w:tc>
          <w:tcPr>
            <w:tcW w:w="1941" w:type="dxa"/>
            <w:vAlign w:val="center"/>
          </w:tcPr>
          <w:p>
            <w:pPr>
              <w:widowControl/>
              <w:adjustRightInd w:val="0"/>
              <w:spacing w:line="400" w:lineRule="exact"/>
              <w:jc w:val="center"/>
              <w:rPr>
                <w:rFonts w:ascii="宋体" w:hAnsi="宋体" w:cs="宋体"/>
                <w:sz w:val="24"/>
              </w:rPr>
            </w:pPr>
            <w:r>
              <w:rPr>
                <w:rFonts w:hint="eastAsia" w:ascii="宋体" w:hAnsi="宋体" w:cs="宋体"/>
                <w:kern w:val="0"/>
                <w:sz w:val="24"/>
              </w:rPr>
              <w:t>质量标准</w:t>
            </w:r>
          </w:p>
        </w:tc>
        <w:tc>
          <w:tcPr>
            <w:tcW w:w="7099" w:type="dxa"/>
            <w:vAlign w:val="center"/>
          </w:tcPr>
          <w:p>
            <w:pPr>
              <w:widowControl/>
              <w:adjustRightInd w:val="0"/>
              <w:spacing w:line="400" w:lineRule="exact"/>
              <w:rPr>
                <w:rFonts w:ascii="宋体" w:hAnsi="宋体" w:cs="宋体"/>
                <w:sz w:val="24"/>
              </w:rPr>
            </w:pPr>
            <w:r>
              <w:rPr>
                <w:rFonts w:hint="eastAsia" w:ascii="宋体" w:hAnsi="宋体" w:cs="宋体"/>
                <w:sz w:val="24"/>
              </w:rPr>
              <w:t>满足《招标文件》</w:t>
            </w:r>
            <w:r>
              <w:rPr>
                <w:rFonts w:hint="eastAsia" w:ascii="宋体" w:hAnsi="宋体" w:cs="宋体"/>
                <w:spacing w:val="-21"/>
                <w:kern w:val="0"/>
                <w:sz w:val="24"/>
              </w:rPr>
              <w:t>第三部分：技术参数要求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12</w:t>
            </w:r>
          </w:p>
        </w:tc>
        <w:tc>
          <w:tcPr>
            <w:tcW w:w="1941" w:type="dxa"/>
            <w:vAlign w:val="center"/>
          </w:tcPr>
          <w:p>
            <w:pPr>
              <w:widowControl/>
              <w:adjustRightInd w:val="0"/>
              <w:spacing w:line="400" w:lineRule="exact"/>
              <w:jc w:val="center"/>
              <w:rPr>
                <w:rFonts w:ascii="宋体" w:hAnsi="宋体" w:cs="宋体"/>
                <w:sz w:val="24"/>
              </w:rPr>
            </w:pPr>
            <w:r>
              <w:rPr>
                <w:rFonts w:hint="eastAsia" w:ascii="宋体" w:hAnsi="宋体" w:cs="宋体"/>
                <w:kern w:val="0"/>
                <w:sz w:val="24"/>
              </w:rPr>
              <w:t>踏勘现场</w:t>
            </w:r>
          </w:p>
        </w:tc>
        <w:tc>
          <w:tcPr>
            <w:tcW w:w="7099" w:type="dxa"/>
            <w:vAlign w:val="center"/>
          </w:tcPr>
          <w:p>
            <w:pPr>
              <w:widowControl/>
              <w:adjustRightInd w:val="0"/>
              <w:spacing w:line="400" w:lineRule="exact"/>
              <w:rPr>
                <w:rFonts w:ascii="宋体" w:hAnsi="宋体" w:cs="宋体"/>
                <w:sz w:val="24"/>
              </w:rPr>
            </w:pPr>
            <w:r>
              <w:rPr>
                <w:rFonts w:hint="eastAsia" w:ascii="宋体" w:hAnsi="宋体" w:cs="宋体"/>
                <w:color w:val="000000"/>
                <w:kern w:val="0"/>
                <w:sz w:val="24"/>
              </w:rPr>
              <w:t>本项目不组织现场踏勘，供应商如需踏勘，费用自理。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13</w:t>
            </w:r>
          </w:p>
        </w:tc>
        <w:tc>
          <w:tcPr>
            <w:tcW w:w="1941" w:type="dxa"/>
            <w:vAlign w:val="center"/>
          </w:tcPr>
          <w:p>
            <w:pPr>
              <w:widowControl/>
              <w:adjustRightInd w:val="0"/>
              <w:spacing w:line="400" w:lineRule="exact"/>
              <w:jc w:val="center"/>
              <w:rPr>
                <w:rFonts w:ascii="宋体" w:hAnsi="宋体" w:cs="宋体"/>
                <w:sz w:val="24"/>
              </w:rPr>
            </w:pPr>
            <w:r>
              <w:rPr>
                <w:rFonts w:hint="eastAsia" w:ascii="宋体" w:hAnsi="宋体" w:cs="宋体"/>
                <w:kern w:val="0"/>
                <w:sz w:val="24"/>
              </w:rPr>
              <w:t>付款方式</w:t>
            </w:r>
          </w:p>
        </w:tc>
        <w:tc>
          <w:tcPr>
            <w:tcW w:w="7099" w:type="dxa"/>
            <w:vAlign w:val="center"/>
          </w:tcPr>
          <w:p>
            <w:pPr>
              <w:widowControl/>
              <w:spacing w:line="400" w:lineRule="exact"/>
              <w:rPr>
                <w:rFonts w:ascii="宋体" w:hAnsi="宋体" w:cs="宋体"/>
                <w:sz w:val="24"/>
              </w:rPr>
            </w:pPr>
            <w:r>
              <w:rPr>
                <w:rFonts w:hint="eastAsia" w:ascii="宋体" w:hAnsi="宋体" w:cs="宋体"/>
                <w:sz w:val="24"/>
              </w:rPr>
              <w:t>签订合同时协商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14</w:t>
            </w:r>
          </w:p>
        </w:tc>
        <w:tc>
          <w:tcPr>
            <w:tcW w:w="1941" w:type="dxa"/>
            <w:vAlign w:val="center"/>
          </w:tcPr>
          <w:p>
            <w:pPr>
              <w:pStyle w:val="5"/>
              <w:adjustRightInd w:val="0"/>
              <w:spacing w:line="400" w:lineRule="exact"/>
              <w:jc w:val="center"/>
              <w:rPr>
                <w:rFonts w:ascii="宋体" w:hAnsi="宋体" w:cs="宋体"/>
                <w:kern w:val="0"/>
                <w:sz w:val="24"/>
                <w:szCs w:val="24"/>
              </w:rPr>
            </w:pPr>
            <w:r>
              <w:rPr>
                <w:rFonts w:hint="eastAsia" w:ascii="宋体" w:hAnsi="宋体" w:cs="宋体"/>
                <w:spacing w:val="-8"/>
                <w:kern w:val="0"/>
                <w:sz w:val="24"/>
                <w:szCs w:val="24"/>
              </w:rPr>
              <w:t>投标文件份数</w:t>
            </w:r>
          </w:p>
        </w:tc>
        <w:tc>
          <w:tcPr>
            <w:tcW w:w="7099" w:type="dxa"/>
            <w:vAlign w:val="center"/>
          </w:tcPr>
          <w:p>
            <w:pPr>
              <w:pStyle w:val="5"/>
              <w:adjustRightInd w:val="0"/>
              <w:spacing w:line="400" w:lineRule="exact"/>
              <w:jc w:val="left"/>
              <w:rPr>
                <w:rFonts w:hint="eastAsia" w:ascii="宋体" w:hAnsi="宋体" w:eastAsia="宋体" w:cs="宋体"/>
                <w:color w:val="000000"/>
                <w:sz w:val="24"/>
                <w:szCs w:val="24"/>
                <w:lang w:val="en-US" w:eastAsia="zh-CN"/>
              </w:rPr>
            </w:pPr>
            <w:r>
              <w:rPr>
                <w:rFonts w:hint="eastAsia" w:ascii="宋体" w:hAnsi="宋体" w:cs="宋体"/>
                <w:sz w:val="24"/>
                <w:szCs w:val="24"/>
              </w:rPr>
              <w:t>正本一套、副本</w:t>
            </w:r>
            <w:r>
              <w:rPr>
                <w:rFonts w:hint="eastAsia" w:hAnsi="宋体" w:cs="宋体"/>
                <w:sz w:val="24"/>
                <w:szCs w:val="24"/>
                <w:lang w:eastAsia="zh-CN"/>
              </w:rPr>
              <w:t>四</w:t>
            </w:r>
            <w:r>
              <w:rPr>
                <w:rFonts w:hint="eastAsia" w:ascii="宋体" w:hAnsi="宋体" w:cs="宋体"/>
                <w:sz w:val="24"/>
                <w:szCs w:val="24"/>
              </w:rPr>
              <w:t>套、电子版U盘文档一份(U盘内拷贝PDF格式文件一份，Word格式一份，必须与《</w:t>
            </w:r>
            <w:r>
              <w:rPr>
                <w:rFonts w:hint="eastAsia" w:ascii="宋体" w:hAnsi="宋体" w:cs="宋体"/>
                <w:spacing w:val="-8"/>
                <w:kern w:val="0"/>
                <w:sz w:val="24"/>
                <w:szCs w:val="24"/>
              </w:rPr>
              <w:t>投标文件</w:t>
            </w:r>
            <w:r>
              <w:rPr>
                <w:rFonts w:hint="eastAsia" w:ascii="宋体" w:hAnsi="宋体" w:cs="宋体"/>
                <w:sz w:val="24"/>
                <w:szCs w:val="24"/>
              </w:rPr>
              <w:t>》正本一致）提交不退。开标时将核验电子投标文件是否能正常打开，评标时由评标专家核对电子投标文件与纸质版投标文件内容是否一致</w:t>
            </w:r>
            <w:r>
              <w:rPr>
                <w:rFonts w:hint="eastAsia" w:hAnsi="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15</w:t>
            </w:r>
          </w:p>
        </w:tc>
        <w:tc>
          <w:tcPr>
            <w:tcW w:w="1941" w:type="dxa"/>
            <w:vAlign w:val="center"/>
          </w:tcPr>
          <w:p>
            <w:pPr>
              <w:pStyle w:val="5"/>
              <w:adjustRightInd w:val="0"/>
              <w:spacing w:line="400" w:lineRule="exact"/>
              <w:jc w:val="center"/>
              <w:rPr>
                <w:rFonts w:ascii="宋体" w:hAnsi="宋体" w:cs="宋体"/>
                <w:kern w:val="0"/>
                <w:sz w:val="24"/>
                <w:szCs w:val="24"/>
              </w:rPr>
            </w:pPr>
            <w:r>
              <w:rPr>
                <w:rFonts w:hint="eastAsia" w:ascii="宋体" w:hAnsi="宋体" w:cs="宋体"/>
                <w:sz w:val="24"/>
                <w:szCs w:val="24"/>
              </w:rPr>
              <w:t>评标委员会</w:t>
            </w:r>
          </w:p>
        </w:tc>
        <w:tc>
          <w:tcPr>
            <w:tcW w:w="7099" w:type="dxa"/>
            <w:vAlign w:val="center"/>
          </w:tcPr>
          <w:p>
            <w:pPr>
              <w:spacing w:line="400" w:lineRule="exact"/>
              <w:rPr>
                <w:rFonts w:ascii="宋体" w:hAnsi="宋体" w:cs="宋体"/>
                <w:sz w:val="24"/>
              </w:rPr>
            </w:pPr>
            <w:r>
              <w:rPr>
                <w:rFonts w:hint="eastAsia" w:ascii="宋体" w:hAnsi="宋体" w:cs="宋体"/>
                <w:sz w:val="24"/>
              </w:rPr>
              <w:t>评标小组构成：评审专家5人或5人以上单数。</w:t>
            </w:r>
          </w:p>
          <w:p>
            <w:pPr>
              <w:spacing w:line="400" w:lineRule="exact"/>
              <w:rPr>
                <w:rFonts w:ascii="宋体" w:hAnsi="宋体" w:cs="宋体"/>
                <w:color w:val="000000"/>
                <w:sz w:val="24"/>
                <w:highlight w:val="yellow"/>
              </w:rPr>
            </w:pPr>
            <w:r>
              <w:rPr>
                <w:rFonts w:hint="eastAsia" w:ascii="宋体" w:hAnsi="宋体" w:cs="宋体"/>
                <w:sz w:val="24"/>
              </w:rPr>
              <w:t>评标专家确定方式：张掖市公共资源交易中心民乐县分中心专家库中随机抽取。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16</w:t>
            </w:r>
          </w:p>
        </w:tc>
        <w:tc>
          <w:tcPr>
            <w:tcW w:w="1941" w:type="dxa"/>
            <w:vAlign w:val="center"/>
          </w:tcPr>
          <w:p>
            <w:pPr>
              <w:pStyle w:val="5"/>
              <w:adjustRightInd w:val="0"/>
              <w:spacing w:line="400" w:lineRule="exact"/>
              <w:jc w:val="center"/>
              <w:rPr>
                <w:rFonts w:ascii="宋体" w:hAnsi="宋体" w:cs="宋体"/>
                <w:spacing w:val="-20"/>
                <w:kern w:val="0"/>
                <w:sz w:val="24"/>
                <w:szCs w:val="24"/>
              </w:rPr>
            </w:pPr>
            <w:r>
              <w:rPr>
                <w:rFonts w:hint="eastAsia" w:ascii="宋体" w:hAnsi="宋体" w:cs="宋体"/>
                <w:spacing w:val="-20"/>
                <w:kern w:val="0"/>
                <w:sz w:val="24"/>
                <w:szCs w:val="24"/>
              </w:rPr>
              <w:t>递</w:t>
            </w:r>
            <w:r>
              <w:rPr>
                <w:rFonts w:hint="eastAsia" w:ascii="宋体" w:hAnsi="宋体" w:cs="宋体"/>
                <w:color w:val="auto"/>
                <w:spacing w:val="-20"/>
                <w:kern w:val="0"/>
                <w:sz w:val="24"/>
                <w:szCs w:val="24"/>
              </w:rPr>
              <w:t>交投标文件时间及地点</w:t>
            </w:r>
          </w:p>
        </w:tc>
        <w:tc>
          <w:tcPr>
            <w:tcW w:w="7099" w:type="dxa"/>
            <w:vAlign w:val="center"/>
          </w:tcPr>
          <w:p>
            <w:pPr>
              <w:widowControl/>
              <w:adjustRightInd w:val="0"/>
              <w:spacing w:line="400" w:lineRule="exact"/>
              <w:rPr>
                <w:rFonts w:ascii="宋体" w:hAnsi="宋体" w:cs="宋体"/>
                <w:spacing w:val="-20"/>
                <w:sz w:val="24"/>
              </w:rPr>
            </w:pPr>
            <w:r>
              <w:rPr>
                <w:rFonts w:hint="eastAsia" w:ascii="宋体" w:hAnsi="宋体" w:cs="宋体"/>
                <w:sz w:val="24"/>
              </w:rPr>
              <w:t>时间</w:t>
            </w:r>
            <w:r>
              <w:rPr>
                <w:rFonts w:hint="eastAsia" w:ascii="宋体" w:hAnsi="宋体" w:cs="宋体"/>
                <w:spacing w:val="-20"/>
                <w:sz w:val="24"/>
              </w:rPr>
              <w:t>：</w:t>
            </w:r>
            <w:r>
              <w:rPr>
                <w:rFonts w:hint="eastAsia" w:ascii="宋体" w:hAnsi="宋体" w:cs="宋体"/>
                <w:bCs/>
                <w:color w:val="212121"/>
                <w:kern w:val="0"/>
                <w:sz w:val="24"/>
                <w:shd w:val="clear" w:color="auto" w:fill="FFFFFF"/>
              </w:rPr>
              <w:t>2019年</w:t>
            </w:r>
            <w:r>
              <w:rPr>
                <w:rFonts w:hint="eastAsia" w:ascii="宋体" w:hAnsi="宋体" w:cs="宋体"/>
                <w:bCs/>
                <w:color w:val="212121"/>
                <w:kern w:val="0"/>
                <w:sz w:val="24"/>
                <w:u w:val="single"/>
                <w:shd w:val="clear" w:color="auto" w:fill="FFFFFF"/>
              </w:rPr>
              <w:t xml:space="preserve"> </w:t>
            </w:r>
            <w:r>
              <w:rPr>
                <w:rFonts w:hint="eastAsia" w:ascii="宋体" w:hAnsi="宋体" w:cs="宋体"/>
                <w:bCs/>
                <w:color w:val="212121"/>
                <w:kern w:val="0"/>
                <w:sz w:val="24"/>
                <w:u w:val="single"/>
                <w:shd w:val="clear" w:color="auto" w:fill="FFFFFF"/>
                <w:lang w:val="en-US" w:eastAsia="zh-CN"/>
              </w:rPr>
              <w:t>12</w:t>
            </w:r>
            <w:r>
              <w:rPr>
                <w:rFonts w:hint="eastAsia" w:ascii="宋体" w:hAnsi="宋体" w:cs="宋体"/>
                <w:bCs/>
                <w:color w:val="212121"/>
                <w:kern w:val="0"/>
                <w:sz w:val="24"/>
                <w:u w:val="single"/>
                <w:shd w:val="clear" w:color="auto" w:fill="FFFFFF"/>
              </w:rPr>
              <w:t xml:space="preserve"> </w:t>
            </w:r>
            <w:r>
              <w:rPr>
                <w:rFonts w:hint="eastAsia" w:ascii="宋体" w:hAnsi="宋体" w:cs="宋体"/>
                <w:bCs/>
                <w:color w:val="212121"/>
                <w:kern w:val="0"/>
                <w:sz w:val="24"/>
                <w:shd w:val="clear" w:color="auto" w:fill="FFFFFF"/>
              </w:rPr>
              <w:t>月</w:t>
            </w:r>
            <w:r>
              <w:rPr>
                <w:rFonts w:hint="eastAsia" w:ascii="宋体" w:hAnsi="宋体" w:cs="宋体"/>
                <w:bCs/>
                <w:color w:val="212121"/>
                <w:kern w:val="0"/>
                <w:sz w:val="24"/>
                <w:u w:val="single"/>
                <w:shd w:val="clear" w:color="auto" w:fill="FFFFFF"/>
              </w:rPr>
              <w:t xml:space="preserve"> </w:t>
            </w:r>
            <w:r>
              <w:rPr>
                <w:rFonts w:hint="eastAsia" w:ascii="宋体" w:hAnsi="宋体" w:cs="宋体"/>
                <w:bCs/>
                <w:color w:val="212121"/>
                <w:kern w:val="0"/>
                <w:sz w:val="24"/>
                <w:u w:val="single"/>
                <w:shd w:val="clear" w:color="auto" w:fill="FFFFFF"/>
                <w:lang w:val="en-US" w:eastAsia="zh-CN"/>
              </w:rPr>
              <w:t>5</w:t>
            </w:r>
            <w:r>
              <w:rPr>
                <w:rFonts w:hint="eastAsia" w:ascii="宋体" w:hAnsi="宋体" w:cs="宋体"/>
                <w:bCs/>
                <w:color w:val="212121"/>
                <w:kern w:val="0"/>
                <w:sz w:val="24"/>
                <w:u w:val="single"/>
                <w:shd w:val="clear" w:color="auto" w:fill="FFFFFF"/>
              </w:rPr>
              <w:t xml:space="preserve"> </w:t>
            </w:r>
            <w:r>
              <w:rPr>
                <w:rFonts w:hint="eastAsia" w:ascii="宋体" w:hAnsi="宋体" w:cs="宋体"/>
                <w:bCs/>
                <w:color w:val="212121"/>
                <w:kern w:val="0"/>
                <w:sz w:val="24"/>
                <w:shd w:val="clear" w:color="auto" w:fill="FFFFFF"/>
              </w:rPr>
              <w:t>日</w:t>
            </w:r>
            <w:r>
              <w:rPr>
                <w:rFonts w:hint="eastAsia" w:ascii="宋体" w:hAnsi="宋体" w:cs="宋体"/>
                <w:bCs/>
                <w:color w:val="212121"/>
                <w:kern w:val="0"/>
                <w:sz w:val="24"/>
                <w:u w:val="single"/>
                <w:shd w:val="clear" w:color="auto" w:fill="FFFFFF"/>
              </w:rPr>
              <w:t xml:space="preserve"> </w:t>
            </w:r>
            <w:r>
              <w:rPr>
                <w:rFonts w:hint="eastAsia" w:ascii="宋体" w:hAnsi="宋体" w:cs="宋体"/>
                <w:bCs/>
                <w:color w:val="212121"/>
                <w:kern w:val="0"/>
                <w:sz w:val="24"/>
                <w:u w:val="single"/>
                <w:shd w:val="clear" w:color="auto" w:fill="FFFFFF"/>
                <w:lang w:val="en-US" w:eastAsia="zh-CN"/>
              </w:rPr>
              <w:t>09</w:t>
            </w:r>
            <w:r>
              <w:rPr>
                <w:rFonts w:hint="eastAsia" w:ascii="宋体" w:hAnsi="宋体" w:cs="宋体"/>
                <w:bCs/>
                <w:color w:val="212121"/>
                <w:kern w:val="0"/>
                <w:sz w:val="24"/>
                <w:u w:val="single"/>
                <w:shd w:val="clear" w:color="auto" w:fill="FFFFFF"/>
              </w:rPr>
              <w:t xml:space="preserve"> </w:t>
            </w:r>
            <w:r>
              <w:rPr>
                <w:rFonts w:hint="eastAsia" w:ascii="宋体" w:hAnsi="宋体" w:cs="宋体"/>
                <w:bCs/>
                <w:color w:val="212121"/>
                <w:kern w:val="0"/>
                <w:sz w:val="24"/>
                <w:shd w:val="clear" w:color="auto" w:fill="FFFFFF"/>
              </w:rPr>
              <w:t>：</w:t>
            </w:r>
            <w:r>
              <w:rPr>
                <w:rFonts w:hint="eastAsia" w:ascii="宋体" w:hAnsi="宋体" w:cs="宋体"/>
                <w:bCs/>
                <w:color w:val="212121"/>
                <w:kern w:val="0"/>
                <w:sz w:val="24"/>
                <w:u w:val="single"/>
                <w:shd w:val="clear" w:color="auto" w:fill="FFFFFF"/>
              </w:rPr>
              <w:t>00</w:t>
            </w:r>
            <w:r>
              <w:rPr>
                <w:rFonts w:hint="eastAsia" w:ascii="宋体" w:hAnsi="宋体" w:cs="宋体"/>
                <w:color w:val="000000"/>
                <w:sz w:val="24"/>
              </w:rPr>
              <w:t>分（北京时间）之前</w:t>
            </w:r>
          </w:p>
          <w:p>
            <w:pPr>
              <w:adjustRightInd w:val="0"/>
              <w:spacing w:line="400" w:lineRule="exact"/>
              <w:rPr>
                <w:rFonts w:ascii="宋体" w:hAnsi="宋体" w:cs="宋体"/>
                <w:color w:val="000000"/>
                <w:sz w:val="24"/>
                <w:highlight w:val="yellow"/>
              </w:rPr>
            </w:pPr>
            <w:r>
              <w:rPr>
                <w:rFonts w:hint="eastAsia" w:ascii="宋体" w:hAnsi="宋体" w:cs="宋体"/>
                <w:kern w:val="0"/>
                <w:sz w:val="24"/>
              </w:rPr>
              <w:t>地点：</w:t>
            </w:r>
            <w:r>
              <w:rPr>
                <w:rFonts w:hint="eastAsia" w:ascii="宋体" w:hAnsi="宋体" w:cs="宋体"/>
                <w:bCs/>
                <w:color w:val="000000"/>
                <w:sz w:val="24"/>
                <w:shd w:val="clear" w:color="auto" w:fill="FFFFFF"/>
              </w:rPr>
              <w:t>张掖市公共资源交易中心民乐县分中心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17</w:t>
            </w:r>
          </w:p>
        </w:tc>
        <w:tc>
          <w:tcPr>
            <w:tcW w:w="1941" w:type="dxa"/>
            <w:vAlign w:val="center"/>
          </w:tcPr>
          <w:p>
            <w:pPr>
              <w:pStyle w:val="5"/>
              <w:adjustRightInd w:val="0"/>
              <w:spacing w:line="400" w:lineRule="exact"/>
              <w:jc w:val="center"/>
              <w:rPr>
                <w:rFonts w:ascii="宋体" w:hAnsi="宋体" w:cs="宋体"/>
                <w:kern w:val="0"/>
                <w:sz w:val="24"/>
                <w:szCs w:val="24"/>
              </w:rPr>
            </w:pPr>
            <w:r>
              <w:rPr>
                <w:rFonts w:hint="eastAsia" w:ascii="宋体" w:hAnsi="宋体" w:cs="宋体"/>
                <w:color w:val="auto"/>
                <w:spacing w:val="-8"/>
                <w:kern w:val="0"/>
                <w:sz w:val="24"/>
                <w:szCs w:val="24"/>
              </w:rPr>
              <w:t>开标时间及地</w:t>
            </w:r>
            <w:r>
              <w:rPr>
                <w:rFonts w:hint="eastAsia" w:ascii="宋体" w:hAnsi="宋体" w:cs="宋体"/>
                <w:spacing w:val="-8"/>
                <w:kern w:val="0"/>
                <w:sz w:val="24"/>
                <w:szCs w:val="24"/>
              </w:rPr>
              <w:t>点</w:t>
            </w:r>
          </w:p>
        </w:tc>
        <w:tc>
          <w:tcPr>
            <w:tcW w:w="7099" w:type="dxa"/>
            <w:vAlign w:val="center"/>
          </w:tcPr>
          <w:p>
            <w:pPr>
              <w:widowControl/>
              <w:adjustRightInd w:val="0"/>
              <w:spacing w:line="400" w:lineRule="exact"/>
              <w:rPr>
                <w:rFonts w:ascii="宋体" w:hAnsi="宋体" w:cs="宋体"/>
                <w:spacing w:val="-20"/>
                <w:sz w:val="24"/>
              </w:rPr>
            </w:pPr>
            <w:r>
              <w:rPr>
                <w:rFonts w:hint="eastAsia" w:ascii="宋体" w:hAnsi="宋体" w:cs="宋体"/>
                <w:sz w:val="24"/>
              </w:rPr>
              <w:t>时间</w:t>
            </w:r>
            <w:r>
              <w:rPr>
                <w:rFonts w:hint="eastAsia" w:ascii="宋体" w:hAnsi="宋体" w:cs="宋体"/>
                <w:spacing w:val="-20"/>
                <w:sz w:val="24"/>
              </w:rPr>
              <w:t>：</w:t>
            </w:r>
            <w:r>
              <w:rPr>
                <w:rFonts w:hint="eastAsia" w:ascii="宋体" w:hAnsi="宋体" w:cs="宋体"/>
                <w:bCs/>
                <w:color w:val="212121"/>
                <w:kern w:val="0"/>
                <w:sz w:val="24"/>
                <w:shd w:val="clear" w:color="auto" w:fill="FFFFFF"/>
              </w:rPr>
              <w:t>2019年</w:t>
            </w:r>
            <w:r>
              <w:rPr>
                <w:rFonts w:hint="eastAsia" w:ascii="宋体" w:hAnsi="宋体" w:cs="宋体"/>
                <w:bCs/>
                <w:color w:val="212121"/>
                <w:kern w:val="0"/>
                <w:sz w:val="24"/>
                <w:u w:val="single"/>
                <w:shd w:val="clear" w:color="auto" w:fill="FFFFFF"/>
              </w:rPr>
              <w:t xml:space="preserve"> </w:t>
            </w:r>
            <w:r>
              <w:rPr>
                <w:rFonts w:hint="eastAsia" w:ascii="宋体" w:hAnsi="宋体" w:cs="宋体"/>
                <w:bCs/>
                <w:color w:val="212121"/>
                <w:kern w:val="0"/>
                <w:sz w:val="24"/>
                <w:u w:val="single"/>
                <w:shd w:val="clear" w:color="auto" w:fill="FFFFFF"/>
                <w:lang w:val="en-US" w:eastAsia="zh-CN"/>
              </w:rPr>
              <w:t>12</w:t>
            </w:r>
            <w:r>
              <w:rPr>
                <w:rFonts w:hint="eastAsia" w:ascii="宋体" w:hAnsi="宋体" w:cs="宋体"/>
                <w:bCs/>
                <w:color w:val="212121"/>
                <w:kern w:val="0"/>
                <w:sz w:val="24"/>
                <w:u w:val="single"/>
                <w:shd w:val="clear" w:color="auto" w:fill="FFFFFF"/>
              </w:rPr>
              <w:t xml:space="preserve"> </w:t>
            </w:r>
            <w:r>
              <w:rPr>
                <w:rFonts w:hint="eastAsia" w:ascii="宋体" w:hAnsi="宋体" w:cs="宋体"/>
                <w:bCs/>
                <w:color w:val="212121"/>
                <w:kern w:val="0"/>
                <w:sz w:val="24"/>
                <w:shd w:val="clear" w:color="auto" w:fill="FFFFFF"/>
              </w:rPr>
              <w:t>月</w:t>
            </w:r>
            <w:r>
              <w:rPr>
                <w:rFonts w:hint="eastAsia" w:ascii="宋体" w:hAnsi="宋体" w:cs="宋体"/>
                <w:bCs/>
                <w:color w:val="212121"/>
                <w:kern w:val="0"/>
                <w:sz w:val="24"/>
                <w:u w:val="single"/>
                <w:shd w:val="clear" w:color="auto" w:fill="FFFFFF"/>
              </w:rPr>
              <w:t xml:space="preserve"> </w:t>
            </w:r>
            <w:r>
              <w:rPr>
                <w:rFonts w:hint="eastAsia" w:ascii="宋体" w:hAnsi="宋体" w:cs="宋体"/>
                <w:bCs/>
                <w:color w:val="212121"/>
                <w:kern w:val="0"/>
                <w:sz w:val="24"/>
                <w:u w:val="single"/>
                <w:shd w:val="clear" w:color="auto" w:fill="FFFFFF"/>
                <w:lang w:val="en-US" w:eastAsia="zh-CN"/>
              </w:rPr>
              <w:t xml:space="preserve">5 </w:t>
            </w:r>
            <w:r>
              <w:rPr>
                <w:rFonts w:hint="eastAsia" w:ascii="宋体" w:hAnsi="宋体" w:cs="宋体"/>
                <w:bCs/>
                <w:color w:val="212121"/>
                <w:kern w:val="0"/>
                <w:sz w:val="24"/>
                <w:shd w:val="clear" w:color="auto" w:fill="FFFFFF"/>
              </w:rPr>
              <w:t>日</w:t>
            </w:r>
            <w:r>
              <w:rPr>
                <w:rFonts w:hint="eastAsia" w:ascii="宋体" w:hAnsi="宋体" w:cs="宋体"/>
                <w:bCs/>
                <w:color w:val="212121"/>
                <w:kern w:val="0"/>
                <w:sz w:val="24"/>
                <w:u w:val="single"/>
                <w:shd w:val="clear" w:color="auto" w:fill="FFFFFF"/>
              </w:rPr>
              <w:t xml:space="preserve"> </w:t>
            </w:r>
            <w:r>
              <w:rPr>
                <w:rFonts w:hint="eastAsia" w:ascii="宋体" w:hAnsi="宋体" w:cs="宋体"/>
                <w:bCs/>
                <w:color w:val="212121"/>
                <w:kern w:val="0"/>
                <w:sz w:val="24"/>
                <w:u w:val="single"/>
                <w:shd w:val="clear" w:color="auto" w:fill="FFFFFF"/>
                <w:lang w:val="en-US" w:eastAsia="zh-CN"/>
              </w:rPr>
              <w:t>09</w:t>
            </w:r>
            <w:r>
              <w:rPr>
                <w:rFonts w:hint="eastAsia" w:ascii="宋体" w:hAnsi="宋体" w:cs="宋体"/>
                <w:bCs/>
                <w:color w:val="212121"/>
                <w:kern w:val="0"/>
                <w:sz w:val="24"/>
                <w:u w:val="single"/>
                <w:shd w:val="clear" w:color="auto" w:fill="FFFFFF"/>
              </w:rPr>
              <w:t xml:space="preserve"> </w:t>
            </w:r>
            <w:r>
              <w:rPr>
                <w:rFonts w:hint="eastAsia" w:ascii="宋体" w:hAnsi="宋体" w:cs="宋体"/>
                <w:bCs/>
                <w:color w:val="212121"/>
                <w:kern w:val="0"/>
                <w:sz w:val="24"/>
                <w:shd w:val="clear" w:color="auto" w:fill="FFFFFF"/>
              </w:rPr>
              <w:t>：</w:t>
            </w:r>
            <w:r>
              <w:rPr>
                <w:rFonts w:hint="eastAsia" w:ascii="宋体" w:hAnsi="宋体" w:cs="宋体"/>
                <w:bCs/>
                <w:color w:val="212121"/>
                <w:kern w:val="0"/>
                <w:sz w:val="24"/>
                <w:u w:val="single"/>
                <w:shd w:val="clear" w:color="auto" w:fill="FFFFFF"/>
              </w:rPr>
              <w:t>00</w:t>
            </w:r>
            <w:r>
              <w:rPr>
                <w:rFonts w:hint="eastAsia" w:ascii="宋体" w:hAnsi="宋体" w:cs="宋体"/>
                <w:color w:val="000000"/>
                <w:sz w:val="24"/>
              </w:rPr>
              <w:t>分（北京时间）</w:t>
            </w:r>
          </w:p>
          <w:p>
            <w:pPr>
              <w:adjustRightInd w:val="0"/>
              <w:spacing w:line="400" w:lineRule="exact"/>
              <w:rPr>
                <w:rFonts w:ascii="宋体" w:hAnsi="宋体" w:cs="宋体"/>
                <w:color w:val="000000"/>
                <w:sz w:val="24"/>
                <w:highlight w:val="yellow"/>
              </w:rPr>
            </w:pPr>
            <w:r>
              <w:rPr>
                <w:rFonts w:hint="eastAsia" w:ascii="宋体" w:hAnsi="宋体" w:cs="宋体"/>
                <w:kern w:val="0"/>
                <w:sz w:val="24"/>
              </w:rPr>
              <w:t>地点：</w:t>
            </w:r>
            <w:r>
              <w:rPr>
                <w:rFonts w:hint="eastAsia" w:ascii="宋体" w:hAnsi="宋体" w:cs="宋体"/>
                <w:bCs/>
                <w:color w:val="000000"/>
                <w:sz w:val="24"/>
                <w:shd w:val="clear" w:color="auto" w:fill="FFFFFF"/>
              </w:rPr>
              <w:t>张掖市公共资源交易中心民乐县分中心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18</w:t>
            </w:r>
          </w:p>
        </w:tc>
        <w:tc>
          <w:tcPr>
            <w:tcW w:w="1941" w:type="dxa"/>
            <w:vAlign w:val="center"/>
          </w:tcPr>
          <w:p>
            <w:pPr>
              <w:widowControl/>
              <w:adjustRightInd w:val="0"/>
              <w:spacing w:line="400" w:lineRule="exact"/>
              <w:jc w:val="center"/>
              <w:rPr>
                <w:rFonts w:ascii="宋体" w:hAnsi="宋体" w:cs="宋体"/>
                <w:sz w:val="24"/>
              </w:rPr>
            </w:pPr>
            <w:r>
              <w:rPr>
                <w:rFonts w:hint="eastAsia" w:ascii="宋体" w:hAnsi="宋体" w:cs="宋体"/>
                <w:sz w:val="24"/>
              </w:rPr>
              <w:t>供应商资格条件</w:t>
            </w:r>
          </w:p>
          <w:p>
            <w:pPr>
              <w:widowControl/>
              <w:adjustRightInd w:val="0"/>
              <w:spacing w:line="400" w:lineRule="exact"/>
              <w:jc w:val="center"/>
              <w:rPr>
                <w:rFonts w:ascii="宋体" w:hAnsi="宋体" w:cs="宋体"/>
                <w:kern w:val="0"/>
                <w:sz w:val="24"/>
              </w:rPr>
            </w:pPr>
          </w:p>
        </w:tc>
        <w:tc>
          <w:tcPr>
            <w:tcW w:w="7099" w:type="dxa"/>
            <w:vAlign w:val="center"/>
          </w:tcPr>
          <w:p>
            <w:pPr>
              <w:pStyle w:val="29"/>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after="0" w:line="560" w:lineRule="exact"/>
              <w:ind w:right="0" w:rightChars="0" w:firstLine="480" w:firstLineChars="20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1.符合《中华人民共和国政府采购法》第二十二条规定；</w:t>
            </w:r>
          </w:p>
          <w:p>
            <w:pPr>
              <w:pStyle w:val="29"/>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60" w:lineRule="exact"/>
              <w:ind w:right="0" w:rightChars="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（1）具有独立承担民事责任的能力；</w:t>
            </w:r>
          </w:p>
          <w:p>
            <w:pPr>
              <w:pStyle w:val="29"/>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60" w:lineRule="exact"/>
              <w:ind w:right="0" w:rightChars="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（2）具有良好的商业信誉和健全的财务会计制度；</w:t>
            </w:r>
          </w:p>
          <w:p>
            <w:pPr>
              <w:pStyle w:val="29"/>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60" w:lineRule="exact"/>
              <w:ind w:right="0" w:rightChars="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（3）具有履行合同所必需的设备和专业技术能力；</w:t>
            </w:r>
          </w:p>
          <w:p>
            <w:pPr>
              <w:pStyle w:val="29"/>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60" w:lineRule="exact"/>
              <w:ind w:right="0" w:rightChars="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（4）有依法缴纳税收和社会保障资金的良好记录；</w:t>
            </w:r>
          </w:p>
          <w:p>
            <w:pPr>
              <w:pStyle w:val="29"/>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60" w:lineRule="exact"/>
              <w:ind w:right="0" w:rightChars="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（5）参加政府采购活动前三年内，在经营活动中没有重大违法记录；</w:t>
            </w:r>
          </w:p>
          <w:p>
            <w:pPr>
              <w:pStyle w:val="29"/>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60" w:lineRule="exact"/>
              <w:ind w:right="0" w:rightChars="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（6）法律、行政法规规定的其他条件。</w:t>
            </w:r>
          </w:p>
          <w:p>
            <w:pPr>
              <w:pStyle w:val="29"/>
              <w:keepNext w:val="0"/>
              <w:keepLines w:val="0"/>
              <w:pageBreakBefore w:val="0"/>
              <w:widowControl w:val="0"/>
              <w:numPr>
                <w:ilvl w:val="0"/>
                <w:numId w:val="0"/>
              </w:numPr>
              <w:tabs>
                <w:tab w:val="left" w:pos="741"/>
              </w:tabs>
              <w:kinsoku/>
              <w:wordWrap/>
              <w:overflowPunct/>
              <w:topLinePunct w:val="0"/>
              <w:autoSpaceDE w:val="0"/>
              <w:autoSpaceDN w:val="0"/>
              <w:bidi w:val="0"/>
              <w:adjustRightInd/>
              <w:snapToGrid/>
              <w:spacing w:before="0" w:after="0" w:line="560" w:lineRule="exact"/>
              <w:ind w:right="0" w:rightChars="0" w:firstLine="480" w:firstLineChars="20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2.提供合法有效含统一社会信用代码和二维码标识的法人营业执照副本复印将并加盖公章（营业执照二维码清晰可查）；</w:t>
            </w:r>
          </w:p>
          <w:p>
            <w:pPr>
              <w:pStyle w:val="29"/>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after="0" w:line="560" w:lineRule="exact"/>
              <w:ind w:left="0" w:right="0" w:rightChars="0" w:firstLine="480" w:firstLineChars="20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3.参加投标的人员（被授权人）须提供近三个月内本企业为其缴纳社保的证明；</w:t>
            </w:r>
          </w:p>
          <w:p>
            <w:pPr>
              <w:pStyle w:val="29"/>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after="0" w:line="560" w:lineRule="exact"/>
              <w:ind w:left="0" w:right="0" w:rightChars="0" w:firstLine="480" w:firstLineChars="20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4.供应商须具有本次投标报价服务的经营范围；</w:t>
            </w:r>
          </w:p>
          <w:p>
            <w:pPr>
              <w:pStyle w:val="29"/>
              <w:keepNext w:val="0"/>
              <w:keepLines w:val="0"/>
              <w:pageBreakBefore w:val="0"/>
              <w:widowControl w:val="0"/>
              <w:numPr>
                <w:ilvl w:val="0"/>
                <w:numId w:val="0"/>
              </w:numPr>
              <w:tabs>
                <w:tab w:val="left" w:pos="324"/>
              </w:tabs>
              <w:kinsoku/>
              <w:wordWrap/>
              <w:overflowPunct/>
              <w:topLinePunct w:val="0"/>
              <w:autoSpaceDE w:val="0"/>
              <w:autoSpaceDN w:val="0"/>
              <w:bidi w:val="0"/>
              <w:adjustRightInd/>
              <w:snapToGrid/>
              <w:spacing w:before="0" w:after="0" w:line="560" w:lineRule="exact"/>
              <w:ind w:leftChars="0" w:right="0" w:rightChars="0" w:firstLine="480" w:firstLineChars="200"/>
              <w:jc w:val="left"/>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5.未被列入“信用中国”网(www.creditchina.gov.cn)记录失信被执行人或重大税收违法案件当事人名单或政府采购严重违法失信行为”记录名单、不处于中国政府采购网(</w:t>
            </w:r>
            <w:r>
              <w:rPr>
                <w:rFonts w:hint="eastAsia" w:ascii="宋体" w:hAnsi="宋体" w:eastAsia="宋体" w:cs="宋体"/>
                <w:bCs/>
                <w:color w:val="000000"/>
                <w:kern w:val="2"/>
                <w:sz w:val="24"/>
                <w:szCs w:val="24"/>
                <w:shd w:val="clear" w:color="auto" w:fill="FFFFFF"/>
                <w:lang w:val="en-US" w:eastAsia="zh-CN" w:bidi="ar-SA"/>
              </w:rPr>
              <w:fldChar w:fldCharType="begin"/>
            </w:r>
            <w:r>
              <w:rPr>
                <w:rFonts w:hint="eastAsia" w:ascii="宋体" w:hAnsi="宋体" w:eastAsia="宋体" w:cs="宋体"/>
                <w:bCs/>
                <w:color w:val="000000"/>
                <w:kern w:val="2"/>
                <w:sz w:val="24"/>
                <w:szCs w:val="24"/>
                <w:shd w:val="clear" w:color="auto" w:fill="FFFFFF"/>
                <w:lang w:val="en-US" w:eastAsia="zh-CN" w:bidi="ar-SA"/>
              </w:rPr>
              <w:instrText xml:space="preserve"> HYPERLINK "http://www.ccgp.gov.cn/" \h </w:instrText>
            </w:r>
            <w:r>
              <w:rPr>
                <w:rFonts w:hint="eastAsia" w:ascii="宋体" w:hAnsi="宋体" w:eastAsia="宋体" w:cs="宋体"/>
                <w:bCs/>
                <w:color w:val="000000"/>
                <w:kern w:val="2"/>
                <w:sz w:val="24"/>
                <w:szCs w:val="24"/>
                <w:shd w:val="clear" w:color="auto" w:fill="FFFFFF"/>
                <w:lang w:val="en-US" w:eastAsia="zh-CN" w:bidi="ar-SA"/>
              </w:rPr>
              <w:fldChar w:fldCharType="separate"/>
            </w:r>
            <w:r>
              <w:rPr>
                <w:rFonts w:hint="eastAsia" w:ascii="宋体" w:hAnsi="宋体" w:eastAsia="宋体" w:cs="宋体"/>
                <w:bCs/>
                <w:color w:val="000000"/>
                <w:kern w:val="2"/>
                <w:sz w:val="24"/>
                <w:szCs w:val="24"/>
                <w:shd w:val="clear" w:color="auto" w:fill="FFFFFF"/>
                <w:lang w:val="en-US" w:eastAsia="zh-CN" w:bidi="ar-SA"/>
              </w:rPr>
              <w:t>www.ccgp.gov.cn</w:t>
            </w:r>
            <w:r>
              <w:rPr>
                <w:rFonts w:hint="eastAsia" w:ascii="宋体" w:hAnsi="宋体" w:eastAsia="宋体" w:cs="宋体"/>
                <w:bCs/>
                <w:color w:val="000000"/>
                <w:kern w:val="2"/>
                <w:sz w:val="24"/>
                <w:szCs w:val="24"/>
                <w:shd w:val="clear" w:color="auto" w:fill="FFFFFF"/>
                <w:lang w:val="en-US" w:eastAsia="zh-CN" w:bidi="ar-SA"/>
              </w:rPr>
              <w:fldChar w:fldCharType="end"/>
            </w:r>
            <w:r>
              <w:rPr>
                <w:rFonts w:hint="eastAsia" w:ascii="宋体" w:hAnsi="宋体" w:eastAsia="宋体" w:cs="宋体"/>
                <w:bCs/>
                <w:color w:val="000000"/>
                <w:kern w:val="2"/>
                <w:sz w:val="24"/>
                <w:szCs w:val="24"/>
                <w:shd w:val="clear" w:color="auto" w:fill="FFFFFF"/>
                <w:lang w:val="en-US" w:eastAsia="zh-CN" w:bidi="ar-SA"/>
              </w:rPr>
              <w:t>)政府采购严重违法失信行为信息记录中的禁止参加政府采购活动期间、未被列入“信用甘肃”网站（</w:t>
            </w:r>
            <w:r>
              <w:rPr>
                <w:rFonts w:hint="eastAsia" w:ascii="宋体" w:hAnsi="宋体" w:eastAsia="宋体" w:cs="宋体"/>
                <w:bCs/>
                <w:color w:val="000000"/>
                <w:kern w:val="2"/>
                <w:sz w:val="24"/>
                <w:szCs w:val="24"/>
                <w:shd w:val="clear" w:color="auto" w:fill="FFFFFF"/>
                <w:lang w:val="en-US" w:eastAsia="zh-CN" w:bidi="ar-SA"/>
              </w:rPr>
              <w:fldChar w:fldCharType="begin"/>
            </w:r>
            <w:r>
              <w:rPr>
                <w:rFonts w:hint="eastAsia" w:ascii="宋体" w:hAnsi="宋体" w:eastAsia="宋体" w:cs="宋体"/>
                <w:bCs/>
                <w:color w:val="000000"/>
                <w:kern w:val="2"/>
                <w:sz w:val="24"/>
                <w:szCs w:val="24"/>
                <w:shd w:val="clear" w:color="auto" w:fill="FFFFFF"/>
                <w:lang w:val="en-US" w:eastAsia="zh-CN" w:bidi="ar-SA"/>
              </w:rPr>
              <w:instrText xml:space="preserve"> HYPERLINK "http://www.gscredit.gov.cn/" \h </w:instrText>
            </w:r>
            <w:r>
              <w:rPr>
                <w:rFonts w:hint="eastAsia" w:ascii="宋体" w:hAnsi="宋体" w:eastAsia="宋体" w:cs="宋体"/>
                <w:bCs/>
                <w:color w:val="000000"/>
                <w:kern w:val="2"/>
                <w:sz w:val="24"/>
                <w:szCs w:val="24"/>
                <w:shd w:val="clear" w:color="auto" w:fill="FFFFFF"/>
                <w:lang w:val="en-US" w:eastAsia="zh-CN" w:bidi="ar-SA"/>
              </w:rPr>
              <w:fldChar w:fldCharType="separate"/>
            </w:r>
            <w:r>
              <w:rPr>
                <w:rFonts w:hint="eastAsia" w:ascii="宋体" w:hAnsi="宋体" w:eastAsia="宋体" w:cs="宋体"/>
                <w:bCs/>
                <w:color w:val="000000"/>
                <w:kern w:val="2"/>
                <w:sz w:val="24"/>
                <w:szCs w:val="24"/>
                <w:shd w:val="clear" w:color="auto" w:fill="FFFFFF"/>
                <w:lang w:val="en-US" w:eastAsia="zh-CN" w:bidi="ar-SA"/>
              </w:rPr>
              <w:t>www.gscredit.gov.cn</w:t>
            </w:r>
            <w:r>
              <w:rPr>
                <w:rFonts w:hint="eastAsia" w:ascii="宋体" w:hAnsi="宋体" w:eastAsia="宋体" w:cs="宋体"/>
                <w:bCs/>
                <w:color w:val="000000"/>
                <w:kern w:val="2"/>
                <w:sz w:val="24"/>
                <w:szCs w:val="24"/>
                <w:shd w:val="clear" w:color="auto" w:fill="FFFFFF"/>
                <w:lang w:val="en-US" w:eastAsia="zh-CN" w:bidi="ar-SA"/>
              </w:rPr>
              <w:fldChar w:fldCharType="end"/>
            </w:r>
            <w:r>
              <w:rPr>
                <w:rFonts w:hint="eastAsia" w:ascii="宋体" w:hAnsi="宋体" w:eastAsia="宋体" w:cs="宋体"/>
                <w:bCs/>
                <w:color w:val="000000"/>
                <w:kern w:val="2"/>
                <w:sz w:val="24"/>
                <w:szCs w:val="24"/>
                <w:shd w:val="clear" w:color="auto" w:fill="FFFFFF"/>
                <w:lang w:val="en-US" w:eastAsia="zh-CN" w:bidi="ar-SA"/>
              </w:rPr>
              <w:t>）记录失信被执行人或财政性资金管理使用领域相关失信责任主体、统计领域严重失信企业及其有关人员等的方可参加本项目的投标。（以投标截止日 1-3 天在“信用中国”网站（</w:t>
            </w:r>
            <w:r>
              <w:rPr>
                <w:rFonts w:hint="eastAsia" w:ascii="宋体" w:hAnsi="宋体" w:eastAsia="宋体" w:cs="宋体"/>
                <w:bCs/>
                <w:color w:val="000000"/>
                <w:kern w:val="2"/>
                <w:sz w:val="24"/>
                <w:szCs w:val="24"/>
                <w:shd w:val="clear" w:color="auto" w:fill="FFFFFF"/>
                <w:lang w:val="en-US" w:eastAsia="zh-CN" w:bidi="ar-SA"/>
              </w:rPr>
              <w:fldChar w:fldCharType="begin"/>
            </w:r>
            <w:r>
              <w:rPr>
                <w:rFonts w:hint="eastAsia" w:ascii="宋体" w:hAnsi="宋体" w:eastAsia="宋体" w:cs="宋体"/>
                <w:bCs/>
                <w:color w:val="000000"/>
                <w:kern w:val="2"/>
                <w:sz w:val="24"/>
                <w:szCs w:val="24"/>
                <w:shd w:val="clear" w:color="auto" w:fill="FFFFFF"/>
                <w:lang w:val="en-US" w:eastAsia="zh-CN" w:bidi="ar-SA"/>
              </w:rPr>
              <w:instrText xml:space="preserve"> HYPERLINK "http://www.creditchina.gov.cn/" \h </w:instrText>
            </w:r>
            <w:r>
              <w:rPr>
                <w:rFonts w:hint="eastAsia" w:ascii="宋体" w:hAnsi="宋体" w:eastAsia="宋体" w:cs="宋体"/>
                <w:bCs/>
                <w:color w:val="000000"/>
                <w:kern w:val="2"/>
                <w:sz w:val="24"/>
                <w:szCs w:val="24"/>
                <w:shd w:val="clear" w:color="auto" w:fill="FFFFFF"/>
                <w:lang w:val="en-US" w:eastAsia="zh-CN" w:bidi="ar-SA"/>
              </w:rPr>
              <w:fldChar w:fldCharType="separate"/>
            </w:r>
            <w:r>
              <w:rPr>
                <w:rFonts w:hint="eastAsia" w:ascii="宋体" w:hAnsi="宋体" w:eastAsia="宋体" w:cs="宋体"/>
                <w:bCs/>
                <w:color w:val="000000"/>
                <w:kern w:val="2"/>
                <w:sz w:val="24"/>
                <w:szCs w:val="24"/>
                <w:shd w:val="clear" w:color="auto" w:fill="FFFFFF"/>
                <w:lang w:val="en-US" w:eastAsia="zh-CN" w:bidi="ar-SA"/>
              </w:rPr>
              <w:t>www.creditchina.gov.cn</w:t>
            </w:r>
            <w:r>
              <w:rPr>
                <w:rFonts w:hint="eastAsia" w:ascii="宋体" w:hAnsi="宋体" w:eastAsia="宋体" w:cs="宋体"/>
                <w:bCs/>
                <w:color w:val="000000"/>
                <w:kern w:val="2"/>
                <w:sz w:val="24"/>
                <w:szCs w:val="24"/>
                <w:shd w:val="clear" w:color="auto" w:fill="FFFFFF"/>
                <w:lang w:val="en-US" w:eastAsia="zh-CN" w:bidi="ar-SA"/>
              </w:rPr>
              <w:fldChar w:fldCharType="end"/>
            </w:r>
            <w:r>
              <w:rPr>
                <w:rFonts w:hint="eastAsia" w:ascii="宋体" w:hAnsi="宋体" w:eastAsia="宋体" w:cs="宋体"/>
                <w:bCs/>
                <w:color w:val="000000"/>
                <w:kern w:val="2"/>
                <w:sz w:val="24"/>
                <w:szCs w:val="24"/>
                <w:shd w:val="clear" w:color="auto" w:fill="FFFFFF"/>
                <w:lang w:val="en-US" w:eastAsia="zh-CN" w:bidi="ar-SA"/>
              </w:rPr>
              <w:t>）、中国政府采购网(</w:t>
            </w:r>
            <w:r>
              <w:rPr>
                <w:rFonts w:hint="eastAsia" w:ascii="宋体" w:hAnsi="宋体" w:eastAsia="宋体" w:cs="宋体"/>
                <w:bCs/>
                <w:color w:val="000000"/>
                <w:kern w:val="2"/>
                <w:sz w:val="24"/>
                <w:szCs w:val="24"/>
                <w:shd w:val="clear" w:color="auto" w:fill="FFFFFF"/>
                <w:lang w:val="en-US" w:eastAsia="zh-CN" w:bidi="ar-SA"/>
              </w:rPr>
              <w:fldChar w:fldCharType="begin"/>
            </w:r>
            <w:r>
              <w:rPr>
                <w:rFonts w:hint="eastAsia" w:ascii="宋体" w:hAnsi="宋体" w:eastAsia="宋体" w:cs="宋体"/>
                <w:bCs/>
                <w:color w:val="000000"/>
                <w:kern w:val="2"/>
                <w:sz w:val="24"/>
                <w:szCs w:val="24"/>
                <w:shd w:val="clear" w:color="auto" w:fill="FFFFFF"/>
                <w:lang w:val="en-US" w:eastAsia="zh-CN" w:bidi="ar-SA"/>
              </w:rPr>
              <w:instrText xml:space="preserve"> HYPERLINK "http://www.ccgp.gov.cn/" \h </w:instrText>
            </w:r>
            <w:r>
              <w:rPr>
                <w:rFonts w:hint="eastAsia" w:ascii="宋体" w:hAnsi="宋体" w:eastAsia="宋体" w:cs="宋体"/>
                <w:bCs/>
                <w:color w:val="000000"/>
                <w:kern w:val="2"/>
                <w:sz w:val="24"/>
                <w:szCs w:val="24"/>
                <w:shd w:val="clear" w:color="auto" w:fill="FFFFFF"/>
                <w:lang w:val="en-US" w:eastAsia="zh-CN" w:bidi="ar-SA"/>
              </w:rPr>
              <w:fldChar w:fldCharType="separate"/>
            </w:r>
            <w:r>
              <w:rPr>
                <w:rFonts w:hint="eastAsia" w:ascii="宋体" w:hAnsi="宋体" w:eastAsia="宋体" w:cs="宋体"/>
                <w:bCs/>
                <w:color w:val="000000"/>
                <w:kern w:val="2"/>
                <w:sz w:val="24"/>
                <w:szCs w:val="24"/>
                <w:shd w:val="clear" w:color="auto" w:fill="FFFFFF"/>
                <w:lang w:val="en-US" w:eastAsia="zh-CN" w:bidi="ar-SA"/>
              </w:rPr>
              <w:t>www.ccgp.gov.cn</w:t>
            </w:r>
            <w:r>
              <w:rPr>
                <w:rFonts w:hint="eastAsia" w:ascii="宋体" w:hAnsi="宋体" w:eastAsia="宋体" w:cs="宋体"/>
                <w:bCs/>
                <w:color w:val="000000"/>
                <w:kern w:val="2"/>
                <w:sz w:val="24"/>
                <w:szCs w:val="24"/>
                <w:shd w:val="clear" w:color="auto" w:fill="FFFFFF"/>
                <w:lang w:val="en-US" w:eastAsia="zh-CN" w:bidi="ar-SA"/>
              </w:rPr>
              <w:fldChar w:fldCharType="end"/>
            </w:r>
            <w:r>
              <w:rPr>
                <w:rFonts w:hint="eastAsia" w:ascii="宋体" w:hAnsi="宋体" w:eastAsia="宋体" w:cs="宋体"/>
                <w:bCs/>
                <w:color w:val="000000"/>
                <w:kern w:val="2"/>
                <w:sz w:val="24"/>
                <w:szCs w:val="24"/>
                <w:shd w:val="clear" w:color="auto" w:fill="FFFFFF"/>
                <w:lang w:val="en-US" w:eastAsia="zh-CN" w:bidi="ar-SA"/>
              </w:rPr>
              <w:t>)及“信用甘肃” 网（</w:t>
            </w:r>
            <w:r>
              <w:rPr>
                <w:rFonts w:hint="eastAsia" w:ascii="宋体" w:hAnsi="宋体" w:eastAsia="宋体" w:cs="宋体"/>
                <w:bCs/>
                <w:color w:val="000000"/>
                <w:kern w:val="2"/>
                <w:sz w:val="24"/>
                <w:szCs w:val="24"/>
                <w:shd w:val="clear" w:color="auto" w:fill="FFFFFF"/>
                <w:lang w:val="en-US" w:eastAsia="zh-CN" w:bidi="ar-SA"/>
              </w:rPr>
              <w:fldChar w:fldCharType="begin"/>
            </w:r>
            <w:r>
              <w:rPr>
                <w:rFonts w:hint="eastAsia" w:ascii="宋体" w:hAnsi="宋体" w:eastAsia="宋体" w:cs="宋体"/>
                <w:bCs/>
                <w:color w:val="000000"/>
                <w:kern w:val="2"/>
                <w:sz w:val="24"/>
                <w:szCs w:val="24"/>
                <w:shd w:val="clear" w:color="auto" w:fill="FFFFFF"/>
                <w:lang w:val="en-US" w:eastAsia="zh-CN" w:bidi="ar-SA"/>
              </w:rPr>
              <w:instrText xml:space="preserve"> HYPERLINK "http://www.gscredit.gov.cn/" \h </w:instrText>
            </w:r>
            <w:r>
              <w:rPr>
                <w:rFonts w:hint="eastAsia" w:ascii="宋体" w:hAnsi="宋体" w:eastAsia="宋体" w:cs="宋体"/>
                <w:bCs/>
                <w:color w:val="000000"/>
                <w:kern w:val="2"/>
                <w:sz w:val="24"/>
                <w:szCs w:val="24"/>
                <w:shd w:val="clear" w:color="auto" w:fill="FFFFFF"/>
                <w:lang w:val="en-US" w:eastAsia="zh-CN" w:bidi="ar-SA"/>
              </w:rPr>
              <w:fldChar w:fldCharType="separate"/>
            </w:r>
            <w:r>
              <w:rPr>
                <w:rFonts w:hint="eastAsia" w:ascii="宋体" w:hAnsi="宋体" w:eastAsia="宋体" w:cs="宋体"/>
                <w:bCs/>
                <w:color w:val="000000"/>
                <w:kern w:val="2"/>
                <w:sz w:val="24"/>
                <w:szCs w:val="24"/>
                <w:shd w:val="clear" w:color="auto" w:fill="FFFFFF"/>
                <w:lang w:val="en-US" w:eastAsia="zh-CN" w:bidi="ar-SA"/>
              </w:rPr>
              <w:t>www.gscredit.gov.cn</w:t>
            </w:r>
            <w:r>
              <w:rPr>
                <w:rFonts w:hint="eastAsia" w:ascii="宋体" w:hAnsi="宋体" w:eastAsia="宋体" w:cs="宋体"/>
                <w:bCs/>
                <w:color w:val="000000"/>
                <w:kern w:val="2"/>
                <w:sz w:val="24"/>
                <w:szCs w:val="24"/>
                <w:shd w:val="clear" w:color="auto" w:fill="FFFFFF"/>
                <w:lang w:val="en-US" w:eastAsia="zh-CN" w:bidi="ar-SA"/>
              </w:rPr>
              <w:fldChar w:fldCharType="end"/>
            </w:r>
            <w:r>
              <w:rPr>
                <w:rFonts w:hint="eastAsia" w:ascii="宋体" w:hAnsi="宋体" w:eastAsia="宋体" w:cs="宋体"/>
                <w:bCs/>
                <w:color w:val="000000"/>
                <w:kern w:val="2"/>
                <w:sz w:val="24"/>
                <w:szCs w:val="24"/>
                <w:shd w:val="clear" w:color="auto" w:fill="FFFFFF"/>
                <w:lang w:val="en-US" w:eastAsia="zh-CN" w:bidi="ar-SA"/>
              </w:rPr>
              <w:t>）查询结果为准，如相关失信记录已失效，投标人需提供相关证明资料）,供应商提供以上查询记录最终由资格审查小组对各供应商信用记录进行甄别；</w:t>
            </w:r>
          </w:p>
          <w:p>
            <w:pPr>
              <w:pStyle w:val="2"/>
              <w:keepNext w:val="0"/>
              <w:keepLines w:val="0"/>
              <w:pageBreakBefore w:val="0"/>
              <w:widowControl w:val="0"/>
              <w:kinsoku/>
              <w:wordWrap/>
              <w:overflowPunct/>
              <w:topLinePunct w:val="0"/>
              <w:autoSpaceDE w:val="0"/>
              <w:autoSpaceDN w:val="0"/>
              <w:bidi w:val="0"/>
              <w:adjustRightInd/>
              <w:snapToGrid/>
              <w:spacing w:before="0" w:line="560" w:lineRule="exact"/>
              <w:ind w:right="0" w:firstLine="480" w:firstLineChars="200"/>
              <w:textAlignment w:val="auto"/>
              <w:rPr>
                <w:rFonts w:hint="eastAsia" w:ascii="宋体" w:hAnsi="宋体" w:eastAsia="宋体" w:cs="宋体"/>
                <w:bCs/>
                <w:color w:val="000000"/>
                <w:kern w:val="2"/>
                <w:sz w:val="24"/>
                <w:szCs w:val="24"/>
                <w:shd w:val="clear" w:color="auto" w:fill="FFFFFF"/>
                <w:lang w:val="en-US" w:eastAsia="zh-CN" w:bidi="ar-SA"/>
              </w:rPr>
            </w:pPr>
            <w:r>
              <w:rPr>
                <w:rFonts w:hint="eastAsia" w:ascii="宋体" w:hAnsi="宋体" w:eastAsia="宋体" w:cs="宋体"/>
                <w:bCs/>
                <w:color w:val="000000"/>
                <w:kern w:val="2"/>
                <w:sz w:val="24"/>
                <w:szCs w:val="24"/>
                <w:shd w:val="clear" w:color="auto" w:fill="FFFFFF"/>
                <w:lang w:val="en-US" w:eastAsia="zh-CN" w:bidi="ar-SA"/>
              </w:rPr>
              <w:t>6.本项目不接受联合体投标。</w:t>
            </w:r>
          </w:p>
          <w:p>
            <w:pPr>
              <w:widowControl/>
              <w:shd w:val="clear" w:color="auto" w:fill="FFFFFF"/>
              <w:spacing w:line="480" w:lineRule="exact"/>
              <w:rPr>
                <w:rFonts w:ascii="宋体" w:hAnsi="宋体" w:cs="宋体"/>
                <w:spacing w:val="-16"/>
                <w:kern w:val="0"/>
                <w:sz w:val="24"/>
              </w:rPr>
            </w:pPr>
            <w:r>
              <w:rPr>
                <w:rFonts w:hint="eastAsia" w:ascii="宋体" w:hAnsi="宋体" w:cs="宋体"/>
                <w:b/>
                <w:bCs/>
                <w:sz w:val="24"/>
              </w:rPr>
              <w:t>注：</w:t>
            </w:r>
            <w:r>
              <w:rPr>
                <w:rFonts w:hint="eastAsia" w:ascii="宋体" w:hAnsi="宋体" w:cs="宋体"/>
                <w:b/>
                <w:bCs/>
                <w:color w:val="212121"/>
                <w:kern w:val="0"/>
                <w:sz w:val="24"/>
                <w:shd w:val="clear" w:color="auto" w:fill="FFFFFF"/>
              </w:rPr>
              <w:t>所有证件原件须携带至开标现场备查，不带原件导致废标的，后果由供应商自行承担。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19</w:t>
            </w:r>
          </w:p>
        </w:tc>
        <w:tc>
          <w:tcPr>
            <w:tcW w:w="1941" w:type="dxa"/>
            <w:vAlign w:val="center"/>
          </w:tcPr>
          <w:p>
            <w:pPr>
              <w:widowControl/>
              <w:adjustRightInd w:val="0"/>
              <w:spacing w:line="400" w:lineRule="exact"/>
              <w:jc w:val="center"/>
              <w:rPr>
                <w:rFonts w:ascii="宋体" w:hAnsi="宋体" w:cs="宋体"/>
                <w:spacing w:val="-8"/>
                <w:w w:val="95"/>
                <w:sz w:val="24"/>
              </w:rPr>
            </w:pPr>
            <w:r>
              <w:rPr>
                <w:rFonts w:hint="eastAsia" w:ascii="宋体" w:hAnsi="宋体" w:cs="宋体"/>
                <w:kern w:val="0"/>
                <w:sz w:val="24"/>
              </w:rPr>
              <w:t>评分办法</w:t>
            </w:r>
          </w:p>
        </w:tc>
        <w:tc>
          <w:tcPr>
            <w:tcW w:w="7099" w:type="dxa"/>
            <w:vAlign w:val="center"/>
          </w:tcPr>
          <w:p>
            <w:pPr>
              <w:widowControl/>
              <w:adjustRightInd w:val="0"/>
              <w:spacing w:line="400" w:lineRule="exact"/>
              <w:rPr>
                <w:rFonts w:ascii="宋体" w:hAnsi="宋体" w:cs="宋体"/>
                <w:b/>
                <w:w w:val="95"/>
                <w:sz w:val="24"/>
              </w:rPr>
            </w:pPr>
            <w:r>
              <w:rPr>
                <w:rFonts w:hint="eastAsia" w:ascii="宋体" w:hAnsi="宋体" w:cs="宋体"/>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20</w:t>
            </w:r>
          </w:p>
        </w:tc>
        <w:tc>
          <w:tcPr>
            <w:tcW w:w="1941" w:type="dxa"/>
            <w:vAlign w:val="center"/>
          </w:tcPr>
          <w:p>
            <w:pPr>
              <w:pStyle w:val="5"/>
              <w:adjustRightInd w:val="0"/>
              <w:spacing w:line="400" w:lineRule="exact"/>
              <w:jc w:val="center"/>
              <w:rPr>
                <w:rFonts w:ascii="宋体" w:hAnsi="宋体" w:cs="宋体"/>
                <w:spacing w:val="-8"/>
                <w:kern w:val="0"/>
                <w:sz w:val="24"/>
                <w:szCs w:val="24"/>
              </w:rPr>
            </w:pPr>
            <w:r>
              <w:rPr>
                <w:rFonts w:hint="eastAsia" w:ascii="宋体" w:hAnsi="宋体" w:cs="宋体"/>
                <w:spacing w:val="-8"/>
                <w:kern w:val="0"/>
                <w:sz w:val="24"/>
                <w:szCs w:val="24"/>
              </w:rPr>
              <w:t>保证金递交</w:t>
            </w:r>
          </w:p>
        </w:tc>
        <w:tc>
          <w:tcPr>
            <w:tcW w:w="7099" w:type="dxa"/>
            <w:vAlign w:val="center"/>
          </w:tcPr>
          <w:p>
            <w:pPr>
              <w:spacing w:line="360" w:lineRule="auto"/>
              <w:ind w:firstLine="480" w:firstLineChars="200"/>
              <w:rPr>
                <w:rFonts w:ascii="宋体" w:hAnsi="宋体" w:eastAsia="宋体" w:cs="宋体"/>
                <w:b/>
                <w:bCs/>
                <w:color w:val="000000"/>
                <w:sz w:val="24"/>
              </w:rPr>
            </w:pPr>
            <w:r>
              <w:rPr>
                <w:rFonts w:hint="eastAsia" w:ascii="宋体" w:hAnsi="宋体" w:eastAsia="宋体" w:cs="宋体"/>
                <w:color w:val="000000"/>
                <w:sz w:val="24"/>
              </w:rPr>
              <w:t>1.供</w:t>
            </w:r>
            <w:r>
              <w:rPr>
                <w:rFonts w:hint="eastAsia" w:ascii="宋体" w:hAnsi="宋体" w:eastAsia="宋体" w:cs="宋体"/>
                <w:color w:val="auto"/>
                <w:sz w:val="24"/>
              </w:rPr>
              <w:t>应商应交纳保证</w:t>
            </w:r>
            <w:r>
              <w:rPr>
                <w:rFonts w:hint="eastAsia" w:ascii="宋体" w:hAnsi="宋体" w:eastAsia="宋体" w:cs="宋体"/>
                <w:color w:val="000000"/>
                <w:sz w:val="24"/>
              </w:rPr>
              <w:t>金金额为：人民币</w:t>
            </w:r>
            <w:r>
              <w:rPr>
                <w:rFonts w:hint="eastAsia" w:ascii="宋体" w:hAnsi="宋体" w:cs="宋体"/>
                <w:b/>
                <w:bCs/>
                <w:color w:val="000000"/>
                <w:sz w:val="24"/>
                <w:lang w:eastAsia="zh-CN"/>
              </w:rPr>
              <w:t>壹</w:t>
            </w:r>
            <w:r>
              <w:rPr>
                <w:rFonts w:hint="eastAsia" w:ascii="宋体" w:hAnsi="宋体" w:eastAsia="宋体" w:cs="宋体"/>
                <w:b/>
                <w:bCs/>
                <w:color w:val="000000"/>
                <w:sz w:val="24"/>
              </w:rPr>
              <w:t>万伍仟元整</w:t>
            </w:r>
            <w:r>
              <w:rPr>
                <w:rFonts w:hint="eastAsia" w:ascii="宋体" w:hAnsi="宋体" w:eastAsia="宋体" w:cs="宋体"/>
                <w:color w:val="000000"/>
                <w:sz w:val="24"/>
              </w:rPr>
              <w:t>（¥</w:t>
            </w:r>
            <w:r>
              <w:rPr>
                <w:rFonts w:hint="eastAsia" w:ascii="宋体" w:hAnsi="宋体" w:cs="宋体"/>
                <w:color w:val="000000"/>
                <w:sz w:val="24"/>
                <w:lang w:val="en-US" w:eastAsia="zh-CN"/>
              </w:rPr>
              <w:t>1</w:t>
            </w:r>
            <w:r>
              <w:rPr>
                <w:rFonts w:hint="eastAsia" w:ascii="宋体" w:hAnsi="宋体" w:eastAsia="宋体" w:cs="宋体"/>
                <w:color w:val="000000"/>
                <w:sz w:val="24"/>
              </w:rPr>
              <w:t>5000.00），须于自项目报名成功后至开标前按时、足额缴纳，逾期或未足额缴纳的，将视为无效保证金。投标保证金为《投标文件》的组成部分之一。</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 xml:space="preserve">2.投标人（供应商）必须从基本账户提交保证金，提交的投标保证金凭证中单位名称须与投标单位名称一致，并将所参加采购项目名称及分（包）段在用途栏简要注明，若因项目名称及分（包）段不清造成无法辨别保证金是否到帐的，对其产生不利因素由供应商自行承担。 </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3.为提高投标保证金信息保密度，投标人（供应商）在缴纳投标保证金时，收款名称为：张掖市公共资源交易中心民乐县分中心，收款账号及开户银行在投标人（供应商）报名成功后，通过投标人系统查询，具体查询保证金账号信息请参照新版网站“下载专区”栏目下《张掖市公共资源交易中心-采购代理保证金操作手册》。</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 xml:space="preserve">4.供应商在办理投标保证金汇款手续时，需注意每一（包）标段的子账号都为不同的账号，投标人（供应商）提交投标保证金须仔细核对子账号进行缴纳，交易系统无法识别保证金所对应的项目的，对其产生不利因素由供应商自行承担。 </w:t>
            </w:r>
          </w:p>
          <w:p>
            <w:pPr>
              <w:spacing w:line="360" w:lineRule="auto"/>
              <w:ind w:firstLine="480" w:firstLineChars="200"/>
              <w:rPr>
                <w:rFonts w:ascii="宋体" w:hAnsi="宋体" w:eastAsia="宋体" w:cs="宋体"/>
                <w:color w:val="000000"/>
                <w:sz w:val="24"/>
              </w:rPr>
            </w:pPr>
            <w:r>
              <w:rPr>
                <w:rFonts w:hint="eastAsia" w:ascii="宋体" w:hAnsi="宋体" w:eastAsia="宋体" w:cs="宋体"/>
                <w:color w:val="000000"/>
                <w:sz w:val="24"/>
              </w:rPr>
              <w:t>5.投标保证金亦可以支票、汇票、本票或者金融机构、担保机构出具的保函等非现金形式提交。</w:t>
            </w:r>
          </w:p>
          <w:p>
            <w:pPr>
              <w:spacing w:line="360" w:lineRule="auto"/>
              <w:ind w:firstLine="480" w:firstLineChars="200"/>
              <w:rPr>
                <w:rFonts w:ascii="宋体" w:hAnsi="宋体" w:cs="宋体"/>
                <w:kern w:val="0"/>
                <w:sz w:val="24"/>
              </w:rPr>
            </w:pPr>
            <w:r>
              <w:rPr>
                <w:rFonts w:hint="eastAsia" w:ascii="宋体" w:hAnsi="宋体" w:eastAsia="宋体" w:cs="宋体"/>
                <w:color w:val="000000"/>
                <w:sz w:val="24"/>
              </w:rPr>
              <w:t>6.为保证开标现场对投标保证金到账情况进行核对，提醒投标人要充分考虑汇款及到账所需时间以及发现问题后采取补救措施所需时间，以确保投标保证金在规定时间前到账。因不能在投标截止时间前到达指定账户的，导致投标无效的后果由投标人自行承担。（如有保证金办理相关问题，投标供应商请及时致电：0936-4456516,0936-4415789咨询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21</w:t>
            </w:r>
          </w:p>
        </w:tc>
        <w:tc>
          <w:tcPr>
            <w:tcW w:w="1941" w:type="dxa"/>
            <w:vAlign w:val="center"/>
          </w:tcPr>
          <w:p>
            <w:pPr>
              <w:pStyle w:val="5"/>
              <w:adjustRightInd w:val="0"/>
              <w:spacing w:line="400" w:lineRule="exact"/>
              <w:jc w:val="center"/>
              <w:rPr>
                <w:rFonts w:ascii="宋体" w:hAnsi="宋体" w:cs="宋体"/>
                <w:spacing w:val="-8"/>
                <w:kern w:val="0"/>
                <w:sz w:val="24"/>
                <w:szCs w:val="24"/>
              </w:rPr>
            </w:pPr>
            <w:r>
              <w:rPr>
                <w:rFonts w:hint="eastAsia" w:ascii="宋体" w:hAnsi="宋体" w:cs="宋体"/>
                <w:spacing w:val="-8"/>
                <w:kern w:val="0"/>
                <w:sz w:val="24"/>
                <w:szCs w:val="24"/>
              </w:rPr>
              <w:t>保证金退付</w:t>
            </w:r>
          </w:p>
        </w:tc>
        <w:tc>
          <w:tcPr>
            <w:tcW w:w="7099" w:type="dxa"/>
            <w:vAlign w:val="center"/>
          </w:tcPr>
          <w:p>
            <w:pPr>
              <w:spacing w:line="480" w:lineRule="exact"/>
              <w:rPr>
                <w:rFonts w:ascii="宋体" w:hAnsi="宋体" w:cs="宋体"/>
                <w:sz w:val="24"/>
              </w:rPr>
            </w:pPr>
            <w:r>
              <w:rPr>
                <w:rFonts w:hint="eastAsia" w:ascii="宋体" w:hAnsi="宋体" w:cs="宋体"/>
                <w:sz w:val="24"/>
              </w:rPr>
              <w:t>1）投标单位保证金递交后不再换取张掖市公共资源交易中心民乐县分中心保证金往来收据。由供应商银行进账单据或电汇凭证单据加盖投标单位公章，作为投标文件中保证金递交凭证。</w:t>
            </w:r>
          </w:p>
          <w:p>
            <w:pPr>
              <w:spacing w:line="480" w:lineRule="exact"/>
              <w:rPr>
                <w:rFonts w:ascii="宋体" w:hAnsi="宋体" w:cs="宋体"/>
                <w:sz w:val="24"/>
              </w:rPr>
            </w:pPr>
            <w:r>
              <w:rPr>
                <w:rFonts w:hint="eastAsia" w:ascii="宋体" w:hAnsi="宋体" w:cs="宋体"/>
                <w:sz w:val="24"/>
              </w:rPr>
              <w:t>2）开标时保证金递交的有效性均以张掖市公共资源交易中心民乐县分中心财务科出具的保证金到帐查询清单为准。</w:t>
            </w:r>
          </w:p>
          <w:p>
            <w:pPr>
              <w:spacing w:line="480" w:lineRule="exact"/>
              <w:rPr>
                <w:rFonts w:ascii="宋体" w:hAnsi="宋体" w:cs="宋体"/>
                <w:color w:val="212121"/>
                <w:kern w:val="0"/>
                <w:sz w:val="24"/>
                <w:shd w:val="clear" w:color="auto" w:fill="FFFFFF"/>
              </w:rPr>
            </w:pPr>
            <w:r>
              <w:rPr>
                <w:rFonts w:hint="eastAsia" w:ascii="宋体" w:hAnsi="宋体" w:cs="宋体"/>
                <w:color w:val="212121"/>
                <w:kern w:val="0"/>
                <w:sz w:val="24"/>
                <w:shd w:val="clear" w:color="auto" w:fill="FFFFFF"/>
              </w:rPr>
              <w:t>3）未成交的供应商自成交通知书发出之日起5个工作日内由招标代理机构提交盖有本代理机构公章的《张掖市公共资源交易中心民乐县分中心未中标企业投标保证金未中标明细表》，经中心相关股室工作人员签字确认后，由中心财务股5个工作日内退付完毕，保证金退付账号与交纳保证金账号一致。</w:t>
            </w:r>
          </w:p>
          <w:p>
            <w:pPr>
              <w:spacing w:line="480" w:lineRule="exact"/>
              <w:rPr>
                <w:rFonts w:ascii="宋体" w:hAnsi="宋体" w:cs="宋体"/>
                <w:color w:val="212121"/>
                <w:kern w:val="0"/>
                <w:sz w:val="24"/>
                <w:shd w:val="clear" w:color="auto" w:fill="FFFFFF"/>
              </w:rPr>
            </w:pPr>
            <w:r>
              <w:rPr>
                <w:rFonts w:hint="eastAsia" w:ascii="宋体" w:hAnsi="宋体" w:cs="宋体"/>
                <w:color w:val="212121"/>
                <w:kern w:val="0"/>
                <w:sz w:val="24"/>
                <w:shd w:val="clear" w:color="auto" w:fill="FFFFFF"/>
              </w:rPr>
              <w:t>4</w:t>
            </w:r>
            <w:r>
              <w:rPr>
                <w:rFonts w:hint="eastAsia" w:ascii="宋体" w:hAnsi="宋体" w:cs="宋体"/>
                <w:color w:val="C0504D"/>
                <w:kern w:val="0"/>
                <w:sz w:val="24"/>
                <w:shd w:val="clear" w:color="auto" w:fill="FFFFFF"/>
              </w:rPr>
              <w:t>）</w:t>
            </w:r>
            <w:r>
              <w:rPr>
                <w:rFonts w:hint="eastAsia" w:ascii="宋体" w:hAnsi="宋体" w:cs="宋体"/>
                <w:color w:val="212121"/>
                <w:kern w:val="0"/>
                <w:sz w:val="24"/>
                <w:shd w:val="clear" w:color="auto" w:fill="FFFFFF"/>
              </w:rPr>
              <w:t>成交供应商保证金在中标合同签订后由招标代理机构提交盖有本代理机构公章的《张掖市公共资源交易中心民乐县分中心中标企业投标保证金中标明细表》，经中心相关股室工作人员签字确认后，由中心财务股5个工作日内退付完毕。保证金退付账号与交纳保证金账号一致。</w:t>
            </w:r>
          </w:p>
          <w:p>
            <w:pPr>
              <w:spacing w:line="480" w:lineRule="exact"/>
              <w:rPr>
                <w:rFonts w:ascii="宋体" w:hAnsi="宋体" w:cs="宋体"/>
                <w:sz w:val="24"/>
              </w:rPr>
            </w:pPr>
            <w:r>
              <w:rPr>
                <w:rFonts w:hint="eastAsia" w:ascii="宋体" w:hAnsi="宋体" w:cs="宋体"/>
                <w:sz w:val="24"/>
              </w:rPr>
              <w:t>5）各供应商不在到张掖市公共资源交易中心民乐县分中心退付投标保证金，由代理公司代替退付，退回公司基本账户。</w:t>
            </w:r>
          </w:p>
          <w:p>
            <w:pPr>
              <w:adjustRightInd w:val="0"/>
              <w:spacing w:line="480" w:lineRule="exact"/>
              <w:rPr>
                <w:rFonts w:ascii="宋体" w:hAnsi="宋体" w:cs="宋体"/>
                <w:sz w:val="24"/>
              </w:rPr>
            </w:pPr>
            <w:r>
              <w:rPr>
                <w:rFonts w:hint="eastAsia" w:ascii="宋体" w:hAnsi="宋体" w:cs="宋体"/>
                <w:sz w:val="24"/>
              </w:rPr>
              <w:t>6）如供应商有下列情况，投标保证金不予退付：</w:t>
            </w:r>
          </w:p>
          <w:p>
            <w:pPr>
              <w:adjustRightInd w:val="0"/>
              <w:spacing w:line="480" w:lineRule="exact"/>
              <w:ind w:firstLine="480" w:firstLineChars="200"/>
              <w:rPr>
                <w:rFonts w:ascii="宋体" w:hAnsi="宋体" w:cs="宋体"/>
                <w:sz w:val="24"/>
              </w:rPr>
            </w:pPr>
            <w:r>
              <w:rPr>
                <w:rFonts w:hint="eastAsia" w:ascii="宋体" w:hAnsi="宋体" w:cs="宋体"/>
                <w:sz w:val="24"/>
              </w:rPr>
              <w:t>a.在《投标文件》递交截止时间后撤回其文件的；</w:t>
            </w:r>
          </w:p>
          <w:p>
            <w:pPr>
              <w:adjustRightInd w:val="0"/>
              <w:spacing w:line="480" w:lineRule="exact"/>
              <w:ind w:firstLine="480" w:firstLineChars="200"/>
              <w:rPr>
                <w:rFonts w:ascii="宋体" w:hAnsi="宋体" w:cs="宋体"/>
                <w:sz w:val="24"/>
              </w:rPr>
            </w:pPr>
            <w:r>
              <w:rPr>
                <w:rFonts w:hint="eastAsia" w:ascii="宋体" w:hAnsi="宋体" w:cs="宋体"/>
                <w:sz w:val="24"/>
              </w:rPr>
              <w:t>b.成交后无正当理由或未能在规定期限内与采购人签订合同的；</w:t>
            </w:r>
          </w:p>
          <w:p>
            <w:pPr>
              <w:adjustRightInd w:val="0"/>
              <w:spacing w:line="480" w:lineRule="exact"/>
              <w:ind w:firstLine="480" w:firstLineChars="200"/>
              <w:rPr>
                <w:rFonts w:ascii="宋体" w:hAnsi="宋体" w:cs="宋体"/>
                <w:sz w:val="24"/>
              </w:rPr>
            </w:pPr>
            <w:r>
              <w:rPr>
                <w:rFonts w:hint="eastAsia" w:ascii="宋体" w:hAnsi="宋体" w:cs="宋体"/>
                <w:sz w:val="24"/>
              </w:rPr>
              <w:t>c.将成交项目转让给他人，或者在《投标文件》中未说明，且未经采购人和招标方同意，将成交项目分包给他人的；</w:t>
            </w:r>
          </w:p>
          <w:p>
            <w:pPr>
              <w:adjustRightInd w:val="0"/>
              <w:spacing w:line="480" w:lineRule="exact"/>
              <w:ind w:firstLine="480" w:firstLineChars="200"/>
              <w:rPr>
                <w:rFonts w:ascii="宋体" w:hAnsi="宋体" w:cs="宋体"/>
                <w:sz w:val="24"/>
              </w:rPr>
            </w:pPr>
            <w:r>
              <w:rPr>
                <w:rFonts w:hint="eastAsia" w:ascii="宋体" w:hAnsi="宋体" w:cs="宋体"/>
                <w:sz w:val="24"/>
              </w:rPr>
              <w:t>d.未能在规定期限内签署合同的，拒绝或不完全履行合同义务的；</w:t>
            </w:r>
          </w:p>
          <w:p>
            <w:pPr>
              <w:adjustRightInd w:val="0"/>
              <w:spacing w:line="480" w:lineRule="exact"/>
              <w:ind w:firstLine="480" w:firstLineChars="200"/>
              <w:rPr>
                <w:rFonts w:ascii="宋体" w:hAnsi="宋体" w:cs="宋体"/>
                <w:sz w:val="24"/>
              </w:rPr>
            </w:pPr>
            <w:r>
              <w:rPr>
                <w:rFonts w:hint="eastAsia" w:ascii="宋体" w:hAnsi="宋体" w:cs="宋体"/>
                <w:sz w:val="24"/>
              </w:rPr>
              <w:t>e.成交后自愿放弃成交资格的；</w:t>
            </w:r>
          </w:p>
          <w:p>
            <w:pPr>
              <w:spacing w:line="480" w:lineRule="exact"/>
              <w:ind w:firstLine="480" w:firstLineChars="200"/>
              <w:rPr>
                <w:rFonts w:ascii="宋体" w:hAnsi="宋体" w:cs="宋体"/>
                <w:sz w:val="24"/>
              </w:rPr>
            </w:pPr>
            <w:r>
              <w:rPr>
                <w:rFonts w:hint="eastAsia" w:ascii="宋体" w:hAnsi="宋体" w:cs="宋体"/>
                <w:sz w:val="24"/>
              </w:rPr>
              <w:t>f.未领取成交通知书与招标单位签订合同的。</w:t>
            </w:r>
          </w:p>
          <w:p>
            <w:pPr>
              <w:adjustRightInd w:val="0"/>
              <w:spacing w:line="480" w:lineRule="exact"/>
              <w:rPr>
                <w:rFonts w:ascii="宋体" w:hAnsi="宋体" w:cs="宋体"/>
                <w:kern w:val="0"/>
                <w:sz w:val="24"/>
              </w:rPr>
            </w:pPr>
            <w:r>
              <w:rPr>
                <w:rFonts w:hint="eastAsia" w:ascii="宋体" w:hAnsi="宋体" w:cs="宋体"/>
                <w:sz w:val="24"/>
              </w:rPr>
              <w:t>7）其他未尽事宜以招标文件要求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22</w:t>
            </w:r>
          </w:p>
        </w:tc>
        <w:tc>
          <w:tcPr>
            <w:tcW w:w="1941" w:type="dxa"/>
            <w:vAlign w:val="center"/>
          </w:tcPr>
          <w:p>
            <w:pPr>
              <w:widowControl/>
              <w:adjustRightInd w:val="0"/>
              <w:spacing w:line="400" w:lineRule="exact"/>
              <w:jc w:val="center"/>
              <w:rPr>
                <w:rFonts w:ascii="宋体" w:hAnsi="宋体" w:cs="宋体"/>
                <w:spacing w:val="-8"/>
                <w:kern w:val="0"/>
                <w:sz w:val="24"/>
              </w:rPr>
            </w:pPr>
            <w:r>
              <w:rPr>
                <w:rFonts w:hint="eastAsia" w:ascii="宋体" w:hAnsi="宋体" w:cs="宋体"/>
                <w:kern w:val="0"/>
                <w:sz w:val="24"/>
              </w:rPr>
              <w:t>成交公告</w:t>
            </w:r>
          </w:p>
        </w:tc>
        <w:tc>
          <w:tcPr>
            <w:tcW w:w="7099" w:type="dxa"/>
            <w:vAlign w:val="center"/>
          </w:tcPr>
          <w:p>
            <w:pPr>
              <w:widowControl/>
              <w:spacing w:line="480" w:lineRule="exact"/>
              <w:ind w:firstLine="480" w:firstLineChars="200"/>
              <w:rPr>
                <w:rFonts w:ascii="宋体" w:hAnsi="宋体" w:cs="宋体"/>
                <w:kern w:val="0"/>
                <w:sz w:val="24"/>
              </w:rPr>
            </w:pPr>
            <w:r>
              <w:rPr>
                <w:rFonts w:hint="eastAsia" w:ascii="宋体" w:hAnsi="宋体" w:cs="宋体"/>
                <w:color w:val="000000"/>
                <w:sz w:val="24"/>
              </w:rPr>
              <w:t>供应商《投标文件》经过资格性、符合性检查、采用综合评分法后最终确定的成交结果，将在甘肃政府采购网上予以公示。公示期为3天。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23</w:t>
            </w:r>
          </w:p>
        </w:tc>
        <w:tc>
          <w:tcPr>
            <w:tcW w:w="1941" w:type="dxa"/>
            <w:vAlign w:val="center"/>
          </w:tcPr>
          <w:p>
            <w:pPr>
              <w:widowControl/>
              <w:adjustRightInd w:val="0"/>
              <w:spacing w:line="400" w:lineRule="exact"/>
              <w:jc w:val="center"/>
              <w:rPr>
                <w:rFonts w:ascii="宋体" w:hAnsi="宋体" w:cs="宋体"/>
                <w:spacing w:val="-8"/>
                <w:kern w:val="0"/>
                <w:sz w:val="24"/>
              </w:rPr>
            </w:pPr>
            <w:r>
              <w:rPr>
                <w:rFonts w:hint="eastAsia" w:ascii="宋体" w:hAnsi="宋体" w:cs="宋体"/>
                <w:kern w:val="0"/>
                <w:sz w:val="24"/>
              </w:rPr>
              <w:t>成交通知书领取</w:t>
            </w:r>
          </w:p>
        </w:tc>
        <w:tc>
          <w:tcPr>
            <w:tcW w:w="7099" w:type="dxa"/>
            <w:vAlign w:val="center"/>
          </w:tcPr>
          <w:p>
            <w:pPr>
              <w:widowControl/>
              <w:adjustRightInd w:val="0"/>
              <w:spacing w:line="480" w:lineRule="exact"/>
              <w:rPr>
                <w:rFonts w:ascii="宋体" w:hAnsi="宋体" w:cs="宋体"/>
                <w:kern w:val="0"/>
                <w:sz w:val="24"/>
              </w:rPr>
            </w:pPr>
            <w:r>
              <w:rPr>
                <w:rFonts w:hint="eastAsia" w:ascii="宋体" w:hAnsi="宋体" w:cs="宋体"/>
                <w:kern w:val="0"/>
                <w:sz w:val="24"/>
              </w:rPr>
              <w:t>请成交供应商凭有效身份证明证件，在公示期后2日内到</w:t>
            </w: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甘肃金盛招标代理有限公司</w:t>
            </w:r>
            <w:r>
              <w:rPr>
                <w:rFonts w:hint="eastAsia" w:ascii="宋体" w:hAnsi="宋体" w:cs="宋体"/>
                <w:kern w:val="0"/>
                <w:sz w:val="24"/>
              </w:rPr>
              <w:t>，缴纳代理服务费并领取成交通知书。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400" w:lineRule="exact"/>
              <w:jc w:val="center"/>
              <w:rPr>
                <w:rFonts w:ascii="宋体" w:hAnsi="宋体" w:cs="宋体"/>
                <w:w w:val="95"/>
                <w:sz w:val="24"/>
                <w:szCs w:val="24"/>
              </w:rPr>
            </w:pPr>
            <w:r>
              <w:rPr>
                <w:rFonts w:hint="eastAsia" w:ascii="宋体" w:hAnsi="宋体" w:cs="宋体"/>
                <w:w w:val="95"/>
                <w:sz w:val="24"/>
                <w:szCs w:val="24"/>
              </w:rPr>
              <w:t>24</w:t>
            </w:r>
          </w:p>
        </w:tc>
        <w:tc>
          <w:tcPr>
            <w:tcW w:w="1941" w:type="dxa"/>
            <w:vAlign w:val="center"/>
          </w:tcPr>
          <w:p>
            <w:pPr>
              <w:widowControl/>
              <w:adjustRightInd w:val="0"/>
              <w:spacing w:line="400" w:lineRule="exact"/>
              <w:jc w:val="center"/>
              <w:rPr>
                <w:rFonts w:ascii="宋体" w:hAnsi="宋体" w:cs="宋体"/>
                <w:kern w:val="0"/>
                <w:sz w:val="24"/>
              </w:rPr>
            </w:pPr>
            <w:r>
              <w:rPr>
                <w:rFonts w:hint="eastAsia" w:ascii="宋体" w:hAnsi="宋体" w:cs="宋体"/>
                <w:kern w:val="0"/>
                <w:sz w:val="24"/>
              </w:rPr>
              <w:t>政府采购合同</w:t>
            </w:r>
          </w:p>
          <w:p>
            <w:pPr>
              <w:widowControl/>
              <w:adjustRightInd w:val="0"/>
              <w:spacing w:line="400" w:lineRule="exact"/>
              <w:jc w:val="center"/>
              <w:rPr>
                <w:rFonts w:ascii="宋体" w:hAnsi="宋体" w:cs="宋体"/>
                <w:spacing w:val="-8"/>
                <w:kern w:val="0"/>
                <w:sz w:val="24"/>
              </w:rPr>
            </w:pPr>
            <w:r>
              <w:rPr>
                <w:rFonts w:hint="eastAsia" w:ascii="宋体" w:hAnsi="宋体" w:cs="宋体"/>
                <w:kern w:val="0"/>
                <w:sz w:val="24"/>
              </w:rPr>
              <w:t>备案公示</w:t>
            </w:r>
          </w:p>
        </w:tc>
        <w:tc>
          <w:tcPr>
            <w:tcW w:w="7099" w:type="dxa"/>
            <w:vAlign w:val="center"/>
          </w:tcPr>
          <w:p>
            <w:pPr>
              <w:widowControl/>
              <w:adjustRightInd w:val="0"/>
              <w:spacing w:line="480" w:lineRule="exact"/>
              <w:rPr>
                <w:rFonts w:ascii="宋体" w:hAnsi="宋体" w:cs="宋体"/>
                <w:kern w:val="0"/>
                <w:sz w:val="24"/>
              </w:rPr>
            </w:pPr>
            <w:r>
              <w:rPr>
                <w:rFonts w:hint="eastAsia" w:ascii="宋体" w:hAnsi="宋体" w:cs="宋体"/>
                <w:color w:val="000000"/>
                <w:kern w:val="0"/>
                <w:sz w:val="24"/>
              </w:rPr>
              <w:t>政府采购合同应在领取成交通知书后30日内签订，并送至招标代理公司盖章备案，且政府采购合同将在2个工作日内，在甘肃政府采购网上公示。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360" w:lineRule="exact"/>
              <w:jc w:val="center"/>
              <w:rPr>
                <w:rFonts w:ascii="宋体" w:hAnsi="宋体" w:cs="宋体"/>
                <w:w w:val="95"/>
                <w:sz w:val="24"/>
                <w:szCs w:val="24"/>
              </w:rPr>
            </w:pPr>
            <w:r>
              <w:rPr>
                <w:rFonts w:hint="eastAsia" w:ascii="宋体" w:hAnsi="宋体" w:cs="宋体"/>
                <w:w w:val="95"/>
                <w:sz w:val="24"/>
                <w:szCs w:val="24"/>
              </w:rPr>
              <w:t>25</w:t>
            </w:r>
          </w:p>
        </w:tc>
        <w:tc>
          <w:tcPr>
            <w:tcW w:w="1941" w:type="dxa"/>
            <w:vAlign w:val="center"/>
          </w:tcPr>
          <w:p>
            <w:pPr>
              <w:widowControl/>
              <w:adjustRightInd w:val="0"/>
              <w:spacing w:line="360" w:lineRule="exact"/>
              <w:jc w:val="center"/>
              <w:rPr>
                <w:rFonts w:ascii="宋体" w:hAnsi="宋体" w:cs="宋体"/>
                <w:kern w:val="0"/>
                <w:sz w:val="24"/>
                <w:highlight w:val="yellow"/>
              </w:rPr>
            </w:pPr>
            <w:r>
              <w:rPr>
                <w:rFonts w:hint="eastAsia" w:ascii="宋体" w:hAnsi="宋体" w:cs="宋体"/>
                <w:kern w:val="0"/>
                <w:sz w:val="24"/>
                <w:highlight w:val="none"/>
              </w:rPr>
              <w:t>低于成本价不正当竞争预防措施（实质性要求）</w:t>
            </w:r>
          </w:p>
          <w:p>
            <w:pPr>
              <w:widowControl/>
              <w:adjustRightInd w:val="0"/>
              <w:spacing w:line="360" w:lineRule="exact"/>
              <w:jc w:val="center"/>
              <w:rPr>
                <w:rFonts w:ascii="宋体" w:hAnsi="宋体" w:cs="宋体"/>
                <w:kern w:val="0"/>
                <w:sz w:val="24"/>
                <w:highlight w:val="yellow"/>
              </w:rPr>
            </w:pPr>
          </w:p>
          <w:p>
            <w:pPr>
              <w:widowControl/>
              <w:adjustRightInd w:val="0"/>
              <w:spacing w:line="360" w:lineRule="exact"/>
              <w:jc w:val="center"/>
              <w:rPr>
                <w:rFonts w:ascii="宋体" w:hAnsi="宋体" w:cs="宋体"/>
                <w:kern w:val="0"/>
                <w:sz w:val="24"/>
              </w:rPr>
            </w:pPr>
          </w:p>
        </w:tc>
        <w:tc>
          <w:tcPr>
            <w:tcW w:w="7099" w:type="dxa"/>
            <w:vAlign w:val="center"/>
          </w:tcPr>
          <w:p>
            <w:pPr>
              <w:widowControl/>
              <w:spacing w:line="480" w:lineRule="exact"/>
              <w:ind w:firstLine="480" w:firstLineChars="200"/>
              <w:rPr>
                <w:rFonts w:ascii="宋体" w:hAnsi="宋体" w:cs="宋体"/>
                <w:kern w:val="0"/>
                <w:sz w:val="24"/>
              </w:rPr>
            </w:pPr>
            <w:r>
              <w:rPr>
                <w:rFonts w:hint="eastAsia" w:ascii="宋体" w:hAnsi="宋体" w:cs="宋体"/>
                <w:color w:val="000000"/>
                <w:sz w:val="24"/>
                <w:lang w:val="en-US" w:eastAsia="zh-CN"/>
              </w:rPr>
              <w:t>在评标过程中，供应商报价低于采购预算，有可能影响质量或者不能诚信履约的，评审小组应当要求其在评标现场合理的时间内提供成本构成书面说明，并提交相关证明材料。供应商书面说明应当按照国家财务会计制度的规定要求，逐项就供应商提供的货物、工程和服务的主营业务成本（应根据供应商企业类型予 以区别）税金及附加、销售费用、管理费用、财务费用等成本构成事项详细陈述；供应商书面说明应当签字确认或者加盖公章，否则无效。书面说明的签字确认，由其法定代表人或者代理人签字确认；供应商提供书面说明后，评审小组应当结合采购项目采购需求、专业实际情况、供应商财务状况报告、与其他供应商比较情况等就供应商书面说明进行审查评价。供应商拒绝或者变相拒绝提供有效书面说明或者书面说明不能证明其报价合理性的，评审小组应当</w:t>
            </w:r>
            <w:r>
              <w:rPr>
                <w:rFonts w:hint="eastAsia" w:ascii="宋体" w:hAnsi="宋体" w:cs="宋体"/>
                <w:color w:val="000000"/>
                <w:sz w:val="24"/>
              </w:rPr>
              <w:t>将其《投标文件》作为无效处理。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360" w:lineRule="exact"/>
              <w:jc w:val="center"/>
              <w:rPr>
                <w:rFonts w:ascii="宋体" w:hAnsi="宋体" w:cs="宋体"/>
                <w:w w:val="95"/>
                <w:sz w:val="24"/>
                <w:szCs w:val="24"/>
              </w:rPr>
            </w:pPr>
            <w:r>
              <w:rPr>
                <w:rFonts w:hint="eastAsia" w:ascii="宋体" w:hAnsi="宋体" w:cs="宋体"/>
                <w:w w:val="95"/>
                <w:sz w:val="24"/>
                <w:szCs w:val="24"/>
              </w:rPr>
              <w:t>26</w:t>
            </w:r>
          </w:p>
        </w:tc>
        <w:tc>
          <w:tcPr>
            <w:tcW w:w="1941" w:type="dxa"/>
            <w:vAlign w:val="center"/>
          </w:tcPr>
          <w:p>
            <w:pPr>
              <w:widowControl/>
              <w:adjustRightInd w:val="0"/>
              <w:spacing w:line="360" w:lineRule="exact"/>
              <w:jc w:val="center"/>
              <w:rPr>
                <w:rFonts w:ascii="宋体" w:hAnsi="宋体" w:cs="宋体"/>
                <w:kern w:val="0"/>
                <w:sz w:val="24"/>
              </w:rPr>
            </w:pPr>
            <w:r>
              <w:rPr>
                <w:rFonts w:hint="eastAsia" w:ascii="宋体" w:hAnsi="宋体" w:cs="宋体"/>
                <w:color w:val="000000"/>
                <w:spacing w:val="-3"/>
                <w:sz w:val="24"/>
              </w:rPr>
              <w:t>供应商质疑</w:t>
            </w:r>
          </w:p>
        </w:tc>
        <w:tc>
          <w:tcPr>
            <w:tcW w:w="70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textAlignment w:val="auto"/>
              <w:outlineLvl w:val="9"/>
              <w:rPr>
                <w:rFonts w:ascii="宋体" w:hAnsi="宋体" w:cs="宋体"/>
                <w:color w:val="000000"/>
                <w:spacing w:val="-3"/>
                <w:kern w:val="0"/>
                <w:sz w:val="24"/>
              </w:rPr>
            </w:pPr>
            <w:r>
              <w:rPr>
                <w:rFonts w:hint="eastAsia" w:ascii="宋体" w:hAnsi="宋体" w:cs="宋体"/>
                <w:color w:val="000000"/>
                <w:spacing w:val="-3"/>
                <w:kern w:val="0"/>
                <w:sz w:val="24"/>
              </w:rPr>
              <w:t>对招标文件、招标过程、招标结果的质疑将由</w:t>
            </w: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甘肃金盛招标代理有限公司</w:t>
            </w:r>
            <w:r>
              <w:rPr>
                <w:rFonts w:hint="eastAsia" w:ascii="宋体" w:hAnsi="宋体" w:cs="宋体"/>
                <w:color w:val="000000"/>
                <w:spacing w:val="-3"/>
                <w:kern w:val="0"/>
                <w:sz w:val="24"/>
              </w:rPr>
              <w:t>在收到质疑后3日内负责答复。</w:t>
            </w:r>
          </w:p>
          <w:p>
            <w:pPr>
              <w:widowControl/>
              <w:adjustRightInd w:val="0"/>
              <w:spacing w:line="480" w:lineRule="exact"/>
              <w:rPr>
                <w:rFonts w:ascii="宋体" w:hAnsi="宋体" w:cs="宋体"/>
                <w:color w:val="000000"/>
                <w:kern w:val="0"/>
                <w:sz w:val="24"/>
              </w:rPr>
            </w:pPr>
            <w:r>
              <w:rPr>
                <w:rFonts w:hint="eastAsia" w:ascii="宋体" w:hAnsi="宋体" w:cs="宋体"/>
                <w:color w:val="000000"/>
                <w:kern w:val="0"/>
                <w:sz w:val="24"/>
              </w:rPr>
              <w:t>联系电话：0936-4201314</w:t>
            </w:r>
          </w:p>
          <w:p>
            <w:pPr>
              <w:pStyle w:val="2"/>
              <w:keepNext w:val="0"/>
              <w:keepLines w:val="0"/>
              <w:pageBreakBefore w:val="0"/>
              <w:widowControl w:val="0"/>
              <w:tabs>
                <w:tab w:val="left" w:pos="859"/>
                <w:tab w:val="left" w:pos="4579"/>
              </w:tabs>
              <w:kinsoku/>
              <w:wordWrap/>
              <w:overflowPunct/>
              <w:topLinePunct w:val="0"/>
              <w:autoSpaceDE w:val="0"/>
              <w:autoSpaceDN w:val="0"/>
              <w:bidi w:val="0"/>
              <w:adjustRightInd/>
              <w:snapToGrid/>
              <w:spacing w:before="0" w:line="560" w:lineRule="exact"/>
              <w:ind w:left="0" w:right="0"/>
              <w:textAlignment w:val="auto"/>
              <w:rPr>
                <w:rFonts w:ascii="宋体" w:hAnsi="宋体" w:cs="宋体"/>
                <w:color w:val="000000"/>
                <w:kern w:val="0"/>
                <w:sz w:val="24"/>
              </w:rPr>
            </w:pPr>
            <w:r>
              <w:rPr>
                <w:rFonts w:hint="eastAsia" w:ascii="宋体" w:hAnsi="宋体" w:cs="宋体"/>
                <w:color w:val="000000"/>
                <w:kern w:val="0"/>
                <w:sz w:val="24"/>
              </w:rPr>
              <w:t>地址：</w:t>
            </w: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张掖市甘州区东大街101号</w:t>
            </w:r>
          </w:p>
          <w:p>
            <w:pPr>
              <w:widowControl/>
              <w:adjustRightInd w:val="0"/>
              <w:spacing w:line="480" w:lineRule="exact"/>
              <w:rPr>
                <w:rFonts w:ascii="宋体" w:hAnsi="宋体" w:cs="宋体"/>
                <w:color w:val="000000"/>
                <w:kern w:val="0"/>
                <w:sz w:val="24"/>
              </w:rPr>
            </w:pPr>
            <w:r>
              <w:rPr>
                <w:rFonts w:hint="eastAsia" w:ascii="宋体" w:hAnsi="宋体" w:cs="宋体"/>
                <w:color w:val="000000"/>
                <w:kern w:val="0"/>
                <w:sz w:val="24"/>
              </w:rPr>
              <w:t>邮编：734500</w:t>
            </w:r>
          </w:p>
          <w:p>
            <w:pPr>
              <w:widowControl/>
              <w:adjustRightInd w:val="0"/>
              <w:spacing w:line="480" w:lineRule="exact"/>
              <w:rPr>
                <w:rFonts w:ascii="宋体" w:hAnsi="宋体" w:cs="宋体"/>
                <w:color w:val="000000"/>
                <w:kern w:val="0"/>
                <w:sz w:val="24"/>
              </w:rPr>
            </w:pPr>
            <w:r>
              <w:rPr>
                <w:rFonts w:hint="eastAsia" w:ascii="宋体" w:hAnsi="宋体" w:cs="宋体"/>
                <w:color w:val="000000"/>
                <w:kern w:val="0"/>
                <w:sz w:val="24"/>
              </w:rPr>
              <w:t>注：根据《中华人民共和国政府采购法》的规定，供应商质疑不得超出采购文件、采购过程、采购结果的范围。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01" w:type="dxa"/>
            <w:vAlign w:val="center"/>
          </w:tcPr>
          <w:p>
            <w:pPr>
              <w:pStyle w:val="5"/>
              <w:adjustRightInd w:val="0"/>
              <w:spacing w:line="360" w:lineRule="exact"/>
              <w:jc w:val="center"/>
              <w:rPr>
                <w:rFonts w:ascii="宋体" w:hAnsi="宋体" w:cs="宋体"/>
                <w:w w:val="95"/>
                <w:sz w:val="24"/>
                <w:szCs w:val="24"/>
              </w:rPr>
            </w:pPr>
            <w:r>
              <w:rPr>
                <w:rFonts w:hint="eastAsia" w:ascii="宋体" w:hAnsi="宋体" w:cs="宋体"/>
                <w:w w:val="95"/>
                <w:sz w:val="24"/>
                <w:szCs w:val="24"/>
              </w:rPr>
              <w:t>27</w:t>
            </w:r>
          </w:p>
        </w:tc>
        <w:tc>
          <w:tcPr>
            <w:tcW w:w="1941" w:type="dxa"/>
            <w:vAlign w:val="center"/>
          </w:tcPr>
          <w:p>
            <w:pPr>
              <w:widowControl/>
              <w:adjustRightInd w:val="0"/>
              <w:spacing w:line="360" w:lineRule="exact"/>
              <w:jc w:val="center"/>
              <w:rPr>
                <w:rFonts w:ascii="宋体" w:hAnsi="宋体" w:cs="宋体"/>
                <w:kern w:val="0"/>
                <w:sz w:val="24"/>
              </w:rPr>
            </w:pPr>
            <w:r>
              <w:rPr>
                <w:rFonts w:hint="eastAsia" w:ascii="宋体" w:hAnsi="宋体" w:cs="宋体"/>
                <w:color w:val="000000"/>
                <w:spacing w:val="-3"/>
                <w:sz w:val="24"/>
              </w:rPr>
              <w:t>供应商投诉</w:t>
            </w:r>
          </w:p>
        </w:tc>
        <w:tc>
          <w:tcPr>
            <w:tcW w:w="7099" w:type="dxa"/>
            <w:vAlign w:val="center"/>
          </w:tcPr>
          <w:p>
            <w:pPr>
              <w:widowControl/>
              <w:adjustRightInd w:val="0"/>
              <w:spacing w:line="360" w:lineRule="exact"/>
              <w:rPr>
                <w:rFonts w:ascii="宋体" w:hAnsi="宋体" w:cs="宋体"/>
                <w:color w:val="000000"/>
                <w:kern w:val="0"/>
                <w:sz w:val="24"/>
              </w:rPr>
            </w:pPr>
            <w:r>
              <w:rPr>
                <w:rFonts w:hint="eastAsia" w:ascii="宋体" w:hAnsi="宋体" w:cs="宋体"/>
                <w:color w:val="000000"/>
                <w:kern w:val="0"/>
                <w:sz w:val="24"/>
                <w:highlight w:val="none"/>
              </w:rPr>
              <w:t>投诉受理单位：</w:t>
            </w:r>
            <w:r>
              <w:rPr>
                <w:rFonts w:hint="eastAsia" w:ascii="宋体" w:hAnsi="宋体" w:cs="宋体"/>
                <w:color w:val="000000"/>
                <w:kern w:val="0"/>
                <w:sz w:val="24"/>
              </w:rPr>
              <w:t>本</w:t>
            </w:r>
            <w:r>
              <w:rPr>
                <w:rFonts w:hint="eastAsia" w:ascii="宋体" w:hAnsi="宋体" w:cs="宋体"/>
                <w:color w:val="000000"/>
                <w:kern w:val="0"/>
                <w:sz w:val="24"/>
                <w:lang w:eastAsia="zh-CN"/>
              </w:rPr>
              <w:t>项目</w:t>
            </w:r>
            <w:r>
              <w:rPr>
                <w:rFonts w:hint="eastAsia" w:cs="宋体"/>
                <w:color w:val="000000"/>
                <w:kern w:val="0"/>
                <w:sz w:val="24"/>
                <w:lang w:eastAsia="zh-CN"/>
              </w:rPr>
              <w:t>监管部门</w:t>
            </w:r>
            <w:r>
              <w:rPr>
                <w:rFonts w:hint="eastAsia" w:ascii="宋体" w:hAnsi="宋体" w:cs="宋体"/>
                <w:color w:val="000000"/>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701" w:type="dxa"/>
            <w:vAlign w:val="center"/>
          </w:tcPr>
          <w:p>
            <w:pPr>
              <w:pStyle w:val="5"/>
              <w:adjustRightInd w:val="0"/>
              <w:spacing w:line="360" w:lineRule="exact"/>
              <w:jc w:val="center"/>
              <w:rPr>
                <w:rFonts w:ascii="宋体" w:hAnsi="宋体" w:cs="宋体"/>
                <w:w w:val="95"/>
                <w:sz w:val="24"/>
                <w:szCs w:val="24"/>
              </w:rPr>
            </w:pPr>
            <w:r>
              <w:rPr>
                <w:rFonts w:hint="eastAsia" w:ascii="宋体" w:hAnsi="宋体" w:cs="宋体"/>
                <w:w w:val="95"/>
                <w:sz w:val="24"/>
                <w:szCs w:val="24"/>
              </w:rPr>
              <w:t>28</w:t>
            </w:r>
          </w:p>
        </w:tc>
        <w:tc>
          <w:tcPr>
            <w:tcW w:w="1941" w:type="dxa"/>
            <w:vAlign w:val="center"/>
          </w:tcPr>
          <w:p>
            <w:pPr>
              <w:widowControl/>
              <w:adjustRightInd w:val="0"/>
              <w:spacing w:line="360" w:lineRule="exact"/>
              <w:jc w:val="center"/>
              <w:rPr>
                <w:rFonts w:ascii="宋体" w:hAnsi="宋体" w:cs="宋体"/>
                <w:kern w:val="0"/>
                <w:sz w:val="24"/>
              </w:rPr>
            </w:pPr>
            <w:r>
              <w:rPr>
                <w:rFonts w:hint="eastAsia" w:ascii="宋体" w:hAnsi="宋体" w:cs="宋体"/>
                <w:color w:val="000000"/>
                <w:spacing w:val="-3"/>
                <w:sz w:val="24"/>
              </w:rPr>
              <w:t>其他</w:t>
            </w:r>
          </w:p>
        </w:tc>
        <w:tc>
          <w:tcPr>
            <w:tcW w:w="7099" w:type="dxa"/>
            <w:vAlign w:val="center"/>
          </w:tcPr>
          <w:p>
            <w:pPr>
              <w:widowControl/>
              <w:adjustRightInd w:val="0"/>
              <w:spacing w:line="400" w:lineRule="exact"/>
              <w:rPr>
                <w:rFonts w:ascii="宋体" w:hAnsi="宋体" w:cs="宋体"/>
                <w:color w:val="000000"/>
                <w:kern w:val="0"/>
                <w:sz w:val="24"/>
              </w:rPr>
            </w:pPr>
            <w:r>
              <w:rPr>
                <w:rFonts w:hint="eastAsia" w:ascii="宋体" w:hAnsi="宋体" w:cs="宋体"/>
                <w:color w:val="000000"/>
                <w:kern w:val="0"/>
                <w:sz w:val="24"/>
              </w:rPr>
              <w:t>1、供应商需在开标现场提供公司所有执照及资质原件备查，未提供原件导致废标的由供应商自行承担。</w:t>
            </w:r>
          </w:p>
          <w:p>
            <w:pPr>
              <w:widowControl/>
              <w:adjustRightInd w:val="0"/>
              <w:spacing w:line="400" w:lineRule="exact"/>
              <w:rPr>
                <w:rFonts w:ascii="宋体" w:hAnsi="宋体" w:cs="宋体"/>
                <w:color w:val="000000"/>
                <w:kern w:val="0"/>
                <w:sz w:val="24"/>
              </w:rPr>
            </w:pPr>
            <w:r>
              <w:rPr>
                <w:rFonts w:hint="eastAsia" w:ascii="宋体" w:hAnsi="宋体" w:cs="宋体"/>
                <w:color w:val="000000"/>
                <w:kern w:val="0"/>
                <w:sz w:val="24"/>
              </w:rPr>
              <w:t>2、如有包号，需分别注明包号，如因包号不明而导致废标等问题，由供应商自行承担。</w:t>
            </w:r>
          </w:p>
        </w:tc>
      </w:tr>
    </w:tbl>
    <w:p>
      <w:bookmarkStart w:id="9" w:name="_Toc24721"/>
      <w:bookmarkStart w:id="10" w:name="_Toc449469105"/>
    </w:p>
    <w:p>
      <w:pPr>
        <w:pStyle w:val="4"/>
        <w:spacing w:line="500" w:lineRule="exact"/>
      </w:pPr>
      <w:bookmarkStart w:id="11" w:name="_Toc6821_WPSOffice_Level2"/>
      <w:bookmarkStart w:id="12" w:name="_Toc3893_WPSOffice_Level2"/>
      <w:bookmarkStart w:id="13" w:name="_Toc30552_WPSOffice_Level2"/>
      <w:r>
        <w:rPr>
          <w:rFonts w:hint="eastAsia"/>
        </w:rPr>
        <w:t>二、供应商须知</w:t>
      </w:r>
      <w:bookmarkEnd w:id="9"/>
      <w:bookmarkEnd w:id="10"/>
      <w:bookmarkEnd w:id="11"/>
      <w:bookmarkEnd w:id="12"/>
      <w:bookmarkEnd w:id="13"/>
    </w:p>
    <w:p>
      <w:pPr>
        <w:adjustRightInd w:val="0"/>
        <w:spacing w:line="560" w:lineRule="exact"/>
        <w:rPr>
          <w:rFonts w:ascii="宋体" w:hAnsi="宋体" w:cs="宋体"/>
          <w:b/>
          <w:bCs/>
          <w:sz w:val="24"/>
        </w:rPr>
      </w:pPr>
      <w:bookmarkStart w:id="14" w:name="_Toc449698393"/>
      <w:bookmarkStart w:id="15" w:name="_Toc10204"/>
      <w:bookmarkStart w:id="16" w:name="_Toc3573"/>
      <w:r>
        <w:rPr>
          <w:rFonts w:hint="eastAsia" w:ascii="宋体" w:hAnsi="宋体" w:cs="宋体"/>
          <w:b/>
          <w:bCs/>
          <w:sz w:val="24"/>
        </w:rPr>
        <w:t>1.说明</w:t>
      </w:r>
    </w:p>
    <w:p>
      <w:pPr>
        <w:adjustRightInd w:val="0"/>
        <w:spacing w:line="560" w:lineRule="exact"/>
        <w:ind w:firstLine="480" w:firstLineChars="200"/>
        <w:rPr>
          <w:rFonts w:ascii="宋体" w:hAnsi="宋体" w:cs="宋体"/>
          <w:sz w:val="24"/>
        </w:rPr>
      </w:pPr>
      <w:r>
        <w:rPr>
          <w:rFonts w:hint="eastAsia" w:ascii="宋体" w:hAnsi="宋体" w:cs="宋体"/>
          <w:sz w:val="24"/>
        </w:rPr>
        <w:t>本项目按照《中华人民共和国政府采购法》及相关法规，已办理招标申请，并得到招标管理机构批准，现通过招标来择优选定供应商。本招标文件包括本文所列内容及按本须知发出的全部和补充资料。供应商应认真阅读本招标文件中所有的事项、格式、条款、技术规范等实质性的条件和要求。供应商被视为充分熟悉本招标项目的全部内容及与履行合同有关的全部内容，熟悉招标文件的格式、条件和范围。供应商没有按照招标文件的要求提交相关资料，或者供应商没有对招标文件相关内容做出实质性响应，可能导致其投标无效。</w:t>
      </w:r>
    </w:p>
    <w:p>
      <w:pPr>
        <w:adjustRightInd w:val="0"/>
        <w:spacing w:line="560" w:lineRule="exact"/>
        <w:ind w:firstLine="482" w:firstLineChars="200"/>
        <w:rPr>
          <w:rFonts w:ascii="宋体" w:hAnsi="宋体" w:cs="宋体"/>
          <w:b/>
          <w:bCs/>
          <w:sz w:val="24"/>
        </w:rPr>
      </w:pPr>
      <w:r>
        <w:rPr>
          <w:rFonts w:hint="eastAsia" w:ascii="宋体" w:hAnsi="宋体" w:cs="宋体"/>
          <w:b/>
          <w:bCs/>
          <w:sz w:val="24"/>
        </w:rPr>
        <w:t>1.1适用范围</w:t>
      </w:r>
    </w:p>
    <w:p>
      <w:pPr>
        <w:adjustRightInd w:val="0"/>
        <w:spacing w:line="560" w:lineRule="exact"/>
        <w:ind w:firstLine="464" w:firstLineChars="200"/>
        <w:rPr>
          <w:rFonts w:ascii="宋体" w:hAnsi="宋体" w:cs="宋体"/>
          <w:spacing w:val="-4"/>
          <w:sz w:val="24"/>
        </w:rPr>
      </w:pPr>
      <w:r>
        <w:rPr>
          <w:rFonts w:hint="eastAsia" w:ascii="宋体" w:hAnsi="宋体" w:cs="宋体"/>
          <w:spacing w:val="-4"/>
          <w:sz w:val="24"/>
        </w:rPr>
        <w:t>本《招标文件》仅适用于本公开招标公告中所列的投标范围。</w:t>
      </w:r>
    </w:p>
    <w:p>
      <w:pPr>
        <w:adjustRightInd w:val="0"/>
        <w:spacing w:line="560" w:lineRule="exact"/>
        <w:ind w:firstLine="482" w:firstLineChars="200"/>
        <w:rPr>
          <w:rFonts w:ascii="宋体" w:hAnsi="宋体" w:cs="宋体"/>
          <w:b/>
          <w:bCs/>
          <w:sz w:val="24"/>
        </w:rPr>
      </w:pPr>
      <w:r>
        <w:rPr>
          <w:rFonts w:hint="eastAsia" w:ascii="宋体" w:hAnsi="宋体" w:cs="宋体"/>
          <w:b/>
          <w:bCs/>
          <w:sz w:val="24"/>
        </w:rPr>
        <w:t>1.2合格的供应商的基本条件：</w:t>
      </w:r>
    </w:p>
    <w:p>
      <w:pPr>
        <w:adjustRightInd w:val="0"/>
        <w:spacing w:line="560" w:lineRule="exact"/>
        <w:ind w:firstLine="480" w:firstLineChars="200"/>
        <w:rPr>
          <w:rFonts w:ascii="宋体" w:hAnsi="宋体" w:cs="宋体"/>
          <w:sz w:val="24"/>
        </w:rPr>
      </w:pPr>
      <w:r>
        <w:rPr>
          <w:rFonts w:hint="eastAsia" w:ascii="宋体" w:hAnsi="宋体" w:cs="宋体"/>
          <w:sz w:val="24"/>
        </w:rPr>
        <w:t>详见“供应商须知前附表”。</w:t>
      </w:r>
    </w:p>
    <w:p>
      <w:pPr>
        <w:adjustRightInd w:val="0"/>
        <w:spacing w:line="560" w:lineRule="exact"/>
        <w:ind w:firstLine="482" w:firstLineChars="200"/>
        <w:rPr>
          <w:rFonts w:ascii="宋体" w:hAnsi="宋体" w:cs="宋体"/>
          <w:b/>
          <w:bCs/>
          <w:sz w:val="24"/>
        </w:rPr>
      </w:pPr>
      <w:r>
        <w:rPr>
          <w:rFonts w:hint="eastAsia" w:ascii="宋体" w:hAnsi="宋体" w:cs="宋体"/>
          <w:b/>
          <w:bCs/>
          <w:sz w:val="24"/>
        </w:rPr>
        <w:t>1.3踏勘现场和答疑：</w:t>
      </w:r>
    </w:p>
    <w:p>
      <w:pPr>
        <w:adjustRightInd w:val="0"/>
        <w:spacing w:line="560" w:lineRule="exact"/>
        <w:ind w:firstLine="560"/>
        <w:rPr>
          <w:rFonts w:ascii="宋体" w:hAnsi="宋体" w:cs="宋体"/>
          <w:sz w:val="24"/>
        </w:rPr>
      </w:pPr>
      <w:r>
        <w:rPr>
          <w:rFonts w:hint="eastAsia" w:ascii="宋体" w:hAnsi="宋体" w:cs="宋体"/>
          <w:sz w:val="24"/>
        </w:rPr>
        <w:t>1）供应商承担踏勘现场所发生的自身费用。</w:t>
      </w:r>
    </w:p>
    <w:p>
      <w:pPr>
        <w:adjustRightInd w:val="0"/>
        <w:spacing w:line="560" w:lineRule="exact"/>
        <w:ind w:firstLine="560"/>
        <w:rPr>
          <w:rFonts w:ascii="宋体" w:hAnsi="宋体" w:cs="宋体"/>
          <w:sz w:val="24"/>
        </w:rPr>
      </w:pPr>
      <w:r>
        <w:rPr>
          <w:rFonts w:hint="eastAsia" w:ascii="宋体" w:hAnsi="宋体" w:cs="宋体"/>
          <w:sz w:val="24"/>
        </w:rPr>
        <w:t>2）采购人向供应商提供的有关现场的数据和资料，是采购人现有的能被供应商利用的资料，采购人对供应商做出的任何推论、理解和结论均不负责任。</w:t>
      </w:r>
    </w:p>
    <w:p>
      <w:pPr>
        <w:adjustRightInd w:val="0"/>
        <w:spacing w:line="540" w:lineRule="exact"/>
        <w:ind w:firstLine="480" w:firstLineChars="200"/>
        <w:rPr>
          <w:rFonts w:ascii="宋体" w:hAnsi="宋体" w:cs="宋体"/>
          <w:sz w:val="24"/>
        </w:rPr>
      </w:pPr>
      <w:r>
        <w:rPr>
          <w:rFonts w:hint="eastAsia" w:ascii="宋体" w:hAnsi="宋体" w:cs="宋体"/>
          <w:sz w:val="24"/>
        </w:rPr>
        <w:t>3）经采购人允许，供应商可为踏勘目的进入采购人的项目现场，但供应商不得因此使采购人承担有关的责任和蒙受损失。供应商应承担踏勘现场的责任和风险</w:t>
      </w:r>
    </w:p>
    <w:p>
      <w:pPr>
        <w:adjustRightInd w:val="0"/>
        <w:spacing w:line="560" w:lineRule="exact"/>
        <w:ind w:firstLine="482" w:firstLineChars="200"/>
        <w:rPr>
          <w:rFonts w:ascii="宋体" w:hAnsi="宋体" w:cs="宋体"/>
          <w:b/>
          <w:bCs/>
          <w:sz w:val="24"/>
        </w:rPr>
      </w:pPr>
      <w:r>
        <w:rPr>
          <w:rFonts w:hint="eastAsia" w:ascii="宋体" w:hAnsi="宋体" w:cs="宋体"/>
          <w:b/>
          <w:bCs/>
          <w:sz w:val="24"/>
        </w:rPr>
        <w:t>1.4定义</w:t>
      </w:r>
    </w:p>
    <w:p>
      <w:pPr>
        <w:adjustRightInd w:val="0"/>
        <w:spacing w:line="560" w:lineRule="exact"/>
        <w:ind w:firstLine="480" w:firstLineChars="200"/>
        <w:rPr>
          <w:rFonts w:ascii="宋体" w:hAnsi="宋体" w:cs="宋体"/>
          <w:spacing w:val="-26"/>
          <w:sz w:val="24"/>
        </w:rPr>
      </w:pPr>
      <w:r>
        <w:rPr>
          <w:rFonts w:hint="eastAsia" w:ascii="宋体" w:hAnsi="宋体" w:cs="宋体"/>
          <w:sz w:val="24"/>
        </w:rPr>
        <w:t>1）</w:t>
      </w:r>
      <w:r>
        <w:rPr>
          <w:rFonts w:hint="eastAsia" w:ascii="宋体" w:hAnsi="宋体" w:cs="宋体"/>
          <w:spacing w:val="-26"/>
          <w:sz w:val="24"/>
        </w:rPr>
        <w:t>“</w:t>
      </w:r>
      <w:r>
        <w:rPr>
          <w:rFonts w:hint="eastAsia" w:ascii="宋体" w:hAnsi="宋体" w:cs="宋体"/>
          <w:spacing w:val="-4"/>
          <w:sz w:val="24"/>
        </w:rPr>
        <w:t>委托单位”系</w:t>
      </w:r>
      <w:r>
        <w:rPr>
          <w:rFonts w:hint="eastAsia" w:ascii="宋体" w:hAnsi="宋体" w:cs="宋体"/>
          <w:b/>
          <w:bCs/>
          <w:spacing w:val="-4"/>
          <w:sz w:val="24"/>
        </w:rPr>
        <w:t>民乐县</w:t>
      </w:r>
      <w:r>
        <w:rPr>
          <w:rFonts w:hint="eastAsia" w:ascii="宋体" w:hAnsi="宋体" w:cs="宋体"/>
          <w:b/>
          <w:bCs/>
          <w:spacing w:val="-4"/>
          <w:sz w:val="24"/>
          <w:lang w:eastAsia="zh-CN"/>
        </w:rPr>
        <w:t>人民法院</w:t>
      </w:r>
      <w:r>
        <w:rPr>
          <w:rFonts w:hint="eastAsia" w:ascii="宋体" w:hAnsi="宋体" w:cs="宋体"/>
          <w:spacing w:val="-4"/>
          <w:sz w:val="24"/>
        </w:rPr>
        <w:t>，本项目的招标人。</w:t>
      </w:r>
    </w:p>
    <w:p>
      <w:pPr>
        <w:adjustRightInd w:val="0"/>
        <w:spacing w:line="560" w:lineRule="exact"/>
        <w:ind w:firstLine="480" w:firstLineChars="200"/>
        <w:rPr>
          <w:rFonts w:ascii="宋体" w:hAnsi="宋体" w:cs="宋体"/>
          <w:sz w:val="24"/>
        </w:rPr>
      </w:pPr>
      <w:r>
        <w:rPr>
          <w:rFonts w:hint="eastAsia" w:ascii="宋体" w:hAnsi="宋体" w:cs="宋体"/>
          <w:sz w:val="24"/>
        </w:rPr>
        <w:t>2）“招标代理机构”系指根据采购人的委托依法办理招标事宜的采购机构，本项目的招标代理机构</w:t>
      </w:r>
      <w:r>
        <w:rPr>
          <w:rFonts w:hint="eastAsia" w:ascii="宋体" w:hAnsi="宋体" w:cs="宋体"/>
          <w:spacing w:val="-4"/>
          <w:sz w:val="24"/>
        </w:rPr>
        <w:t>为</w:t>
      </w:r>
      <w:r>
        <w:rPr>
          <w:rFonts w:hint="eastAsia" w:ascii="宋体" w:hAnsi="宋体" w:eastAsia="宋体" w:cs="宋体"/>
          <w:b/>
          <w:bCs/>
          <w:sz w:val="24"/>
          <w:lang w:eastAsia="zh-CN"/>
        </w:rPr>
        <w:t>甘肃金盛招标代理有限公司</w:t>
      </w:r>
      <w:r>
        <w:rPr>
          <w:rFonts w:hint="eastAsia" w:ascii="宋体" w:hAnsi="宋体" w:cs="宋体"/>
          <w:sz w:val="24"/>
        </w:rPr>
        <w:t>。</w:t>
      </w:r>
    </w:p>
    <w:p>
      <w:pPr>
        <w:adjustRightInd w:val="0"/>
        <w:spacing w:line="560" w:lineRule="exact"/>
        <w:ind w:firstLine="480" w:firstLineChars="200"/>
        <w:rPr>
          <w:rFonts w:ascii="宋体" w:hAnsi="宋体" w:cs="宋体"/>
          <w:sz w:val="24"/>
        </w:rPr>
      </w:pPr>
      <w:r>
        <w:rPr>
          <w:rFonts w:hint="eastAsia" w:ascii="宋体" w:hAnsi="宋体" w:cs="宋体"/>
          <w:sz w:val="24"/>
        </w:rPr>
        <w:t>3）“供应商”系指向采购人提供货物、工程或者服务的法人、其他组织或者自然人。</w:t>
      </w:r>
    </w:p>
    <w:p>
      <w:pPr>
        <w:adjustRightInd w:val="0"/>
        <w:spacing w:line="560" w:lineRule="exact"/>
        <w:ind w:firstLine="480" w:firstLineChars="200"/>
        <w:rPr>
          <w:rFonts w:ascii="宋体" w:hAnsi="宋体" w:cs="宋体"/>
          <w:sz w:val="24"/>
        </w:rPr>
      </w:pPr>
      <w:r>
        <w:rPr>
          <w:rFonts w:hint="eastAsia" w:ascii="宋体" w:hAnsi="宋体" w:cs="宋体"/>
          <w:sz w:val="24"/>
        </w:rPr>
        <w:t>4）“招标文件”是指由采购人发出的文本、文件，包括全部章节和附件。</w:t>
      </w:r>
    </w:p>
    <w:p>
      <w:pPr>
        <w:adjustRightInd w:val="0"/>
        <w:spacing w:line="560" w:lineRule="exact"/>
        <w:ind w:firstLine="480" w:firstLineChars="200"/>
        <w:rPr>
          <w:rFonts w:ascii="宋体" w:hAnsi="宋体" w:cs="宋体"/>
          <w:spacing w:val="-3"/>
          <w:sz w:val="24"/>
        </w:rPr>
      </w:pPr>
      <w:r>
        <w:rPr>
          <w:rFonts w:hint="eastAsia" w:ascii="宋体" w:hAnsi="宋体" w:cs="宋体"/>
          <w:sz w:val="24"/>
        </w:rPr>
        <w:t>5）</w:t>
      </w:r>
      <w:r>
        <w:rPr>
          <w:rFonts w:hint="eastAsia" w:ascii="宋体" w:hAnsi="宋体" w:cs="宋体"/>
          <w:spacing w:val="-3"/>
          <w:sz w:val="24"/>
        </w:rPr>
        <w:t>“投标文件”是指供应商根据本招标文件向采购人提交的全部文件。</w:t>
      </w:r>
    </w:p>
    <w:p>
      <w:pPr>
        <w:adjustRightInd w:val="0"/>
        <w:spacing w:line="560" w:lineRule="exact"/>
        <w:ind w:firstLine="480" w:firstLineChars="200"/>
        <w:rPr>
          <w:rFonts w:ascii="宋体" w:hAnsi="宋体" w:cs="宋体"/>
          <w:sz w:val="24"/>
        </w:rPr>
      </w:pPr>
      <w:r>
        <w:rPr>
          <w:rFonts w:hint="eastAsia" w:ascii="宋体" w:hAnsi="宋体" w:cs="宋体"/>
          <w:sz w:val="24"/>
        </w:rPr>
        <w:t>6）“货物”是指供应商成交后根据招标文件和合同的规定须向采购人提供的各种形态和种类的物品，包括原材料、燃料、设备、产品等。</w:t>
      </w:r>
    </w:p>
    <w:p>
      <w:pPr>
        <w:adjustRightInd w:val="0"/>
        <w:spacing w:line="560" w:lineRule="exact"/>
        <w:ind w:firstLine="480" w:firstLineChars="200"/>
        <w:rPr>
          <w:rFonts w:ascii="宋体" w:hAnsi="宋体" w:cs="宋体"/>
          <w:sz w:val="24"/>
        </w:rPr>
      </w:pPr>
      <w:r>
        <w:rPr>
          <w:rFonts w:hint="eastAsia" w:ascii="宋体" w:hAnsi="宋体" w:cs="宋体"/>
          <w:sz w:val="24"/>
        </w:rPr>
        <w:t>7）“工程”是指供应商成交后根据招标文件和合同的规定建设工程，包括建筑物和构筑物的新建、改建、扩建、装修、拆除、修缮等。</w:t>
      </w:r>
    </w:p>
    <w:p>
      <w:pPr>
        <w:adjustRightInd w:val="0"/>
        <w:spacing w:line="560" w:lineRule="exact"/>
        <w:ind w:firstLine="480" w:firstLineChars="200"/>
        <w:rPr>
          <w:rFonts w:ascii="宋体" w:hAnsi="宋体" w:cs="宋体"/>
          <w:sz w:val="24"/>
        </w:rPr>
      </w:pPr>
      <w:r>
        <w:rPr>
          <w:rFonts w:hint="eastAsia" w:ascii="宋体" w:hAnsi="宋体" w:cs="宋体"/>
          <w:sz w:val="24"/>
        </w:rPr>
        <w:t>8）“服务”是指供应商成交后根据招标文件和合同的规定承担除货物和工程以外的其他政府采购对象。</w:t>
      </w:r>
    </w:p>
    <w:p>
      <w:pPr>
        <w:adjustRightInd w:val="0"/>
        <w:spacing w:line="560" w:lineRule="exact"/>
        <w:ind w:firstLine="480" w:firstLineChars="200"/>
        <w:rPr>
          <w:rFonts w:ascii="宋体" w:hAnsi="宋体" w:cs="宋体"/>
          <w:sz w:val="24"/>
        </w:rPr>
      </w:pPr>
      <w:r>
        <w:rPr>
          <w:rFonts w:hint="eastAsia" w:ascii="宋体" w:hAnsi="宋体" w:cs="宋体"/>
          <w:sz w:val="24"/>
        </w:rPr>
        <w:t>9）“书面形式”是指任何手写、打印或印刷的各种函件，不包括电传、电报、传真、电子邮件。</w:t>
      </w:r>
    </w:p>
    <w:p>
      <w:pPr>
        <w:adjustRightInd w:val="0"/>
        <w:spacing w:line="560" w:lineRule="exact"/>
        <w:ind w:firstLine="482" w:firstLineChars="200"/>
        <w:rPr>
          <w:rFonts w:ascii="宋体" w:hAnsi="宋体" w:cs="宋体"/>
          <w:b/>
          <w:bCs/>
          <w:sz w:val="24"/>
        </w:rPr>
      </w:pPr>
      <w:r>
        <w:rPr>
          <w:rFonts w:hint="eastAsia" w:ascii="宋体" w:hAnsi="宋体" w:cs="宋体"/>
          <w:b/>
          <w:bCs/>
          <w:sz w:val="24"/>
        </w:rPr>
        <w:t>1.5招标的费用</w:t>
      </w:r>
    </w:p>
    <w:p>
      <w:pPr>
        <w:adjustRightInd w:val="0"/>
        <w:spacing w:line="560" w:lineRule="exact"/>
        <w:ind w:firstLine="480" w:firstLineChars="200"/>
        <w:rPr>
          <w:rFonts w:ascii="宋体" w:hAnsi="宋体" w:cs="宋体"/>
          <w:sz w:val="24"/>
        </w:rPr>
      </w:pPr>
      <w:r>
        <w:rPr>
          <w:rFonts w:hint="eastAsia" w:ascii="宋体" w:hAnsi="宋体" w:cs="宋体"/>
          <w:sz w:val="24"/>
        </w:rPr>
        <w:t>无论本项目的结果如何，供应商应承担其本身参加项目投标和招标的所有费用。</w:t>
      </w:r>
    </w:p>
    <w:p>
      <w:pPr>
        <w:spacing w:line="560" w:lineRule="exact"/>
        <w:ind w:firstLine="482" w:firstLineChars="200"/>
        <w:rPr>
          <w:rFonts w:ascii="宋体" w:hAnsi="宋体" w:cs="宋体"/>
          <w:b/>
          <w:sz w:val="24"/>
        </w:rPr>
      </w:pPr>
      <w:r>
        <w:rPr>
          <w:rFonts w:hint="eastAsia" w:ascii="宋体" w:hAnsi="宋体" w:cs="宋体"/>
          <w:b/>
          <w:sz w:val="24"/>
        </w:rPr>
        <w:t>1.6签约及代理服务费</w:t>
      </w:r>
    </w:p>
    <w:p>
      <w:pPr>
        <w:spacing w:line="560" w:lineRule="exact"/>
        <w:ind w:firstLine="480" w:firstLineChars="200"/>
        <w:rPr>
          <w:rFonts w:ascii="宋体" w:hAnsi="宋体" w:cs="宋体"/>
          <w:sz w:val="24"/>
        </w:rPr>
      </w:pPr>
      <w:r>
        <w:rPr>
          <w:rFonts w:hint="eastAsia" w:ascii="宋体" w:hAnsi="宋体" w:cs="宋体"/>
          <w:sz w:val="24"/>
        </w:rPr>
        <w:t>1）最终中标供应商须尽快向招标代理机构领取中标通知书。</w:t>
      </w:r>
    </w:p>
    <w:p>
      <w:pPr>
        <w:spacing w:line="560" w:lineRule="exact"/>
        <w:ind w:firstLine="480" w:firstLineChars="200"/>
        <w:rPr>
          <w:rFonts w:ascii="宋体" w:hAnsi="宋体" w:cs="宋体"/>
          <w:sz w:val="24"/>
        </w:rPr>
      </w:pPr>
      <w:r>
        <w:rPr>
          <w:rFonts w:hint="eastAsia" w:ascii="宋体" w:hAnsi="宋体" w:cs="宋体"/>
          <w:sz w:val="24"/>
        </w:rPr>
        <w:t>2）成交供应商接到成交通知书后应在7日内与委托单位签订合同。</w:t>
      </w:r>
    </w:p>
    <w:p>
      <w:pPr>
        <w:spacing w:line="560" w:lineRule="exact"/>
        <w:ind w:firstLine="480" w:firstLineChars="200"/>
        <w:rPr>
          <w:rFonts w:ascii="宋体" w:hAnsi="宋体" w:cs="宋体"/>
          <w:sz w:val="24"/>
        </w:rPr>
      </w:pPr>
      <w:r>
        <w:rPr>
          <w:rFonts w:hint="eastAsia" w:ascii="宋体" w:hAnsi="宋体" w:cs="宋体"/>
          <w:sz w:val="24"/>
        </w:rPr>
        <w:t>3）代理服务费币种与成交通知书成交价的币种相同；</w:t>
      </w:r>
    </w:p>
    <w:p>
      <w:pPr>
        <w:spacing w:line="560" w:lineRule="exact"/>
        <w:ind w:firstLine="480" w:firstLineChars="200"/>
        <w:rPr>
          <w:rFonts w:ascii="宋体" w:hAnsi="宋体" w:cs="宋体"/>
          <w:sz w:val="24"/>
        </w:rPr>
      </w:pPr>
      <w:r>
        <w:rPr>
          <w:rFonts w:hint="eastAsia" w:ascii="宋体" w:hAnsi="宋体" w:cs="宋体"/>
          <w:sz w:val="24"/>
        </w:rPr>
        <w:t>4）代理服务费不列在《投标文件》中；</w:t>
      </w:r>
    </w:p>
    <w:p>
      <w:pPr>
        <w:spacing w:line="560" w:lineRule="exact"/>
        <w:ind w:firstLine="480" w:firstLineChars="200"/>
        <w:rPr>
          <w:rFonts w:ascii="宋体" w:hAnsi="宋体" w:cs="宋体"/>
          <w:sz w:val="24"/>
        </w:rPr>
      </w:pPr>
      <w:r>
        <w:rPr>
          <w:rFonts w:hint="eastAsia" w:ascii="宋体" w:hAnsi="宋体" w:cs="宋体"/>
          <w:sz w:val="24"/>
        </w:rPr>
        <w:t>5）本项目招标代理费根据财政部、国家计委、国家物价局（2002）1980号文件，国家发改委(2003)857号文件、（2015）299号文件规定收取。</w:t>
      </w:r>
    </w:p>
    <w:p>
      <w:pPr>
        <w:spacing w:line="560" w:lineRule="exact"/>
        <w:ind w:firstLine="480" w:firstLineChars="200"/>
        <w:rPr>
          <w:rFonts w:ascii="宋体" w:hAnsi="宋体" w:cs="宋体"/>
          <w:sz w:val="24"/>
        </w:rPr>
      </w:pPr>
      <w:r>
        <w:rPr>
          <w:rFonts w:hint="eastAsia" w:ascii="宋体" w:hAnsi="宋体" w:cs="宋体"/>
          <w:sz w:val="24"/>
        </w:rPr>
        <w:t>6）依据采购人与招标代理机构签署的委托招标代理合同相关条款本项目收取代理服务费。由最终中标人负责支付给招标代理机构；</w:t>
      </w:r>
    </w:p>
    <w:p>
      <w:pPr>
        <w:spacing w:line="560" w:lineRule="exact"/>
        <w:ind w:firstLine="482" w:firstLineChars="200"/>
        <w:rPr>
          <w:rFonts w:ascii="宋体" w:hAnsi="宋体" w:cs="宋体"/>
          <w:b/>
          <w:bCs/>
          <w:sz w:val="24"/>
        </w:rPr>
      </w:pPr>
      <w:r>
        <w:rPr>
          <w:rFonts w:hint="eastAsia" w:ascii="宋体" w:hAnsi="宋体" w:cs="宋体"/>
          <w:b/>
          <w:bCs/>
          <w:sz w:val="24"/>
        </w:rPr>
        <w:t>2.招标文件</w:t>
      </w:r>
    </w:p>
    <w:p>
      <w:pPr>
        <w:adjustRightInd w:val="0"/>
        <w:spacing w:line="560" w:lineRule="exact"/>
        <w:ind w:firstLine="482" w:firstLineChars="200"/>
        <w:rPr>
          <w:rFonts w:ascii="宋体" w:hAnsi="宋体" w:cs="宋体"/>
          <w:b/>
          <w:bCs/>
          <w:sz w:val="24"/>
        </w:rPr>
      </w:pPr>
      <w:r>
        <w:rPr>
          <w:rFonts w:hint="eastAsia" w:ascii="宋体" w:hAnsi="宋体" w:cs="宋体"/>
          <w:b/>
          <w:bCs/>
          <w:sz w:val="24"/>
        </w:rPr>
        <w:t>2.1《招标文件》的组成</w:t>
      </w:r>
    </w:p>
    <w:p>
      <w:pPr>
        <w:adjustRightInd w:val="0"/>
        <w:spacing w:line="560" w:lineRule="exact"/>
        <w:ind w:firstLine="480" w:firstLineChars="200"/>
        <w:rPr>
          <w:rFonts w:ascii="宋体" w:hAnsi="宋体" w:cs="宋体"/>
          <w:sz w:val="24"/>
        </w:rPr>
      </w:pPr>
      <w:r>
        <w:rPr>
          <w:rFonts w:hint="eastAsia" w:ascii="宋体" w:hAnsi="宋体" w:cs="宋体"/>
          <w:sz w:val="24"/>
        </w:rPr>
        <w:t>招标文件是供应商准备投标文件和参加投标的依据，同时也是评标的重要依据，具有准法律文件性质。招标文件用以阐明招标项目所需的资质、技术、服务 及报价等要求、招标投标程序、有关规定和注意事项以及合同主要条款等。本招标文件包括以下内容：</w:t>
      </w:r>
    </w:p>
    <w:p>
      <w:pPr>
        <w:adjustRightInd w:val="0"/>
        <w:spacing w:line="560" w:lineRule="exact"/>
        <w:ind w:firstLine="480" w:firstLineChars="200"/>
        <w:rPr>
          <w:rFonts w:ascii="宋体" w:hAnsi="宋体" w:cs="宋体"/>
          <w:sz w:val="24"/>
        </w:rPr>
      </w:pPr>
      <w:r>
        <w:rPr>
          <w:rFonts w:hint="eastAsia" w:ascii="宋体" w:hAnsi="宋体" w:cs="宋体"/>
          <w:sz w:val="24"/>
        </w:rPr>
        <w:t>第一部分：公开招标公告</w:t>
      </w:r>
    </w:p>
    <w:p>
      <w:pPr>
        <w:adjustRightInd w:val="0"/>
        <w:spacing w:line="560" w:lineRule="exact"/>
        <w:ind w:firstLine="480" w:firstLineChars="200"/>
        <w:rPr>
          <w:rFonts w:ascii="宋体" w:hAnsi="宋体" w:cs="宋体"/>
          <w:sz w:val="24"/>
        </w:rPr>
      </w:pPr>
      <w:r>
        <w:rPr>
          <w:rFonts w:hint="eastAsia" w:ascii="宋体" w:hAnsi="宋体" w:cs="宋体"/>
          <w:sz w:val="24"/>
        </w:rPr>
        <w:t>第二部分：供应商须知</w:t>
      </w:r>
    </w:p>
    <w:p>
      <w:pPr>
        <w:adjustRightInd w:val="0"/>
        <w:spacing w:line="560" w:lineRule="exact"/>
        <w:ind w:firstLine="480" w:firstLineChars="200"/>
        <w:rPr>
          <w:rFonts w:ascii="宋体" w:hAnsi="宋体" w:cs="宋体"/>
          <w:sz w:val="24"/>
        </w:rPr>
      </w:pPr>
      <w:r>
        <w:rPr>
          <w:rFonts w:hint="eastAsia" w:ascii="宋体" w:hAnsi="宋体" w:cs="宋体"/>
          <w:sz w:val="24"/>
        </w:rPr>
        <w:t xml:space="preserve">第三部分：技术参数要求    </w:t>
      </w:r>
    </w:p>
    <w:p>
      <w:pPr>
        <w:adjustRightInd w:val="0"/>
        <w:spacing w:line="560" w:lineRule="exact"/>
        <w:ind w:firstLine="480" w:firstLineChars="200"/>
        <w:rPr>
          <w:rFonts w:ascii="宋体" w:hAnsi="宋体" w:cs="宋体"/>
          <w:sz w:val="24"/>
        </w:rPr>
      </w:pPr>
      <w:r>
        <w:rPr>
          <w:rFonts w:hint="eastAsia" w:ascii="宋体" w:hAnsi="宋体" w:cs="宋体"/>
          <w:sz w:val="24"/>
        </w:rPr>
        <w:t xml:space="preserve">第四部分：投标文件格式    </w:t>
      </w:r>
    </w:p>
    <w:p>
      <w:pPr>
        <w:adjustRightInd w:val="0"/>
        <w:spacing w:line="560" w:lineRule="exact"/>
        <w:ind w:firstLine="480" w:firstLineChars="200"/>
        <w:rPr>
          <w:rFonts w:ascii="宋体" w:hAnsi="宋体" w:cs="宋体"/>
          <w:sz w:val="24"/>
        </w:rPr>
      </w:pPr>
      <w:r>
        <w:rPr>
          <w:rFonts w:hint="eastAsia" w:ascii="宋体" w:hAnsi="宋体" w:cs="宋体"/>
          <w:sz w:val="24"/>
        </w:rPr>
        <w:t>第五部分：合同文件</w:t>
      </w:r>
    </w:p>
    <w:p>
      <w:pPr>
        <w:adjustRightInd w:val="0"/>
        <w:spacing w:line="560" w:lineRule="exact"/>
        <w:ind w:firstLine="480" w:firstLineChars="200"/>
        <w:rPr>
          <w:rFonts w:ascii="宋体" w:hAnsi="宋体" w:cs="宋体"/>
          <w:sz w:val="24"/>
        </w:rPr>
      </w:pPr>
      <w:r>
        <w:rPr>
          <w:rFonts w:hint="eastAsia" w:ascii="宋体" w:hAnsi="宋体" w:cs="宋体"/>
          <w:sz w:val="24"/>
        </w:rPr>
        <w:t>第六部分：评分办法</w:t>
      </w:r>
    </w:p>
    <w:p>
      <w:pPr>
        <w:adjustRightInd w:val="0"/>
        <w:spacing w:line="560" w:lineRule="exact"/>
        <w:ind w:firstLine="482" w:firstLineChars="200"/>
        <w:rPr>
          <w:rFonts w:ascii="宋体" w:hAnsi="宋体" w:cs="宋体"/>
          <w:b/>
          <w:bCs/>
          <w:sz w:val="24"/>
        </w:rPr>
      </w:pPr>
      <w:r>
        <w:rPr>
          <w:rFonts w:hint="eastAsia" w:ascii="宋体" w:hAnsi="宋体" w:cs="宋体"/>
          <w:b/>
          <w:bCs/>
          <w:sz w:val="24"/>
        </w:rPr>
        <w:t>2.2《招标文件》的澄清和修改</w:t>
      </w:r>
    </w:p>
    <w:p>
      <w:pPr>
        <w:adjustRightInd w:val="0"/>
        <w:spacing w:line="560" w:lineRule="exact"/>
        <w:ind w:firstLine="480" w:firstLineChars="200"/>
        <w:rPr>
          <w:rFonts w:ascii="宋体" w:hAnsi="宋体" w:cs="宋体"/>
          <w:sz w:val="24"/>
        </w:rPr>
      </w:pPr>
      <w:r>
        <w:rPr>
          <w:rFonts w:hint="eastAsia" w:ascii="宋体" w:hAnsi="宋体" w:cs="宋体"/>
          <w:sz w:val="24"/>
        </w:rPr>
        <w:t>1）除上述内容外，招标单位可以对已发出的招标文件进行必要的澄清或者修改。澄清或者修改的内容可能影响</w:t>
      </w:r>
      <w:r>
        <w:fldChar w:fldCharType="begin"/>
      </w:r>
      <w:r>
        <w:instrText xml:space="preserve"> HYPERLINK "http://baike.sogou.com/lemma/ShowInnerLink.htm?lemmaId=7590481&amp;ss_c=ssc.citiao.link" \t "_blank" </w:instrText>
      </w:r>
      <w:r>
        <w:fldChar w:fldCharType="separate"/>
      </w:r>
      <w:r>
        <w:rPr>
          <w:rFonts w:hint="eastAsia" w:ascii="宋体" w:hAnsi="宋体" w:cs="宋体"/>
          <w:sz w:val="24"/>
        </w:rPr>
        <w:t>投标文件</w:t>
      </w:r>
      <w:r>
        <w:fldChar w:fldCharType="end"/>
      </w:r>
      <w:r>
        <w:rPr>
          <w:rFonts w:hint="eastAsia" w:ascii="宋体" w:hAnsi="宋体" w:cs="宋体"/>
          <w:sz w:val="24"/>
        </w:rPr>
        <w:t>编制的，应当在投标截止时间15日前以书面形式将澄清或者修改的内容通知所有获取了招标文件的供应商，并在甘肃政府采购网上发布更正公告，对其具有约束力；供应商应在收到招标单位发出的通知后1日内以电子邮件、传真形式确认已收到澄清或修改文件，该澄清或者修改的内容作为招标文件的组成部分。不足15日的，采购人或者采购代理机构应当顺延提交投标文件的截止时间。</w:t>
      </w:r>
    </w:p>
    <w:p>
      <w:pPr>
        <w:adjustRightInd w:val="0"/>
        <w:spacing w:line="560" w:lineRule="exact"/>
        <w:ind w:firstLine="480" w:firstLineChars="200"/>
        <w:rPr>
          <w:rFonts w:ascii="宋体" w:hAnsi="宋体" w:cs="宋体"/>
          <w:sz w:val="24"/>
        </w:rPr>
      </w:pPr>
      <w:r>
        <w:rPr>
          <w:rFonts w:hint="eastAsia" w:ascii="宋体" w:hAnsi="宋体" w:cs="宋体"/>
          <w:sz w:val="24"/>
        </w:rPr>
        <w:t>2）供应商获取招标文件后，应仔细检查招标文件的所有内容，如有残缺等问题应在获得招标文件1日内向采购人提出，否则，由此引起的损失由供应商自己承担。供应商同时应认真审阅投标文件中所有事项、格式、条款和规范要求等，若供应商的投标文件没有按招标文件要求提交全部资料或投标文件没有对招标文件做出实质性响应，其风险由供应商自行承担，并根据有关条款规定，该投标有可能被拒绝。</w:t>
      </w:r>
    </w:p>
    <w:p>
      <w:pPr>
        <w:adjustRightInd w:val="0"/>
        <w:spacing w:line="560" w:lineRule="exact"/>
        <w:ind w:firstLine="480" w:firstLineChars="200"/>
        <w:rPr>
          <w:rFonts w:ascii="宋体" w:hAnsi="宋体" w:cs="宋体"/>
          <w:sz w:val="24"/>
        </w:rPr>
      </w:pPr>
      <w:r>
        <w:rPr>
          <w:rFonts w:hint="eastAsia" w:ascii="宋体" w:hAnsi="宋体" w:cs="宋体"/>
          <w:sz w:val="24"/>
        </w:rPr>
        <w:t>3）供应商若对招标文件有疑问，应将要求澄清的问题在投标截止日前5日内以文字形式提交招标代理机构。无论是采购人根据需要主动对招标文件进行必要的澄清，或是根据供应商的要求对招标文件做出澄清，采购人都将于1日内以书面形式予以澄清，同时将书面澄清文件向供应商发送。供应商在收到该澄清文件后当日内以书面形式予以确认，该澄清作为招标文件的组成部分，具有约束作用。</w:t>
      </w:r>
    </w:p>
    <w:p>
      <w:pPr>
        <w:adjustRightInd w:val="0"/>
        <w:spacing w:line="560" w:lineRule="exact"/>
        <w:ind w:firstLine="482" w:firstLineChars="200"/>
        <w:rPr>
          <w:rFonts w:ascii="宋体" w:hAnsi="宋体" w:cs="宋体"/>
          <w:b/>
          <w:bCs/>
          <w:sz w:val="24"/>
        </w:rPr>
      </w:pPr>
      <w:r>
        <w:rPr>
          <w:rFonts w:hint="eastAsia" w:ascii="宋体" w:hAnsi="宋体" w:cs="宋体"/>
          <w:b/>
          <w:bCs/>
          <w:sz w:val="24"/>
        </w:rPr>
        <w:t>3.招标总则</w:t>
      </w:r>
    </w:p>
    <w:p>
      <w:pPr>
        <w:adjustRightInd w:val="0"/>
        <w:spacing w:line="560" w:lineRule="exact"/>
        <w:ind w:firstLine="482" w:firstLineChars="200"/>
        <w:rPr>
          <w:rFonts w:ascii="宋体" w:hAnsi="宋体" w:cs="宋体"/>
          <w:b/>
          <w:bCs/>
          <w:sz w:val="24"/>
        </w:rPr>
      </w:pPr>
      <w:r>
        <w:rPr>
          <w:rFonts w:hint="eastAsia" w:ascii="宋体" w:hAnsi="宋体" w:cs="宋体"/>
          <w:b/>
          <w:bCs/>
          <w:sz w:val="24"/>
        </w:rPr>
        <w:t>3.1《投标文件》编制要求</w:t>
      </w:r>
    </w:p>
    <w:p>
      <w:pPr>
        <w:adjustRightInd w:val="0"/>
        <w:spacing w:line="560" w:lineRule="exact"/>
        <w:ind w:firstLine="480" w:firstLineChars="200"/>
        <w:rPr>
          <w:rFonts w:ascii="宋体" w:hAnsi="宋体" w:cs="宋体"/>
          <w:sz w:val="24"/>
        </w:rPr>
      </w:pPr>
      <w:r>
        <w:rPr>
          <w:rFonts w:hint="eastAsia" w:ascii="宋体" w:hAnsi="宋体" w:cs="宋体"/>
          <w:sz w:val="24"/>
        </w:rPr>
        <w:t>1）内容和格式</w:t>
      </w:r>
    </w:p>
    <w:p>
      <w:pPr>
        <w:adjustRightInd w:val="0"/>
        <w:spacing w:line="560" w:lineRule="exact"/>
        <w:ind w:firstLine="480" w:firstLineChars="200"/>
        <w:rPr>
          <w:rFonts w:ascii="宋体" w:hAnsi="宋体" w:cs="宋体"/>
          <w:sz w:val="24"/>
        </w:rPr>
      </w:pPr>
      <w:r>
        <w:rPr>
          <w:rFonts w:hint="eastAsia" w:ascii="宋体" w:hAnsi="宋体" w:cs="宋体"/>
          <w:sz w:val="24"/>
        </w:rPr>
        <w:t>供应商应仔细阅读《招标文件》的所有内容，并按照《招标文件》中规定及要求的内容和格式，提交完整的《投标文件》。</w:t>
      </w:r>
    </w:p>
    <w:p>
      <w:pPr>
        <w:adjustRightInd w:val="0"/>
        <w:spacing w:line="560" w:lineRule="exact"/>
        <w:ind w:firstLine="480" w:firstLineChars="200"/>
        <w:rPr>
          <w:rFonts w:ascii="宋体" w:hAnsi="宋体" w:cs="宋体"/>
          <w:sz w:val="24"/>
        </w:rPr>
      </w:pPr>
      <w:r>
        <w:rPr>
          <w:rFonts w:hint="eastAsia" w:ascii="宋体" w:hAnsi="宋体" w:cs="宋体"/>
          <w:sz w:val="24"/>
        </w:rPr>
        <w:t>2）投标语言和计量单位</w:t>
      </w:r>
    </w:p>
    <w:p>
      <w:pPr>
        <w:adjustRightInd w:val="0"/>
        <w:spacing w:line="560" w:lineRule="exact"/>
        <w:ind w:firstLine="480" w:firstLineChars="200"/>
        <w:rPr>
          <w:rFonts w:ascii="宋体" w:hAnsi="宋体" w:cs="宋体"/>
          <w:sz w:val="24"/>
        </w:rPr>
      </w:pPr>
      <w:r>
        <w:rPr>
          <w:rFonts w:hint="eastAsia" w:ascii="宋体" w:hAnsi="宋体" w:cs="宋体"/>
          <w:sz w:val="24"/>
        </w:rPr>
        <w:t>投标文件和来往函件用中文书写，计量单位应使用中华人民共和国法定计量单位（除非招标文件中另有规定）</w:t>
      </w:r>
    </w:p>
    <w:p>
      <w:pPr>
        <w:adjustRightInd w:val="0"/>
        <w:spacing w:line="560" w:lineRule="exact"/>
        <w:ind w:firstLine="480" w:firstLineChars="200"/>
        <w:rPr>
          <w:rFonts w:ascii="宋体" w:hAnsi="宋体" w:cs="宋体"/>
          <w:sz w:val="24"/>
        </w:rPr>
      </w:pPr>
      <w:r>
        <w:rPr>
          <w:rFonts w:hint="eastAsia" w:ascii="宋体" w:hAnsi="宋体" w:cs="宋体"/>
          <w:sz w:val="24"/>
        </w:rPr>
        <w:t>3）供应商应按招标内容进行投标。</w:t>
      </w:r>
    </w:p>
    <w:p>
      <w:pPr>
        <w:adjustRightInd w:val="0"/>
        <w:spacing w:line="560" w:lineRule="exact"/>
        <w:ind w:firstLine="480" w:firstLineChars="200"/>
        <w:rPr>
          <w:rFonts w:ascii="宋体" w:hAnsi="宋体" w:cs="宋体"/>
          <w:sz w:val="24"/>
        </w:rPr>
      </w:pPr>
      <w:r>
        <w:rPr>
          <w:rFonts w:hint="eastAsia" w:ascii="宋体" w:hAnsi="宋体" w:cs="宋体"/>
          <w:sz w:val="24"/>
        </w:rPr>
        <w:t>4）供应商应以人民币作为货币种类报价。</w:t>
      </w:r>
    </w:p>
    <w:p>
      <w:pPr>
        <w:adjustRightInd w:val="0"/>
        <w:spacing w:line="560" w:lineRule="exact"/>
        <w:ind w:firstLine="480" w:firstLineChars="200"/>
        <w:rPr>
          <w:rFonts w:ascii="宋体" w:hAnsi="宋体" w:cs="宋体"/>
          <w:sz w:val="24"/>
        </w:rPr>
      </w:pPr>
      <w:r>
        <w:rPr>
          <w:rFonts w:hint="eastAsia" w:ascii="宋体" w:hAnsi="宋体" w:cs="宋体"/>
          <w:sz w:val="24"/>
        </w:rPr>
        <w:t>若由单价计算出的总价与公开招标总价不一致，以单价计算出的总价作为成交总价。若中文文字形式表示的数值与数字形式表示的数值不一致，以中文文字形式表示的数值为准。</w:t>
      </w:r>
    </w:p>
    <w:p>
      <w:pPr>
        <w:adjustRightInd w:val="0"/>
        <w:spacing w:line="560" w:lineRule="exact"/>
        <w:ind w:firstLine="482" w:firstLineChars="200"/>
        <w:rPr>
          <w:rFonts w:ascii="宋体" w:hAnsi="宋体" w:cs="宋体"/>
          <w:sz w:val="24"/>
          <w:highlight w:val="none"/>
        </w:rPr>
      </w:pPr>
      <w:r>
        <w:rPr>
          <w:rFonts w:hint="eastAsia" w:ascii="宋体" w:hAnsi="宋体" w:cs="宋体"/>
          <w:b/>
          <w:bCs/>
          <w:sz w:val="24"/>
          <w:highlight w:val="none"/>
        </w:rPr>
        <w:t>3.2《投标文件》的组成</w:t>
      </w:r>
    </w:p>
    <w:p>
      <w:pPr>
        <w:adjustRightInd w:val="0"/>
        <w:spacing w:line="560" w:lineRule="exact"/>
        <w:ind w:firstLine="480" w:firstLineChars="200"/>
        <w:rPr>
          <w:rFonts w:ascii="宋体" w:hAnsi="宋体" w:cs="宋体"/>
          <w:sz w:val="24"/>
          <w:highlight w:val="red"/>
        </w:rPr>
      </w:pPr>
      <w:r>
        <w:rPr>
          <w:rFonts w:hint="eastAsia" w:ascii="宋体" w:hAnsi="宋体" w:cs="宋体"/>
          <w:sz w:val="24"/>
        </w:rPr>
        <w:t>供应商提交的《投标文件》至少应包括以下部分；</w:t>
      </w:r>
    </w:p>
    <w:p>
      <w:pPr>
        <w:numPr>
          <w:ilvl w:val="0"/>
          <w:numId w:val="0"/>
        </w:numPr>
        <w:adjustRightInd w:val="0"/>
        <w:spacing w:line="560" w:lineRule="exact"/>
        <w:ind w:firstLine="480" w:firstLineChars="200"/>
        <w:rPr>
          <w:rFonts w:ascii="宋体"/>
          <w:sz w:val="24"/>
        </w:rPr>
      </w:pP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投标函；</w:t>
      </w:r>
    </w:p>
    <w:p>
      <w:pPr>
        <w:numPr>
          <w:ilvl w:val="0"/>
          <w:numId w:val="0"/>
        </w:numPr>
        <w:adjustRightInd w:val="0"/>
        <w:spacing w:line="560" w:lineRule="exact"/>
        <w:ind w:firstLine="480" w:firstLineChars="200"/>
        <w:rPr>
          <w:rFonts w:ascii="宋体"/>
          <w:sz w:val="24"/>
        </w:rPr>
      </w:pP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法定代表人身份证明；</w:t>
      </w:r>
    </w:p>
    <w:p>
      <w:pPr>
        <w:numPr>
          <w:ilvl w:val="0"/>
          <w:numId w:val="0"/>
        </w:numPr>
        <w:adjustRightInd w:val="0"/>
        <w:spacing w:line="560" w:lineRule="exact"/>
        <w:ind w:firstLine="480" w:firstLineChars="200"/>
        <w:rPr>
          <w:rFonts w:ascii="宋体"/>
          <w:sz w:val="24"/>
        </w:rPr>
      </w:pPr>
      <w:r>
        <w:rPr>
          <w:rFonts w:hint="eastAsia" w:ascii="宋体" w:hAnsi="宋体"/>
          <w:sz w:val="24"/>
          <w:lang w:val="en-US" w:eastAsia="zh-CN"/>
        </w:rPr>
        <w:t>3</w:t>
      </w:r>
      <w:r>
        <w:rPr>
          <w:rFonts w:hint="eastAsia" w:ascii="宋体" w:hAnsi="宋体"/>
          <w:sz w:val="24"/>
          <w:lang w:eastAsia="zh-CN"/>
        </w:rPr>
        <w:t>）</w:t>
      </w:r>
      <w:r>
        <w:rPr>
          <w:rFonts w:hint="eastAsia" w:ascii="宋体" w:hAnsi="宋体"/>
          <w:sz w:val="24"/>
        </w:rPr>
        <w:t>法定代表人授权委托书；</w:t>
      </w:r>
    </w:p>
    <w:p>
      <w:pPr>
        <w:numPr>
          <w:ilvl w:val="0"/>
          <w:numId w:val="0"/>
        </w:numPr>
        <w:adjustRightInd w:val="0"/>
        <w:spacing w:line="560" w:lineRule="exact"/>
        <w:ind w:firstLine="480" w:firstLineChars="200"/>
        <w:rPr>
          <w:rFonts w:ascii="宋体"/>
          <w:sz w:val="24"/>
        </w:rPr>
      </w:pPr>
      <w:r>
        <w:rPr>
          <w:rFonts w:hint="eastAsia" w:ascii="宋体" w:hAnsi="宋体"/>
          <w:sz w:val="24"/>
          <w:lang w:val="en-US" w:eastAsia="zh-CN"/>
        </w:rPr>
        <w:t>4</w:t>
      </w:r>
      <w:r>
        <w:rPr>
          <w:rFonts w:hint="eastAsia" w:ascii="宋体" w:hAnsi="宋体"/>
          <w:sz w:val="24"/>
          <w:lang w:eastAsia="zh-CN"/>
        </w:rPr>
        <w:t>）</w:t>
      </w:r>
      <w:r>
        <w:rPr>
          <w:rFonts w:hint="eastAsia" w:ascii="宋体" w:hAnsi="宋体"/>
          <w:sz w:val="24"/>
        </w:rPr>
        <w:t>投标保证金（复印件）</w:t>
      </w:r>
    </w:p>
    <w:p>
      <w:pPr>
        <w:numPr>
          <w:ilvl w:val="0"/>
          <w:numId w:val="0"/>
        </w:numPr>
        <w:adjustRightInd w:val="0"/>
        <w:spacing w:line="560" w:lineRule="exact"/>
        <w:ind w:firstLine="480" w:firstLineChars="200"/>
        <w:rPr>
          <w:rFonts w:ascii="宋体"/>
          <w:sz w:val="24"/>
        </w:rPr>
      </w:pPr>
      <w:r>
        <w:rPr>
          <w:rFonts w:hint="eastAsia" w:ascii="宋体" w:hAnsi="宋体"/>
          <w:sz w:val="24"/>
          <w:lang w:val="en-US" w:eastAsia="zh-CN"/>
        </w:rPr>
        <w:t>5</w:t>
      </w:r>
      <w:r>
        <w:rPr>
          <w:rFonts w:hint="eastAsia" w:ascii="宋体" w:hAnsi="宋体"/>
          <w:sz w:val="24"/>
          <w:lang w:eastAsia="zh-CN"/>
        </w:rPr>
        <w:t>）</w:t>
      </w:r>
      <w:r>
        <w:rPr>
          <w:rFonts w:hint="eastAsia" w:ascii="宋体" w:hAnsi="宋体"/>
          <w:sz w:val="24"/>
        </w:rPr>
        <w:t>开标一览表；</w:t>
      </w:r>
    </w:p>
    <w:p>
      <w:pPr>
        <w:numPr>
          <w:ilvl w:val="0"/>
          <w:numId w:val="0"/>
        </w:numPr>
        <w:adjustRightInd w:val="0"/>
        <w:spacing w:line="560" w:lineRule="exact"/>
        <w:ind w:firstLine="480" w:firstLineChars="200"/>
        <w:rPr>
          <w:rFonts w:ascii="宋体"/>
          <w:sz w:val="24"/>
        </w:rPr>
      </w:pPr>
      <w:r>
        <w:rPr>
          <w:rFonts w:hint="eastAsia" w:ascii="宋体" w:hAnsi="宋体"/>
          <w:sz w:val="24"/>
          <w:lang w:val="en-US" w:eastAsia="zh-CN"/>
        </w:rPr>
        <w:t>6</w:t>
      </w:r>
      <w:r>
        <w:rPr>
          <w:rFonts w:hint="eastAsia" w:ascii="宋体" w:hAnsi="宋体"/>
          <w:sz w:val="24"/>
          <w:lang w:eastAsia="zh-CN"/>
        </w:rPr>
        <w:t>）</w:t>
      </w:r>
      <w:r>
        <w:rPr>
          <w:rFonts w:hint="eastAsia" w:ascii="宋体" w:hAnsi="宋体"/>
          <w:sz w:val="24"/>
        </w:rPr>
        <w:t>投标报价明细表；</w:t>
      </w:r>
    </w:p>
    <w:p>
      <w:pPr>
        <w:numPr>
          <w:ilvl w:val="0"/>
          <w:numId w:val="0"/>
        </w:numPr>
        <w:adjustRightInd w:val="0"/>
        <w:spacing w:line="560" w:lineRule="exact"/>
        <w:ind w:firstLine="480" w:firstLineChars="200"/>
        <w:rPr>
          <w:rFonts w:ascii="宋体"/>
          <w:sz w:val="24"/>
        </w:rPr>
      </w:pPr>
      <w:r>
        <w:rPr>
          <w:rFonts w:hint="eastAsia" w:ascii="宋体" w:hAnsi="宋体"/>
          <w:sz w:val="24"/>
          <w:lang w:val="en-US" w:eastAsia="zh-CN"/>
        </w:rPr>
        <w:t>7</w:t>
      </w:r>
      <w:r>
        <w:rPr>
          <w:rFonts w:hint="eastAsia" w:ascii="宋体" w:hAnsi="宋体"/>
          <w:sz w:val="24"/>
          <w:lang w:eastAsia="zh-CN"/>
        </w:rPr>
        <w:t>）</w:t>
      </w:r>
      <w:r>
        <w:rPr>
          <w:rFonts w:hint="eastAsia" w:ascii="宋体" w:hAnsi="宋体"/>
          <w:sz w:val="24"/>
        </w:rPr>
        <w:t>商务、技术规格偏离表；</w:t>
      </w:r>
      <w:r>
        <w:rPr>
          <w:rFonts w:ascii="宋体" w:hAnsi="宋体"/>
          <w:sz w:val="24"/>
        </w:rPr>
        <w:t xml:space="preserve"> </w:t>
      </w:r>
    </w:p>
    <w:p>
      <w:pPr>
        <w:numPr>
          <w:ilvl w:val="0"/>
          <w:numId w:val="0"/>
        </w:numPr>
        <w:adjustRightInd w:val="0"/>
        <w:spacing w:line="560" w:lineRule="exact"/>
        <w:ind w:firstLine="480" w:firstLineChars="200"/>
        <w:rPr>
          <w:rFonts w:ascii="宋体"/>
          <w:sz w:val="24"/>
        </w:rPr>
      </w:pPr>
      <w:r>
        <w:rPr>
          <w:rFonts w:hint="eastAsia" w:ascii="宋体" w:hAnsi="宋体"/>
          <w:sz w:val="24"/>
          <w:lang w:val="en-US" w:eastAsia="zh-CN"/>
        </w:rPr>
        <w:t>8</w:t>
      </w:r>
      <w:r>
        <w:rPr>
          <w:rFonts w:hint="eastAsia" w:ascii="宋体" w:hAnsi="宋体"/>
          <w:sz w:val="24"/>
          <w:lang w:eastAsia="zh-CN"/>
        </w:rPr>
        <w:t>）供应商一般情况表</w:t>
      </w:r>
      <w:r>
        <w:rPr>
          <w:rFonts w:hint="eastAsia" w:ascii="宋体" w:hAnsi="宋体"/>
          <w:sz w:val="24"/>
        </w:rPr>
        <w:t>；</w:t>
      </w:r>
    </w:p>
    <w:p>
      <w:pPr>
        <w:numPr>
          <w:ilvl w:val="0"/>
          <w:numId w:val="0"/>
        </w:numPr>
        <w:adjustRightInd w:val="0"/>
        <w:spacing w:line="560" w:lineRule="exact"/>
        <w:ind w:firstLine="480" w:firstLineChars="200"/>
        <w:rPr>
          <w:rFonts w:ascii="宋体"/>
          <w:sz w:val="24"/>
        </w:rPr>
      </w:pPr>
      <w:r>
        <w:rPr>
          <w:rFonts w:hint="eastAsia" w:ascii="宋体" w:hAnsi="宋体"/>
          <w:sz w:val="24"/>
          <w:lang w:val="en-US" w:eastAsia="zh-CN"/>
        </w:rPr>
        <w:t>9</w:t>
      </w:r>
      <w:r>
        <w:rPr>
          <w:rFonts w:hint="eastAsia" w:ascii="宋体" w:hAnsi="宋体"/>
          <w:sz w:val="24"/>
          <w:lang w:eastAsia="zh-CN"/>
        </w:rPr>
        <w:t>）</w:t>
      </w:r>
      <w:r>
        <w:rPr>
          <w:rFonts w:hint="eastAsia" w:ascii="宋体" w:hAnsi="宋体"/>
          <w:sz w:val="24"/>
        </w:rPr>
        <w:t>质量保证承诺；</w:t>
      </w:r>
    </w:p>
    <w:p>
      <w:pPr>
        <w:numPr>
          <w:ilvl w:val="0"/>
          <w:numId w:val="0"/>
        </w:numPr>
        <w:adjustRightInd w:val="0"/>
        <w:spacing w:line="560" w:lineRule="exact"/>
        <w:ind w:firstLine="480" w:firstLineChars="200"/>
        <w:rPr>
          <w:rFonts w:ascii="宋体"/>
          <w:sz w:val="24"/>
        </w:rPr>
      </w:pPr>
      <w:r>
        <w:rPr>
          <w:rFonts w:hint="eastAsia" w:ascii="宋体" w:hAnsi="宋体"/>
          <w:sz w:val="24"/>
          <w:lang w:val="en-US" w:eastAsia="zh-CN"/>
        </w:rPr>
        <w:t>10</w:t>
      </w:r>
      <w:r>
        <w:rPr>
          <w:rFonts w:hint="eastAsia" w:ascii="宋体" w:hAnsi="宋体"/>
          <w:sz w:val="24"/>
          <w:lang w:eastAsia="zh-CN"/>
        </w:rPr>
        <w:t>）</w:t>
      </w:r>
      <w:r>
        <w:rPr>
          <w:rFonts w:hint="eastAsia" w:ascii="宋体" w:hAnsi="宋体"/>
          <w:sz w:val="24"/>
        </w:rPr>
        <w:t>售后服务保证措施承诺；</w:t>
      </w:r>
    </w:p>
    <w:p>
      <w:pPr>
        <w:numPr>
          <w:ilvl w:val="0"/>
          <w:numId w:val="0"/>
        </w:numPr>
        <w:adjustRightInd w:val="0"/>
        <w:spacing w:line="560" w:lineRule="exact"/>
        <w:ind w:firstLine="480" w:firstLineChars="200"/>
        <w:rPr>
          <w:rFonts w:hint="eastAsia" w:ascii="宋体" w:hAnsi="宋体" w:eastAsia="宋体"/>
          <w:sz w:val="24"/>
          <w:lang w:val="en-US" w:eastAsia="zh-CN"/>
        </w:rPr>
      </w:pPr>
      <w:r>
        <w:rPr>
          <w:rFonts w:hint="eastAsia" w:ascii="宋体" w:hAnsi="宋体"/>
          <w:sz w:val="24"/>
          <w:lang w:val="en-US" w:eastAsia="zh-CN"/>
        </w:rPr>
        <w:t>11</w:t>
      </w:r>
      <w:r>
        <w:rPr>
          <w:rFonts w:hint="eastAsia" w:ascii="宋体" w:hAnsi="宋体"/>
          <w:sz w:val="24"/>
          <w:lang w:eastAsia="zh-CN"/>
        </w:rPr>
        <w:t>）</w:t>
      </w:r>
      <w:r>
        <w:rPr>
          <w:rFonts w:hint="eastAsia" w:ascii="宋体" w:hAnsi="宋体"/>
          <w:sz w:val="24"/>
        </w:rPr>
        <w:t>虚假应标承担责任声明；</w:t>
      </w:r>
    </w:p>
    <w:p>
      <w:pPr>
        <w:numPr>
          <w:ilvl w:val="0"/>
          <w:numId w:val="0"/>
        </w:numPr>
        <w:adjustRightInd w:val="0"/>
        <w:spacing w:line="560" w:lineRule="exact"/>
        <w:ind w:firstLine="480" w:firstLineChars="200"/>
        <w:rPr>
          <w:rFonts w:ascii="宋体"/>
          <w:sz w:val="24"/>
        </w:rPr>
      </w:pPr>
      <w:r>
        <w:rPr>
          <w:rFonts w:hint="eastAsia" w:ascii="宋体" w:hAnsi="宋体"/>
          <w:sz w:val="24"/>
          <w:lang w:val="en-US" w:eastAsia="zh-CN"/>
        </w:rPr>
        <w:t>12）未被列入失信记录书面声明；</w:t>
      </w:r>
    </w:p>
    <w:p>
      <w:pPr>
        <w:numPr>
          <w:ilvl w:val="0"/>
          <w:numId w:val="0"/>
        </w:numPr>
        <w:adjustRightInd w:val="0"/>
        <w:spacing w:line="560" w:lineRule="exact"/>
        <w:ind w:firstLine="480" w:firstLineChars="200"/>
        <w:rPr>
          <w:rFonts w:ascii="宋体"/>
          <w:sz w:val="24"/>
        </w:rPr>
      </w:pPr>
      <w:r>
        <w:rPr>
          <w:rFonts w:hint="eastAsia" w:ascii="宋体" w:hAnsi="宋体"/>
          <w:sz w:val="24"/>
          <w:lang w:val="en-US" w:eastAsia="zh-CN"/>
        </w:rPr>
        <w:t>13</w:t>
      </w:r>
      <w:r>
        <w:rPr>
          <w:rFonts w:hint="eastAsia" w:ascii="宋体" w:hAnsi="宋体"/>
          <w:sz w:val="24"/>
          <w:lang w:eastAsia="zh-CN"/>
        </w:rPr>
        <w:t>）</w:t>
      </w:r>
      <w:r>
        <w:rPr>
          <w:rFonts w:hint="eastAsia" w:ascii="宋体" w:hAnsi="宋体"/>
          <w:sz w:val="24"/>
        </w:rPr>
        <w:t>中小企业声明函；</w:t>
      </w:r>
    </w:p>
    <w:p>
      <w:pPr>
        <w:numPr>
          <w:ilvl w:val="0"/>
          <w:numId w:val="0"/>
        </w:numPr>
        <w:adjustRightInd w:val="0"/>
        <w:spacing w:line="560" w:lineRule="exact"/>
        <w:ind w:firstLine="480" w:firstLineChars="200"/>
        <w:rPr>
          <w:rFonts w:ascii="宋体"/>
          <w:sz w:val="24"/>
        </w:rPr>
      </w:pPr>
      <w:r>
        <w:rPr>
          <w:rFonts w:hint="eastAsia" w:ascii="宋体" w:hAnsi="宋体"/>
          <w:sz w:val="24"/>
          <w:lang w:val="en-US" w:eastAsia="zh-CN"/>
        </w:rPr>
        <w:t>14</w:t>
      </w:r>
      <w:r>
        <w:rPr>
          <w:rFonts w:hint="eastAsia" w:ascii="宋体" w:hAnsi="宋体"/>
          <w:sz w:val="24"/>
          <w:lang w:eastAsia="zh-CN"/>
        </w:rPr>
        <w:t>）</w:t>
      </w:r>
      <w:r>
        <w:rPr>
          <w:rFonts w:hint="eastAsia" w:ascii="宋体" w:hAnsi="宋体"/>
          <w:sz w:val="24"/>
        </w:rPr>
        <w:t>小微企业价格评审优惠申请及承诺函；</w:t>
      </w:r>
    </w:p>
    <w:p>
      <w:pPr>
        <w:numPr>
          <w:ilvl w:val="0"/>
          <w:numId w:val="0"/>
        </w:numPr>
        <w:adjustRightInd w:val="0"/>
        <w:spacing w:line="560" w:lineRule="exact"/>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15</w:t>
      </w:r>
      <w:r>
        <w:rPr>
          <w:rFonts w:hint="eastAsia" w:ascii="宋体" w:hAnsi="宋体" w:eastAsia="宋体" w:cs="宋体"/>
          <w:sz w:val="24"/>
          <w:lang w:eastAsia="zh-CN"/>
        </w:rPr>
        <w:t>）中小企业划型标准规定；</w:t>
      </w:r>
    </w:p>
    <w:p>
      <w:pPr>
        <w:numPr>
          <w:ilvl w:val="0"/>
          <w:numId w:val="0"/>
        </w:numPr>
        <w:adjustRightInd w:val="0"/>
        <w:spacing w:line="560" w:lineRule="exact"/>
        <w:ind w:right="0" w:rightChars="0" w:firstLine="480" w:firstLineChars="200"/>
        <w:rPr>
          <w:rFonts w:hint="eastAsia" w:ascii="宋体" w:hAnsi="宋体" w:eastAsia="宋体"/>
          <w:sz w:val="24"/>
          <w:lang w:eastAsia="zh-CN"/>
        </w:rPr>
      </w:pPr>
      <w:r>
        <w:rPr>
          <w:rFonts w:hint="eastAsia" w:ascii="宋体" w:hAnsi="宋体" w:eastAsia="宋体" w:cs="宋体"/>
          <w:sz w:val="24"/>
          <w:lang w:val="en-US" w:eastAsia="zh-CN"/>
        </w:rPr>
        <w:t>16）附件</w:t>
      </w:r>
    </w:p>
    <w:p>
      <w:pPr>
        <w:adjustRightInd w:val="0"/>
        <w:spacing w:line="560" w:lineRule="exact"/>
        <w:ind w:firstLine="482" w:firstLineChars="200"/>
        <w:rPr>
          <w:rFonts w:ascii="宋体" w:hAnsi="宋体" w:cs="宋体"/>
          <w:b/>
          <w:sz w:val="24"/>
        </w:rPr>
      </w:pPr>
      <w:r>
        <w:rPr>
          <w:rFonts w:hint="eastAsia" w:ascii="宋体" w:hAnsi="宋体" w:cs="宋体"/>
          <w:b/>
          <w:sz w:val="24"/>
        </w:rPr>
        <w:t>注： 缺以上1-</w:t>
      </w:r>
      <w:r>
        <w:rPr>
          <w:rFonts w:hint="default" w:ascii="宋体" w:hAnsi="宋体" w:cs="宋体"/>
          <w:b/>
          <w:sz w:val="24"/>
          <w:lang w:val="en-US"/>
        </w:rPr>
        <w:t>1</w:t>
      </w:r>
      <w:r>
        <w:rPr>
          <w:rFonts w:hint="eastAsia" w:ascii="宋体" w:hAnsi="宋体" w:cs="宋体"/>
          <w:b/>
          <w:sz w:val="24"/>
          <w:lang w:val="en-US" w:eastAsia="zh-CN"/>
        </w:rPr>
        <w:t>3</w:t>
      </w:r>
      <w:r>
        <w:rPr>
          <w:rFonts w:hint="eastAsia" w:ascii="宋体" w:hAnsi="宋体" w:cs="宋体"/>
          <w:b/>
          <w:sz w:val="24"/>
        </w:rPr>
        <w:t>项任意项的将被</w:t>
      </w:r>
      <w:r>
        <w:rPr>
          <w:rFonts w:hint="eastAsia" w:ascii="宋体" w:hAnsi="宋体" w:cs="宋体"/>
          <w:b/>
          <w:bCs/>
          <w:sz w:val="24"/>
        </w:rPr>
        <w:t>视为无效投标</w:t>
      </w:r>
      <w:r>
        <w:rPr>
          <w:rFonts w:hint="eastAsia" w:ascii="宋体" w:hAnsi="宋体" w:cs="宋体"/>
          <w:b/>
          <w:sz w:val="24"/>
        </w:rPr>
        <w:t>。</w:t>
      </w:r>
    </w:p>
    <w:p>
      <w:pPr>
        <w:adjustRightInd w:val="0"/>
        <w:spacing w:line="560" w:lineRule="exact"/>
        <w:ind w:firstLine="480" w:firstLineChars="200"/>
        <w:rPr>
          <w:rFonts w:ascii="宋体" w:hAnsi="宋体" w:cs="宋体"/>
          <w:sz w:val="24"/>
        </w:rPr>
      </w:pPr>
      <w:r>
        <w:rPr>
          <w:rFonts w:hint="eastAsia" w:ascii="宋体" w:hAnsi="宋体" w:cs="宋体"/>
          <w:sz w:val="24"/>
        </w:rPr>
        <w:t>3.2.1供应商可在满足“技术参数要求”中对项目的整体要求的前提下，对项目实施提出合理化建议。</w:t>
      </w:r>
    </w:p>
    <w:p>
      <w:pPr>
        <w:adjustRightInd w:val="0"/>
        <w:spacing w:line="560" w:lineRule="exact"/>
        <w:ind w:firstLine="482" w:firstLineChars="200"/>
        <w:rPr>
          <w:rFonts w:ascii="宋体" w:hAnsi="宋体" w:cs="宋体"/>
          <w:b/>
          <w:bCs/>
          <w:sz w:val="24"/>
        </w:rPr>
      </w:pPr>
      <w:r>
        <w:rPr>
          <w:rFonts w:hint="eastAsia" w:ascii="宋体" w:hAnsi="宋体" w:cs="宋体"/>
          <w:b/>
          <w:bCs/>
          <w:sz w:val="24"/>
        </w:rPr>
        <w:t>3.3投标</w:t>
      </w:r>
    </w:p>
    <w:p>
      <w:pPr>
        <w:adjustRightInd w:val="0"/>
        <w:spacing w:line="560" w:lineRule="exact"/>
        <w:ind w:firstLine="480" w:firstLineChars="200"/>
        <w:rPr>
          <w:rFonts w:ascii="宋体" w:hAnsi="宋体" w:cs="宋体"/>
          <w:sz w:val="24"/>
        </w:rPr>
      </w:pPr>
      <w:bookmarkStart w:id="17" w:name="_Toc239047302"/>
      <w:r>
        <w:rPr>
          <w:rFonts w:hint="eastAsia" w:ascii="宋体" w:hAnsi="宋体" w:cs="宋体"/>
          <w:sz w:val="24"/>
        </w:rPr>
        <w:t>3.3.1 投标报价</w:t>
      </w:r>
      <w:bookmarkEnd w:id="17"/>
    </w:p>
    <w:p>
      <w:pPr>
        <w:adjustRightInd w:val="0"/>
        <w:spacing w:line="560" w:lineRule="exact"/>
        <w:ind w:firstLine="480" w:firstLineChars="200"/>
        <w:rPr>
          <w:rFonts w:ascii="宋体" w:hAnsi="宋体" w:cs="宋体"/>
          <w:sz w:val="24"/>
        </w:rPr>
      </w:pPr>
      <w:r>
        <w:rPr>
          <w:rFonts w:hint="eastAsia" w:ascii="宋体" w:hAnsi="宋体" w:cs="宋体"/>
          <w:sz w:val="24"/>
        </w:rPr>
        <w:t>投标价格应包括完成招标文件规定的招标范围全部内容所需的全部费用。除非招标文件另有规定，投标报价应包括系统所需勘察、保险、利润、税金、劳保统筹、政策性文件规定及合同包含的所有风险、优惠率、责任等各项应有费用。</w:t>
      </w:r>
    </w:p>
    <w:p>
      <w:pPr>
        <w:adjustRightInd w:val="0"/>
        <w:spacing w:line="560" w:lineRule="exact"/>
        <w:ind w:firstLine="480" w:firstLineChars="200"/>
        <w:rPr>
          <w:rFonts w:ascii="宋体" w:hAnsi="宋体" w:cs="宋体"/>
          <w:sz w:val="24"/>
        </w:rPr>
      </w:pPr>
      <w:r>
        <w:rPr>
          <w:rFonts w:hint="eastAsia" w:ascii="宋体" w:hAnsi="宋体" w:cs="宋体"/>
          <w:sz w:val="24"/>
        </w:rPr>
        <w:t>投标价格采用唯一价格，即不得为某一范围价格。投标货币为人民币。</w:t>
      </w:r>
    </w:p>
    <w:p>
      <w:pPr>
        <w:adjustRightInd w:val="0"/>
        <w:spacing w:line="560" w:lineRule="exact"/>
        <w:ind w:firstLine="480" w:firstLineChars="200"/>
        <w:rPr>
          <w:rFonts w:ascii="宋体" w:hAnsi="宋体" w:cs="宋体"/>
          <w:sz w:val="24"/>
        </w:rPr>
      </w:pPr>
      <w:bookmarkStart w:id="18" w:name="_Toc239047303"/>
      <w:r>
        <w:rPr>
          <w:rFonts w:hint="eastAsia" w:ascii="宋体" w:hAnsi="宋体" w:cs="宋体"/>
          <w:sz w:val="24"/>
        </w:rPr>
        <w:t>3.3.2 投标有效期</w:t>
      </w:r>
      <w:bookmarkEnd w:id="18"/>
    </w:p>
    <w:p>
      <w:pPr>
        <w:adjustRightInd w:val="0"/>
        <w:spacing w:line="560" w:lineRule="exact"/>
        <w:ind w:firstLine="480" w:firstLineChars="200"/>
        <w:rPr>
          <w:rFonts w:ascii="宋体" w:hAnsi="宋体" w:cs="宋体"/>
          <w:sz w:val="24"/>
        </w:rPr>
      </w:pPr>
      <w:r>
        <w:rPr>
          <w:rFonts w:hint="eastAsia" w:ascii="宋体" w:hAnsi="宋体" w:cs="宋体"/>
          <w:bCs/>
          <w:sz w:val="24"/>
        </w:rPr>
        <w:t>投标有效期为60天。在特殊情况下，代理机构可于投标有效期满之前以书面形式要求供应商同意延长有效期，供应商应以书面形式答复。供应商可以拒绝上述要求而其投标保证金不被没收，同意延期的供应商在原投标有效期内应享有的权利及责任相应顺延。</w:t>
      </w:r>
    </w:p>
    <w:p>
      <w:pPr>
        <w:adjustRightInd w:val="0"/>
        <w:spacing w:line="560" w:lineRule="exact"/>
        <w:ind w:firstLine="480" w:firstLineChars="200"/>
        <w:rPr>
          <w:rFonts w:ascii="宋体" w:hAnsi="宋体" w:cs="宋体"/>
          <w:sz w:val="24"/>
        </w:rPr>
      </w:pPr>
      <w:r>
        <w:rPr>
          <w:rFonts w:hint="eastAsia" w:ascii="宋体" w:hAnsi="宋体" w:cs="宋体"/>
          <w:sz w:val="24"/>
        </w:rPr>
        <w:t>3.3.3 供应商投标时间提交的全部材料必须密封，具体包括:</w:t>
      </w:r>
    </w:p>
    <w:p>
      <w:pPr>
        <w:adjustRightInd w:val="0"/>
        <w:spacing w:line="560" w:lineRule="exact"/>
        <w:ind w:firstLine="480" w:firstLineChars="200"/>
        <w:rPr>
          <w:rFonts w:ascii="宋体" w:hAnsi="宋体" w:cs="宋体"/>
          <w:sz w:val="24"/>
        </w:rPr>
      </w:pPr>
      <w:r>
        <w:rPr>
          <w:rFonts w:hint="eastAsia" w:ascii="宋体" w:hAnsi="宋体" w:cs="宋体"/>
          <w:sz w:val="24"/>
        </w:rPr>
        <w:t>1）投标文件一式5份（正本1份，副本4份）；</w:t>
      </w:r>
    </w:p>
    <w:p>
      <w:pPr>
        <w:adjustRightInd w:val="0"/>
        <w:spacing w:line="560" w:lineRule="exact"/>
        <w:ind w:firstLine="480" w:firstLineChars="200"/>
        <w:rPr>
          <w:rFonts w:ascii="宋体" w:hAnsi="宋体" w:cs="宋体"/>
          <w:spacing w:val="-12"/>
          <w:sz w:val="24"/>
        </w:rPr>
      </w:pPr>
      <w:r>
        <w:rPr>
          <w:rFonts w:hint="eastAsia" w:ascii="宋体" w:hAnsi="宋体" w:cs="宋体"/>
          <w:sz w:val="24"/>
        </w:rPr>
        <w:t>2）开标信封：</w:t>
      </w:r>
      <w:r>
        <w:rPr>
          <w:rFonts w:hint="eastAsia" w:ascii="宋体" w:hAnsi="宋体" w:cs="宋体"/>
          <w:bCs/>
          <w:sz w:val="24"/>
        </w:rPr>
        <w:t>开标一览表、</w:t>
      </w:r>
      <w:r>
        <w:rPr>
          <w:rFonts w:hint="eastAsia" w:ascii="宋体" w:hAnsi="宋体" w:cs="宋体"/>
          <w:sz w:val="24"/>
        </w:rPr>
        <w:t>电子U盘文档一份（U盘内拷贝Word格式一份）提交不退。</w:t>
      </w:r>
    </w:p>
    <w:p>
      <w:pPr>
        <w:adjustRightInd w:val="0"/>
        <w:spacing w:line="560" w:lineRule="exact"/>
        <w:ind w:firstLine="480" w:firstLineChars="200"/>
        <w:rPr>
          <w:rFonts w:ascii="宋体" w:hAnsi="宋体" w:cs="宋体"/>
          <w:sz w:val="24"/>
        </w:rPr>
      </w:pPr>
      <w:r>
        <w:rPr>
          <w:rFonts w:hint="eastAsia" w:ascii="宋体" w:hAnsi="宋体" w:cs="宋体"/>
          <w:sz w:val="24"/>
        </w:rPr>
        <w:t>3）投标函信封（内放投标函、投标保证金缴纳凭证、法人身份证明、授权委托书、被授权人身份证明）；</w:t>
      </w:r>
    </w:p>
    <w:p>
      <w:pPr>
        <w:adjustRightInd w:val="0"/>
        <w:spacing w:line="560" w:lineRule="exact"/>
        <w:ind w:firstLine="480" w:firstLineChars="200"/>
        <w:rPr>
          <w:rFonts w:ascii="宋体" w:hAnsi="宋体" w:cs="宋体"/>
          <w:sz w:val="24"/>
        </w:rPr>
      </w:pPr>
      <w:r>
        <w:rPr>
          <w:rFonts w:hint="eastAsia" w:ascii="宋体" w:hAnsi="宋体" w:cs="宋体"/>
          <w:sz w:val="24"/>
        </w:rPr>
        <w:t>《投标文件》正本、副本的内容应当一致，如果正本与副本不一致，以正本为准。《投标文件》应由供应商的法定代表人或经正式授权并对供应商有约束力的代表在《投标文件》上签字。被授权代表需将以书面形式出具的“法人全权委托授权书”附在《投标文件》中。</w:t>
      </w:r>
    </w:p>
    <w:p>
      <w:pPr>
        <w:adjustRightInd w:val="0"/>
        <w:spacing w:line="560" w:lineRule="exact"/>
        <w:ind w:firstLine="496" w:firstLineChars="200"/>
        <w:rPr>
          <w:rFonts w:ascii="宋体" w:hAnsi="宋体" w:cs="宋体"/>
          <w:spacing w:val="4"/>
          <w:sz w:val="24"/>
        </w:rPr>
      </w:pPr>
      <w:r>
        <w:rPr>
          <w:rFonts w:hint="eastAsia" w:ascii="宋体" w:hAnsi="宋体" w:cs="宋体"/>
          <w:spacing w:val="4"/>
          <w:sz w:val="24"/>
        </w:rPr>
        <w:t>任何行间插字、涂改和增删，必须由投标文件签字人在旁边签字证明方有效。</w:t>
      </w:r>
    </w:p>
    <w:p>
      <w:pPr>
        <w:adjustRightInd w:val="0"/>
        <w:spacing w:line="560" w:lineRule="exact"/>
        <w:ind w:firstLine="504" w:firstLineChars="200"/>
        <w:rPr>
          <w:rFonts w:ascii="宋体" w:hAnsi="宋体" w:cs="宋体"/>
          <w:spacing w:val="6"/>
          <w:sz w:val="24"/>
        </w:rPr>
      </w:pPr>
      <w:r>
        <w:rPr>
          <w:rFonts w:hint="eastAsia" w:ascii="宋体" w:hAnsi="宋体" w:cs="宋体"/>
          <w:spacing w:val="6"/>
          <w:sz w:val="24"/>
        </w:rPr>
        <w:t>3.3.4每本投标文件的内容应采用胶装方式装订成册，无脱页，有连续页码，逐页盖公司公章。</w:t>
      </w:r>
    </w:p>
    <w:p>
      <w:pPr>
        <w:adjustRightInd w:val="0"/>
        <w:spacing w:line="560" w:lineRule="exact"/>
        <w:ind w:firstLine="480" w:firstLineChars="200"/>
        <w:rPr>
          <w:rFonts w:ascii="宋体" w:hAnsi="宋体" w:cs="宋体"/>
          <w:sz w:val="24"/>
        </w:rPr>
      </w:pPr>
      <w:r>
        <w:rPr>
          <w:rFonts w:hint="eastAsia" w:ascii="宋体" w:hAnsi="宋体" w:cs="宋体"/>
          <w:sz w:val="24"/>
        </w:rPr>
        <w:t>3.3.5供应商应对投标内容提供完整的详细的技术说明，如果供应商对指定的技术要求建议做任何改动，应在投标文件中清楚的说明。供应商投标的内容与招标文件的技术、商务要求有偏离时，无论这种偏离是否有利于委托单位，供应商都应该按照附件的格式如实填写技术偏离表和商务条款偏离表。</w:t>
      </w:r>
    </w:p>
    <w:p>
      <w:pPr>
        <w:adjustRightInd w:val="0"/>
        <w:spacing w:line="560" w:lineRule="exact"/>
        <w:ind w:firstLine="480" w:firstLineChars="200"/>
        <w:rPr>
          <w:rFonts w:ascii="宋体" w:hAnsi="宋体" w:cs="宋体"/>
          <w:sz w:val="24"/>
        </w:rPr>
      </w:pPr>
      <w:r>
        <w:rPr>
          <w:rFonts w:hint="eastAsia" w:ascii="宋体" w:hAnsi="宋体" w:cs="宋体"/>
          <w:sz w:val="24"/>
        </w:rPr>
        <w:t>3.3.6 供应商应按照要求提交资格文件，并对这些资格文件的真实性负责。</w:t>
      </w:r>
    </w:p>
    <w:p>
      <w:pPr>
        <w:adjustRightInd w:val="0"/>
        <w:spacing w:line="560" w:lineRule="exact"/>
        <w:ind w:firstLine="464" w:firstLineChars="200"/>
        <w:rPr>
          <w:rFonts w:ascii="宋体" w:hAnsi="宋体" w:cs="宋体"/>
          <w:spacing w:val="-4"/>
          <w:sz w:val="24"/>
        </w:rPr>
      </w:pPr>
      <w:r>
        <w:rPr>
          <w:rFonts w:hint="eastAsia" w:ascii="宋体" w:hAnsi="宋体" w:cs="宋体"/>
          <w:spacing w:val="-4"/>
          <w:sz w:val="24"/>
        </w:rPr>
        <w:t>3.3.</w:t>
      </w:r>
      <w:bookmarkStart w:id="19" w:name="_Toc139343548"/>
      <w:bookmarkStart w:id="20" w:name="_Toc89058543"/>
      <w:bookmarkStart w:id="21" w:name="_Toc89586904"/>
      <w:bookmarkStart w:id="22" w:name="_Toc274816724"/>
      <w:bookmarkStart w:id="23" w:name="_Toc229198037"/>
      <w:bookmarkStart w:id="24" w:name="_Toc91477264"/>
      <w:bookmarkStart w:id="25" w:name="_Toc91030014"/>
      <w:bookmarkStart w:id="26" w:name="_Toc469850063"/>
      <w:r>
        <w:rPr>
          <w:rFonts w:hint="eastAsia" w:ascii="宋体" w:hAnsi="宋体" w:cs="宋体"/>
          <w:spacing w:val="-4"/>
          <w:sz w:val="24"/>
        </w:rPr>
        <w:t>7供应商应将《投标文件》的正、副本同时密封，一</w:t>
      </w:r>
      <w:r>
        <w:rPr>
          <w:rFonts w:hint="eastAsia" w:ascii="宋体" w:hAnsi="宋体" w:cs="宋体"/>
          <w:bCs/>
          <w:sz w:val="24"/>
        </w:rPr>
        <w:t>律使用牛皮纸包装，且开口以及拐角处用打印“封条”字样的密封纸进行密封，并加盖公章或写有“密封”字样的密封印章</w:t>
      </w:r>
      <w:r>
        <w:rPr>
          <w:rFonts w:hint="eastAsia" w:ascii="宋体" w:hAnsi="宋体" w:cs="宋体"/>
          <w:sz w:val="24"/>
        </w:rPr>
        <w:t>，并在封面上注明项目名称、交易编号及供应商名称以及</w:t>
      </w:r>
      <w:r>
        <w:rPr>
          <w:rFonts w:hint="eastAsia" w:ascii="宋体" w:hAnsi="宋体" w:cs="宋体"/>
          <w:spacing w:val="-4"/>
          <w:sz w:val="24"/>
        </w:rPr>
        <w:t>“</w:t>
      </w:r>
      <w:r>
        <w:rPr>
          <w:rFonts w:hint="eastAsia" w:ascii="宋体" w:hAnsi="宋体" w:cs="宋体"/>
          <w:bCs/>
          <w:sz w:val="24"/>
        </w:rPr>
        <w:t>在</w:t>
      </w:r>
      <w:r>
        <w:rPr>
          <w:rFonts w:hint="eastAsia" w:ascii="宋体" w:hAnsi="宋体" w:cs="宋体"/>
          <w:sz w:val="24"/>
        </w:rPr>
        <w:t xml:space="preserve"> ** 年** 月 ** 日 ** 时00分</w:t>
      </w:r>
      <w:r>
        <w:rPr>
          <w:rFonts w:hint="eastAsia" w:ascii="宋体" w:hAnsi="宋体" w:cs="宋体"/>
          <w:bCs/>
          <w:sz w:val="24"/>
        </w:rPr>
        <w:t>之前不得启封</w:t>
      </w:r>
      <w:r>
        <w:rPr>
          <w:rFonts w:hint="eastAsia" w:ascii="宋体" w:hAnsi="宋体" w:cs="宋体"/>
          <w:spacing w:val="-4"/>
          <w:sz w:val="24"/>
        </w:rPr>
        <w:t>”的字样。</w:t>
      </w:r>
    </w:p>
    <w:p>
      <w:pPr>
        <w:adjustRightInd w:val="0"/>
        <w:spacing w:line="560" w:lineRule="exact"/>
        <w:ind w:firstLine="480" w:firstLineChars="200"/>
        <w:rPr>
          <w:rFonts w:ascii="宋体" w:hAnsi="宋体" w:cs="宋体"/>
          <w:bCs/>
          <w:sz w:val="24"/>
        </w:rPr>
      </w:pPr>
      <w:r>
        <w:rPr>
          <w:rFonts w:hint="eastAsia" w:ascii="宋体" w:hAnsi="宋体" w:cs="宋体"/>
          <w:sz w:val="24"/>
        </w:rPr>
        <w:t>3.3.8</w:t>
      </w:r>
      <w:r>
        <w:rPr>
          <w:rFonts w:hint="eastAsia" w:ascii="宋体" w:hAnsi="宋体" w:cs="宋体"/>
          <w:bCs/>
          <w:sz w:val="24"/>
        </w:rPr>
        <w:t>供应商必须将“开标一览表”及“电子版U盘”单独密封，并在密封后标明“</w:t>
      </w:r>
      <w:r>
        <w:rPr>
          <w:rFonts w:hint="eastAsia" w:ascii="宋体" w:hAnsi="宋体" w:cs="宋体"/>
          <w:b/>
          <w:sz w:val="24"/>
        </w:rPr>
        <w:t>开标信封</w:t>
      </w:r>
      <w:r>
        <w:rPr>
          <w:rFonts w:hint="eastAsia" w:ascii="宋体" w:hAnsi="宋体" w:cs="宋体"/>
          <w:bCs/>
          <w:sz w:val="24"/>
        </w:rPr>
        <w:t>” 及“在</w:t>
      </w:r>
      <w:r>
        <w:rPr>
          <w:rFonts w:hint="eastAsia" w:ascii="宋体" w:hAnsi="宋体" w:cs="宋体"/>
          <w:sz w:val="24"/>
        </w:rPr>
        <w:t>**年**月**日**时00分</w:t>
      </w:r>
      <w:r>
        <w:rPr>
          <w:rFonts w:hint="eastAsia" w:ascii="宋体" w:hAnsi="宋体" w:cs="宋体"/>
          <w:bCs/>
          <w:sz w:val="24"/>
        </w:rPr>
        <w:t>之前不得启封”字样。密封后粘贴密封条，加盖骑缝章。</w:t>
      </w:r>
    </w:p>
    <w:p>
      <w:pPr>
        <w:adjustRightInd w:val="0"/>
        <w:snapToGrid w:val="0"/>
        <w:spacing w:line="560" w:lineRule="exact"/>
        <w:ind w:firstLine="480" w:firstLineChars="200"/>
        <w:rPr>
          <w:rFonts w:ascii="宋体" w:hAnsi="宋体" w:cs="宋体"/>
          <w:bCs/>
          <w:sz w:val="24"/>
        </w:rPr>
      </w:pPr>
      <w:r>
        <w:rPr>
          <w:rFonts w:hint="eastAsia" w:ascii="宋体" w:hAnsi="宋体" w:cs="宋体"/>
          <w:sz w:val="24"/>
        </w:rPr>
        <w:t>3.3.9供应商应将“投标函”、</w:t>
      </w:r>
      <w:r>
        <w:rPr>
          <w:rFonts w:hint="eastAsia" w:ascii="宋体" w:hAnsi="宋体" w:cs="宋体"/>
          <w:bCs/>
          <w:sz w:val="24"/>
        </w:rPr>
        <w:t>“法定代表人身份证明”及“法定代表人授权书”（若法定代表人参加投标则不提交此项）单独密封于</w:t>
      </w:r>
      <w:r>
        <w:rPr>
          <w:rFonts w:hint="eastAsia" w:ascii="宋体" w:hAnsi="宋体" w:cs="宋体"/>
          <w:b/>
          <w:sz w:val="24"/>
        </w:rPr>
        <w:t>投标函信封</w:t>
      </w:r>
      <w:r>
        <w:rPr>
          <w:rFonts w:hint="eastAsia" w:ascii="宋体" w:hAnsi="宋体" w:cs="宋体"/>
          <w:bCs/>
          <w:sz w:val="24"/>
        </w:rPr>
        <w:t>后提交，用于开标前检查。密封后粘贴密封条，加盖骑缝章。</w:t>
      </w:r>
    </w:p>
    <w:p>
      <w:pPr>
        <w:adjustRightInd w:val="0"/>
        <w:snapToGrid w:val="0"/>
        <w:spacing w:line="560" w:lineRule="exact"/>
        <w:ind w:firstLine="482" w:firstLineChars="200"/>
        <w:rPr>
          <w:rFonts w:ascii="宋体" w:hAnsi="宋体" w:cs="宋体"/>
          <w:b/>
          <w:bCs/>
          <w:sz w:val="24"/>
        </w:rPr>
      </w:pPr>
      <w:r>
        <w:rPr>
          <w:rFonts w:hint="eastAsia" w:ascii="宋体" w:hAnsi="宋体" w:cs="宋体"/>
          <w:b/>
          <w:bCs/>
          <w:sz w:val="24"/>
        </w:rPr>
        <w:t>说明：3.3.8   3.3.9项单独统一用普通信封密封。</w:t>
      </w:r>
    </w:p>
    <w:p>
      <w:pPr>
        <w:adjustRightInd w:val="0"/>
        <w:spacing w:line="560" w:lineRule="exact"/>
        <w:ind w:firstLine="480" w:firstLineChars="200"/>
        <w:rPr>
          <w:rFonts w:ascii="宋体" w:hAnsi="宋体" w:cs="宋体"/>
          <w:sz w:val="24"/>
        </w:rPr>
      </w:pPr>
      <w:r>
        <w:rPr>
          <w:rFonts w:hint="eastAsia" w:ascii="宋体" w:hAnsi="宋体" w:cs="宋体"/>
          <w:sz w:val="24"/>
        </w:rPr>
        <w:t>3.3.10如果外层封口处未按要求密封和加盖标记，招标代理机构对误投或过早启封概不负责。</w:t>
      </w:r>
    </w:p>
    <w:p>
      <w:pPr>
        <w:adjustRightInd w:val="0"/>
        <w:snapToGrid w:val="0"/>
        <w:spacing w:line="560" w:lineRule="exact"/>
        <w:ind w:firstLine="480" w:firstLineChars="200"/>
        <w:rPr>
          <w:rFonts w:ascii="宋体" w:hAnsi="宋体" w:cs="宋体"/>
          <w:bCs/>
          <w:sz w:val="24"/>
        </w:rPr>
      </w:pPr>
      <w:r>
        <w:rPr>
          <w:rFonts w:hint="eastAsia" w:ascii="宋体" w:hAnsi="宋体" w:cs="宋体"/>
          <w:bCs/>
          <w:sz w:val="24"/>
        </w:rPr>
        <w:t>3.3.11《投标文件》</w:t>
      </w:r>
      <w:bookmarkEnd w:id="19"/>
      <w:bookmarkEnd w:id="20"/>
      <w:bookmarkEnd w:id="21"/>
      <w:bookmarkEnd w:id="22"/>
      <w:bookmarkEnd w:id="23"/>
      <w:bookmarkEnd w:id="24"/>
      <w:bookmarkEnd w:id="25"/>
      <w:bookmarkEnd w:id="26"/>
      <w:r>
        <w:rPr>
          <w:rFonts w:hint="eastAsia" w:ascii="宋体" w:hAnsi="宋体" w:cs="宋体"/>
          <w:bCs/>
          <w:sz w:val="24"/>
        </w:rPr>
        <w:t>在每一文件的封面上写明：“正本”或“副本”、开标时间、交易编号、项目名称、供应商的名称并签字盖章。</w:t>
      </w:r>
    </w:p>
    <w:p>
      <w:pPr>
        <w:adjustRightInd w:val="0"/>
        <w:snapToGrid w:val="0"/>
        <w:spacing w:line="560" w:lineRule="exact"/>
        <w:ind w:firstLine="480" w:firstLineChars="200"/>
        <w:rPr>
          <w:rFonts w:ascii="宋体" w:hAnsi="宋体" w:cs="宋体"/>
          <w:bCs/>
          <w:sz w:val="24"/>
        </w:rPr>
      </w:pPr>
      <w:r>
        <w:rPr>
          <w:rFonts w:hint="eastAsia" w:ascii="宋体" w:hAnsi="宋体" w:cs="宋体"/>
          <w:bCs/>
          <w:sz w:val="24"/>
        </w:rPr>
        <w:t>3.3.12招标代理机构对因投标文件未装订成册而造成的</w:t>
      </w:r>
      <w:r>
        <w:rPr>
          <w:rFonts w:hint="eastAsia" w:ascii="宋体" w:hAnsi="宋体" w:cs="宋体"/>
          <w:sz w:val="24"/>
        </w:rPr>
        <w:t>投标文件</w:t>
      </w:r>
      <w:r>
        <w:rPr>
          <w:rFonts w:hint="eastAsia" w:ascii="宋体" w:hAnsi="宋体" w:cs="宋体"/>
          <w:bCs/>
          <w:sz w:val="24"/>
        </w:rPr>
        <w:t>的损坏、丢失不承担任何责任。</w:t>
      </w:r>
    </w:p>
    <w:p>
      <w:pPr>
        <w:adjustRightInd w:val="0"/>
        <w:snapToGrid w:val="0"/>
        <w:spacing w:line="560" w:lineRule="exact"/>
        <w:ind w:firstLine="480" w:firstLineChars="200"/>
        <w:rPr>
          <w:rFonts w:ascii="宋体" w:hAnsi="宋体" w:cs="宋体"/>
          <w:bCs/>
          <w:sz w:val="24"/>
        </w:rPr>
      </w:pPr>
      <w:r>
        <w:rPr>
          <w:rFonts w:hint="eastAsia" w:ascii="宋体" w:hAnsi="宋体" w:cs="宋体"/>
          <w:bCs/>
          <w:sz w:val="24"/>
        </w:rPr>
        <w:t>3.3.13招标代理机构对不可抗力造成的投标文件的损坏、丢失不承担任何责任。</w:t>
      </w:r>
    </w:p>
    <w:p>
      <w:pPr>
        <w:adjustRightInd w:val="0"/>
        <w:snapToGrid w:val="0"/>
        <w:spacing w:line="560" w:lineRule="exact"/>
        <w:ind w:firstLine="482" w:firstLineChars="200"/>
        <w:rPr>
          <w:rFonts w:ascii="宋体" w:hAnsi="宋体" w:cs="宋体"/>
          <w:b/>
          <w:sz w:val="24"/>
        </w:rPr>
      </w:pPr>
      <w:r>
        <w:rPr>
          <w:rFonts w:hint="eastAsia" w:ascii="宋体" w:hAnsi="宋体" w:cs="宋体"/>
          <w:b/>
          <w:sz w:val="24"/>
        </w:rPr>
        <w:t>3.4投标文件的修改</w:t>
      </w:r>
    </w:p>
    <w:p>
      <w:pPr>
        <w:adjustRightInd w:val="0"/>
        <w:snapToGrid w:val="0"/>
        <w:spacing w:line="560" w:lineRule="exact"/>
        <w:ind w:firstLine="480" w:firstLineChars="200"/>
        <w:rPr>
          <w:rFonts w:ascii="宋体" w:hAnsi="宋体" w:cs="宋体"/>
          <w:bCs/>
          <w:sz w:val="24"/>
        </w:rPr>
      </w:pPr>
      <w:r>
        <w:rPr>
          <w:rFonts w:hint="eastAsia" w:ascii="宋体" w:hAnsi="宋体" w:cs="宋体"/>
          <w:bCs/>
          <w:sz w:val="24"/>
        </w:rPr>
        <w:t>在规定的时间内，供应商可以修改其投标文件的内容，但必须以书面形式通知招标代理机构。在招标规定的修改截止时间后，供应商不可以修改其投标文件的内容。</w:t>
      </w:r>
    </w:p>
    <w:p>
      <w:pPr>
        <w:adjustRightInd w:val="0"/>
        <w:spacing w:line="560" w:lineRule="exact"/>
        <w:ind w:firstLine="458" w:firstLineChars="200"/>
        <w:rPr>
          <w:rFonts w:ascii="宋体" w:hAnsi="宋体" w:cs="宋体"/>
          <w:b/>
          <w:spacing w:val="-6"/>
          <w:sz w:val="24"/>
        </w:rPr>
      </w:pPr>
      <w:r>
        <w:rPr>
          <w:rFonts w:hint="eastAsia" w:ascii="宋体" w:hAnsi="宋体" w:cs="宋体"/>
          <w:b/>
          <w:spacing w:val="-6"/>
          <w:sz w:val="24"/>
        </w:rPr>
        <w:t>3.5招标代理机构将在招标公告中规定的时间和地点接受投标。</w:t>
      </w:r>
    </w:p>
    <w:p>
      <w:pPr>
        <w:adjustRightInd w:val="0"/>
        <w:snapToGrid w:val="0"/>
        <w:spacing w:line="560" w:lineRule="exact"/>
        <w:ind w:firstLine="482" w:firstLineChars="200"/>
        <w:rPr>
          <w:rFonts w:ascii="宋体" w:hAnsi="宋体" w:cs="宋体"/>
          <w:b/>
          <w:sz w:val="24"/>
        </w:rPr>
      </w:pPr>
      <w:r>
        <w:rPr>
          <w:rFonts w:hint="eastAsia" w:ascii="宋体" w:hAnsi="宋体" w:cs="宋体"/>
          <w:b/>
          <w:sz w:val="24"/>
        </w:rPr>
        <w:t>3.6投标的撤回</w:t>
      </w:r>
    </w:p>
    <w:p>
      <w:pPr>
        <w:adjustRightInd w:val="0"/>
        <w:spacing w:line="560" w:lineRule="exact"/>
        <w:ind w:firstLine="480" w:firstLineChars="200"/>
        <w:rPr>
          <w:rFonts w:ascii="宋体" w:hAnsi="宋体" w:cs="宋体"/>
          <w:sz w:val="24"/>
        </w:rPr>
      </w:pPr>
      <w:r>
        <w:rPr>
          <w:rFonts w:hint="eastAsia" w:ascii="宋体" w:hAnsi="宋体" w:cs="宋体"/>
          <w:sz w:val="24"/>
        </w:rPr>
        <w:t>在开标截止时间前供应商可以撤回其投标，撤消投标的应提交撤回说明，但在投标截止后不允许撤回投标。</w:t>
      </w:r>
    </w:p>
    <w:p>
      <w:pPr>
        <w:adjustRightInd w:val="0"/>
        <w:spacing w:line="560" w:lineRule="exact"/>
        <w:ind w:firstLine="482" w:firstLineChars="200"/>
        <w:rPr>
          <w:rFonts w:ascii="宋体" w:hAnsi="宋体" w:cs="宋体"/>
          <w:b/>
          <w:bCs/>
          <w:sz w:val="24"/>
        </w:rPr>
      </w:pPr>
      <w:r>
        <w:rPr>
          <w:rFonts w:hint="eastAsia" w:ascii="宋体" w:hAnsi="宋体" w:cs="宋体"/>
          <w:b/>
          <w:bCs/>
          <w:sz w:val="24"/>
        </w:rPr>
        <w:t>3.7开标过程及评审</w:t>
      </w:r>
    </w:p>
    <w:p>
      <w:pPr>
        <w:adjustRightInd w:val="0"/>
        <w:spacing w:line="560" w:lineRule="exact"/>
        <w:ind w:firstLine="480" w:firstLineChars="200"/>
        <w:rPr>
          <w:rFonts w:ascii="宋体" w:hAnsi="宋体" w:cs="宋体"/>
          <w:sz w:val="24"/>
        </w:rPr>
      </w:pPr>
      <w:r>
        <w:rPr>
          <w:rFonts w:hint="eastAsia" w:ascii="宋体" w:hAnsi="宋体" w:cs="宋体"/>
          <w:sz w:val="24"/>
        </w:rPr>
        <w:t>3.7.1评标委员会只对确定为实质响应招标文件要求的投标文件进行评审。</w:t>
      </w:r>
    </w:p>
    <w:p>
      <w:pPr>
        <w:adjustRightInd w:val="0"/>
        <w:spacing w:line="560" w:lineRule="exact"/>
        <w:ind w:firstLine="480" w:firstLineChars="200"/>
        <w:rPr>
          <w:rFonts w:ascii="宋体" w:hAnsi="宋体" w:cs="宋体"/>
          <w:sz w:val="24"/>
        </w:rPr>
      </w:pPr>
      <w:r>
        <w:rPr>
          <w:rFonts w:hint="eastAsia" w:ascii="宋体" w:hAnsi="宋体" w:cs="宋体"/>
          <w:sz w:val="24"/>
        </w:rPr>
        <w:t>3.7.2实质上没有响应招标文件要求的投标文件将视为无效投标。出现但不限于下列情况之一的，其投标将视为无效投标。</w:t>
      </w:r>
    </w:p>
    <w:p>
      <w:pPr>
        <w:adjustRightInd w:val="0"/>
        <w:spacing w:line="560" w:lineRule="exact"/>
        <w:ind w:firstLine="480" w:firstLineChars="200"/>
        <w:rPr>
          <w:rFonts w:ascii="宋体" w:hAnsi="宋体" w:cs="宋体"/>
          <w:sz w:val="24"/>
        </w:rPr>
      </w:pPr>
      <w:r>
        <w:rPr>
          <w:rFonts w:hint="eastAsia" w:ascii="宋体" w:hAnsi="宋体" w:cs="宋体"/>
          <w:sz w:val="24"/>
        </w:rPr>
        <w:t>1）供应商未按招标文件要求的金额交纳投标保证金的；</w:t>
      </w:r>
    </w:p>
    <w:p>
      <w:pPr>
        <w:adjustRightInd w:val="0"/>
        <w:spacing w:line="560" w:lineRule="exact"/>
        <w:ind w:firstLine="480" w:firstLineChars="200"/>
        <w:rPr>
          <w:rFonts w:ascii="宋体" w:hAnsi="宋体" w:cs="宋体"/>
          <w:sz w:val="24"/>
        </w:rPr>
      </w:pPr>
      <w:r>
        <w:rPr>
          <w:rFonts w:hint="eastAsia" w:ascii="宋体" w:hAnsi="宋体" w:cs="宋体"/>
          <w:sz w:val="24"/>
        </w:rPr>
        <w:t>2）超出经营范围投标的；</w:t>
      </w:r>
    </w:p>
    <w:p>
      <w:pPr>
        <w:adjustRightInd w:val="0"/>
        <w:spacing w:line="560" w:lineRule="exact"/>
        <w:ind w:firstLine="480" w:firstLineChars="200"/>
        <w:rPr>
          <w:rFonts w:ascii="宋体" w:hAnsi="宋体" w:cs="宋体"/>
          <w:sz w:val="24"/>
        </w:rPr>
      </w:pPr>
      <w:r>
        <w:rPr>
          <w:rFonts w:hint="eastAsia" w:ascii="宋体" w:hAnsi="宋体" w:cs="宋体"/>
          <w:sz w:val="24"/>
        </w:rPr>
        <w:t>3）投标文件不完整的；</w:t>
      </w:r>
    </w:p>
    <w:p>
      <w:pPr>
        <w:adjustRightInd w:val="0"/>
        <w:spacing w:line="560" w:lineRule="exact"/>
        <w:ind w:firstLine="480" w:firstLineChars="200"/>
        <w:rPr>
          <w:rFonts w:ascii="宋体" w:hAnsi="宋体" w:cs="宋体"/>
          <w:sz w:val="24"/>
        </w:rPr>
      </w:pPr>
      <w:r>
        <w:rPr>
          <w:rFonts w:hint="eastAsia" w:ascii="宋体" w:hAnsi="宋体" w:cs="宋体"/>
          <w:sz w:val="24"/>
        </w:rPr>
        <w:t>4）投标文件无法人代表签字或签字人未被法人授权的；</w:t>
      </w:r>
    </w:p>
    <w:p>
      <w:pPr>
        <w:adjustRightInd w:val="0"/>
        <w:spacing w:line="560" w:lineRule="exact"/>
        <w:ind w:firstLine="480" w:firstLineChars="200"/>
        <w:rPr>
          <w:rFonts w:ascii="宋体" w:hAnsi="宋体" w:cs="宋体"/>
          <w:sz w:val="24"/>
        </w:rPr>
      </w:pPr>
      <w:r>
        <w:rPr>
          <w:rFonts w:hint="eastAsia" w:ascii="宋体" w:hAnsi="宋体" w:cs="宋体"/>
          <w:sz w:val="24"/>
        </w:rPr>
        <w:t>5）投标文件附有采购人不能接受条件的；</w:t>
      </w:r>
    </w:p>
    <w:p>
      <w:pPr>
        <w:adjustRightInd w:val="0"/>
        <w:spacing w:line="560" w:lineRule="exact"/>
        <w:ind w:firstLine="480" w:firstLineChars="200"/>
        <w:rPr>
          <w:rFonts w:ascii="宋体" w:hAnsi="宋体" w:cs="宋体"/>
          <w:sz w:val="24"/>
        </w:rPr>
      </w:pPr>
      <w:r>
        <w:rPr>
          <w:rFonts w:hint="eastAsia" w:ascii="宋体" w:hAnsi="宋体" w:cs="宋体"/>
          <w:sz w:val="24"/>
        </w:rPr>
        <w:t>6）投标总价超出项目预算且采购人无法支付的；</w:t>
      </w:r>
    </w:p>
    <w:p>
      <w:pPr>
        <w:adjustRightInd w:val="0"/>
        <w:spacing w:line="560" w:lineRule="exact"/>
        <w:ind w:firstLine="480" w:firstLineChars="200"/>
        <w:rPr>
          <w:rFonts w:ascii="宋体" w:hAnsi="宋体" w:cs="宋体"/>
          <w:sz w:val="24"/>
        </w:rPr>
      </w:pPr>
      <w:r>
        <w:rPr>
          <w:rFonts w:hint="eastAsia" w:ascii="宋体" w:hAnsi="宋体" w:cs="宋体"/>
          <w:sz w:val="24"/>
        </w:rPr>
        <w:t>7）投标文件有不符合招标文件内容的；</w:t>
      </w:r>
    </w:p>
    <w:p>
      <w:pPr>
        <w:adjustRightInd w:val="0"/>
        <w:spacing w:line="560" w:lineRule="exact"/>
        <w:ind w:firstLine="480" w:firstLineChars="200"/>
        <w:rPr>
          <w:rFonts w:ascii="宋体" w:hAnsi="宋体" w:cs="宋体"/>
          <w:sz w:val="24"/>
        </w:rPr>
      </w:pPr>
      <w:r>
        <w:rPr>
          <w:rFonts w:hint="eastAsia" w:ascii="宋体" w:hAnsi="宋体" w:cs="宋体"/>
          <w:sz w:val="24"/>
        </w:rPr>
        <w:t>8）其他不符合招标文件的重要参数。</w:t>
      </w:r>
    </w:p>
    <w:p>
      <w:pPr>
        <w:adjustRightInd w:val="0"/>
        <w:spacing w:line="560" w:lineRule="exact"/>
        <w:ind w:firstLine="480" w:firstLineChars="200"/>
        <w:rPr>
          <w:rFonts w:ascii="宋体" w:hAnsi="宋体" w:cs="宋体"/>
          <w:sz w:val="24"/>
        </w:rPr>
      </w:pPr>
      <w:r>
        <w:rPr>
          <w:rFonts w:hint="eastAsia" w:ascii="宋体" w:hAnsi="宋体" w:cs="宋体"/>
          <w:sz w:val="24"/>
        </w:rPr>
        <w:t>3.7.3 评标委员会将按已定的原则及方法进行评审，详见评审办法。</w:t>
      </w:r>
    </w:p>
    <w:p>
      <w:pPr>
        <w:adjustRightInd w:val="0"/>
        <w:spacing w:line="560" w:lineRule="exact"/>
        <w:ind w:firstLine="480" w:firstLineChars="200"/>
        <w:rPr>
          <w:rFonts w:ascii="宋体" w:hAnsi="宋体" w:cs="宋体"/>
          <w:sz w:val="24"/>
        </w:rPr>
      </w:pPr>
      <w:r>
        <w:rPr>
          <w:rFonts w:hint="eastAsia" w:ascii="宋体" w:hAnsi="宋体" w:cs="宋体"/>
          <w:sz w:val="24"/>
        </w:rPr>
        <w:t>3.7.4 评标委员会在确定中标候选人以前有权按照有关法规拒绝任何或全部投标，对此造成对供应商的影响不负任何责任，并不做任何解释。</w:t>
      </w:r>
    </w:p>
    <w:p>
      <w:pPr>
        <w:spacing w:line="500" w:lineRule="exact"/>
        <w:ind w:firstLine="480" w:firstLineChars="200"/>
        <w:rPr>
          <w:rFonts w:ascii="宋体" w:hAnsi="宋体" w:cs="宋体"/>
          <w:sz w:val="24"/>
        </w:rPr>
      </w:pPr>
      <w:r>
        <w:rPr>
          <w:rFonts w:hint="eastAsia" w:ascii="宋体" w:hAnsi="宋体" w:cs="宋体"/>
          <w:sz w:val="24"/>
        </w:rPr>
        <w:t>3.7.5 确定中标人后，采购人根据评标委员会的评议结果，公布拟中标结果，在法定公示时间后且无质疑的情况下，该结果将做为是正式中标或签订供货合同的凭据。由招标代理机构将以书面形式通知中标的供应商其投标被接受。在该通知书中将给出中标人应按本合同实施、完成和维护项目的中标价（合同条件中称为“合同价格” ）、交货日期、地点以及其他相关事项。</w:t>
      </w:r>
    </w:p>
    <w:p>
      <w:pPr>
        <w:spacing w:line="500" w:lineRule="exact"/>
        <w:ind w:firstLine="480" w:firstLineChars="200"/>
        <w:rPr>
          <w:rFonts w:ascii="宋体" w:hAnsi="宋体" w:cs="宋体"/>
          <w:sz w:val="24"/>
        </w:rPr>
      </w:pPr>
      <w:r>
        <w:rPr>
          <w:rFonts w:hint="eastAsia" w:ascii="宋体" w:hAnsi="宋体" w:cs="宋体"/>
          <w:sz w:val="24"/>
        </w:rPr>
        <w:t>中标通知书将成为合同的组成部分。</w:t>
      </w:r>
    </w:p>
    <w:p>
      <w:pPr>
        <w:adjustRightInd w:val="0"/>
        <w:spacing w:line="560" w:lineRule="exact"/>
        <w:ind w:firstLine="480" w:firstLineChars="200"/>
        <w:rPr>
          <w:rFonts w:ascii="宋体" w:hAnsi="宋体" w:cs="宋体"/>
          <w:sz w:val="24"/>
        </w:rPr>
      </w:pPr>
      <w:r>
        <w:rPr>
          <w:rFonts w:hint="eastAsia" w:ascii="宋体" w:hAnsi="宋体" w:cs="宋体"/>
          <w:sz w:val="24"/>
        </w:rPr>
        <w:t>3.7.6 代理机构没有义务向未成交的供应商解释未成交的理由。</w:t>
      </w:r>
    </w:p>
    <w:p>
      <w:pPr>
        <w:adjustRightInd w:val="0"/>
        <w:spacing w:line="560" w:lineRule="exact"/>
        <w:ind w:firstLine="482" w:firstLineChars="200"/>
        <w:rPr>
          <w:rFonts w:ascii="宋体" w:hAnsi="宋体" w:cs="宋体"/>
          <w:b/>
          <w:bCs/>
          <w:sz w:val="24"/>
        </w:rPr>
      </w:pPr>
      <w:r>
        <w:rPr>
          <w:rFonts w:hint="eastAsia" w:ascii="宋体" w:hAnsi="宋体" w:cs="宋体"/>
          <w:b/>
          <w:bCs/>
          <w:sz w:val="24"/>
        </w:rPr>
        <w:t>3.8评标过程的保密性</w:t>
      </w:r>
    </w:p>
    <w:p>
      <w:pPr>
        <w:adjustRightInd w:val="0"/>
        <w:spacing w:line="520" w:lineRule="exact"/>
        <w:ind w:firstLine="480" w:firstLineChars="200"/>
        <w:rPr>
          <w:rFonts w:ascii="宋体" w:hAnsi="宋体" w:cs="宋体"/>
          <w:sz w:val="24"/>
        </w:rPr>
      </w:pPr>
      <w:r>
        <w:rPr>
          <w:rFonts w:hint="eastAsia" w:ascii="宋体" w:hAnsi="宋体" w:cs="宋体"/>
          <w:sz w:val="24"/>
        </w:rPr>
        <w:t>3.8.1接受投标后，直至供应商与委托单位签订合同止，凡与招标、审查、澄清、评价、比较、授标意见有关的内容，任何人均不得向供应商及与评审无关的其他人透露。</w:t>
      </w:r>
    </w:p>
    <w:p>
      <w:pPr>
        <w:spacing w:line="560" w:lineRule="exact"/>
        <w:ind w:firstLine="480" w:firstLineChars="200"/>
        <w:rPr>
          <w:rFonts w:ascii="宋体" w:hAnsi="宋体" w:cs="宋体"/>
          <w:sz w:val="24"/>
        </w:rPr>
      </w:pPr>
      <w:r>
        <w:rPr>
          <w:rFonts w:hint="eastAsia" w:ascii="宋体" w:hAnsi="宋体" w:cs="宋体"/>
          <w:sz w:val="24"/>
        </w:rPr>
        <w:t>3.8.2从评标日起到确定最终成交人止，供应商不得与参加招标、评标的有关人员私下接触。在评标过程中，如果供应商试图在投标文件审查、澄清、比较及推荐成交人方面对参与评审的有关人员和委托单位施加任何影响，其评标被拒绝。</w:t>
      </w:r>
    </w:p>
    <w:p>
      <w:pPr>
        <w:spacing w:line="560" w:lineRule="exact"/>
        <w:ind w:firstLine="482" w:firstLineChars="200"/>
        <w:rPr>
          <w:rFonts w:ascii="宋体" w:hAnsi="宋体" w:cs="宋体"/>
          <w:sz w:val="24"/>
        </w:rPr>
      </w:pPr>
      <w:r>
        <w:rPr>
          <w:rFonts w:hint="eastAsia" w:ascii="宋体" w:hAnsi="宋体" w:cs="宋体"/>
          <w:b/>
          <w:bCs/>
          <w:sz w:val="24"/>
        </w:rPr>
        <w:t>3.9开标程序</w:t>
      </w:r>
      <w:r>
        <w:rPr>
          <w:rFonts w:hint="eastAsia" w:ascii="宋体" w:hAnsi="宋体" w:cs="宋体"/>
          <w:sz w:val="24"/>
        </w:rPr>
        <w:t xml:space="preserve"> </w:t>
      </w:r>
    </w:p>
    <w:p>
      <w:pPr>
        <w:spacing w:line="560" w:lineRule="exact"/>
        <w:ind w:firstLine="480" w:firstLineChars="200"/>
        <w:rPr>
          <w:rFonts w:ascii="宋体" w:hAnsi="宋体" w:cs="宋体"/>
          <w:sz w:val="24"/>
        </w:rPr>
      </w:pPr>
      <w:r>
        <w:rPr>
          <w:rFonts w:hint="eastAsia" w:ascii="宋体" w:hAnsi="宋体" w:cs="宋体"/>
          <w:sz w:val="24"/>
        </w:rPr>
        <w:t xml:space="preserve">3.9.1开标会主持人按照招标文件规定的开标时间宣布开标，按照规定要求主持开标会。开标将按以下程序进行： </w:t>
      </w:r>
    </w:p>
    <w:p>
      <w:pPr>
        <w:spacing w:line="560" w:lineRule="exact"/>
        <w:ind w:firstLine="480" w:firstLineChars="200"/>
        <w:rPr>
          <w:rFonts w:ascii="宋体" w:hAnsi="宋体" w:cs="宋体"/>
          <w:sz w:val="24"/>
        </w:rPr>
      </w:pPr>
      <w:r>
        <w:rPr>
          <w:rFonts w:hint="eastAsia" w:ascii="宋体" w:hAnsi="宋体" w:cs="宋体"/>
          <w:sz w:val="24"/>
        </w:rPr>
        <w:t xml:space="preserve">（1）宣布开标会开始。当众宣布参加开标会主持人、唱标人、会议记录人以及根据情况邀请的现场监督人等工作人员，根据“供应商签到表”宣布参加投标的供应商名单。 </w:t>
      </w:r>
    </w:p>
    <w:p>
      <w:pPr>
        <w:spacing w:line="560" w:lineRule="exact"/>
        <w:ind w:firstLine="480" w:firstLineChars="200"/>
        <w:rPr>
          <w:rFonts w:ascii="宋体" w:hAnsi="宋体" w:cs="宋体"/>
          <w:sz w:val="24"/>
        </w:rPr>
      </w:pPr>
      <w:r>
        <w:rPr>
          <w:rFonts w:hint="eastAsia" w:ascii="宋体" w:hAnsi="宋体" w:cs="宋体"/>
          <w:sz w:val="24"/>
        </w:rPr>
        <w:t xml:space="preserve">（2）根据监督人或者供应商推选的代表对投标文件密封的检查结果，并由监 督人当众宣布投标文件的密封情况。 </w:t>
      </w:r>
    </w:p>
    <w:p>
      <w:pPr>
        <w:spacing w:line="560" w:lineRule="exact"/>
        <w:ind w:firstLine="480" w:firstLineChars="200"/>
        <w:rPr>
          <w:rFonts w:ascii="宋体" w:hAnsi="宋体" w:cs="宋体"/>
          <w:spacing w:val="-5"/>
          <w:sz w:val="24"/>
        </w:rPr>
      </w:pPr>
      <w:r>
        <w:rPr>
          <w:rFonts w:hint="eastAsia" w:ascii="宋体" w:hAnsi="宋体" w:cs="宋体"/>
          <w:sz w:val="24"/>
        </w:rPr>
        <w:t>（3）</w:t>
      </w:r>
      <w:r>
        <w:rPr>
          <w:rFonts w:hint="eastAsia" w:ascii="宋体" w:hAnsi="宋体" w:cs="宋体"/>
          <w:spacing w:val="-5"/>
          <w:sz w:val="24"/>
        </w:rPr>
        <w:t xml:space="preserve">开标唱标。主持人宣布开标后，由现场工作人员按任意顺序对供应商的“开标一览表”当众进行拆封，由唱标人员宣读供应商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供应商代表现场进行澄清或确认。唱标完毕后供应商需现场对开标记录进行签字确认，对唱标内容有异议的，可以当场提出，并要求会议记录人在开标记录中予以记录，或者另行提供书面异议资料，不签字又不提出异议的，视同认可唱标内容和结果，且不得干扰、阻挠开（唱）标、评标工作。 </w:t>
      </w:r>
    </w:p>
    <w:p>
      <w:pPr>
        <w:spacing w:line="560" w:lineRule="exact"/>
        <w:ind w:firstLine="480" w:firstLineChars="200"/>
        <w:rPr>
          <w:rFonts w:ascii="宋体" w:hAnsi="宋体" w:cs="宋体"/>
          <w:sz w:val="24"/>
        </w:rPr>
      </w:pPr>
      <w:r>
        <w:rPr>
          <w:rFonts w:hint="eastAsia" w:ascii="宋体" w:hAnsi="宋体" w:cs="宋体"/>
          <w:sz w:val="24"/>
        </w:rPr>
        <w:t>（4）宣布开标会结束。主持人宣布开标会结束，所有供应商代表应立即退场（招标文件要求有演示、介绍等的除外）。同时所有供应商应保持通讯设备的畅通，以方便在评标过程中评标委员会要求供应商对投标文件的必要澄清、说明和纠正。评标结果在甘肃政府采购网上查询。</w:t>
      </w:r>
    </w:p>
    <w:p>
      <w:pPr>
        <w:spacing w:line="560" w:lineRule="exact"/>
        <w:ind w:firstLine="482" w:firstLineChars="200"/>
        <w:rPr>
          <w:rFonts w:ascii="宋体" w:hAnsi="宋体" w:cs="宋体"/>
          <w:b/>
          <w:sz w:val="24"/>
        </w:rPr>
      </w:pPr>
      <w:r>
        <w:rPr>
          <w:rFonts w:hint="eastAsia" w:ascii="宋体" w:hAnsi="宋体" w:cs="宋体"/>
          <w:b/>
          <w:sz w:val="24"/>
        </w:rPr>
        <w:t>4.质疑和投诉</w:t>
      </w:r>
    </w:p>
    <w:p>
      <w:pPr>
        <w:spacing w:line="560" w:lineRule="exact"/>
        <w:ind w:firstLine="482" w:firstLineChars="200"/>
        <w:rPr>
          <w:rFonts w:ascii="宋体" w:hAnsi="宋体" w:cs="宋体"/>
          <w:b/>
          <w:bCs/>
          <w:sz w:val="24"/>
        </w:rPr>
      </w:pPr>
      <w:bookmarkStart w:id="27" w:name="_Toc369249075"/>
      <w:r>
        <w:rPr>
          <w:rFonts w:hint="eastAsia" w:ascii="宋体" w:hAnsi="宋体" w:cs="宋体"/>
          <w:b/>
          <w:bCs/>
          <w:sz w:val="24"/>
        </w:rPr>
        <w:t>4.1综合说明</w:t>
      </w:r>
      <w:bookmarkEnd w:id="27"/>
    </w:p>
    <w:p>
      <w:pPr>
        <w:spacing w:line="560" w:lineRule="exact"/>
        <w:ind w:firstLine="472" w:firstLineChars="200"/>
        <w:rPr>
          <w:rFonts w:ascii="宋体" w:hAnsi="宋体" w:cs="宋体"/>
          <w:spacing w:val="-2"/>
          <w:sz w:val="24"/>
        </w:rPr>
      </w:pPr>
      <w:r>
        <w:rPr>
          <w:rFonts w:hint="eastAsia" w:ascii="宋体" w:hAnsi="宋体" w:cs="宋体"/>
          <w:spacing w:val="-2"/>
          <w:sz w:val="24"/>
        </w:rPr>
        <w:t>质疑、投诉的接收和处理严格按照《中华人共和国政府采购法》、《中华人民共和国政府采购法实施条例》、《政府采购供应商投诉处理办法》、《财政部关于加强政府采购供应商投诉受理审查工作的通知》和《甘肃省政府采购供应商投诉处理工作规程》的规定办理（详细规定请在甘肃政府采购网政策法规模块查询）。</w:t>
      </w:r>
      <w:bookmarkStart w:id="28" w:name="_Toc128372077"/>
      <w:bookmarkStart w:id="29" w:name="_Toc139965350"/>
      <w:bookmarkStart w:id="30" w:name="_Toc128372755"/>
      <w:bookmarkStart w:id="31" w:name="_Toc239047312"/>
    </w:p>
    <w:p>
      <w:pPr>
        <w:spacing w:line="560" w:lineRule="exact"/>
        <w:ind w:firstLine="482" w:firstLineChars="200"/>
        <w:rPr>
          <w:rFonts w:ascii="宋体" w:hAnsi="宋体" w:cs="宋体"/>
          <w:b/>
          <w:bCs/>
          <w:sz w:val="24"/>
        </w:rPr>
      </w:pPr>
      <w:r>
        <w:rPr>
          <w:rFonts w:hint="eastAsia" w:ascii="宋体" w:hAnsi="宋体" w:cs="宋体"/>
          <w:b/>
          <w:bCs/>
          <w:sz w:val="24"/>
        </w:rPr>
        <w:t>5．</w:t>
      </w:r>
      <w:bookmarkEnd w:id="28"/>
      <w:bookmarkEnd w:id="29"/>
      <w:bookmarkEnd w:id="30"/>
      <w:bookmarkEnd w:id="31"/>
      <w:r>
        <w:rPr>
          <w:rFonts w:hint="eastAsia" w:ascii="宋体" w:hAnsi="宋体" w:cs="宋体"/>
          <w:b/>
          <w:bCs/>
          <w:sz w:val="24"/>
        </w:rPr>
        <w:t>签订及履行合同和验收</w:t>
      </w:r>
    </w:p>
    <w:p>
      <w:pPr>
        <w:adjustRightInd w:val="0"/>
        <w:spacing w:line="520" w:lineRule="exact"/>
        <w:ind w:firstLine="482" w:firstLineChars="200"/>
        <w:rPr>
          <w:rFonts w:ascii="宋体" w:hAnsi="宋体" w:cs="宋体"/>
          <w:b/>
          <w:bCs/>
          <w:sz w:val="24"/>
        </w:rPr>
      </w:pPr>
      <w:bookmarkStart w:id="32" w:name="_Toc139965351"/>
      <w:bookmarkStart w:id="33" w:name="_Toc128372756"/>
      <w:bookmarkStart w:id="34" w:name="_Toc128372078"/>
      <w:bookmarkStart w:id="35" w:name="_Toc239047314"/>
      <w:r>
        <w:rPr>
          <w:rFonts w:hint="eastAsia" w:ascii="宋体" w:hAnsi="宋体" w:cs="宋体"/>
          <w:b/>
          <w:bCs/>
          <w:sz w:val="24"/>
        </w:rPr>
        <w:t>5.1合同授予</w:t>
      </w:r>
      <w:bookmarkEnd w:id="32"/>
      <w:bookmarkEnd w:id="33"/>
      <w:bookmarkEnd w:id="34"/>
      <w:r>
        <w:rPr>
          <w:rFonts w:hint="eastAsia" w:ascii="宋体" w:hAnsi="宋体" w:cs="宋体"/>
          <w:b/>
          <w:bCs/>
          <w:sz w:val="24"/>
        </w:rPr>
        <w:t>原则</w:t>
      </w:r>
      <w:bookmarkEnd w:id="35"/>
    </w:p>
    <w:p>
      <w:pPr>
        <w:adjustRightInd w:val="0"/>
        <w:spacing w:line="520" w:lineRule="exact"/>
        <w:ind w:firstLine="480" w:firstLineChars="200"/>
        <w:rPr>
          <w:rFonts w:ascii="宋体" w:hAnsi="宋体" w:cs="宋体"/>
          <w:sz w:val="24"/>
        </w:rPr>
      </w:pPr>
      <w:r>
        <w:rPr>
          <w:rFonts w:hint="eastAsia" w:ascii="宋体" w:hAnsi="宋体" w:cs="宋体"/>
          <w:sz w:val="24"/>
        </w:rPr>
        <w:t>1）采购人将把合同授予经评标委员会评议推荐，在法定公示时间后，收到成交通知书的供应商。若因成交人违约或因不可抗力等原因不能被授予合同，则合同将授予排序在该供应商之后的下一个供应商。</w:t>
      </w:r>
    </w:p>
    <w:p>
      <w:pPr>
        <w:adjustRightInd w:val="0"/>
        <w:spacing w:line="520" w:lineRule="exact"/>
        <w:ind w:firstLine="480" w:firstLineChars="200"/>
        <w:rPr>
          <w:rFonts w:ascii="宋体" w:hAnsi="宋体" w:cs="宋体"/>
          <w:sz w:val="24"/>
        </w:rPr>
      </w:pPr>
      <w:r>
        <w:rPr>
          <w:rFonts w:hint="eastAsia" w:ascii="宋体" w:hAnsi="宋体" w:cs="宋体"/>
          <w:sz w:val="24"/>
        </w:rPr>
        <w:t>2）采购人保留在签订合同时调整方案需求和变动所购设备或材料数量的权力。</w:t>
      </w:r>
    </w:p>
    <w:p>
      <w:pPr>
        <w:adjustRightInd w:val="0"/>
        <w:spacing w:line="520" w:lineRule="exact"/>
        <w:ind w:firstLine="482" w:firstLineChars="200"/>
        <w:rPr>
          <w:rFonts w:ascii="宋体" w:hAnsi="宋体" w:cs="宋体"/>
          <w:sz w:val="24"/>
        </w:rPr>
      </w:pPr>
      <w:bookmarkStart w:id="36" w:name="_Toc239047315"/>
      <w:bookmarkStart w:id="37" w:name="_Toc128372758"/>
      <w:bookmarkStart w:id="38" w:name="_Toc128372080"/>
      <w:bookmarkStart w:id="39" w:name="_Toc139965353"/>
      <w:r>
        <w:rPr>
          <w:rFonts w:hint="eastAsia" w:ascii="宋体" w:hAnsi="宋体" w:cs="宋体"/>
          <w:b/>
          <w:bCs/>
          <w:sz w:val="24"/>
        </w:rPr>
        <w:t>5.2合同的签署</w:t>
      </w:r>
      <w:bookmarkEnd w:id="36"/>
      <w:bookmarkEnd w:id="37"/>
      <w:bookmarkEnd w:id="38"/>
      <w:bookmarkEnd w:id="39"/>
    </w:p>
    <w:p>
      <w:pPr>
        <w:adjustRightInd w:val="0"/>
        <w:spacing w:line="520" w:lineRule="exact"/>
        <w:ind w:firstLine="480" w:firstLineChars="200"/>
        <w:rPr>
          <w:rFonts w:ascii="宋体" w:hAnsi="宋体" w:cs="宋体"/>
          <w:sz w:val="24"/>
        </w:rPr>
      </w:pPr>
      <w:r>
        <w:rPr>
          <w:rFonts w:hint="eastAsia" w:ascii="宋体" w:hAnsi="宋体" w:cs="宋体"/>
          <w:sz w:val="24"/>
        </w:rPr>
        <w:t>1）中标人按成交通知书中，由法定代表人或被授权人与采购人签订合同。采购人与中标人是合同权利与义务的直接、全部责任承担人。招标代理机构所发出的中标通知书对采购人和中标供应商具有同等法律效力。</w:t>
      </w:r>
    </w:p>
    <w:p>
      <w:pPr>
        <w:adjustRightInd w:val="0"/>
        <w:spacing w:line="520" w:lineRule="exact"/>
        <w:ind w:firstLine="480" w:firstLineChars="200"/>
        <w:rPr>
          <w:rFonts w:ascii="宋体" w:hAnsi="宋体" w:cs="宋体"/>
          <w:sz w:val="24"/>
        </w:rPr>
      </w:pPr>
      <w:r>
        <w:rPr>
          <w:rFonts w:hint="eastAsia" w:ascii="宋体" w:hAnsi="宋体" w:cs="宋体"/>
          <w:sz w:val="24"/>
        </w:rPr>
        <w:t>2）中标通知书发出后，若中标人不能在规定时间内与采购人签订合同，或变相签订合同，采购人依监督职能可采取取消其中标资格并没收其投标保证金等措施，并可按照财政部令[2004]第18号第六十八条、第七十五条、第七十六条规定办理。此时可由采购人按照排名顺序与下一供应商签订合同。</w:t>
      </w:r>
    </w:p>
    <w:p>
      <w:pPr>
        <w:adjustRightInd w:val="0"/>
        <w:spacing w:line="520" w:lineRule="exact"/>
        <w:ind w:firstLine="480" w:firstLineChars="200"/>
        <w:rPr>
          <w:rFonts w:ascii="宋体" w:hAnsi="宋体" w:cs="宋体"/>
          <w:sz w:val="24"/>
        </w:rPr>
      </w:pPr>
      <w:r>
        <w:rPr>
          <w:rFonts w:hint="eastAsia" w:ascii="宋体" w:hAnsi="宋体" w:cs="宋体"/>
          <w:sz w:val="24"/>
        </w:rPr>
        <w:t>3）《政府采购法实施条例》第四十九条：中标供应商拒绝与采购人签订合同的，采购人可以按照评审报告推荐的中标候选人名单排序，确定下一候选人为中标供应商，也可以重新开展政府采购活动。</w:t>
      </w:r>
    </w:p>
    <w:p>
      <w:pPr>
        <w:adjustRightInd w:val="0"/>
        <w:spacing w:line="520" w:lineRule="exact"/>
        <w:ind w:firstLine="480" w:firstLineChars="200"/>
        <w:rPr>
          <w:rFonts w:ascii="宋体" w:hAnsi="宋体" w:cs="宋体"/>
          <w:sz w:val="24"/>
        </w:rPr>
      </w:pPr>
      <w:r>
        <w:rPr>
          <w:rFonts w:hint="eastAsia" w:ascii="宋体" w:hAnsi="宋体" w:cs="宋体"/>
          <w:sz w:val="24"/>
        </w:rPr>
        <w:t>4）《评标委员会和评标方法暂行规定》第四十八条：使用国有资金投资或者国家融资的项目，招标人应当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排名第二的中标候选人因前款规定的同样原因不能签订合同的，招标人可以确定排名第三的中标候选人为中标人。</w:t>
      </w:r>
    </w:p>
    <w:p>
      <w:pPr>
        <w:adjustRightInd w:val="0"/>
        <w:spacing w:line="520" w:lineRule="exact"/>
        <w:ind w:firstLine="482" w:firstLineChars="200"/>
        <w:rPr>
          <w:rFonts w:ascii="宋体" w:hAnsi="宋体" w:cs="宋体"/>
          <w:b/>
          <w:bCs/>
          <w:sz w:val="24"/>
        </w:rPr>
      </w:pPr>
      <w:r>
        <w:rPr>
          <w:rFonts w:hint="eastAsia" w:ascii="宋体" w:hAnsi="宋体" w:cs="宋体"/>
          <w:b/>
          <w:bCs/>
          <w:sz w:val="24"/>
        </w:rPr>
        <w:t>5.3履行合同</w:t>
      </w:r>
    </w:p>
    <w:p>
      <w:pPr>
        <w:adjustRightInd w:val="0"/>
        <w:spacing w:line="520" w:lineRule="exact"/>
        <w:ind w:firstLine="480" w:firstLineChars="200"/>
        <w:rPr>
          <w:rFonts w:ascii="宋体" w:hAnsi="宋体" w:cs="宋体"/>
          <w:sz w:val="24"/>
        </w:rPr>
      </w:pPr>
      <w:r>
        <w:rPr>
          <w:rFonts w:hint="eastAsia" w:ascii="宋体" w:hAnsi="宋体" w:cs="宋体"/>
          <w:sz w:val="24"/>
        </w:rPr>
        <w:t xml:space="preserve">1）中标人与采购人签订合同后，合同双方应严格执行合同条款，履行合同规定的义务，保证合同的顺利完成。 </w:t>
      </w:r>
    </w:p>
    <w:p>
      <w:pPr>
        <w:adjustRightInd w:val="0"/>
        <w:spacing w:line="520" w:lineRule="exact"/>
        <w:ind w:firstLine="480" w:firstLineChars="200"/>
        <w:rPr>
          <w:rFonts w:ascii="宋体" w:hAnsi="宋体" w:cs="宋体"/>
          <w:sz w:val="24"/>
        </w:rPr>
      </w:pPr>
      <w:r>
        <w:rPr>
          <w:rFonts w:hint="eastAsia" w:ascii="宋体" w:hAnsi="宋体" w:cs="宋体"/>
          <w:sz w:val="24"/>
        </w:rPr>
        <w:t xml:space="preserve">2）在合同履行过程中，如发生合同纠纷，合同双方应按照《合同法》的有关规定进行处理。 </w:t>
      </w:r>
    </w:p>
    <w:p>
      <w:pPr>
        <w:adjustRightInd w:val="0"/>
        <w:spacing w:line="520" w:lineRule="exact"/>
        <w:ind w:firstLine="482" w:firstLineChars="200"/>
        <w:rPr>
          <w:rFonts w:ascii="宋体" w:hAnsi="宋体" w:cs="宋体"/>
          <w:b/>
          <w:bCs/>
          <w:sz w:val="24"/>
        </w:rPr>
      </w:pPr>
      <w:r>
        <w:rPr>
          <w:rFonts w:hint="eastAsia" w:ascii="宋体" w:hAnsi="宋体" w:cs="宋体"/>
          <w:b/>
          <w:bCs/>
          <w:sz w:val="24"/>
        </w:rPr>
        <w:t>5.4验收</w:t>
      </w:r>
    </w:p>
    <w:p>
      <w:pPr>
        <w:adjustRightInd w:val="0"/>
        <w:spacing w:line="520" w:lineRule="exact"/>
        <w:ind w:firstLine="480" w:firstLineChars="200"/>
        <w:rPr>
          <w:rFonts w:ascii="宋体" w:hAnsi="宋体" w:cs="宋体"/>
          <w:sz w:val="24"/>
        </w:rPr>
      </w:pPr>
      <w:r>
        <w:rPr>
          <w:rFonts w:hint="eastAsia" w:ascii="宋体" w:hAnsi="宋体" w:cs="宋体"/>
          <w:sz w:val="24"/>
        </w:rPr>
        <w:t>本项目采购人及其委托的采购代理机构将严格按照政府采购相关法律法规的要求进行验收。</w:t>
      </w:r>
    </w:p>
    <w:p>
      <w:pPr>
        <w:adjustRightInd w:val="0"/>
        <w:spacing w:line="520" w:lineRule="exact"/>
        <w:ind w:firstLine="482" w:firstLineChars="200"/>
        <w:rPr>
          <w:rFonts w:ascii="宋体" w:hAnsi="宋体" w:cs="宋体"/>
          <w:b/>
          <w:bCs/>
          <w:sz w:val="24"/>
        </w:rPr>
      </w:pPr>
      <w:bookmarkStart w:id="40" w:name="_Toc139965354"/>
      <w:bookmarkStart w:id="41" w:name="_Toc239047316"/>
      <w:bookmarkStart w:id="42" w:name="_Toc128372081"/>
      <w:bookmarkStart w:id="43" w:name="_Toc128372759"/>
      <w:r>
        <w:rPr>
          <w:rFonts w:hint="eastAsia" w:ascii="宋体" w:hAnsi="宋体" w:cs="宋体"/>
          <w:b/>
          <w:bCs/>
          <w:sz w:val="24"/>
        </w:rPr>
        <w:t>6.其他</w:t>
      </w:r>
      <w:bookmarkEnd w:id="40"/>
      <w:bookmarkEnd w:id="41"/>
      <w:bookmarkEnd w:id="42"/>
      <w:bookmarkEnd w:id="43"/>
    </w:p>
    <w:p>
      <w:pPr>
        <w:adjustRightInd w:val="0"/>
        <w:spacing w:line="560" w:lineRule="exact"/>
        <w:ind w:firstLine="480" w:firstLineChars="200"/>
        <w:rPr>
          <w:rFonts w:ascii="宋体" w:hAnsi="宋体" w:cs="宋体"/>
          <w:sz w:val="24"/>
        </w:rPr>
      </w:pPr>
      <w:r>
        <w:rPr>
          <w:rFonts w:hint="eastAsia" w:ascii="宋体" w:hAnsi="宋体" w:cs="宋体"/>
          <w:sz w:val="24"/>
        </w:rPr>
        <w:t>中标后招标文件和投标文件未尽事宜另行商定。</w:t>
      </w:r>
    </w:p>
    <w:p>
      <w:pPr>
        <w:pStyle w:val="4"/>
        <w:rPr>
          <w:rFonts w:ascii="宋体" w:hAnsi="宋体" w:eastAsia="宋体"/>
          <w:sz w:val="32"/>
          <w:szCs w:val="32"/>
        </w:rPr>
      </w:pPr>
      <w:bookmarkStart w:id="44" w:name="_Toc7459_WPSOffice_Level2"/>
      <w:bookmarkStart w:id="45" w:name="_Toc14892_WPSOffice_Level2"/>
      <w:bookmarkStart w:id="46" w:name="_Toc6215_WPSOffice_Level2"/>
      <w:r>
        <w:rPr>
          <w:rFonts w:hint="eastAsia" w:ascii="宋体" w:hAnsi="宋体" w:eastAsia="宋体"/>
        </w:rPr>
        <w:t>三、</w:t>
      </w:r>
      <w:r>
        <w:rPr>
          <w:rFonts w:hint="eastAsia" w:ascii="宋体" w:hAnsi="宋体" w:eastAsia="宋体"/>
          <w:sz w:val="32"/>
          <w:szCs w:val="32"/>
        </w:rPr>
        <w:t>投标保证金递交说明</w:t>
      </w:r>
      <w:bookmarkEnd w:id="14"/>
      <w:bookmarkEnd w:id="15"/>
      <w:bookmarkEnd w:id="16"/>
      <w:bookmarkEnd w:id="44"/>
      <w:bookmarkEnd w:id="45"/>
      <w:bookmarkEnd w:id="46"/>
    </w:p>
    <w:p>
      <w:pPr>
        <w:spacing w:line="480" w:lineRule="exact"/>
        <w:ind w:firstLine="482" w:firstLineChars="200"/>
        <w:rPr>
          <w:rFonts w:ascii="宋体" w:hAnsi="宋体"/>
          <w:b/>
          <w:sz w:val="24"/>
        </w:rPr>
      </w:pPr>
      <w:r>
        <w:rPr>
          <w:rFonts w:hint="eastAsia" w:ascii="宋体" w:hAnsi="宋体"/>
          <w:b/>
          <w:sz w:val="24"/>
        </w:rPr>
        <w:t>1、保证金的递交</w:t>
      </w:r>
    </w:p>
    <w:p>
      <w:pPr>
        <w:pStyle w:val="5"/>
        <w:adjustRightInd w:val="0"/>
        <w:snapToGrid w:val="0"/>
        <w:spacing w:line="480" w:lineRule="exact"/>
        <w:ind w:firstLine="488" w:firstLineChars="200"/>
        <w:rPr>
          <w:rFonts w:hAnsi="宋体"/>
          <w:sz w:val="24"/>
        </w:rPr>
      </w:pPr>
      <w:r>
        <w:rPr>
          <w:rFonts w:hint="eastAsia" w:hAnsi="宋体"/>
          <w:spacing w:val="2"/>
          <w:sz w:val="24"/>
          <w:szCs w:val="24"/>
        </w:rPr>
        <w:t>1.1供应商应递交保证金金额</w:t>
      </w:r>
      <w:r>
        <w:rPr>
          <w:rFonts w:hint="eastAsia" w:hAnsi="宋体"/>
          <w:b/>
          <w:bCs/>
          <w:color w:val="FF0000"/>
          <w:spacing w:val="2"/>
          <w:sz w:val="24"/>
          <w:szCs w:val="24"/>
        </w:rPr>
        <w:t>为人民币</w:t>
      </w:r>
      <w:r>
        <w:rPr>
          <w:rFonts w:hint="eastAsia" w:hAnsi="宋体"/>
          <w:b/>
          <w:bCs/>
          <w:color w:val="FF0000"/>
          <w:spacing w:val="2"/>
          <w:sz w:val="24"/>
          <w:szCs w:val="24"/>
          <w:lang w:eastAsia="zh-CN"/>
        </w:rPr>
        <w:t>壹</w:t>
      </w:r>
      <w:r>
        <w:rPr>
          <w:rFonts w:hint="eastAsia" w:hAnsi="宋体"/>
          <w:b/>
          <w:bCs/>
          <w:color w:val="FF0000"/>
          <w:spacing w:val="2"/>
          <w:sz w:val="24"/>
          <w:szCs w:val="24"/>
        </w:rPr>
        <w:t>万伍仟</w:t>
      </w:r>
      <w:r>
        <w:rPr>
          <w:rFonts w:hint="eastAsia" w:hAnsi="宋体"/>
          <w:b/>
          <w:bCs/>
          <w:spacing w:val="2"/>
          <w:sz w:val="24"/>
          <w:szCs w:val="24"/>
        </w:rPr>
        <w:t>元整（</w:t>
      </w:r>
      <w:r>
        <w:rPr>
          <w:rFonts w:hint="default" w:ascii="Arial" w:hAnsi="Arial" w:cs="Arial"/>
          <w:b/>
          <w:bCs/>
          <w:spacing w:val="2"/>
          <w:sz w:val="24"/>
          <w:szCs w:val="24"/>
        </w:rPr>
        <w:t>¥</w:t>
      </w:r>
      <w:r>
        <w:rPr>
          <w:rFonts w:hint="eastAsia" w:hAnsi="宋体"/>
          <w:b/>
          <w:bCs/>
          <w:spacing w:val="2"/>
          <w:sz w:val="24"/>
          <w:szCs w:val="24"/>
          <w:lang w:val="en-US" w:eastAsia="zh-CN"/>
        </w:rPr>
        <w:t>1</w:t>
      </w:r>
      <w:r>
        <w:rPr>
          <w:rFonts w:hint="eastAsia" w:hAnsi="宋体"/>
          <w:b/>
          <w:bCs/>
          <w:spacing w:val="2"/>
          <w:sz w:val="24"/>
          <w:szCs w:val="24"/>
        </w:rPr>
        <w:t>5000.00）</w:t>
      </w:r>
      <w:r>
        <w:rPr>
          <w:rFonts w:hint="eastAsia" w:hAnsi="宋体"/>
          <w:spacing w:val="2"/>
          <w:sz w:val="24"/>
          <w:szCs w:val="24"/>
        </w:rPr>
        <w:t>，须于开标</w:t>
      </w:r>
      <w:r>
        <w:rPr>
          <w:rFonts w:hint="eastAsia" w:hAnsi="宋体"/>
          <w:sz w:val="24"/>
          <w:szCs w:val="24"/>
        </w:rPr>
        <w:t>前到帐，逾期不再受理。</w:t>
      </w:r>
      <w:r>
        <w:rPr>
          <w:rFonts w:hint="eastAsia" w:hAnsi="宋体"/>
          <w:spacing w:val="2"/>
          <w:sz w:val="24"/>
          <w:szCs w:val="24"/>
        </w:rPr>
        <w:t>未足额递交的，将视为无效保证金。保证金为《投标文件》的组成部分之一；</w:t>
      </w:r>
    </w:p>
    <w:p>
      <w:pPr>
        <w:spacing w:line="500" w:lineRule="exact"/>
        <w:ind w:firstLine="520" w:firstLineChars="200"/>
        <w:rPr>
          <w:rFonts w:ascii="宋体" w:hAnsi="宋体"/>
          <w:sz w:val="24"/>
        </w:rPr>
      </w:pPr>
      <w:r>
        <w:rPr>
          <w:rFonts w:hint="eastAsia" w:ascii="宋体" w:hAnsi="宋体"/>
          <w:spacing w:val="10"/>
          <w:sz w:val="24"/>
        </w:rPr>
        <w:t>1.2</w:t>
      </w:r>
      <w:r>
        <w:rPr>
          <w:rFonts w:hint="eastAsia" w:ascii="宋体" w:hAnsi="宋体"/>
          <w:sz w:val="24"/>
        </w:rPr>
        <w:t xml:space="preserve">保证金必须由投标单位基本账户一次性转入招标文件所指定的保证金递交账户。供应商投两个及以上标段或包号的，应该按每个标段或包号分别交纳投标保证金；保证金递交单位名称必须与供应商名称一致，并在银行电汇单附言栏上必须且只填写保证金对应的投标项目及标段名称，不填写或错填致无法确认保证金意向的按无效保证金处理。 </w:t>
      </w:r>
    </w:p>
    <w:p>
      <w:pPr>
        <w:spacing w:line="500" w:lineRule="exact"/>
        <w:ind w:firstLine="480" w:firstLineChars="200"/>
        <w:rPr>
          <w:rFonts w:ascii="宋体" w:hAnsi="宋体"/>
          <w:sz w:val="24"/>
        </w:rPr>
      </w:pPr>
      <w:r>
        <w:rPr>
          <w:rFonts w:hint="eastAsia" w:ascii="宋体" w:hAnsi="宋体"/>
          <w:sz w:val="24"/>
        </w:rPr>
        <w:t>1.3投标单位保证金递交后不再换取张掖市公共资源交易中心民乐县分中心保证金往来收据。由供应商银行进账单据或电汇凭证单据加盖投标单位公章，作为投标文件中保证金递交凭证。</w:t>
      </w:r>
    </w:p>
    <w:p>
      <w:pPr>
        <w:spacing w:line="500" w:lineRule="exact"/>
        <w:ind w:firstLine="480" w:firstLineChars="200"/>
        <w:rPr>
          <w:rFonts w:ascii="宋体" w:hAnsi="宋体"/>
          <w:sz w:val="24"/>
        </w:rPr>
      </w:pPr>
      <w:r>
        <w:rPr>
          <w:rFonts w:hint="eastAsia" w:ascii="宋体" w:hAnsi="宋体"/>
          <w:sz w:val="24"/>
        </w:rPr>
        <w:t xml:space="preserve">1.4开标时保证金递交的有效性均以张掖市公共资源交易中心民乐县分中心财务科出具的保证金到帐查询清单为准。 </w:t>
      </w:r>
    </w:p>
    <w:p>
      <w:pPr>
        <w:spacing w:line="500" w:lineRule="exact"/>
        <w:ind w:firstLine="480" w:firstLineChars="200"/>
        <w:rPr>
          <w:rFonts w:ascii="宋体" w:hAnsi="宋体" w:cs="宋体"/>
          <w:color w:val="212121"/>
          <w:kern w:val="0"/>
          <w:sz w:val="24"/>
          <w:shd w:val="clear" w:color="auto" w:fill="FFFFFF"/>
        </w:rPr>
      </w:pPr>
      <w:r>
        <w:rPr>
          <w:rFonts w:hint="eastAsia" w:ascii="宋体" w:hAnsi="宋体"/>
          <w:sz w:val="24"/>
        </w:rPr>
        <w:t>1.5</w:t>
      </w:r>
      <w:r>
        <w:rPr>
          <w:rFonts w:hint="eastAsia" w:ascii="宋体" w:hAnsi="宋体" w:cs="宋体"/>
          <w:color w:val="212121"/>
          <w:kern w:val="0"/>
          <w:sz w:val="24"/>
          <w:shd w:val="clear" w:color="auto" w:fill="FFFFFF"/>
        </w:rPr>
        <w:t>未成交的供应商自成交通知书发出之日起5个工作日内由招标代理机构提交盖有本代理机构公章的《张掖市公共资源交易中心民乐县分中心未中标企业投标保证金退付明细表》，经中心相关股室工作人员签字确认后，由中心财务股5个工作日内退付完毕，保证金退付账号与交纳保证金账号一致。</w:t>
      </w:r>
    </w:p>
    <w:p>
      <w:pPr>
        <w:spacing w:line="500" w:lineRule="exact"/>
        <w:ind w:firstLine="480" w:firstLineChars="200"/>
        <w:rPr>
          <w:rFonts w:ascii="宋体" w:hAnsi="宋体" w:cs="宋体"/>
          <w:color w:val="212121"/>
          <w:kern w:val="0"/>
          <w:sz w:val="24"/>
          <w:shd w:val="clear" w:color="auto" w:fill="FFFFFF"/>
        </w:rPr>
      </w:pPr>
      <w:r>
        <w:rPr>
          <w:rFonts w:hint="eastAsia" w:ascii="宋体" w:hAnsi="宋体" w:cs="宋体"/>
          <w:color w:val="212121"/>
          <w:kern w:val="0"/>
          <w:sz w:val="24"/>
          <w:shd w:val="clear" w:color="auto" w:fill="FFFFFF"/>
        </w:rPr>
        <w:t>1.6成交供应商保证金在中标合同签订后由招标代理机构提交盖有本代理机构公章的《张掖市公共资源交易中心民乐县分中心中标企业投标保证金中标明细表》，经中心相关股室工作人员签字确认后，由中心财务股5个工作日内退付完毕。保证金退付账号与交纳保证金账号一致。</w:t>
      </w:r>
    </w:p>
    <w:p>
      <w:pPr>
        <w:spacing w:line="500" w:lineRule="exact"/>
        <w:ind w:firstLine="480" w:firstLineChars="200"/>
        <w:rPr>
          <w:rFonts w:ascii="宋体" w:hAnsi="宋体" w:eastAsia="宋体"/>
          <w:sz w:val="24"/>
        </w:rPr>
      </w:pPr>
      <w:r>
        <w:rPr>
          <w:rFonts w:hint="eastAsia" w:ascii="宋体" w:hAnsi="宋体"/>
          <w:sz w:val="24"/>
        </w:rPr>
        <w:t>1.7各供应商不在到张掖市公共资源交易中心民乐县分中心退付投标保证金，由代理公司代替退付，退回公司基本账户。</w:t>
      </w:r>
    </w:p>
    <w:p>
      <w:pPr>
        <w:spacing w:line="500" w:lineRule="exact"/>
        <w:ind w:firstLine="480" w:firstLineChars="200"/>
        <w:rPr>
          <w:rFonts w:ascii="宋体" w:hAnsi="宋体" w:cs="宋体"/>
          <w:color w:val="212121"/>
          <w:kern w:val="0"/>
          <w:sz w:val="24"/>
          <w:shd w:val="clear" w:color="auto" w:fill="FFFFFF"/>
        </w:rPr>
      </w:pPr>
      <w:r>
        <w:rPr>
          <w:rFonts w:hint="eastAsia" w:ascii="宋体" w:hAnsi="宋体" w:cs="宋体"/>
          <w:color w:val="212121"/>
          <w:kern w:val="0"/>
          <w:sz w:val="24"/>
          <w:shd w:val="clear" w:color="auto" w:fill="FFFFFF"/>
        </w:rPr>
        <w:t>1.8如供应商有下列情况，投标保证金不予退付：</w:t>
      </w:r>
    </w:p>
    <w:p>
      <w:pPr>
        <w:spacing w:line="500" w:lineRule="exact"/>
        <w:ind w:firstLine="480" w:firstLineChars="200"/>
        <w:rPr>
          <w:rFonts w:ascii="宋体" w:hAnsi="宋体" w:cs="宋体"/>
          <w:color w:val="212121"/>
          <w:kern w:val="0"/>
          <w:sz w:val="24"/>
          <w:shd w:val="clear" w:color="auto" w:fill="FFFFFF"/>
        </w:rPr>
      </w:pPr>
      <w:r>
        <w:rPr>
          <w:rFonts w:hint="eastAsia" w:ascii="宋体" w:hAnsi="宋体" w:cs="宋体"/>
          <w:color w:val="212121"/>
          <w:kern w:val="0"/>
          <w:sz w:val="24"/>
          <w:shd w:val="clear" w:color="auto" w:fill="FFFFFF"/>
        </w:rPr>
        <w:t>a.在《投标文件》递交截止时间后撤回其文件的；</w:t>
      </w:r>
    </w:p>
    <w:p>
      <w:pPr>
        <w:spacing w:line="500" w:lineRule="exact"/>
        <w:ind w:firstLine="480" w:firstLineChars="200"/>
        <w:rPr>
          <w:rFonts w:ascii="宋体" w:hAnsi="宋体" w:cs="宋体"/>
          <w:color w:val="212121"/>
          <w:kern w:val="0"/>
          <w:sz w:val="24"/>
          <w:shd w:val="clear" w:color="auto" w:fill="FFFFFF"/>
        </w:rPr>
      </w:pPr>
      <w:r>
        <w:rPr>
          <w:rFonts w:hint="eastAsia" w:ascii="宋体" w:hAnsi="宋体" w:cs="宋体"/>
          <w:color w:val="212121"/>
          <w:kern w:val="0"/>
          <w:sz w:val="24"/>
          <w:shd w:val="clear" w:color="auto" w:fill="FFFFFF"/>
        </w:rPr>
        <w:t>b.成交后无正当理由或未能在规定期限内与采购人签订合同的；</w:t>
      </w:r>
    </w:p>
    <w:p>
      <w:pPr>
        <w:spacing w:line="500" w:lineRule="exact"/>
        <w:ind w:firstLine="480" w:firstLineChars="200"/>
        <w:rPr>
          <w:rFonts w:ascii="宋体" w:hAnsi="宋体" w:cs="宋体"/>
          <w:color w:val="212121"/>
          <w:kern w:val="0"/>
          <w:sz w:val="24"/>
          <w:shd w:val="clear" w:color="auto" w:fill="FFFFFF"/>
        </w:rPr>
      </w:pPr>
      <w:r>
        <w:rPr>
          <w:rFonts w:hint="eastAsia" w:ascii="宋体" w:hAnsi="宋体" w:cs="宋体"/>
          <w:color w:val="212121"/>
          <w:kern w:val="0"/>
          <w:sz w:val="24"/>
          <w:shd w:val="clear" w:color="auto" w:fill="FFFFFF"/>
        </w:rPr>
        <w:t>c.将成交项目转让给他人，或者在《投标文件》中未说明，且未经采购人和招标方同意，将成交项目分包给他人的；</w:t>
      </w:r>
    </w:p>
    <w:p>
      <w:pPr>
        <w:spacing w:line="500" w:lineRule="exact"/>
        <w:ind w:firstLine="480" w:firstLineChars="200"/>
        <w:rPr>
          <w:rFonts w:ascii="宋体" w:hAnsi="宋体" w:cs="宋体"/>
          <w:color w:val="212121"/>
          <w:kern w:val="0"/>
          <w:sz w:val="24"/>
          <w:shd w:val="clear" w:color="auto" w:fill="FFFFFF"/>
        </w:rPr>
      </w:pPr>
      <w:r>
        <w:rPr>
          <w:rFonts w:hint="eastAsia" w:ascii="宋体" w:hAnsi="宋体" w:cs="宋体"/>
          <w:color w:val="212121"/>
          <w:kern w:val="0"/>
          <w:sz w:val="24"/>
          <w:shd w:val="clear" w:color="auto" w:fill="FFFFFF"/>
        </w:rPr>
        <w:t>d.未能在规定期限内签署合同的，拒绝或不完全履行合同义务的；</w:t>
      </w:r>
    </w:p>
    <w:p>
      <w:pPr>
        <w:spacing w:line="500" w:lineRule="exact"/>
        <w:ind w:firstLine="480" w:firstLineChars="200"/>
        <w:rPr>
          <w:rFonts w:ascii="宋体" w:hAnsi="宋体" w:cs="宋体"/>
          <w:color w:val="212121"/>
          <w:kern w:val="0"/>
          <w:sz w:val="24"/>
          <w:shd w:val="clear" w:color="auto" w:fill="FFFFFF"/>
        </w:rPr>
      </w:pPr>
      <w:r>
        <w:rPr>
          <w:rFonts w:hint="eastAsia" w:ascii="宋体" w:hAnsi="宋体" w:cs="宋体"/>
          <w:color w:val="212121"/>
          <w:kern w:val="0"/>
          <w:sz w:val="24"/>
          <w:shd w:val="clear" w:color="auto" w:fill="FFFFFF"/>
        </w:rPr>
        <w:t>e.成交后自愿放弃成交资格的；</w:t>
      </w:r>
    </w:p>
    <w:p>
      <w:pPr>
        <w:spacing w:line="500" w:lineRule="exact"/>
        <w:ind w:firstLine="480" w:firstLineChars="200"/>
        <w:rPr>
          <w:rFonts w:ascii="宋体" w:hAnsi="宋体" w:cs="宋体"/>
          <w:color w:val="212121"/>
          <w:kern w:val="0"/>
          <w:sz w:val="24"/>
          <w:shd w:val="clear" w:color="auto" w:fill="FFFFFF"/>
        </w:rPr>
      </w:pPr>
      <w:r>
        <w:rPr>
          <w:rFonts w:hint="eastAsia" w:ascii="宋体" w:hAnsi="宋体" w:cs="宋体"/>
          <w:color w:val="212121"/>
          <w:kern w:val="0"/>
          <w:sz w:val="24"/>
          <w:shd w:val="clear" w:color="auto" w:fill="FFFFFF"/>
        </w:rPr>
        <w:t>f.未领取成交通知书与招标单位签订合同的。</w:t>
      </w:r>
    </w:p>
    <w:p>
      <w:pPr>
        <w:spacing w:line="500" w:lineRule="exact"/>
        <w:ind w:firstLine="480" w:firstLineChars="200"/>
        <w:rPr>
          <w:rFonts w:ascii="宋体" w:hAnsi="宋体"/>
          <w:sz w:val="24"/>
        </w:rPr>
      </w:pPr>
      <w:r>
        <w:rPr>
          <w:rFonts w:hint="eastAsia" w:ascii="宋体" w:hAnsi="宋体"/>
          <w:sz w:val="24"/>
        </w:rPr>
        <w:t>1.9其他未尽事宜以招标文件要求</w:t>
      </w:r>
    </w:p>
    <w:p>
      <w:pPr>
        <w:spacing w:line="500" w:lineRule="exact"/>
        <w:ind w:firstLine="480" w:firstLineChars="200"/>
        <w:rPr>
          <w:rFonts w:ascii="宋体" w:hAnsi="宋体"/>
          <w:sz w:val="24"/>
        </w:rPr>
      </w:pPr>
      <w:r>
        <w:rPr>
          <w:rFonts w:hint="eastAsia" w:ascii="宋体" w:hAnsi="宋体"/>
          <w:sz w:val="24"/>
        </w:rPr>
        <w:t>2.0保证金递交信息</w:t>
      </w:r>
    </w:p>
    <w:p>
      <w:pPr>
        <w:spacing w:line="500" w:lineRule="exact"/>
        <w:ind w:firstLine="480" w:firstLineChars="200"/>
      </w:pPr>
      <w:r>
        <w:rPr>
          <w:rFonts w:hint="eastAsia"/>
          <w:sz w:val="24"/>
        </w:rPr>
        <w:t xml:space="preserve"> 详见“供应商须知前附表”</w:t>
      </w:r>
    </w:p>
    <w:p>
      <w:pPr>
        <w:widowControl/>
        <w:numPr>
          <w:ilvl w:val="0"/>
          <w:numId w:val="3"/>
        </w:numPr>
        <w:spacing w:line="500" w:lineRule="exact"/>
        <w:ind w:firstLine="482" w:firstLineChars="200"/>
        <w:rPr>
          <w:rFonts w:ascii="宋体" w:hAnsi="宋体" w:cs="宋体"/>
          <w:b/>
          <w:kern w:val="0"/>
          <w:sz w:val="24"/>
        </w:rPr>
      </w:pPr>
      <w:r>
        <w:rPr>
          <w:rFonts w:hint="eastAsia" w:ascii="宋体" w:hAnsi="宋体" w:cs="宋体"/>
          <w:b/>
          <w:kern w:val="0"/>
          <w:sz w:val="24"/>
        </w:rPr>
        <w:t>投标保证金的退付</w:t>
      </w:r>
    </w:p>
    <w:p>
      <w:pPr>
        <w:spacing w:line="500" w:lineRule="exact"/>
        <w:ind w:firstLine="480" w:firstLineChars="200"/>
        <w:rPr>
          <w:sz w:val="24"/>
        </w:rPr>
      </w:pPr>
      <w:r>
        <w:rPr>
          <w:rFonts w:hint="eastAsia"/>
          <w:sz w:val="24"/>
        </w:rPr>
        <w:t xml:space="preserve">   详见“供应商须知前附表”</w:t>
      </w:r>
    </w:p>
    <w:p>
      <w:pPr>
        <w:spacing w:line="560" w:lineRule="exact"/>
        <w:rPr>
          <w:rFonts w:ascii="宋体" w:cs="宋体"/>
          <w:sz w:val="28"/>
          <w:szCs w:val="28"/>
        </w:rPr>
      </w:pPr>
    </w:p>
    <w:p/>
    <w:p/>
    <w:p/>
    <w:p/>
    <w:p/>
    <w:p>
      <w:bookmarkStart w:id="47" w:name="_Toc132"/>
    </w:p>
    <w:p/>
    <w:p/>
    <w:p>
      <w:pPr>
        <w:pStyle w:val="3"/>
        <w:ind w:firstLine="883" w:firstLineChars="200"/>
      </w:pPr>
    </w:p>
    <w:p/>
    <w:p/>
    <w:p>
      <w:pPr>
        <w:pStyle w:val="3"/>
        <w:ind w:firstLine="883" w:firstLineChars="200"/>
      </w:pPr>
    </w:p>
    <w:p/>
    <w:p/>
    <w:p/>
    <w:p>
      <w:pPr>
        <w:pStyle w:val="2"/>
      </w:pPr>
    </w:p>
    <w:p>
      <w:pPr>
        <w:pStyle w:val="2"/>
      </w:pPr>
    </w:p>
    <w:p/>
    <w:p/>
    <w:p>
      <w:pPr>
        <w:pStyle w:val="3"/>
        <w:jc w:val="center"/>
        <w:rPr>
          <w:rFonts w:hint="eastAsia"/>
        </w:rPr>
      </w:pPr>
      <w:bookmarkStart w:id="48" w:name="_Toc18923_WPSOffice_Level1"/>
    </w:p>
    <w:p>
      <w:pPr>
        <w:pStyle w:val="3"/>
        <w:jc w:val="center"/>
        <w:rPr>
          <w:rFonts w:hint="eastAsia"/>
        </w:rPr>
      </w:pPr>
    </w:p>
    <w:p>
      <w:pPr>
        <w:pStyle w:val="3"/>
        <w:jc w:val="center"/>
        <w:rPr>
          <w:rFonts w:hint="eastAsia"/>
        </w:rPr>
      </w:pPr>
    </w:p>
    <w:p>
      <w:pPr>
        <w:pStyle w:val="3"/>
        <w:jc w:val="center"/>
        <w:rPr>
          <w:rFonts w:hint="eastAsia"/>
        </w:rPr>
      </w:pPr>
    </w:p>
    <w:p>
      <w:pPr>
        <w:pStyle w:val="3"/>
        <w:jc w:val="center"/>
      </w:pPr>
      <w:r>
        <w:rPr>
          <w:rFonts w:hint="eastAsia"/>
        </w:rPr>
        <w:t>第三部分</w:t>
      </w:r>
      <w:r>
        <w:t xml:space="preserve">  </w:t>
      </w:r>
      <w:r>
        <w:rPr>
          <w:rFonts w:hint="eastAsia"/>
        </w:rPr>
        <w:t>技术参数要求</w:t>
      </w:r>
      <w:bookmarkEnd w:id="47"/>
      <w:bookmarkEnd w:id="48"/>
    </w:p>
    <w:p>
      <w:pPr>
        <w:adjustRightInd w:val="0"/>
        <w:spacing w:line="1000" w:lineRule="exact"/>
        <w:jc w:val="center"/>
        <w:rPr>
          <w:rFonts w:ascii="宋体" w:cs="宋体"/>
          <w:b/>
          <w:sz w:val="44"/>
          <w:szCs w:val="44"/>
        </w:rPr>
      </w:pPr>
    </w:p>
    <w:p>
      <w:pPr>
        <w:adjustRightInd w:val="0"/>
        <w:spacing w:line="1000" w:lineRule="exact"/>
        <w:jc w:val="center"/>
        <w:rPr>
          <w:rFonts w:ascii="宋体" w:cs="宋体"/>
          <w:b/>
          <w:sz w:val="44"/>
          <w:szCs w:val="44"/>
        </w:rPr>
      </w:pPr>
    </w:p>
    <w:p>
      <w:pPr>
        <w:adjustRightInd w:val="0"/>
        <w:spacing w:line="1000" w:lineRule="exact"/>
        <w:jc w:val="center"/>
        <w:rPr>
          <w:rFonts w:ascii="宋体" w:cs="宋体"/>
          <w:b/>
          <w:sz w:val="44"/>
          <w:szCs w:val="44"/>
        </w:rPr>
      </w:pPr>
    </w:p>
    <w:p>
      <w:pPr>
        <w:adjustRightInd w:val="0"/>
        <w:spacing w:line="1000" w:lineRule="exact"/>
        <w:jc w:val="center"/>
        <w:rPr>
          <w:rFonts w:ascii="宋体" w:cs="宋体"/>
          <w:b/>
          <w:sz w:val="44"/>
          <w:szCs w:val="44"/>
        </w:rPr>
      </w:pPr>
    </w:p>
    <w:p>
      <w:pPr>
        <w:pStyle w:val="2"/>
        <w:rPr>
          <w:rFonts w:ascii="宋体" w:cs="宋体"/>
          <w:b/>
          <w:sz w:val="44"/>
          <w:szCs w:val="44"/>
        </w:rPr>
      </w:pPr>
    </w:p>
    <w:p>
      <w:pPr>
        <w:pStyle w:val="2"/>
        <w:rPr>
          <w:rFonts w:ascii="宋体" w:cs="宋体"/>
          <w:b/>
          <w:sz w:val="44"/>
          <w:szCs w:val="44"/>
        </w:rPr>
      </w:pPr>
    </w:p>
    <w:p>
      <w:pPr>
        <w:numPr>
          <w:ilvl w:val="0"/>
          <w:numId w:val="4"/>
        </w:numPr>
        <w:spacing w:line="520" w:lineRule="exact"/>
        <w:rPr>
          <w:rFonts w:ascii="宋体" w:hAnsi="宋体"/>
          <w:b/>
          <w:sz w:val="28"/>
          <w:szCs w:val="28"/>
        </w:rPr>
      </w:pPr>
      <w:bookmarkStart w:id="49" w:name="_Toc3393_WPSOffice_Level2"/>
      <w:bookmarkStart w:id="50" w:name="_Toc14597_WPSOffice_Level2"/>
      <w:bookmarkStart w:id="51" w:name="_Toc15358_WPSOffice_Level2"/>
      <w:r>
        <w:rPr>
          <w:rFonts w:hint="eastAsia" w:ascii="宋体" w:hAnsi="宋体"/>
          <w:b/>
          <w:sz w:val="28"/>
          <w:szCs w:val="28"/>
        </w:rPr>
        <w:t>项目名称：</w:t>
      </w:r>
      <w:bookmarkEnd w:id="49"/>
      <w:bookmarkEnd w:id="50"/>
      <w:bookmarkEnd w:id="51"/>
      <w:bookmarkStart w:id="52" w:name="_Toc17997_WPSOffice_Level2"/>
      <w:bookmarkStart w:id="53" w:name="_Toc12740_WPSOffice_Level2"/>
      <w:r>
        <w:rPr>
          <w:rFonts w:hint="eastAsia" w:ascii="宋体" w:hAnsi="宋体" w:eastAsia="宋体" w:cs="宋体"/>
          <w:b/>
          <w:sz w:val="28"/>
          <w:szCs w:val="28"/>
        </w:rPr>
        <w:t>民乐县人民法院数据机房</w:t>
      </w:r>
      <w:r>
        <w:rPr>
          <w:rFonts w:hint="eastAsia" w:ascii="宋体" w:hAnsi="宋体" w:eastAsia="宋体" w:cs="宋体"/>
          <w:b/>
          <w:sz w:val="28"/>
          <w:szCs w:val="28"/>
          <w:lang w:eastAsia="zh-CN"/>
        </w:rPr>
        <w:t>及办公楼安防监控改造项目</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default" w:ascii="宋体" w:hAnsi="宋体"/>
          <w:b/>
          <w:color w:val="000000"/>
          <w:sz w:val="28"/>
          <w:szCs w:val="28"/>
          <w:lang w:val="en-US"/>
        </w:rPr>
      </w:pPr>
      <w:bookmarkStart w:id="54" w:name="_Toc8550_WPSOffice_Level2"/>
      <w:r>
        <w:rPr>
          <w:rFonts w:hint="eastAsia" w:ascii="宋体" w:hAnsi="宋体"/>
          <w:b/>
          <w:sz w:val="28"/>
          <w:szCs w:val="28"/>
          <w:lang w:eastAsia="zh-CN"/>
        </w:rPr>
        <w:t>二、</w:t>
      </w:r>
      <w:r>
        <w:rPr>
          <w:rFonts w:hint="eastAsia" w:ascii="宋体" w:hAnsi="宋体"/>
          <w:b/>
          <w:sz w:val="28"/>
          <w:szCs w:val="28"/>
        </w:rPr>
        <w:t>交易编号：</w:t>
      </w:r>
      <w:bookmarkEnd w:id="52"/>
      <w:bookmarkEnd w:id="53"/>
      <w:bookmarkEnd w:id="54"/>
      <w:bookmarkStart w:id="55" w:name="_Toc24041_WPSOffice_Level2"/>
      <w:bookmarkStart w:id="56" w:name="_Toc23196_WPSOffice_Level2"/>
      <w:bookmarkStart w:id="57" w:name="_Toc4916_WPSOffice_Level2"/>
      <w:r>
        <w:rPr>
          <w:rFonts w:hint="eastAsia" w:ascii="宋体" w:hAnsi="宋体"/>
          <w:b/>
          <w:sz w:val="28"/>
          <w:szCs w:val="28"/>
          <w:lang w:val="en-US" w:eastAsia="zh-CN"/>
        </w:rPr>
        <w:t>MLZC191113</w:t>
      </w:r>
      <w:bookmarkStart w:id="200" w:name="_GoBack"/>
      <w:bookmarkEnd w:id="200"/>
      <w:r>
        <w:rPr>
          <w:rFonts w:hint="eastAsia" w:ascii="宋体" w:hAnsi="宋体"/>
          <w:b/>
          <w:sz w:val="28"/>
          <w:szCs w:val="28"/>
          <w:lang w:val="en-US" w:eastAsia="zh-CN"/>
        </w:rPr>
        <w:t>-106</w:t>
      </w:r>
    </w:p>
    <w:p>
      <w:pPr>
        <w:numPr>
          <w:ilvl w:val="0"/>
          <w:numId w:val="0"/>
        </w:numPr>
        <w:spacing w:line="520" w:lineRule="exact"/>
        <w:rPr>
          <w:rFonts w:hint="eastAsia" w:ascii="宋体" w:hAnsi="宋体"/>
          <w:b/>
          <w:color w:val="000000"/>
          <w:sz w:val="28"/>
          <w:szCs w:val="28"/>
        </w:rPr>
      </w:pPr>
      <w:r>
        <w:rPr>
          <w:rFonts w:hint="eastAsia" w:ascii="宋体" w:hAnsi="宋体"/>
          <w:b/>
          <w:color w:val="000000"/>
          <w:sz w:val="28"/>
          <w:szCs w:val="28"/>
          <w:lang w:eastAsia="zh-CN"/>
        </w:rPr>
        <w:t>三、</w:t>
      </w:r>
      <w:r>
        <w:rPr>
          <w:rFonts w:hint="eastAsia" w:ascii="宋体" w:hAnsi="宋体"/>
          <w:b/>
          <w:color w:val="000000"/>
          <w:sz w:val="28"/>
          <w:szCs w:val="28"/>
        </w:rPr>
        <w:t>招标内容及参数：</w:t>
      </w:r>
      <w:bookmarkEnd w:id="55"/>
      <w:bookmarkEnd w:id="56"/>
      <w:bookmarkEnd w:id="57"/>
      <w:bookmarkStart w:id="58" w:name="_Toc23238_WPSOffice_Level1"/>
      <w:bookmarkStart w:id="59" w:name="_Toc31124"/>
    </w:p>
    <w:p>
      <w:pPr>
        <w:pStyle w:val="2"/>
        <w:rPr>
          <w:rFonts w:hint="eastAsia" w:ascii="宋体" w:hAnsi="宋体"/>
          <w:b/>
          <w:color w:val="000000"/>
          <w:sz w:val="28"/>
          <w:szCs w:val="28"/>
        </w:rPr>
      </w:pPr>
    </w:p>
    <w:tbl>
      <w:tblPr>
        <w:tblStyle w:val="13"/>
        <w:tblpPr w:leftFromText="180" w:rightFromText="180" w:vertAnchor="text" w:horzAnchor="page" w:tblpX="1054" w:tblpY="33"/>
        <w:tblOverlap w:val="never"/>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5445"/>
        <w:gridCol w:w="893"/>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Pr>
          <w:p>
            <w:r>
              <w:rPr>
                <w:rFonts w:hint="eastAsia"/>
              </w:rPr>
              <w:t xml:space="preserve"> 品目</w:t>
            </w:r>
          </w:p>
        </w:tc>
        <w:tc>
          <w:tcPr>
            <w:tcW w:w="5445" w:type="dxa"/>
          </w:tcPr>
          <w:p>
            <w:r>
              <w:rPr>
                <w:rFonts w:hint="eastAsia"/>
              </w:rPr>
              <w:t>主要技术参数</w:t>
            </w:r>
          </w:p>
        </w:tc>
        <w:tc>
          <w:tcPr>
            <w:tcW w:w="893" w:type="dxa"/>
          </w:tcPr>
          <w:p>
            <w:pPr>
              <w:jc w:val="left"/>
            </w:pPr>
            <w:r>
              <w:rPr>
                <w:rFonts w:hint="eastAsia"/>
              </w:rPr>
              <w:t>计量</w:t>
            </w:r>
          </w:p>
          <w:p>
            <w:pPr>
              <w:jc w:val="left"/>
            </w:pPr>
            <w:r>
              <w:rPr>
                <w:rFonts w:hint="eastAsia"/>
              </w:rPr>
              <w:t>单位</w:t>
            </w:r>
          </w:p>
        </w:tc>
        <w:tc>
          <w:tcPr>
            <w:tcW w:w="1009" w:type="dxa"/>
          </w:tcPr>
          <w:p>
            <w:pPr>
              <w:jc w:val="left"/>
            </w:pPr>
            <w:r>
              <w:rPr>
                <w:rFonts w:hint="eastAsia"/>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125" w:type="dxa"/>
          </w:tcPr>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r>
              <w:rPr>
                <w:rFonts w:hint="eastAsia"/>
              </w:rPr>
              <w:t>一体化机柜</w:t>
            </w:r>
          </w:p>
        </w:tc>
        <w:tc>
          <w:tcPr>
            <w:tcW w:w="5445" w:type="dxa"/>
          </w:tcPr>
          <w:p>
            <w:pPr>
              <w:ind w:firstLine="306"/>
            </w:pPr>
            <w:r>
              <w:rPr>
                <w:rFonts w:hint="eastAsia"/>
              </w:rPr>
              <w:t>融合柜体模块：1.按照ANSI/EIA-310-D-1992、IEC60297-2、DIN41491;PART1、DIN41494;PART7、 GB/T19520.2-2007标准生产，兼容ETSI；</w:t>
            </w:r>
          </w:p>
          <w:p>
            <w:pPr>
              <w:ind w:firstLine="306"/>
            </w:pPr>
            <w:r>
              <w:rPr>
                <w:rFonts w:hint="eastAsia"/>
              </w:rPr>
              <w:t>2.★柜体整体采用全封闭结构设计，单台外形尺寸（宽*深*高）：600*1280*2000(mm)，框架净尺寸:600*1200*2000(mm)</w:t>
            </w:r>
          </w:p>
          <w:p>
            <w:pPr>
              <w:ind w:firstLine="306"/>
            </w:pPr>
            <w:r>
              <w:rPr>
                <w:rFonts w:hint="eastAsia"/>
              </w:rPr>
              <w:t>3.★优质冷轧SPCC冷轧钢板，材料厚度：角规/底安装梁≥2.0mm，框架横梁/理线板≥1.5mm，其它≥1.2mm。</w:t>
            </w:r>
          </w:p>
          <w:p>
            <w:pPr>
              <w:ind w:firstLine="306"/>
            </w:pPr>
            <w:r>
              <w:rPr>
                <w:rFonts w:hint="eastAsia"/>
              </w:rPr>
              <w:t>4.▲高强度焊接框架，整柜静载承重2200KG，抗震等级9级，并能提供第三方权威机构检测报告；</w:t>
            </w:r>
          </w:p>
          <w:p>
            <w:pPr>
              <w:ind w:firstLine="306"/>
            </w:pPr>
            <w:r>
              <w:rPr>
                <w:rFonts w:hint="eastAsia"/>
              </w:rPr>
              <w:t xml:space="preserve">5.▲表面塑粉涂层 标准色：RAL9005(黑色)，表面涂层平均厚度达到≥100um，同时达到国家无毒无害的喷涂标准，并能提供第三方权威机构检测报告； </w:t>
            </w:r>
          </w:p>
          <w:p>
            <w:pPr>
              <w:ind w:firstLine="306"/>
            </w:pPr>
            <w:r>
              <w:rPr>
                <w:rFonts w:hint="eastAsia"/>
              </w:rPr>
              <w:t>6.★柜体前、后端（角规至框架）冷热通道≥200mm，冷通道四周采用5mm厚铝箔隔热保温棉，有效防止冷气泄露；并柜后相邻柜体冷、热通道相互贯通。</w:t>
            </w:r>
          </w:p>
          <w:p>
            <w:pPr>
              <w:ind w:firstLine="306"/>
            </w:pPr>
            <w:r>
              <w:rPr>
                <w:rFonts w:hint="eastAsia"/>
              </w:rPr>
              <w:t>7.★前门采用5+6A+5中空玻璃金属镶边，预留LED显示屏安装位；后门封闭式钢板门。</w:t>
            </w:r>
          </w:p>
          <w:p>
            <w:pPr>
              <w:ind w:firstLine="306"/>
            </w:pPr>
            <w:r>
              <w:rPr>
                <w:rFonts w:hint="eastAsia"/>
              </w:rPr>
              <w:t xml:space="preserve">8.★前后门设有密封条及隐蔽式走线理线专用槽道，四周双层结构；悬挂式内铰链，开启角度120度，配备4位机械密码锁。 </w:t>
            </w:r>
          </w:p>
          <w:p>
            <w:pPr>
              <w:ind w:firstLine="306"/>
            </w:pPr>
            <w:r>
              <w:rPr>
                <w:rFonts w:hint="eastAsia"/>
              </w:rPr>
              <w:t>9.★带标识刻度的角规，U数标识采用电子喷绘打标工艺，安装孔位上带有半圆形位置识别缺口，方便设备快速定位安装。</w:t>
            </w:r>
          </w:p>
          <w:p>
            <w:pPr>
              <w:ind w:firstLine="306"/>
            </w:pPr>
            <w:r>
              <w:rPr>
                <w:rFonts w:hint="eastAsia"/>
              </w:rPr>
              <w:t>10.★柜体后部左侧设有150mm宽垂直理线板，用于弱电网线的走线及理线；右侧设有强电走线板，保证PDU安装后，插孔面不挡19英寸设备安装孔位。</w:t>
            </w:r>
          </w:p>
          <w:p>
            <w:pPr>
              <w:ind w:firstLine="306"/>
            </w:pPr>
            <w:r>
              <w:rPr>
                <w:rFonts w:hint="eastAsia"/>
              </w:rPr>
              <w:t>11.★冷、热通道内设有应急送风装置，冷通道内顶部设有贯流风机进风，热通道内轴流风机出风。</w:t>
            </w:r>
          </w:p>
          <w:p>
            <w:pPr>
              <w:ind w:firstLine="306"/>
            </w:pPr>
            <w:r>
              <w:rPr>
                <w:rFonts w:hint="eastAsia"/>
              </w:rPr>
              <w:t>12.侧板前、中、后三段式结构，可单独拆卸，方便日常维护及安装，前后侧板与冷热通道对应。</w:t>
            </w:r>
          </w:p>
          <w:p>
            <w:pPr>
              <w:ind w:firstLine="306"/>
            </w:pPr>
            <w:r>
              <w:rPr>
                <w:rFonts w:hint="eastAsia"/>
              </w:rPr>
              <w:t>13.★支持带侧板并柜安装方式，无需另外配置并柜件。</w:t>
            </w:r>
          </w:p>
          <w:p>
            <w:pPr>
              <w:ind w:firstLine="306"/>
            </w:pPr>
            <w:r>
              <w:rPr>
                <w:rFonts w:hint="eastAsia"/>
              </w:rPr>
              <w:t>14.★顶部设有220V LED照明灯，与柜体一体式融合设计，隐藏内嵌式安装工艺，照明采用智能人体红外感应与光感亮度检测相结合，前后独立控制。</w:t>
            </w:r>
          </w:p>
        </w:tc>
        <w:tc>
          <w:tcPr>
            <w:tcW w:w="893"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台</w:t>
            </w:r>
          </w:p>
        </w:tc>
        <w:tc>
          <w:tcPr>
            <w:tcW w:w="1009"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1125" w:type="dxa"/>
            <w:vAlign w:val="center"/>
          </w:tcPr>
          <w:p>
            <w:pPr>
              <w:jc w:val="center"/>
            </w:pPr>
            <w:r>
              <w:rPr>
                <w:rFonts w:hint="eastAsia"/>
              </w:rPr>
              <w:t>综合柜</w:t>
            </w:r>
          </w:p>
        </w:tc>
        <w:tc>
          <w:tcPr>
            <w:tcW w:w="5445" w:type="dxa"/>
          </w:tcPr>
          <w:p>
            <w:r>
              <w:rPr>
                <w:rFonts w:hint="eastAsia"/>
              </w:rPr>
              <w:t>★柜体整体采用全封闭结构设计，单台外形尺寸（宽*深*高）：600*1280*2000(mm)，框架净尺寸:600*1200*2000(mm)，用于安装空调、UPS等。可实现机房温湿度、烟感、水浸监控。★密闭通道深度不大于250mm，综合柜加通道整体深度不大于1280mm综合柜内包含一个整体的环境和动力监控接口，实现对模块内供配电、UPS、空调、温湿度、漏水检测、烟雾等设备的不间断监控。★配备7英寸工业触摸屏，提供本地屏端管理；实时监控（UPS、空调、供配电、温湿度、烟感、漏水）等设备； 7英寸工业触摸屏主要参数：分辨率：800*480；4线工业电阻触摸屏（表面硬度4H）；工业级低功耗： CPU 600MHz ARM Cortex-A8，128MB Flash + 128MB DDR3；外部接口包含4*串口(COM1/COM2端口：RS232/RS485/RS422； COM3/COM4端口：RS232)；1*以太网口(10M/100M自适应)；2*USB口(1个USB Device2.0接口,1个USB Host2.0接口) ；</w:t>
            </w:r>
          </w:p>
          <w:p>
            <w:pPr>
              <w:ind w:firstLine="306"/>
            </w:pPr>
          </w:p>
        </w:tc>
        <w:tc>
          <w:tcPr>
            <w:tcW w:w="893" w:type="dxa"/>
            <w:vAlign w:val="center"/>
          </w:tcPr>
          <w:p>
            <w:pPr>
              <w:jc w:val="center"/>
            </w:pPr>
            <w:r>
              <w:rPr>
                <w:rFonts w:hint="eastAsia"/>
              </w:rPr>
              <w:t>台</w:t>
            </w:r>
          </w:p>
        </w:tc>
        <w:tc>
          <w:tcPr>
            <w:tcW w:w="1009" w:type="dxa"/>
            <w:vAlign w:val="center"/>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Pr>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机架式精密空调（室内机室外机）</w:t>
            </w:r>
          </w:p>
        </w:tc>
        <w:tc>
          <w:tcPr>
            <w:tcW w:w="5445" w:type="dxa"/>
          </w:tcPr>
          <w:p>
            <w:r>
              <w:rPr>
                <w:rFonts w:hint="eastAsia"/>
              </w:rPr>
              <w:t>绿色变频制冷模块：支持IT设备分步进场,实现节能；</w:t>
            </w:r>
          </w:p>
          <w:p>
            <w:pPr>
              <w:rPr>
                <w:rFonts w:hint="eastAsia"/>
              </w:rPr>
            </w:pPr>
            <w:r>
              <w:rPr>
                <w:rFonts w:hint="eastAsia"/>
              </w:rPr>
              <w:t> 15KW机架式变频空调</w:t>
            </w:r>
          </w:p>
          <w:p>
            <w:pPr>
              <w:rPr>
                <w:rFonts w:hint="eastAsia"/>
              </w:rPr>
            </w:pPr>
            <w:r>
              <w:rPr>
                <w:rFonts w:hint="eastAsia"/>
              </w:rPr>
              <w:t>机组制冷量不小于15KW，送风量不低于2400 m³/h；</w:t>
            </w:r>
          </w:p>
          <w:p>
            <w:pPr>
              <w:rPr>
                <w:rFonts w:hint="eastAsia"/>
              </w:rPr>
            </w:pPr>
            <w:r>
              <w:rPr>
                <w:rFonts w:hint="eastAsia"/>
              </w:rPr>
              <w:t>机组应满足19英寸机架式安装，高度不大于12U/530mm、深度不大于910 mm；</w:t>
            </w:r>
          </w:p>
          <w:p>
            <w:pPr>
              <w:rPr>
                <w:rFonts w:hint="eastAsia"/>
              </w:rPr>
            </w:pPr>
            <w:r>
              <w:rPr>
                <w:rFonts w:hint="eastAsia"/>
              </w:rPr>
              <w:t xml:space="preserve">★机组应采用直流变频压缩机和无级调速的EC风机；压缩机应采用国际知名品牌如谷轮、日立等同等档次品牌； </w:t>
            </w:r>
          </w:p>
          <w:p>
            <w:pPr>
              <w:rPr>
                <w:rFonts w:hint="eastAsia"/>
              </w:rPr>
            </w:pPr>
            <w:r>
              <w:rPr>
                <w:rFonts w:hint="eastAsia"/>
              </w:rPr>
              <w:t>★满足绿色环保要求，机组应采用R410A环保制冷剂。</w:t>
            </w:r>
          </w:p>
          <w:p>
            <w:pPr>
              <w:rPr>
                <w:rFonts w:hint="eastAsia"/>
              </w:rPr>
            </w:pPr>
            <w:r>
              <w:rPr>
                <w:rFonts w:hint="eastAsia"/>
              </w:rPr>
              <w:t>机组应采用 PID 控制模式，根据变化趋势提前控制处理,可以监测机房环境变化，并预先做出控制处理。</w:t>
            </w:r>
          </w:p>
          <w:p>
            <w:pPr>
              <w:rPr>
                <w:rFonts w:hint="eastAsia"/>
              </w:rPr>
            </w:pPr>
            <w:r>
              <w:rPr>
                <w:rFonts w:hint="eastAsia"/>
              </w:rPr>
              <w:t>★具备LCD大屏幕可触摸显示屏，能显示温湿度及各组件运行状态，故障报警记录储存等功能（投标时需提供材料证明）；</w:t>
            </w:r>
          </w:p>
          <w:p>
            <w:pPr>
              <w:rPr>
                <w:rFonts w:hint="eastAsia"/>
              </w:rPr>
            </w:pPr>
            <w:r>
              <w:rPr>
                <w:rFonts w:hint="eastAsia"/>
              </w:rPr>
              <w:t>★机组标配置RS485 通讯接口，显示屏可实现24小时送、回风温度曲线显示，并实现历史数据下载功能。大屏能按照设定的温度要求进行自动调节，显示工作状态，能储存并显示不少于200条历史告警信息，不接受代码显示告警信息的显示器</w:t>
            </w:r>
          </w:p>
          <w:p>
            <w:pPr>
              <w:rPr>
                <w:rFonts w:hint="eastAsia"/>
              </w:rPr>
            </w:pPr>
            <w:r>
              <w:rPr>
                <w:rFonts w:hint="eastAsia"/>
              </w:rPr>
              <w:t>设备应具有智能判断功能，对于超常规的参数设置（错误命令等）能自动拒绝，并且具备各项参数设置的帮助系统。设备的三遥量、开关量和控制操作准确度应达到 100%；模拟量精确度应达到交流电量误差 ≤2%，非电量误差 ≤5%。</w:t>
            </w:r>
          </w:p>
          <w:p>
            <w:pPr>
              <w:rPr>
                <w:rFonts w:hint="eastAsia"/>
              </w:rPr>
            </w:pPr>
            <w:r>
              <w:rPr>
                <w:rFonts w:hint="eastAsia"/>
              </w:rPr>
              <w:t>整机模块化设计，可以不移动机柜的情况下，移出空调设备，电路可全正面维护。</w:t>
            </w:r>
          </w:p>
          <w:p>
            <w:pPr>
              <w:rPr>
                <w:rFonts w:hint="eastAsia"/>
              </w:rPr>
            </w:pPr>
            <w:r>
              <w:rPr>
                <w:rFonts w:hint="eastAsia"/>
              </w:rPr>
              <w:t>★提供多样化环境量侦测，机组自带至少8根机柜温度侦测探头并在面板显示数据（投标时需提供材料证明）；</w:t>
            </w:r>
          </w:p>
          <w:p>
            <w:pPr>
              <w:rPr>
                <w:rFonts w:hint="eastAsia"/>
              </w:rPr>
            </w:pPr>
            <w:r>
              <w:rPr>
                <w:rFonts w:hint="eastAsia"/>
              </w:rPr>
              <w:t>★机组应自带电极式漏水传感器，可对漏水进行监控和告警。告警信息可以通过标准通信协议上传到集中监控系统进行管理（投标时需提供材料证明）；</w:t>
            </w:r>
          </w:p>
          <w:p>
            <w:r>
              <w:rPr>
                <w:rFonts w:hint="eastAsia"/>
              </w:rPr>
              <w:t>设备应提供100%前后方完全维护。机组电控单元为抽拉式设计，免工具回风网板拆装。</w:t>
            </w:r>
          </w:p>
        </w:tc>
        <w:tc>
          <w:tcPr>
            <w:tcW w:w="893"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台</w:t>
            </w:r>
          </w:p>
        </w:tc>
        <w:tc>
          <w:tcPr>
            <w:tcW w:w="1009" w:type="dxa"/>
          </w:tcPr>
          <w:p>
            <w:pPr>
              <w:jc w:val="center"/>
            </w:pPr>
          </w:p>
          <w:p>
            <w:pPr>
              <w:jc w:val="center"/>
            </w:pPr>
          </w:p>
          <w:p>
            <w:pPr>
              <w:jc w:val="center"/>
            </w:pPr>
          </w:p>
          <w:p>
            <w:pPr>
              <w:jc w:val="center"/>
            </w:pPr>
          </w:p>
          <w:p>
            <w:pPr>
              <w:jc w:val="center"/>
            </w:pPr>
          </w:p>
          <w:p>
            <w:pPr>
              <w:jc w:val="center"/>
            </w:pPr>
          </w:p>
          <w:p>
            <w:pPr>
              <w:jc w:val="center"/>
            </w:pPr>
          </w:p>
          <w:p>
            <w:pPr>
              <w:jc w:val="center"/>
            </w:pPr>
          </w:p>
          <w:p/>
          <w:p>
            <w:pPr>
              <w:jc w:val="center"/>
            </w:pPr>
            <w:r>
              <w:rPr>
                <w:rFonts w:hint="eastAsi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7" w:hRule="atLeast"/>
        </w:trPr>
        <w:tc>
          <w:tcPr>
            <w:tcW w:w="1125" w:type="dxa"/>
          </w:tcPr>
          <w:p>
            <w:pPr>
              <w:jc w:val="center"/>
            </w:pPr>
          </w:p>
          <w:p>
            <w:pPr>
              <w:jc w:val="center"/>
            </w:pPr>
          </w:p>
          <w:p>
            <w:pPr>
              <w:jc w:val="center"/>
            </w:pPr>
          </w:p>
          <w:p>
            <w:pPr>
              <w:jc w:val="center"/>
            </w:pPr>
          </w:p>
          <w:p>
            <w:pPr>
              <w:jc w:val="center"/>
            </w:pPr>
          </w:p>
          <w:p>
            <w:pPr>
              <w:jc w:val="center"/>
            </w:pPr>
            <w:r>
              <w:rPr>
                <w:rFonts w:hint="eastAsia"/>
              </w:rPr>
              <w:t>UPS主机</w:t>
            </w:r>
          </w:p>
        </w:tc>
        <w:tc>
          <w:tcPr>
            <w:tcW w:w="5445" w:type="dxa"/>
          </w:tcPr>
          <w:p>
            <w:r>
              <w:rPr>
                <w:rFonts w:hint="eastAsia"/>
              </w:rPr>
              <w:t>UPS不间断电源模块：</w:t>
            </w:r>
          </w:p>
          <w:p>
            <w:pPr>
              <w:rPr>
                <w:rFonts w:hint="eastAsia"/>
              </w:rPr>
            </w:pPr>
            <w:r>
              <w:rPr>
                <w:rFonts w:hint="eastAsia"/>
              </w:rPr>
              <w:t>1. 采用标准19英寸机架式安装设计，高度：3U；</w:t>
            </w:r>
          </w:p>
          <w:p>
            <w:pPr>
              <w:rPr>
                <w:rFonts w:hint="eastAsia"/>
              </w:rPr>
            </w:pPr>
            <w:r>
              <w:rPr>
                <w:rFonts w:hint="eastAsia"/>
              </w:rPr>
              <w:t>2. 额定容量：30KVA/27KW</w:t>
            </w:r>
          </w:p>
          <w:p>
            <w:pPr>
              <w:rPr>
                <w:rFonts w:hint="eastAsia"/>
              </w:rPr>
            </w:pPr>
            <w:r>
              <w:rPr>
                <w:rFonts w:hint="eastAsia"/>
              </w:rPr>
              <w:t>3. 工作方式：三进三出；</w:t>
            </w:r>
          </w:p>
          <w:p>
            <w:pPr>
              <w:rPr>
                <w:rFonts w:hint="eastAsia"/>
              </w:rPr>
            </w:pPr>
            <w:r>
              <w:rPr>
                <w:rFonts w:hint="eastAsia"/>
              </w:rPr>
              <w:t>4. 采用有源功率因数校正技术（PFC）</w:t>
            </w:r>
          </w:p>
          <w:p>
            <w:pPr>
              <w:rPr>
                <w:rFonts w:hint="eastAsia"/>
              </w:rPr>
            </w:pPr>
            <w:r>
              <w:rPr>
                <w:rFonts w:hint="eastAsia"/>
              </w:rPr>
              <w:t>5. 可通过电脑软件设置用户配置的电池容量，自动分配合理的充电电流</w:t>
            </w:r>
          </w:p>
          <w:p>
            <w:pPr>
              <w:rPr>
                <w:rFonts w:hint="eastAsia"/>
              </w:rPr>
            </w:pPr>
            <w:r>
              <w:rPr>
                <w:rFonts w:hint="eastAsia"/>
              </w:rPr>
              <w:t>6. 采用先进的DSP数字化控制技术，提升UPS性能稳定性，经济模式≥98%；正常模式≥92%，ECO模式下整机效率为1；</w:t>
            </w:r>
          </w:p>
          <w:p>
            <w:pPr>
              <w:rPr>
                <w:rFonts w:hint="eastAsia"/>
              </w:rPr>
            </w:pPr>
            <w:r>
              <w:rPr>
                <w:rFonts w:hint="eastAsia"/>
              </w:rPr>
              <w:t>7. 市电过载模式：负载≤110%，60min，≤125%，维持10min，≤150%维持1min，≥150% 立即关机；</w:t>
            </w:r>
          </w:p>
          <w:p>
            <w:pPr>
              <w:rPr>
                <w:rFonts w:hint="eastAsia"/>
              </w:rPr>
            </w:pPr>
            <w:r>
              <w:rPr>
                <w:rFonts w:hint="eastAsia"/>
              </w:rPr>
              <w:t>8. 可以根据用户需要选择不同的节数：32节、40节可调；</w:t>
            </w:r>
          </w:p>
          <w:p>
            <w:pPr>
              <w:rPr>
                <w:rFonts w:hint="eastAsia"/>
              </w:rPr>
            </w:pPr>
            <w:r>
              <w:rPr>
                <w:rFonts w:hint="eastAsia"/>
              </w:rPr>
              <w:t>9. ★支持不少于4台UPS并机，可共用电池；</w:t>
            </w:r>
          </w:p>
          <w:p>
            <w:r>
              <w:rPr>
                <w:rFonts w:hint="eastAsia"/>
              </w:rPr>
              <w:t>10. 提供了丰富的可扩展智能管理功能；</w:t>
            </w:r>
          </w:p>
        </w:tc>
        <w:tc>
          <w:tcPr>
            <w:tcW w:w="893" w:type="dxa"/>
          </w:tcPr>
          <w:p>
            <w:pPr>
              <w:jc w:val="center"/>
            </w:pPr>
          </w:p>
          <w:p>
            <w:pPr>
              <w:jc w:val="center"/>
            </w:pPr>
          </w:p>
          <w:p>
            <w:pPr>
              <w:jc w:val="center"/>
            </w:pPr>
          </w:p>
          <w:p>
            <w:pPr>
              <w:jc w:val="center"/>
            </w:pPr>
          </w:p>
          <w:p>
            <w:pPr>
              <w:jc w:val="center"/>
            </w:pPr>
          </w:p>
          <w:p>
            <w:pPr>
              <w:jc w:val="center"/>
            </w:pPr>
            <w:r>
              <w:rPr>
                <w:rFonts w:hint="eastAsia"/>
              </w:rPr>
              <w:t>台</w:t>
            </w:r>
          </w:p>
        </w:tc>
        <w:tc>
          <w:tcPr>
            <w:tcW w:w="1009" w:type="dxa"/>
          </w:tcPr>
          <w:p>
            <w:pPr>
              <w:jc w:val="center"/>
            </w:pPr>
          </w:p>
          <w:p/>
          <w:p/>
          <w:p/>
          <w:p/>
          <w:p>
            <w:pPr>
              <w:ind w:firstLine="433"/>
              <w:jc w:val="left"/>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Pr>
          <w:p/>
          <w:p/>
          <w:p/>
          <w:p/>
          <w:p/>
          <w:p/>
          <w:p>
            <w:r>
              <w:rPr>
                <w:rFonts w:hint="eastAsia"/>
              </w:rPr>
              <w:t>配电单元</w:t>
            </w:r>
          </w:p>
        </w:tc>
        <w:tc>
          <w:tcPr>
            <w:tcW w:w="5445" w:type="dxa"/>
          </w:tcPr>
          <w:p>
            <w:r>
              <w:rPr>
                <w:rFonts w:hint="eastAsia"/>
              </w:rPr>
              <w:t>智能配电模块（配电单元）：</w:t>
            </w:r>
          </w:p>
          <w:p>
            <w:r>
              <w:rPr>
                <w:rFonts w:hint="eastAsia"/>
              </w:rPr>
              <w:t>1.采用标准19英寸机架式安装；</w:t>
            </w:r>
          </w:p>
          <w:p>
            <w:r>
              <w:rPr>
                <w:rFonts w:hint="eastAsia"/>
              </w:rPr>
              <w:t>2.★箱体采用模压成型工艺，无边框设计；</w:t>
            </w:r>
          </w:p>
          <w:p>
            <w:r>
              <w:rPr>
                <w:rFonts w:hint="eastAsia"/>
              </w:rPr>
              <w:t>3.★前面板免工具拆卸，指示灯、智能仪表、断路器采用导轨式安装固定，实现前端维护；</w:t>
            </w:r>
          </w:p>
          <w:p>
            <w:r>
              <w:rPr>
                <w:rFonts w:hint="eastAsia"/>
              </w:rPr>
              <w:t>4.★箱体使用镀锌底板支撑，所有电器元件安装在镀锌底板上面；</w:t>
            </w:r>
          </w:p>
          <w:p>
            <w:r>
              <w:rPr>
                <w:rFonts w:hint="eastAsia"/>
              </w:rPr>
              <w:t>5.★总输入配置智能电量仪，支持上传用电信息及总开关状态;</w:t>
            </w:r>
          </w:p>
          <w:p>
            <w:r>
              <w:rPr>
                <w:rFonts w:hint="eastAsia"/>
              </w:rPr>
              <w:t>6.★微断开关全部采用施耐德或西门子品牌</w:t>
            </w:r>
          </w:p>
          <w:p>
            <w:r>
              <w:rPr>
                <w:rFonts w:hint="eastAsia"/>
              </w:rPr>
              <w:t>7.★后端采用国际知名品牌阻燃UK端子，方便施工端接</w:t>
            </w:r>
          </w:p>
          <w:p>
            <w:r>
              <w:rPr>
                <w:rFonts w:hint="eastAsia"/>
              </w:rPr>
              <w:t>8.★1路市电总输入100A/3P，配置智能电量仪，C级防雷保护；1路UPS输入开关 80A/3P；1路UPS输出开关80A/1P；1路手动维修旁路开关80A/2P；2路空调控制开关32A/1P；14路PDU控制开关16A/1P(市电、UPS各7路)；含柜体照明、应急风扇UPS配电；安装高度：7U；</w:t>
            </w:r>
          </w:p>
        </w:tc>
        <w:tc>
          <w:tcPr>
            <w:tcW w:w="893" w:type="dxa"/>
          </w:tcPr>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台</w:t>
            </w:r>
          </w:p>
        </w:tc>
        <w:tc>
          <w:tcPr>
            <w:tcW w:w="1009" w:type="dxa"/>
          </w:tcPr>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动力环境监控系统</w:t>
            </w:r>
          </w:p>
        </w:tc>
        <w:tc>
          <w:tcPr>
            <w:tcW w:w="5445" w:type="dxa"/>
          </w:tcPr>
          <w:p>
            <w:r>
              <w:rPr>
                <w:rFonts w:hint="eastAsia"/>
              </w:rPr>
              <w:t>智能管理模块(动力环境监控系统):</w:t>
            </w:r>
          </w:p>
          <w:p>
            <w:r>
              <w:rPr>
                <w:rFonts w:hint="eastAsia"/>
              </w:rPr>
              <w:t>1.系统平台采用纯B/S结构，数据采集与页面显示分离，使系统更稳定；可实时通过WEB查询机房内各监控设备的运行状态、运行参数及各种故障参数等所有的数字、模拟数据；可通过WEB远程在线进行权限管理；支持H5和Excel结合方式通过WEB远程在线查看报表；支持通过IE远程在线控制和修改报警参数的设置；开放ModbusTCP接口协议，支持第三方系统对接采集动环数据；系统可跨网段，主动推送监测数据至集中监控系统，支持IE浏览器WEB访问；集中监控系统支持Linux、MacOS、Windows多操作系统，具备自守护功能实现网络、数据库和系统异常的主动发现和重置恢复。系统根据采集的监控数据生成实时动态曲线图，以供操作人员分析所监控的对象的实时数据变化之用。监控数据均以非常友好的人机界面显示在本地工业触摸屏和远程WEB浏览器上；系统建立可以扩充的整体平台，实现多套动环监控系统的联网集中管控，实现短信、声光、Email等多种报警。</w:t>
            </w:r>
          </w:p>
          <w:p>
            <w:r>
              <w:rPr>
                <w:rFonts w:hint="eastAsia"/>
              </w:rPr>
              <w:t>2.★采用嵌入式动环监控主机，主机19英寸标准机架式安装，Ubuntu OS 操作系统，内置10/100M网络交换模块，内置短信报警模块；提供远程管理，满足一体机内多套温湿度、水浸监控、烟感、空调、配电、UPS设备的监控管理，提供短信、邮件、声光等多元化报警；支持远程网页实时数据查看、历史数据查询和下载、系统参数设置管理等。支持与工业触摸屏设备对接，实现在本地实时查看温湿度、水浸、烟感、空调、配电、UPS等设备的实时监控数据。</w:t>
            </w:r>
          </w:p>
          <w:p>
            <w:r>
              <w:rPr>
                <w:rFonts w:hint="eastAsia"/>
              </w:rPr>
              <w:t xml:space="preserve">3.监控主机外形尺寸440*250*44MM，内置基于ARM Cortex 四核、主频1.5GHz的CPU，存储器具有1G内存，8G Flash；前端具有1个电源指示灯，一个短信SIM卡槽；1路AC220V/150~245V @10A电源输入；信号采集端口：8*DI，RJ45接口，对外提供12V直流电源，限流0.5A；信号控制端口：4*DO，2EDG接口，对外提供12V直流电源，限流0.5A；信号输入端口：2路串口（8*RS485，RJ45接口），对外提供12V直流电源，限流0.5A；信号输出端口：2*RS485，RJ45接口，对外提供12V直流电源，限流0.5A；2路DC12V/1A电源输出；2路DC24V/1A电源输出；2路以太网口(10M/100M自适应)。 </w:t>
            </w:r>
          </w:p>
          <w:p>
            <w:r>
              <w:rPr>
                <w:rFonts w:hint="eastAsia"/>
              </w:rPr>
              <w:t>4.采用HTML5技术，动态图表的方式实时显示监测数据，同时支持新设备的组态添加；</w:t>
            </w:r>
          </w:p>
          <w:p>
            <w:r>
              <w:rPr>
                <w:rFonts w:hint="eastAsia"/>
              </w:rPr>
              <w:t xml:space="preserve">5.★系统支持大屏模式、列表模式、地图模式等不同模式,对多个节点集中监控，将机房视图、地区机房统计、机房实时数据、实时告警、机房健康统计、定时自动巡视机房等以动态方式全屏集中展示（提供截图）； </w:t>
            </w:r>
          </w:p>
          <w:p>
            <w:r>
              <w:rPr>
                <w:rFonts w:hint="eastAsia"/>
              </w:rPr>
              <w:t>6.★系统支持机房动力和环境设备的ModbusRTU协议配置、数据采集串口配置和监控设备的数据显示项配置，提供各配置项的网页管理界面。</w:t>
            </w:r>
          </w:p>
          <w:p>
            <w:r>
              <w:rPr>
                <w:rFonts w:hint="eastAsia"/>
              </w:rPr>
              <w:t>7.★系统具备对监控主机和工业触摸屏的参数远程修改，修改温湿度的阈值、主机密码等；</w:t>
            </w:r>
          </w:p>
          <w:p>
            <w:r>
              <w:rPr>
                <w:rFonts w:hint="eastAsia"/>
              </w:rPr>
              <w:t>8.提供多种报警方式（短信、声光、邮件等），各种设备都支持不少于4级报警级别；</w:t>
            </w:r>
          </w:p>
          <w:p>
            <w:r>
              <w:rPr>
                <w:rFonts w:hint="eastAsia"/>
              </w:rPr>
              <w:t>9.系统对用户进行权限管理、菜单和动环设备组态管理、网络IP地址管理、报表管理、历史数据查询、Excel格式报表下载等功能；</w:t>
            </w:r>
          </w:p>
          <w:p>
            <w:r>
              <w:rPr>
                <w:rFonts w:hint="eastAsia"/>
              </w:rPr>
              <w:t>10.★提供手机安卓版动环APP，能监控机房实时统计信息，监控每个单体机状态信息及单体机中设备实时数据；能显示实时告警信息和告警数量，可按时间和单体机房查询历史告警信息。</w:t>
            </w:r>
          </w:p>
          <w:p>
            <w:r>
              <w:rPr>
                <w:rFonts w:hint="eastAsia"/>
              </w:rPr>
              <w:t>11.▲需要提供软件著作权</w:t>
            </w:r>
          </w:p>
          <w:p>
            <w:r>
              <w:rPr>
                <w:rFonts w:hint="eastAsia"/>
              </w:rPr>
              <w:t>12.▲需要提供软件评测报告</w:t>
            </w:r>
          </w:p>
        </w:tc>
        <w:tc>
          <w:tcPr>
            <w:tcW w:w="893"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台</w:t>
            </w:r>
          </w:p>
        </w:tc>
        <w:tc>
          <w:tcPr>
            <w:tcW w:w="1009"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Pr>
          <w:p/>
          <w:p/>
          <w:p/>
          <w:p/>
          <w:p/>
          <w:p/>
          <w:p/>
          <w:p/>
          <w:p/>
          <w:p/>
          <w:p/>
          <w:p>
            <w:r>
              <w:rPr>
                <w:rFonts w:hint="eastAsia"/>
              </w:rPr>
              <w:t>PDU</w:t>
            </w:r>
          </w:p>
        </w:tc>
        <w:tc>
          <w:tcPr>
            <w:tcW w:w="5445" w:type="dxa"/>
          </w:tcPr>
          <w:p>
            <w:r>
              <w:rPr>
                <w:rFonts w:hint="eastAsia"/>
              </w:rPr>
              <w:t>末端配电单元（PDU）：每台机柜分别嵌入式竖条安装两条PDU。</w:t>
            </w:r>
          </w:p>
          <w:p>
            <w:r>
              <w:rPr>
                <w:rFonts w:hint="eastAsia"/>
              </w:rPr>
              <w:t>1.★1路输入16A ，输出12路10A（通用），2路16A（国标），2路10A IEC-C13 输出（带自锁模块），共16路</w:t>
            </w:r>
          </w:p>
          <w:p>
            <w:r>
              <w:rPr>
                <w:rFonts w:hint="eastAsia"/>
              </w:rPr>
              <w:t>2.支持嵌入式垂直安装设计，黑色铝壳，带电源指示灯；</w:t>
            </w:r>
          </w:p>
          <w:p>
            <w:r>
              <w:rPr>
                <w:rFonts w:hint="eastAsia"/>
              </w:rPr>
              <w:t>3.★产品外壳采用特殊绝缘高强度电泳铝合金材料，外壳材料采用1.6mm厚型材；</w:t>
            </w:r>
          </w:p>
          <w:p>
            <w:r>
              <w:rPr>
                <w:rFonts w:hint="eastAsia"/>
              </w:rPr>
              <w:t>4.PDU 内部采用整根铜条作为主母线，铜条截面积≧4，材质应为紫铜或磷青铜；</w:t>
            </w:r>
          </w:p>
          <w:p>
            <w:r>
              <w:rPr>
                <w:rFonts w:hint="eastAsia"/>
              </w:rPr>
              <w:t>5.插座单元之间连接线，采用主、支路一体化无断点连接方式，避免长期通电过热脱焊现象；</w:t>
            </w:r>
          </w:p>
          <w:p>
            <w:r>
              <w:rPr>
                <w:rFonts w:hint="eastAsia"/>
              </w:rPr>
              <w:t>6.插座模块的连线与外壳之间绝缘隔层；采用接线端子盒，端子采用专用端子排和保护盖；</w:t>
            </w:r>
          </w:p>
          <w:p>
            <w:r>
              <w:rPr>
                <w:rFonts w:hint="eastAsia"/>
              </w:rPr>
              <w:t>7.★两插座之间用间隔板分开，插座上有对应标识丝印；</w:t>
            </w:r>
          </w:p>
          <w:p>
            <w:r>
              <w:rPr>
                <w:rFonts w:hint="eastAsia"/>
              </w:rPr>
              <w:t>8.▲所有极与本体之间（插头插合时）的绝缘电阻大于100MQ，需提供第三方检测报告；</w:t>
            </w:r>
          </w:p>
          <w:p>
            <w:r>
              <w:rPr>
                <w:rFonts w:hint="eastAsia"/>
              </w:rPr>
              <w:t>9.▲在温度为80℃土2℃加热箱放置lh后，经过压力20N的压缩试验之后，产品不得损坏，需提供第三方检测报告；</w:t>
            </w:r>
          </w:p>
          <w:p>
            <w:r>
              <w:rPr>
                <w:rFonts w:hint="eastAsia"/>
              </w:rPr>
              <w:t>10.▲在温度为125℃土2℃加热箱放置lh后，经过球压在试验之后，插座插孔周围正面部件压痕直径（mm）小于1.2，需提供第三方检测报告；</w:t>
            </w:r>
          </w:p>
          <w:p>
            <w:r>
              <w:rPr>
                <w:rFonts w:hint="eastAsia"/>
              </w:rPr>
              <w:t>11.▲提供ROHS认证、EMC认证、LVD认证；</w:t>
            </w:r>
          </w:p>
        </w:tc>
        <w:tc>
          <w:tcPr>
            <w:tcW w:w="893"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条</w:t>
            </w:r>
          </w:p>
        </w:tc>
        <w:tc>
          <w:tcPr>
            <w:tcW w:w="1009"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rPr>
                <w:rFonts w:hint="eastAsi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tcPr>
          <w:p/>
          <w:p/>
          <w:p/>
          <w:p/>
          <w:p>
            <w:r>
              <w:rPr>
                <w:rFonts w:hint="eastAsia"/>
              </w:rPr>
              <w:t>铅酸电池</w:t>
            </w:r>
          </w:p>
        </w:tc>
        <w:tc>
          <w:tcPr>
            <w:tcW w:w="5445" w:type="dxa"/>
          </w:tcPr>
          <w:p>
            <w:r>
              <w:rPr>
                <w:rFonts w:hint="eastAsia"/>
              </w:rPr>
              <w:t>铅酸电池:12V,20HR 1.75V/C 150Ah</w:t>
            </w:r>
          </w:p>
          <w:p>
            <w:r>
              <w:rPr>
                <w:rFonts w:hint="eastAsia"/>
              </w:rPr>
              <w:t>1.产品符合YD/T799-2010《通信用阀控式密封铅酸蓄电池》标准；</w:t>
            </w:r>
          </w:p>
          <w:p>
            <w:r>
              <w:rPr>
                <w:rFonts w:hint="eastAsia"/>
              </w:rPr>
              <w:t>2.容量保存率：完全充电的蓄电池，在25±2°的环境中，静置28天后，其容量保持率应在98% 以上（12V）；</w:t>
            </w:r>
          </w:p>
          <w:p>
            <w:r>
              <w:rPr>
                <w:rFonts w:hint="eastAsia"/>
              </w:rPr>
              <w:t>3.密封反应效率：98%以上；</w:t>
            </w:r>
          </w:p>
          <w:p>
            <w:r>
              <w:rPr>
                <w:rFonts w:hint="eastAsia"/>
              </w:rPr>
              <w:t>4.蓄电池的安全阀有自动开启和关闭的功能，开阀压范围是10～49kPa，闭阀压范围是4～16kPa；</w:t>
            </w:r>
          </w:p>
          <w:p>
            <w:r>
              <w:rPr>
                <w:rFonts w:hint="eastAsia"/>
              </w:rPr>
              <w:t>5.蓄电池内阻：≤9mΩ（12V）/≤0.2mΩ（2V）;</w:t>
            </w:r>
          </w:p>
          <w:p>
            <w:r>
              <w:rPr>
                <w:rFonts w:hint="eastAsia"/>
              </w:rPr>
              <w:t>6.蓄电池标配防漏液措施；需具备防碰撞及控制蓄电池有效安装距离的设计。</w:t>
            </w:r>
          </w:p>
        </w:tc>
        <w:tc>
          <w:tcPr>
            <w:tcW w:w="893" w:type="dxa"/>
          </w:tcPr>
          <w:p>
            <w:pPr>
              <w:jc w:val="center"/>
            </w:pPr>
          </w:p>
          <w:p>
            <w:pPr>
              <w:jc w:val="center"/>
            </w:pPr>
          </w:p>
          <w:p>
            <w:pPr>
              <w:jc w:val="center"/>
            </w:pPr>
          </w:p>
          <w:p>
            <w:pPr>
              <w:jc w:val="center"/>
            </w:pPr>
          </w:p>
          <w:p>
            <w:pPr>
              <w:jc w:val="center"/>
            </w:pPr>
          </w:p>
          <w:p>
            <w:pPr>
              <w:jc w:val="center"/>
            </w:pPr>
          </w:p>
          <w:p>
            <w:pPr>
              <w:jc w:val="center"/>
            </w:pPr>
            <w:r>
              <w:rPr>
                <w:rFonts w:hint="eastAsia"/>
              </w:rPr>
              <w:t>节</w:t>
            </w:r>
          </w:p>
        </w:tc>
        <w:tc>
          <w:tcPr>
            <w:tcW w:w="1009" w:type="dxa"/>
          </w:tcPr>
          <w:p>
            <w:pPr>
              <w:jc w:val="center"/>
            </w:pPr>
          </w:p>
          <w:p>
            <w:pPr>
              <w:jc w:val="center"/>
            </w:pPr>
          </w:p>
          <w:p>
            <w:pPr>
              <w:jc w:val="center"/>
            </w:pPr>
          </w:p>
          <w:p>
            <w:pPr>
              <w:jc w:val="center"/>
            </w:pPr>
          </w:p>
          <w:p>
            <w:pPr>
              <w:jc w:val="center"/>
            </w:pPr>
          </w:p>
          <w:p>
            <w:pPr>
              <w:jc w:val="center"/>
            </w:pPr>
          </w:p>
          <w:p>
            <w:pPr>
              <w:jc w:val="center"/>
            </w:pPr>
            <w:r>
              <w:rPr>
                <w:rFonts w:hint="eastAsi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125" w:type="dxa"/>
          </w:tcPr>
          <w:p/>
          <w:p/>
          <w:p/>
          <w:p/>
          <w:p>
            <w:r>
              <w:rPr>
                <w:rFonts w:hint="eastAsia"/>
              </w:rPr>
              <w:t>电池架</w:t>
            </w:r>
          </w:p>
        </w:tc>
        <w:tc>
          <w:tcPr>
            <w:tcW w:w="5445" w:type="dxa"/>
          </w:tcPr>
          <w:p>
            <w:r>
              <w:rPr>
                <w:rFonts w:hint="eastAsia"/>
              </w:rPr>
              <w:t>16节150AH电池架；包含电池间连接线25平方及直流空开125A和空开箱，不包含架（箱）并机线及连接到UPS的电缆1.2.9电池架/柜</w:t>
            </w:r>
          </w:p>
          <w:p>
            <w:r>
              <w:rPr>
                <w:rFonts w:hint="eastAsia"/>
              </w:rPr>
              <w:t>1.采用优质金属成型，经磷化喷塑，耐磨防腐。</w:t>
            </w:r>
          </w:p>
          <w:p>
            <w:r>
              <w:rPr>
                <w:rFonts w:hint="eastAsia"/>
              </w:rPr>
              <w:t>2.前后旁边可快速拆卸，后板装开关及接线板，内配连接线，底部有接地线装置。</w:t>
            </w:r>
          </w:p>
          <w:p>
            <w:r>
              <w:rPr>
                <w:rFonts w:hint="eastAsia"/>
              </w:rPr>
              <w:t>3.100A及以上配备专用空开箱</w:t>
            </w:r>
          </w:p>
          <w:p>
            <w:r>
              <w:rPr>
                <w:rFonts w:hint="eastAsia"/>
              </w:rPr>
              <w:t>4.直流空开、电池连接线规格应满足UPS满负荷运行状态</w:t>
            </w:r>
          </w:p>
        </w:tc>
        <w:tc>
          <w:tcPr>
            <w:tcW w:w="893" w:type="dxa"/>
          </w:tcPr>
          <w:p>
            <w:pPr>
              <w:jc w:val="center"/>
            </w:pPr>
          </w:p>
          <w:p>
            <w:pPr>
              <w:jc w:val="center"/>
            </w:pPr>
          </w:p>
          <w:p>
            <w:pPr>
              <w:jc w:val="center"/>
            </w:pPr>
          </w:p>
          <w:p>
            <w:pPr>
              <w:jc w:val="center"/>
            </w:pPr>
          </w:p>
          <w:p>
            <w:pPr>
              <w:jc w:val="center"/>
            </w:pPr>
            <w:r>
              <w:rPr>
                <w:rFonts w:hint="eastAsia"/>
              </w:rPr>
              <w:t>套</w:t>
            </w:r>
          </w:p>
        </w:tc>
        <w:tc>
          <w:tcPr>
            <w:tcW w:w="1009" w:type="dxa"/>
          </w:tcPr>
          <w:p>
            <w:pPr>
              <w:jc w:val="center"/>
            </w:pPr>
          </w:p>
          <w:p>
            <w:pPr>
              <w:jc w:val="center"/>
            </w:pPr>
          </w:p>
          <w:p>
            <w:pPr>
              <w:jc w:val="center"/>
            </w:pPr>
          </w:p>
          <w:p>
            <w:pPr>
              <w:jc w:val="center"/>
            </w:pPr>
          </w:p>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125" w:type="dxa"/>
          </w:tcPr>
          <w:p>
            <w:pPr>
              <w:rPr>
                <w:rFonts w:ascii="宋体" w:hAnsi="宋体" w:eastAsia="宋体" w:cs="宋体"/>
                <w:color w:val="000000"/>
                <w:sz w:val="24"/>
              </w:rPr>
            </w:pPr>
            <w:r>
              <w:rPr>
                <w:rFonts w:hint="eastAsia"/>
                <w:color w:val="000000"/>
              </w:rPr>
              <w:t>安装附件</w:t>
            </w:r>
          </w:p>
          <w:p/>
        </w:tc>
        <w:tc>
          <w:tcPr>
            <w:tcW w:w="5445" w:type="dxa"/>
          </w:tcPr>
          <w:p>
            <w:r>
              <w:rPr>
                <w:rFonts w:hint="eastAsia"/>
              </w:rPr>
              <w:t>成套线缆。温湿度传感器等.模块内部连接线缆。</w:t>
            </w:r>
          </w:p>
        </w:tc>
        <w:tc>
          <w:tcPr>
            <w:tcW w:w="893" w:type="dxa"/>
          </w:tcPr>
          <w:p>
            <w:pPr>
              <w:jc w:val="center"/>
            </w:pPr>
            <w:r>
              <w:rPr>
                <w:rFonts w:hint="eastAsia"/>
              </w:rPr>
              <w:t>套</w:t>
            </w:r>
          </w:p>
        </w:tc>
        <w:tc>
          <w:tcPr>
            <w:tcW w:w="1009" w:type="dxa"/>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125" w:type="dxa"/>
          </w:tcPr>
          <w:p>
            <w:r>
              <w:rPr>
                <w:rFonts w:hint="eastAsia"/>
              </w:rPr>
              <w:t>原厂技术调试服务</w:t>
            </w:r>
          </w:p>
        </w:tc>
        <w:tc>
          <w:tcPr>
            <w:tcW w:w="5445" w:type="dxa"/>
          </w:tcPr>
          <w:p>
            <w:r>
              <w:rPr>
                <w:rFonts w:hint="eastAsia"/>
              </w:rPr>
              <w:t>原厂工程师或认证CSP服务商提供交付过程中的现场督导以及开机调试服务</w:t>
            </w:r>
          </w:p>
        </w:tc>
        <w:tc>
          <w:tcPr>
            <w:tcW w:w="893" w:type="dxa"/>
          </w:tcPr>
          <w:p>
            <w:pPr>
              <w:jc w:val="center"/>
            </w:pPr>
            <w:r>
              <w:rPr>
                <w:rFonts w:hint="eastAsia"/>
              </w:rPr>
              <w:t>套</w:t>
            </w:r>
          </w:p>
        </w:tc>
        <w:tc>
          <w:tcPr>
            <w:tcW w:w="1009" w:type="dxa"/>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25" w:type="dxa"/>
          </w:tcPr>
          <w:p>
            <w:r>
              <w:rPr>
                <w:rFonts w:hint="eastAsia"/>
              </w:rPr>
              <w:t>系统集成</w:t>
            </w:r>
          </w:p>
        </w:tc>
        <w:tc>
          <w:tcPr>
            <w:tcW w:w="5445" w:type="dxa"/>
          </w:tcPr>
          <w:p>
            <w:pPr>
              <w:tabs>
                <w:tab w:val="left" w:pos="3073"/>
              </w:tabs>
              <w:jc w:val="center"/>
            </w:pPr>
            <w:r>
              <w:rPr>
                <w:rFonts w:hint="eastAsia"/>
              </w:rPr>
              <w:t>运费、安装、五金等</w:t>
            </w:r>
          </w:p>
        </w:tc>
        <w:tc>
          <w:tcPr>
            <w:tcW w:w="893" w:type="dxa"/>
          </w:tcPr>
          <w:p>
            <w:pPr>
              <w:jc w:val="center"/>
            </w:pPr>
            <w:r>
              <w:rPr>
                <w:rFonts w:hint="eastAsia"/>
              </w:rPr>
              <w:t>套</w:t>
            </w:r>
          </w:p>
        </w:tc>
        <w:tc>
          <w:tcPr>
            <w:tcW w:w="1009" w:type="dxa"/>
          </w:tcPr>
          <w:p>
            <w:pPr>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125" w:type="dxa"/>
            <w:vAlign w:val="center"/>
          </w:tcPr>
          <w:p>
            <w:pPr>
              <w:jc w:val="center"/>
            </w:pPr>
            <w:r>
              <w:rPr>
                <w:rFonts w:hint="eastAsia"/>
              </w:rPr>
              <w:t>防火墙</w:t>
            </w:r>
          </w:p>
        </w:tc>
        <w:tc>
          <w:tcPr>
            <w:tcW w:w="5445" w:type="dxa"/>
          </w:tcPr>
          <w:p>
            <w:pPr>
              <w:tabs>
                <w:tab w:val="left" w:pos="3073"/>
              </w:tabs>
            </w:pPr>
            <w:r>
              <w:rPr>
                <w:rFonts w:hint="eastAsia"/>
              </w:rPr>
              <w:t>硬件规格</w:t>
            </w:r>
          </w:p>
          <w:p>
            <w:pPr>
              <w:tabs>
                <w:tab w:val="left" w:pos="3073"/>
              </w:tabs>
            </w:pPr>
            <w:r>
              <w:rPr>
                <w:rFonts w:hint="eastAsia"/>
              </w:rPr>
              <w:t>1、系统应采用标准机架式设备，而非插卡式设备，不需要业务卡即可实现下一代防火墙业务；</w:t>
            </w:r>
          </w:p>
          <w:p>
            <w:pPr>
              <w:tabs>
                <w:tab w:val="left" w:pos="3073"/>
              </w:tabs>
            </w:pPr>
            <w:r>
              <w:rPr>
                <w:rFonts w:hint="eastAsia"/>
              </w:rPr>
              <w:t>为保证防火墙运行的稳定性和处理能力，要求设备采用非X86架构对各项安全功能进行加速优化处理；</w:t>
            </w:r>
          </w:p>
          <w:p>
            <w:pPr>
              <w:tabs>
                <w:tab w:val="left" w:pos="3073"/>
              </w:tabs>
            </w:pPr>
            <w:r>
              <w:rPr>
                <w:rFonts w:hint="eastAsia"/>
              </w:rPr>
              <w:t>系统具有良好的可扩展性，能够扩展支持病毒防御、入侵防御、应用识别、垃圾邮件过滤、文件防泄漏、上网行为管理、APT防御、僵尸主机检测、IPSEC VPN与SSL VPN等功能；</w:t>
            </w:r>
          </w:p>
          <w:p>
            <w:pPr>
              <w:tabs>
                <w:tab w:val="left" w:pos="3073"/>
              </w:tabs>
            </w:pPr>
            <w:r>
              <w:rPr>
                <w:rFonts w:hint="eastAsia"/>
              </w:rPr>
              <w:t>★2、要求固化千兆电口数量≥10个；为保障接口稳定性，所投产品必须是固化接口，而非板卡接口。</w:t>
            </w:r>
          </w:p>
          <w:p>
            <w:pPr>
              <w:tabs>
                <w:tab w:val="left" w:pos="3073"/>
              </w:tabs>
            </w:pPr>
            <w:r>
              <w:rPr>
                <w:rFonts w:hint="eastAsia"/>
              </w:rPr>
              <w:t>★3、三层网络吞吐≥2Gbps ，IPS吞吐量≥500Mbps，最大并发连接≥100万，最大新建连接≥10000；</w:t>
            </w:r>
          </w:p>
          <w:p>
            <w:pPr>
              <w:tabs>
                <w:tab w:val="left" w:pos="3073"/>
              </w:tabs>
            </w:pPr>
            <w:r>
              <w:rPr>
                <w:rFonts w:hint="eastAsia"/>
              </w:rPr>
              <w:t xml:space="preserve"> ★IPSEC VPN隧道数≥500，设备本身要求自带500个 IPSec VPN授权；SSL VPN并发用户数≥100，设备本身要求自带100个 SSL VPN授权；</w:t>
            </w:r>
          </w:p>
          <w:p>
            <w:pPr>
              <w:tabs>
                <w:tab w:val="left" w:pos="3073"/>
              </w:tabs>
            </w:pPr>
            <w:r>
              <w:rPr>
                <w:rFonts w:hint="eastAsia"/>
              </w:rPr>
              <w:t>二、规格参数</w:t>
            </w:r>
          </w:p>
          <w:p>
            <w:pPr>
              <w:tabs>
                <w:tab w:val="left" w:pos="3073"/>
              </w:tabs>
            </w:pPr>
            <w:r>
              <w:rPr>
                <w:rFonts w:hint="eastAsia"/>
              </w:rPr>
              <w:t>1、部署方式</w:t>
            </w:r>
          </w:p>
          <w:p>
            <w:pPr>
              <w:tabs>
                <w:tab w:val="left" w:pos="3073"/>
              </w:tabs>
            </w:pPr>
            <w:r>
              <w:rPr>
                <w:rFonts w:hint="eastAsia"/>
              </w:rPr>
              <w:t xml:space="preserve">支持路由模式、透明（网桥模式）、混合模式； </w:t>
            </w:r>
          </w:p>
          <w:p>
            <w:pPr>
              <w:tabs>
                <w:tab w:val="left" w:pos="3073"/>
              </w:tabs>
            </w:pPr>
            <w:r>
              <w:rPr>
                <w:rFonts w:hint="eastAsia"/>
              </w:rPr>
              <w:t>要求支持虚拟防火墙，且每个虚拟防火墙独立管理；</w:t>
            </w:r>
          </w:p>
          <w:p>
            <w:pPr>
              <w:tabs>
                <w:tab w:val="left" w:pos="3073"/>
              </w:tabs>
            </w:pPr>
            <w:r>
              <w:rPr>
                <w:rFonts w:hint="eastAsia"/>
              </w:rPr>
              <w:t>为保障不同业务不同安全策略，要求支持每个虚拟防火墙能进行路由表、策略、VPN等设置；能够在虚拟系统中应用所有安全特性。</w:t>
            </w:r>
          </w:p>
          <w:p>
            <w:pPr>
              <w:tabs>
                <w:tab w:val="left" w:pos="3073"/>
              </w:tabs>
            </w:pPr>
            <w:r>
              <w:rPr>
                <w:rFonts w:hint="eastAsia"/>
              </w:rPr>
              <w:t>2、组网功能</w:t>
            </w:r>
          </w:p>
          <w:p>
            <w:pPr>
              <w:tabs>
                <w:tab w:val="left" w:pos="3073"/>
              </w:tabs>
            </w:pPr>
            <w:r>
              <w:rPr>
                <w:rFonts w:hint="eastAsia"/>
              </w:rPr>
              <w:t>支持等值路由（ECMP），并支持链路权重设置。</w:t>
            </w:r>
          </w:p>
          <w:p>
            <w:pPr>
              <w:tabs>
                <w:tab w:val="left" w:pos="3073"/>
              </w:tabs>
            </w:pPr>
            <w:r>
              <w:rPr>
                <w:rFonts w:hint="eastAsia"/>
              </w:rPr>
              <w:t>支持主-备和主-主HA方案。双机热备要能支持多种组网形式，确保可靠性，并且数据接口和心跳线支持冗余。</w:t>
            </w:r>
          </w:p>
          <w:p>
            <w:pPr>
              <w:tabs>
                <w:tab w:val="left" w:pos="3073"/>
              </w:tabs>
            </w:pPr>
            <w:r>
              <w:rPr>
                <w:rFonts w:hint="eastAsia"/>
              </w:rPr>
              <w:t>为保障业务可用性，HA方案支持双机会话同步，实现无感知切换</w:t>
            </w:r>
          </w:p>
          <w:p>
            <w:pPr>
              <w:tabs>
                <w:tab w:val="left" w:pos="3073"/>
              </w:tabs>
            </w:pPr>
            <w:r>
              <w:rPr>
                <w:rFonts w:hint="eastAsia"/>
              </w:rPr>
              <w:t>支持策略路由、组播路由、静态路由、RIP(v1/v2)、OSPF、BGP、IS-IS等；</w:t>
            </w:r>
          </w:p>
          <w:p>
            <w:pPr>
              <w:tabs>
                <w:tab w:val="left" w:pos="3073"/>
              </w:tabs>
            </w:pPr>
            <w:r>
              <w:rPr>
                <w:rFonts w:hint="eastAsia"/>
              </w:rPr>
              <w:t>支持802.1Q Trunk，支持不同VLAN之间的数据隔离。</w:t>
            </w:r>
          </w:p>
          <w:p>
            <w:pPr>
              <w:tabs>
                <w:tab w:val="left" w:pos="3073"/>
              </w:tabs>
            </w:pPr>
            <w:r>
              <w:rPr>
                <w:rFonts w:hint="eastAsia"/>
              </w:rPr>
              <w:t>3、基础安全功能</w:t>
            </w:r>
          </w:p>
          <w:p>
            <w:pPr>
              <w:tabs>
                <w:tab w:val="left" w:pos="3073"/>
              </w:tabs>
            </w:pPr>
            <w:r>
              <w:rPr>
                <w:rFonts w:hint="eastAsia"/>
              </w:rPr>
              <w:t>支持状态检测、包过滤、深度应用层检测；</w:t>
            </w:r>
          </w:p>
          <w:p>
            <w:pPr>
              <w:tabs>
                <w:tab w:val="left" w:pos="3073"/>
              </w:tabs>
            </w:pPr>
            <w:r>
              <w:rPr>
                <w:rFonts w:hint="eastAsia"/>
              </w:rPr>
              <w:t>支持SYN Flood、UDP Flood、ICMP Flood、LAND攻击、Smurf攻击、Fraggle攻击、Winnuke等攻击防护；具备硬件TCP SYN FLOOD防护加速能力</w:t>
            </w:r>
          </w:p>
          <w:p>
            <w:pPr>
              <w:tabs>
                <w:tab w:val="left" w:pos="3073"/>
              </w:tabs>
            </w:pPr>
            <w:r>
              <w:rPr>
                <w:rFonts w:hint="eastAsia"/>
              </w:rPr>
              <w:t>策略具备接口、地址、服务、时间、用户、带宽等的配置。</w:t>
            </w:r>
          </w:p>
          <w:p>
            <w:pPr>
              <w:tabs>
                <w:tab w:val="left" w:pos="3073"/>
              </w:tabs>
            </w:pPr>
            <w:r>
              <w:rPr>
                <w:rFonts w:hint="eastAsia"/>
              </w:rPr>
              <w:t>支持基于特定源地址、目的地址、应用端口组合的会话数限制。</w:t>
            </w:r>
          </w:p>
          <w:p>
            <w:pPr>
              <w:tabs>
                <w:tab w:val="left" w:pos="3073"/>
              </w:tabs>
            </w:pPr>
            <w:r>
              <w:rPr>
                <w:rFonts w:hint="eastAsia"/>
              </w:rPr>
              <w:t>支持SSL深度检测功能</w:t>
            </w:r>
          </w:p>
          <w:p>
            <w:pPr>
              <w:tabs>
                <w:tab w:val="left" w:pos="3073"/>
              </w:tabs>
            </w:pPr>
            <w:r>
              <w:rPr>
                <w:rFonts w:hint="eastAsia"/>
              </w:rPr>
              <w:t>为保障语音系统效果，支持VoIP防护，可基于SIP与SCCP协议防护，可限制SIP的注册请求，可限制SCCP的呼叫建立。提供功能截图证明；</w:t>
            </w:r>
          </w:p>
          <w:p>
            <w:pPr>
              <w:tabs>
                <w:tab w:val="left" w:pos="3073"/>
              </w:tabs>
            </w:pPr>
            <w:r>
              <w:rPr>
                <w:rFonts w:hint="eastAsia"/>
              </w:rPr>
              <w:t>★4、入侵防御功能</w:t>
            </w:r>
          </w:p>
          <w:p>
            <w:pPr>
              <w:tabs>
                <w:tab w:val="left" w:pos="3073"/>
              </w:tabs>
            </w:pPr>
            <w:r>
              <w:rPr>
                <w:rFonts w:hint="eastAsia"/>
              </w:rPr>
              <w:t>支持用户自定义攻击特征，要求提供功能截图；</w:t>
            </w:r>
          </w:p>
          <w:p>
            <w:pPr>
              <w:tabs>
                <w:tab w:val="left" w:pos="3073"/>
              </w:tabs>
            </w:pPr>
            <w:r>
              <w:rPr>
                <w:rFonts w:hint="eastAsia"/>
              </w:rPr>
              <w:t>支持对特定文件类型阻断；</w:t>
            </w:r>
          </w:p>
          <w:p>
            <w:pPr>
              <w:tabs>
                <w:tab w:val="left" w:pos="3073"/>
              </w:tabs>
            </w:pPr>
            <w:r>
              <w:rPr>
                <w:rFonts w:hint="eastAsia"/>
              </w:rPr>
              <w:t>入侵检测特征库≥5000种，并提供界面截图，并加盖原厂鲜章；</w:t>
            </w:r>
          </w:p>
          <w:p>
            <w:pPr>
              <w:tabs>
                <w:tab w:val="left" w:pos="3073"/>
              </w:tabs>
            </w:pPr>
            <w:r>
              <w:rPr>
                <w:rFonts w:hint="eastAsia"/>
              </w:rPr>
              <w:t>★5、病毒防护功能</w:t>
            </w:r>
          </w:p>
          <w:p>
            <w:pPr>
              <w:tabs>
                <w:tab w:val="left" w:pos="3073"/>
              </w:tabs>
            </w:pPr>
            <w:r>
              <w:rPr>
                <w:rFonts w:hint="eastAsia"/>
              </w:rPr>
              <w:t>支持HTTP、FTP、IMAP、POP3、SMTP、IM、HTTPS、IMAPS、POP3S、SMTPS协议病毒过滤，提供界面截图；并加盖原厂鲜章；</w:t>
            </w:r>
          </w:p>
          <w:p>
            <w:pPr>
              <w:tabs>
                <w:tab w:val="left" w:pos="3073"/>
              </w:tabs>
            </w:pPr>
            <w:r>
              <w:rPr>
                <w:rFonts w:hint="eastAsia"/>
              </w:rPr>
              <w:t>支持深达10级以上的文件压缩。可以限制过滤文件的大小，对超大文件采取“通过”或“阻止”动作。</w:t>
            </w:r>
          </w:p>
          <w:p>
            <w:pPr>
              <w:tabs>
                <w:tab w:val="left" w:pos="3073"/>
              </w:tabs>
            </w:pPr>
            <w:r>
              <w:rPr>
                <w:rFonts w:hint="eastAsia"/>
              </w:rPr>
              <w:t>支持对VPN传输隧道内容进行病毒过滤；</w:t>
            </w:r>
          </w:p>
          <w:p>
            <w:pPr>
              <w:tabs>
                <w:tab w:val="left" w:pos="3073"/>
              </w:tabs>
            </w:pPr>
            <w:r>
              <w:rPr>
                <w:rFonts w:hint="eastAsia"/>
              </w:rPr>
              <w:t>6、垃圾邮件过滤功能</w:t>
            </w:r>
          </w:p>
          <w:p>
            <w:pPr>
              <w:tabs>
                <w:tab w:val="left" w:pos="3073"/>
              </w:tabs>
            </w:pPr>
            <w:r>
              <w:rPr>
                <w:rFonts w:hint="eastAsia"/>
              </w:rPr>
              <w:t>支持基于代理模式、流模式的垃圾邮件检测过滤，并提供功能截图；并加盖原厂鲜章</w:t>
            </w:r>
          </w:p>
          <w:p>
            <w:pPr>
              <w:tabs>
                <w:tab w:val="left" w:pos="3073"/>
              </w:tabs>
            </w:pPr>
            <w:r>
              <w:rPr>
                <w:rFonts w:hint="eastAsia"/>
              </w:rPr>
              <w:t>防垃圾邮件功能支持IP地址过滤、邮件地址过滤、MIME头信息、邮件内容过滤、RBL实时黑名单、域名解析等多种方法。</w:t>
            </w:r>
          </w:p>
          <w:p>
            <w:pPr>
              <w:tabs>
                <w:tab w:val="left" w:pos="3073"/>
              </w:tabs>
            </w:pPr>
            <w:r>
              <w:rPr>
                <w:rFonts w:hint="eastAsia"/>
              </w:rPr>
              <w:t>★7、文件防泄漏功能</w:t>
            </w:r>
          </w:p>
          <w:p>
            <w:pPr>
              <w:tabs>
                <w:tab w:val="left" w:pos="3073"/>
              </w:tabs>
            </w:pPr>
            <w:r>
              <w:rPr>
                <w:rFonts w:hint="eastAsia"/>
              </w:rPr>
              <w:t>支持防数据泄漏功能，能对HTTP、FTP、SMTP、POP3等协议中的敏感内容进行过滤和阻断。</w:t>
            </w:r>
          </w:p>
          <w:p>
            <w:pPr>
              <w:tabs>
                <w:tab w:val="left" w:pos="3073"/>
              </w:tabs>
            </w:pPr>
            <w:r>
              <w:rPr>
                <w:rFonts w:hint="eastAsia"/>
              </w:rPr>
              <w:t>要求支持文件指纹识别、文件水印检测，要求提供功能截图；并加盖原厂鲜章；</w:t>
            </w:r>
          </w:p>
          <w:p>
            <w:pPr>
              <w:tabs>
                <w:tab w:val="left" w:pos="3073"/>
              </w:tabs>
            </w:pPr>
            <w:r>
              <w:rPr>
                <w:rFonts w:hint="eastAsia"/>
              </w:rPr>
              <w:t>要求对HTTP信息进行保护，HTTP可检测GET/POST、html头、URL、CGI、Cookie、内容和用户等；</w:t>
            </w:r>
          </w:p>
          <w:p>
            <w:pPr>
              <w:tabs>
                <w:tab w:val="left" w:pos="3073"/>
              </w:tabs>
            </w:pPr>
            <w:r>
              <w:rPr>
                <w:rFonts w:hint="eastAsia"/>
              </w:rPr>
              <w:t>8、上网行为管理功能</w:t>
            </w:r>
          </w:p>
          <w:p>
            <w:pPr>
              <w:tabs>
                <w:tab w:val="left" w:pos="3073"/>
              </w:tabs>
            </w:pPr>
            <w:r>
              <w:rPr>
                <w:rFonts w:hint="eastAsia"/>
              </w:rPr>
              <w:t>支持Web分类和Web页面过滤，要求URL数量≥2.5亿个</w:t>
            </w:r>
          </w:p>
          <w:p>
            <w:pPr>
              <w:tabs>
                <w:tab w:val="left" w:pos="3073"/>
              </w:tabs>
            </w:pPr>
            <w:r>
              <w:rPr>
                <w:rFonts w:hint="eastAsia"/>
              </w:rPr>
              <w:t>要求支持URL地址/域名黑白名单，并支持基于代理模式、流模式、DNS模式的URL过滤</w:t>
            </w:r>
          </w:p>
          <w:p>
            <w:pPr>
              <w:tabs>
                <w:tab w:val="left" w:pos="3073"/>
              </w:tabs>
            </w:pPr>
            <w:r>
              <w:rPr>
                <w:rFonts w:hint="eastAsia"/>
              </w:rPr>
              <w:t>能对HTTP对象进行控制，包括阻断Java Applet，Cookies，Active X等</w:t>
            </w:r>
          </w:p>
          <w:p>
            <w:pPr>
              <w:tabs>
                <w:tab w:val="left" w:pos="3073"/>
              </w:tabs>
            </w:pPr>
            <w:r>
              <w:rPr>
                <w:rFonts w:hint="eastAsia"/>
              </w:rPr>
              <w:t>应用程序列表数量大于2900种；</w:t>
            </w:r>
          </w:p>
          <w:p>
            <w:pPr>
              <w:tabs>
                <w:tab w:val="left" w:pos="3073"/>
              </w:tabs>
            </w:pPr>
            <w:r>
              <w:rPr>
                <w:rFonts w:hint="eastAsia"/>
              </w:rPr>
              <w:t>9、高级威胁防护功能</w:t>
            </w:r>
          </w:p>
          <w:p>
            <w:pPr>
              <w:tabs>
                <w:tab w:val="left" w:pos="3073"/>
              </w:tabs>
            </w:pPr>
            <w:r>
              <w:rPr>
                <w:rFonts w:hint="eastAsia"/>
              </w:rPr>
              <w:t>支持基于应用防御、入侵防御、恶意软件防御的统计结果定义用户的信誉值</w:t>
            </w:r>
          </w:p>
          <w:p>
            <w:pPr>
              <w:tabs>
                <w:tab w:val="left" w:pos="3073"/>
              </w:tabs>
            </w:pPr>
            <w:r>
              <w:rPr>
                <w:rFonts w:hint="eastAsia"/>
              </w:rPr>
              <w:t>支持僵尸主机、C&amp;C客户端检测功能，要求提供功能截图；并加盖原厂鲜章</w:t>
            </w:r>
          </w:p>
          <w:p>
            <w:pPr>
              <w:tabs>
                <w:tab w:val="left" w:pos="3073"/>
              </w:tabs>
            </w:pPr>
            <w:r>
              <w:rPr>
                <w:rFonts w:hint="eastAsia"/>
              </w:rPr>
              <w:t>支持0-day恶意软件变种、可疑文件等APT高级可持续威胁的统计功能，要求提供功能截图；并加盖原厂鲜章；</w:t>
            </w:r>
          </w:p>
          <w:p>
            <w:pPr>
              <w:tabs>
                <w:tab w:val="left" w:pos="3073"/>
              </w:tabs>
            </w:pPr>
            <w:r>
              <w:rPr>
                <w:rFonts w:hint="eastAsia"/>
              </w:rPr>
              <w:t>10、IPv6功能</w:t>
            </w:r>
          </w:p>
          <w:p>
            <w:pPr>
              <w:tabs>
                <w:tab w:val="left" w:pos="3073"/>
              </w:tabs>
            </w:pPr>
            <w:r>
              <w:rPr>
                <w:rFonts w:hint="eastAsia"/>
              </w:rPr>
              <w:t>为了支持业务扩展，要求支持IPv4/IPv6双栈</w:t>
            </w:r>
          </w:p>
          <w:p>
            <w:pPr>
              <w:tabs>
                <w:tab w:val="left" w:pos="3073"/>
              </w:tabs>
            </w:pPr>
            <w:r>
              <w:rPr>
                <w:rFonts w:hint="eastAsia"/>
              </w:rPr>
              <w:t>为更好的支持IPv6业务，要求支持基于IPv6的策略设置、内容过滤、IPS检测、代理、流控和VPN功能</w:t>
            </w:r>
          </w:p>
          <w:p>
            <w:pPr>
              <w:tabs>
                <w:tab w:val="left" w:pos="3073"/>
              </w:tabs>
            </w:pPr>
            <w:r>
              <w:rPr>
                <w:rFonts w:hint="eastAsia"/>
              </w:rPr>
              <w:t>11、资质要求</w:t>
            </w:r>
          </w:p>
          <w:p>
            <w:pPr>
              <w:tabs>
                <w:tab w:val="left" w:pos="3073"/>
              </w:tabs>
            </w:pPr>
            <w:r>
              <w:rPr>
                <w:rFonts w:hint="eastAsia"/>
              </w:rPr>
              <w:t>★提供中华人民共和国公安部颁发的有效的《计算机信息系统安全专用产品销售许可证》复印件，并加盖原厂鲜章；证书上需体现“下一代防火墙”或“第二代防火墙”名称，否则按无效投标处理）</w:t>
            </w:r>
          </w:p>
          <w:p>
            <w:pPr>
              <w:tabs>
                <w:tab w:val="left" w:pos="3073"/>
              </w:tabs>
            </w:pPr>
            <w:r>
              <w:rPr>
                <w:rFonts w:hint="eastAsia"/>
              </w:rPr>
              <w:t>★提供所投产品有效的《IPv6 Ready Phase 2证书》复印件；并加盖原厂鲜章；</w:t>
            </w:r>
          </w:p>
          <w:p>
            <w:pPr>
              <w:tabs>
                <w:tab w:val="left" w:pos="3073"/>
              </w:tabs>
            </w:pPr>
            <w:r>
              <w:rPr>
                <w:rFonts w:hint="eastAsia"/>
              </w:rPr>
              <w:t>★提供中国网络安全审查技术与认证中心颁发的国家信息安全产品认证证书(ISCCC)；并加盖原厂鲜章；</w:t>
            </w:r>
          </w:p>
          <w:p>
            <w:pPr>
              <w:tabs>
                <w:tab w:val="left" w:pos="3073"/>
              </w:tabs>
            </w:pPr>
            <w:r>
              <w:rPr>
                <w:rFonts w:hint="eastAsia"/>
              </w:rPr>
              <w:t>★供应商需提供所投产品项目授权及售后服务承诺函并加盖原厂鲜章。</w:t>
            </w:r>
          </w:p>
        </w:tc>
        <w:tc>
          <w:tcPr>
            <w:tcW w:w="893" w:type="dxa"/>
            <w:vAlign w:val="center"/>
          </w:tcPr>
          <w:p>
            <w:pPr>
              <w:jc w:val="center"/>
            </w:pPr>
            <w:r>
              <w:rPr>
                <w:rFonts w:hint="eastAsia"/>
              </w:rPr>
              <w:t>台</w:t>
            </w:r>
          </w:p>
        </w:tc>
        <w:tc>
          <w:tcPr>
            <w:tcW w:w="1009" w:type="dxa"/>
            <w:vAlign w:val="center"/>
          </w:tcPr>
          <w:p>
            <w:pPr>
              <w:jc w:val="center"/>
            </w:pPr>
            <w:r>
              <w:rPr>
                <w:rFonts w:hint="eastAsia"/>
              </w:rPr>
              <w:t>1</w:t>
            </w:r>
          </w:p>
        </w:tc>
      </w:tr>
    </w:tbl>
    <w:p>
      <w:pPr>
        <w:pStyle w:val="2"/>
        <w:rPr>
          <w:rFonts w:hint="eastAsia" w:ascii="宋体" w:hAnsi="宋体"/>
          <w:b/>
          <w:color w:val="000000"/>
          <w:sz w:val="28"/>
          <w:szCs w:val="28"/>
        </w:rPr>
      </w:pPr>
    </w:p>
    <w:tbl>
      <w:tblPr>
        <w:tblStyle w:val="12"/>
        <w:tblpPr w:leftFromText="180" w:rightFromText="180" w:vertAnchor="text" w:horzAnchor="margin" w:tblpY="127"/>
        <w:tblW w:w="8472" w:type="dxa"/>
        <w:tblInd w:w="0" w:type="dxa"/>
        <w:tblLayout w:type="autofit"/>
        <w:tblCellMar>
          <w:top w:w="0" w:type="dxa"/>
          <w:left w:w="108" w:type="dxa"/>
          <w:bottom w:w="0" w:type="dxa"/>
          <w:right w:w="108" w:type="dxa"/>
        </w:tblCellMar>
      </w:tblPr>
      <w:tblGrid>
        <w:gridCol w:w="1135"/>
        <w:gridCol w:w="5352"/>
        <w:gridCol w:w="1026"/>
        <w:gridCol w:w="959"/>
      </w:tblGrid>
      <w:tr>
        <w:tblPrEx>
          <w:tblCellMar>
            <w:top w:w="0" w:type="dxa"/>
            <w:left w:w="108" w:type="dxa"/>
            <w:bottom w:w="0" w:type="dxa"/>
            <w:right w:w="108" w:type="dxa"/>
          </w:tblCellMar>
        </w:tblPrEx>
        <w:trPr>
          <w:trHeight w:val="330" w:hRule="atLeast"/>
        </w:trPr>
        <w:tc>
          <w:tcPr>
            <w:tcW w:w="1135"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　</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中</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心</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机</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房</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消</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防</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设</w:t>
            </w:r>
          </w:p>
          <w:p>
            <w:pPr>
              <w:widowControl/>
              <w:jc w:val="center"/>
              <w:rPr>
                <w:rFonts w:ascii="宋体" w:hAnsi="宋体" w:eastAsia="宋体" w:cs="宋体"/>
                <w:color w:val="000000"/>
                <w:kern w:val="0"/>
                <w:sz w:val="24"/>
              </w:rPr>
            </w:pPr>
            <w:r>
              <w:rPr>
                <w:rFonts w:hint="eastAsia" w:ascii="宋体" w:hAnsi="宋体" w:eastAsia="宋体" w:cs="宋体"/>
                <w:color w:val="000000"/>
                <w:kern w:val="0"/>
                <w:sz w:val="24"/>
              </w:rPr>
              <w:t>备</w:t>
            </w:r>
          </w:p>
          <w:p>
            <w:pPr>
              <w:widowControl/>
              <w:rPr>
                <w:rFonts w:ascii="宋体" w:hAnsi="宋体" w:eastAsia="宋体" w:cs="宋体"/>
                <w:color w:val="000000"/>
                <w:kern w:val="0"/>
                <w:sz w:val="24"/>
              </w:rPr>
            </w:pPr>
            <w:r>
              <w:rPr>
                <w:rFonts w:hint="eastAsia" w:ascii="宋体" w:hAnsi="宋体" w:eastAsia="宋体" w:cs="宋体"/>
                <w:color w:val="000000"/>
                <w:kern w:val="0"/>
                <w:sz w:val="24"/>
              </w:rPr>
              <w:t>　</w:t>
            </w:r>
          </w:p>
        </w:tc>
        <w:tc>
          <w:tcPr>
            <w:tcW w:w="535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点型感温火灾探测器</w:t>
            </w:r>
          </w:p>
        </w:tc>
        <w:tc>
          <w:tcPr>
            <w:tcW w:w="102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只</w:t>
            </w:r>
          </w:p>
        </w:tc>
        <w:tc>
          <w:tcPr>
            <w:tcW w:w="9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七氟丙烷灭火药剂</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公斤</w:t>
            </w:r>
          </w:p>
        </w:tc>
        <w:tc>
          <w:tcPr>
            <w:tcW w:w="9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100</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紧急启停按钮</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只</w:t>
            </w:r>
          </w:p>
        </w:tc>
        <w:tc>
          <w:tcPr>
            <w:tcW w:w="9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放气指示灯</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只</w:t>
            </w:r>
          </w:p>
        </w:tc>
        <w:tc>
          <w:tcPr>
            <w:tcW w:w="9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七氟丙烷灭火瓶组</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9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点型光电感烟探测器</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只</w:t>
            </w:r>
          </w:p>
        </w:tc>
        <w:tc>
          <w:tcPr>
            <w:tcW w:w="9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探测器底座</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只</w:t>
            </w:r>
          </w:p>
        </w:tc>
        <w:tc>
          <w:tcPr>
            <w:tcW w:w="9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无址声光</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只</w:t>
            </w:r>
          </w:p>
        </w:tc>
        <w:tc>
          <w:tcPr>
            <w:tcW w:w="9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4"/>
              </w:rPr>
            </w:pPr>
            <w:r>
              <w:rPr>
                <w:rFonts w:hint="eastAsia" w:ascii="宋体" w:hAnsi="宋体" w:eastAsia="宋体" w:cs="宋体"/>
                <w:color w:val="000000"/>
                <w:kern w:val="0"/>
                <w:sz w:val="24"/>
              </w:rPr>
              <w:t>壁挂式气体报警一体机</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9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主机电池</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节</w:t>
            </w:r>
          </w:p>
        </w:tc>
        <w:tc>
          <w:tcPr>
            <w:tcW w:w="9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rPr>
            </w:pPr>
            <w:r>
              <w:rPr>
                <w:rFonts w:hint="eastAsia" w:ascii="宋体" w:hAnsi="宋体" w:eastAsia="宋体" w:cs="宋体"/>
                <w:kern w:val="0"/>
                <w:sz w:val="24"/>
              </w:rPr>
              <w:t>安装材料</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批</w:t>
            </w:r>
          </w:p>
        </w:tc>
        <w:tc>
          <w:tcPr>
            <w:tcW w:w="9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CellMar>
            <w:top w:w="0" w:type="dxa"/>
            <w:left w:w="108" w:type="dxa"/>
            <w:bottom w:w="0" w:type="dxa"/>
            <w:right w:w="108" w:type="dxa"/>
          </w:tblCellMar>
        </w:tblPrEx>
        <w:trPr>
          <w:trHeight w:val="330" w:hRule="atLeast"/>
        </w:trPr>
        <w:tc>
          <w:tcPr>
            <w:tcW w:w="1135" w:type="dxa"/>
            <w:vMerge w:val="restart"/>
            <w:tcBorders>
              <w:top w:val="nil"/>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r>
              <w:rPr>
                <w:rFonts w:hint="eastAsia" w:ascii="宋体" w:hAnsi="宋体" w:eastAsia="宋体" w:cs="宋体"/>
                <w:color w:val="000000"/>
                <w:kern w:val="0"/>
                <w:sz w:val="24"/>
              </w:rPr>
              <w:t>中</w:t>
            </w:r>
          </w:p>
          <w:p>
            <w:pPr>
              <w:jc w:val="center"/>
              <w:rPr>
                <w:rFonts w:ascii="宋体" w:hAnsi="宋体" w:eastAsia="宋体" w:cs="宋体"/>
                <w:color w:val="000000"/>
                <w:kern w:val="0"/>
                <w:sz w:val="24"/>
              </w:rPr>
            </w:pPr>
            <w:r>
              <w:rPr>
                <w:rFonts w:hint="eastAsia" w:ascii="宋体" w:hAnsi="宋体" w:eastAsia="宋体" w:cs="宋体"/>
                <w:color w:val="000000"/>
                <w:kern w:val="0"/>
                <w:sz w:val="24"/>
              </w:rPr>
              <w:t>心</w:t>
            </w:r>
          </w:p>
          <w:p>
            <w:pPr>
              <w:jc w:val="center"/>
              <w:rPr>
                <w:rFonts w:ascii="宋体" w:hAnsi="宋体" w:eastAsia="宋体" w:cs="宋体"/>
                <w:color w:val="000000"/>
                <w:kern w:val="0"/>
                <w:sz w:val="24"/>
              </w:rPr>
            </w:pPr>
            <w:r>
              <w:rPr>
                <w:rFonts w:hint="eastAsia" w:ascii="宋体" w:hAnsi="宋体" w:eastAsia="宋体" w:cs="宋体"/>
                <w:color w:val="000000"/>
                <w:kern w:val="0"/>
                <w:sz w:val="24"/>
              </w:rPr>
              <w:t>机</w:t>
            </w:r>
          </w:p>
          <w:p>
            <w:pPr>
              <w:jc w:val="center"/>
              <w:rPr>
                <w:rFonts w:ascii="宋体" w:hAnsi="宋体" w:eastAsia="宋体" w:cs="宋体"/>
                <w:color w:val="000000"/>
                <w:kern w:val="0"/>
                <w:sz w:val="24"/>
              </w:rPr>
            </w:pPr>
            <w:r>
              <w:rPr>
                <w:rFonts w:hint="eastAsia" w:ascii="宋体" w:hAnsi="宋体" w:eastAsia="宋体" w:cs="宋体"/>
                <w:color w:val="000000"/>
                <w:kern w:val="0"/>
                <w:sz w:val="24"/>
              </w:rPr>
              <w:t>房</w:t>
            </w:r>
          </w:p>
          <w:p>
            <w:pPr>
              <w:jc w:val="center"/>
              <w:rPr>
                <w:rFonts w:ascii="宋体" w:hAnsi="宋体" w:eastAsia="宋体" w:cs="宋体"/>
                <w:color w:val="000000"/>
                <w:kern w:val="0"/>
                <w:sz w:val="24"/>
              </w:rPr>
            </w:pPr>
            <w:r>
              <w:rPr>
                <w:rFonts w:hint="eastAsia" w:ascii="宋体" w:hAnsi="宋体" w:eastAsia="宋体" w:cs="宋体"/>
                <w:color w:val="000000"/>
                <w:kern w:val="0"/>
                <w:sz w:val="24"/>
              </w:rPr>
              <w:t>基</w:t>
            </w:r>
          </w:p>
          <w:p>
            <w:pPr>
              <w:jc w:val="center"/>
              <w:rPr>
                <w:rFonts w:ascii="宋体" w:hAnsi="宋体" w:eastAsia="宋体" w:cs="宋体"/>
                <w:color w:val="000000"/>
                <w:kern w:val="0"/>
                <w:sz w:val="24"/>
              </w:rPr>
            </w:pPr>
            <w:r>
              <w:rPr>
                <w:rFonts w:hint="eastAsia" w:ascii="宋体" w:hAnsi="宋体" w:eastAsia="宋体" w:cs="宋体"/>
                <w:color w:val="000000"/>
                <w:kern w:val="0"/>
                <w:sz w:val="24"/>
              </w:rPr>
              <w:t>础</w:t>
            </w:r>
          </w:p>
          <w:p>
            <w:pPr>
              <w:jc w:val="center"/>
              <w:rPr>
                <w:rFonts w:ascii="宋体" w:hAnsi="宋体" w:eastAsia="宋体" w:cs="宋体"/>
                <w:color w:val="000000"/>
                <w:kern w:val="0"/>
                <w:sz w:val="24"/>
              </w:rPr>
            </w:pPr>
            <w:r>
              <w:rPr>
                <w:rFonts w:hint="eastAsia" w:ascii="宋体" w:hAnsi="宋体" w:eastAsia="宋体" w:cs="宋体"/>
                <w:color w:val="000000"/>
                <w:kern w:val="0"/>
                <w:sz w:val="24"/>
              </w:rPr>
              <w:t>装</w:t>
            </w:r>
          </w:p>
          <w:p>
            <w:pPr>
              <w:jc w:val="center"/>
              <w:rPr>
                <w:rFonts w:ascii="宋体" w:hAnsi="宋体" w:eastAsia="宋体" w:cs="宋体"/>
                <w:color w:val="000000"/>
                <w:kern w:val="0"/>
                <w:sz w:val="24"/>
              </w:rPr>
            </w:pPr>
            <w:r>
              <w:rPr>
                <w:rFonts w:hint="eastAsia" w:ascii="宋体" w:hAnsi="宋体" w:eastAsia="宋体" w:cs="宋体"/>
                <w:color w:val="000000"/>
                <w:kern w:val="0"/>
                <w:sz w:val="24"/>
              </w:rPr>
              <w:t>修</w:t>
            </w: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顶面铝扣板吊顶</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75.6</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铝扣板专用灯</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套</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12</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原有窗户封堵</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7.45</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墙面龙骨</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100.44</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专业机房墙面饰面</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100.44</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地面静电地板</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75.6</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地面静电地板铜条</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m</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75.6</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玻璃隔断墙体制作</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20</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电路改造</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80</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原有洞口封堵</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5</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新作门洞</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项</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新作门洞抹灰</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项</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新作防火门</w:t>
            </w:r>
          </w:p>
        </w:tc>
        <w:tc>
          <w:tcPr>
            <w:tcW w:w="10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right w:val="single" w:color="auto" w:sz="4" w:space="0"/>
            </w:tcBorders>
            <w:shd w:val="clear" w:color="auto" w:fill="auto"/>
            <w:vAlign w:val="center"/>
          </w:tcPr>
          <w:p>
            <w:pPr>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原有基层拆除</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项</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r>
        <w:tblPrEx>
          <w:tblCellMar>
            <w:top w:w="0" w:type="dxa"/>
            <w:left w:w="108" w:type="dxa"/>
            <w:bottom w:w="0" w:type="dxa"/>
            <w:right w:w="108" w:type="dxa"/>
          </w:tblCellMar>
        </w:tblPrEx>
        <w:trPr>
          <w:trHeight w:val="330" w:hRule="atLeast"/>
        </w:trPr>
        <w:tc>
          <w:tcPr>
            <w:tcW w:w="1135"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4"/>
              </w:rPr>
            </w:pPr>
          </w:p>
        </w:tc>
        <w:tc>
          <w:tcPr>
            <w:tcW w:w="535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rPr>
            </w:pPr>
            <w:r>
              <w:rPr>
                <w:rFonts w:hint="eastAsia" w:ascii="宋体" w:hAnsi="宋体" w:eastAsia="宋体" w:cs="宋体"/>
                <w:kern w:val="0"/>
                <w:sz w:val="24"/>
              </w:rPr>
              <w:t>垃圾清理费</w:t>
            </w:r>
          </w:p>
        </w:tc>
        <w:tc>
          <w:tcPr>
            <w:tcW w:w="102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rPr>
            </w:pPr>
            <w:r>
              <w:rPr>
                <w:rFonts w:hint="eastAsia" w:ascii="宋体" w:hAnsi="宋体" w:eastAsia="宋体" w:cs="宋体"/>
                <w:kern w:val="0"/>
                <w:sz w:val="24"/>
              </w:rPr>
              <w:t>项</w:t>
            </w:r>
          </w:p>
        </w:tc>
        <w:tc>
          <w:tcPr>
            <w:tcW w:w="9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r>
    </w:tbl>
    <w:p>
      <w:pPr>
        <w:pStyle w:val="2"/>
      </w:pPr>
    </w:p>
    <w:p/>
    <w:p>
      <w:pPr>
        <w:pStyle w:val="2"/>
      </w:pPr>
    </w:p>
    <w:p>
      <w:pPr>
        <w:pStyle w:val="2"/>
      </w:pPr>
    </w:p>
    <w:p>
      <w:pPr>
        <w:pStyle w:val="2"/>
      </w:pPr>
    </w:p>
    <w:tbl>
      <w:tblPr>
        <w:tblStyle w:val="12"/>
        <w:tblW w:w="8504" w:type="dxa"/>
        <w:tblInd w:w="-32" w:type="dxa"/>
        <w:tblLayout w:type="autofit"/>
        <w:tblCellMar>
          <w:top w:w="0" w:type="dxa"/>
          <w:left w:w="108" w:type="dxa"/>
          <w:bottom w:w="0" w:type="dxa"/>
          <w:right w:w="108" w:type="dxa"/>
        </w:tblCellMar>
      </w:tblPr>
      <w:tblGrid>
        <w:gridCol w:w="665"/>
        <w:gridCol w:w="609"/>
        <w:gridCol w:w="5670"/>
        <w:gridCol w:w="709"/>
        <w:gridCol w:w="851"/>
      </w:tblGrid>
      <w:tr>
        <w:tblPrEx>
          <w:tblCellMar>
            <w:top w:w="0" w:type="dxa"/>
            <w:left w:w="108" w:type="dxa"/>
            <w:bottom w:w="0" w:type="dxa"/>
            <w:right w:w="108" w:type="dxa"/>
          </w:tblCellMar>
        </w:tblPrEx>
        <w:trPr>
          <w:trHeight w:val="312" w:hRule="atLeast"/>
        </w:trPr>
        <w:tc>
          <w:tcPr>
            <w:tcW w:w="665" w:type="dxa"/>
            <w:vMerge w:val="restart"/>
            <w:tcBorders>
              <w:top w:val="single" w:color="0D0D0D" w:sz="4" w:space="0"/>
              <w:left w:val="single" w:color="0D0D0D" w:sz="4" w:space="0"/>
              <w:bottom w:val="nil"/>
              <w:right w:val="single" w:color="0D0D0D" w:sz="4" w:space="0"/>
            </w:tcBorders>
            <w:shd w:val="clear" w:color="000000" w:fill="BFBFBF"/>
            <w:noWrap/>
            <w:vAlign w:val="center"/>
          </w:tcPr>
          <w:p>
            <w:pPr>
              <w:widowControl/>
              <w:jc w:val="center"/>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序号</w:t>
            </w:r>
          </w:p>
        </w:tc>
        <w:tc>
          <w:tcPr>
            <w:tcW w:w="609" w:type="dxa"/>
            <w:vMerge w:val="restart"/>
            <w:tcBorders>
              <w:top w:val="single" w:color="0D0D0D" w:sz="4" w:space="0"/>
              <w:left w:val="single" w:color="0D0D0D" w:sz="4" w:space="0"/>
              <w:bottom w:val="nil"/>
              <w:right w:val="single" w:color="0D0D0D" w:sz="4" w:space="0"/>
            </w:tcBorders>
            <w:shd w:val="clear" w:color="000000" w:fill="BFBFBF"/>
            <w:noWrap/>
            <w:vAlign w:val="center"/>
          </w:tcPr>
          <w:p>
            <w:pPr>
              <w:widowControl/>
              <w:jc w:val="center"/>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产品类别</w:t>
            </w:r>
          </w:p>
        </w:tc>
        <w:tc>
          <w:tcPr>
            <w:tcW w:w="5670" w:type="dxa"/>
            <w:vMerge w:val="restart"/>
            <w:tcBorders>
              <w:top w:val="single" w:color="0D0D0D" w:sz="4" w:space="0"/>
              <w:left w:val="single" w:color="0D0D0D" w:sz="4" w:space="0"/>
              <w:bottom w:val="nil"/>
              <w:right w:val="single" w:color="0D0D0D" w:sz="4" w:space="0"/>
            </w:tcBorders>
            <w:shd w:val="clear" w:color="000000" w:fill="BFBFBF"/>
            <w:noWrap/>
            <w:vAlign w:val="center"/>
          </w:tcPr>
          <w:p>
            <w:pPr>
              <w:widowControl/>
              <w:jc w:val="center"/>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参数</w:t>
            </w:r>
          </w:p>
        </w:tc>
        <w:tc>
          <w:tcPr>
            <w:tcW w:w="709" w:type="dxa"/>
            <w:vMerge w:val="restart"/>
            <w:tcBorders>
              <w:top w:val="single" w:color="0D0D0D" w:sz="4" w:space="0"/>
              <w:left w:val="single" w:color="0D0D0D" w:sz="4" w:space="0"/>
              <w:bottom w:val="single" w:color="000000" w:sz="4" w:space="0"/>
              <w:right w:val="single" w:color="0D0D0D" w:sz="4" w:space="0"/>
            </w:tcBorders>
            <w:shd w:val="clear" w:color="000000" w:fill="BFBFBF"/>
            <w:noWrap/>
            <w:vAlign w:val="center"/>
          </w:tcPr>
          <w:p>
            <w:pPr>
              <w:widowControl/>
              <w:jc w:val="center"/>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单位</w:t>
            </w:r>
          </w:p>
        </w:tc>
        <w:tc>
          <w:tcPr>
            <w:tcW w:w="851" w:type="dxa"/>
            <w:vMerge w:val="restart"/>
            <w:tcBorders>
              <w:top w:val="single" w:color="0D0D0D" w:sz="4" w:space="0"/>
              <w:left w:val="single" w:color="0D0D0D" w:sz="4" w:space="0"/>
              <w:bottom w:val="nil"/>
              <w:right w:val="single" w:color="0D0D0D" w:sz="4" w:space="0"/>
            </w:tcBorders>
            <w:shd w:val="clear" w:color="000000" w:fill="BFBFBF"/>
            <w:noWrap/>
            <w:vAlign w:val="center"/>
          </w:tcPr>
          <w:p>
            <w:pPr>
              <w:widowControl/>
              <w:jc w:val="center"/>
              <w:rPr>
                <w:rFonts w:ascii="微软雅黑" w:hAnsi="微软雅黑" w:eastAsia="微软雅黑" w:cs="宋体"/>
                <w:b/>
                <w:bCs/>
                <w:kern w:val="0"/>
                <w:sz w:val="18"/>
                <w:szCs w:val="18"/>
              </w:rPr>
            </w:pPr>
            <w:r>
              <w:rPr>
                <w:rFonts w:hint="eastAsia" w:ascii="微软雅黑" w:hAnsi="微软雅黑" w:eastAsia="微软雅黑" w:cs="宋体"/>
                <w:b/>
                <w:bCs/>
                <w:kern w:val="0"/>
                <w:sz w:val="18"/>
                <w:szCs w:val="18"/>
              </w:rPr>
              <w:t>数量</w:t>
            </w:r>
          </w:p>
        </w:tc>
      </w:tr>
      <w:tr>
        <w:tblPrEx>
          <w:tblCellMar>
            <w:top w:w="0" w:type="dxa"/>
            <w:left w:w="108" w:type="dxa"/>
            <w:bottom w:w="0" w:type="dxa"/>
            <w:right w:w="108" w:type="dxa"/>
          </w:tblCellMar>
        </w:tblPrEx>
        <w:trPr>
          <w:trHeight w:val="312" w:hRule="atLeast"/>
        </w:trPr>
        <w:tc>
          <w:tcPr>
            <w:tcW w:w="665" w:type="dxa"/>
            <w:vMerge w:val="continue"/>
            <w:tcBorders>
              <w:top w:val="single" w:color="0D0D0D" w:sz="4" w:space="0"/>
              <w:left w:val="single" w:color="0D0D0D" w:sz="4" w:space="0"/>
              <w:bottom w:val="nil"/>
              <w:right w:val="single" w:color="0D0D0D" w:sz="4" w:space="0"/>
            </w:tcBorders>
            <w:vAlign w:val="center"/>
          </w:tcPr>
          <w:p>
            <w:pPr>
              <w:widowControl/>
              <w:jc w:val="left"/>
              <w:rPr>
                <w:rFonts w:ascii="微软雅黑" w:hAnsi="微软雅黑" w:eastAsia="微软雅黑" w:cs="宋体"/>
                <w:b/>
                <w:bCs/>
                <w:kern w:val="0"/>
                <w:sz w:val="18"/>
                <w:szCs w:val="18"/>
              </w:rPr>
            </w:pPr>
          </w:p>
        </w:tc>
        <w:tc>
          <w:tcPr>
            <w:tcW w:w="609" w:type="dxa"/>
            <w:vMerge w:val="continue"/>
            <w:tcBorders>
              <w:top w:val="single" w:color="0D0D0D" w:sz="4" w:space="0"/>
              <w:left w:val="single" w:color="0D0D0D" w:sz="4" w:space="0"/>
              <w:bottom w:val="nil"/>
              <w:right w:val="single" w:color="0D0D0D" w:sz="4" w:space="0"/>
            </w:tcBorders>
            <w:vAlign w:val="center"/>
          </w:tcPr>
          <w:p>
            <w:pPr>
              <w:widowControl/>
              <w:jc w:val="left"/>
              <w:rPr>
                <w:rFonts w:ascii="微软雅黑" w:hAnsi="微软雅黑" w:eastAsia="微软雅黑" w:cs="宋体"/>
                <w:b/>
                <w:bCs/>
                <w:kern w:val="0"/>
                <w:sz w:val="18"/>
                <w:szCs w:val="18"/>
              </w:rPr>
            </w:pPr>
          </w:p>
        </w:tc>
        <w:tc>
          <w:tcPr>
            <w:tcW w:w="5670" w:type="dxa"/>
            <w:vMerge w:val="continue"/>
            <w:tcBorders>
              <w:top w:val="single" w:color="0D0D0D" w:sz="4" w:space="0"/>
              <w:left w:val="single" w:color="0D0D0D" w:sz="4" w:space="0"/>
              <w:bottom w:val="nil"/>
              <w:right w:val="single" w:color="0D0D0D" w:sz="4" w:space="0"/>
            </w:tcBorders>
            <w:vAlign w:val="center"/>
          </w:tcPr>
          <w:p>
            <w:pPr>
              <w:widowControl/>
              <w:jc w:val="left"/>
              <w:rPr>
                <w:rFonts w:ascii="微软雅黑" w:hAnsi="微软雅黑" w:eastAsia="微软雅黑" w:cs="宋体"/>
                <w:b/>
                <w:bCs/>
                <w:kern w:val="0"/>
                <w:sz w:val="18"/>
                <w:szCs w:val="18"/>
              </w:rPr>
            </w:pPr>
          </w:p>
        </w:tc>
        <w:tc>
          <w:tcPr>
            <w:tcW w:w="709" w:type="dxa"/>
            <w:vMerge w:val="continue"/>
            <w:tcBorders>
              <w:top w:val="single" w:color="0D0D0D" w:sz="4" w:space="0"/>
              <w:left w:val="single" w:color="0D0D0D" w:sz="4" w:space="0"/>
              <w:bottom w:val="single" w:color="000000" w:sz="4" w:space="0"/>
              <w:right w:val="single" w:color="0D0D0D" w:sz="4" w:space="0"/>
            </w:tcBorders>
            <w:vAlign w:val="center"/>
          </w:tcPr>
          <w:p>
            <w:pPr>
              <w:widowControl/>
              <w:jc w:val="left"/>
              <w:rPr>
                <w:rFonts w:ascii="微软雅黑" w:hAnsi="微软雅黑" w:eastAsia="微软雅黑" w:cs="宋体"/>
                <w:b/>
                <w:bCs/>
                <w:kern w:val="0"/>
                <w:sz w:val="18"/>
                <w:szCs w:val="18"/>
              </w:rPr>
            </w:pPr>
          </w:p>
        </w:tc>
        <w:tc>
          <w:tcPr>
            <w:tcW w:w="851" w:type="dxa"/>
            <w:vMerge w:val="continue"/>
            <w:tcBorders>
              <w:top w:val="single" w:color="0D0D0D" w:sz="4" w:space="0"/>
              <w:left w:val="single" w:color="0D0D0D" w:sz="4" w:space="0"/>
              <w:bottom w:val="nil"/>
              <w:right w:val="single" w:color="0D0D0D" w:sz="4" w:space="0"/>
            </w:tcBorders>
            <w:vAlign w:val="center"/>
          </w:tcPr>
          <w:p>
            <w:pPr>
              <w:widowControl/>
              <w:jc w:val="left"/>
              <w:rPr>
                <w:rFonts w:ascii="微软雅黑" w:hAnsi="微软雅黑" w:eastAsia="微软雅黑" w:cs="宋体"/>
                <w:b/>
                <w:bCs/>
                <w:kern w:val="0"/>
                <w:sz w:val="18"/>
                <w:szCs w:val="18"/>
              </w:rPr>
            </w:pPr>
          </w:p>
        </w:tc>
      </w:tr>
      <w:tr>
        <w:tblPrEx>
          <w:tblCellMar>
            <w:top w:w="0" w:type="dxa"/>
            <w:left w:w="108" w:type="dxa"/>
            <w:bottom w:w="0" w:type="dxa"/>
            <w:right w:w="108" w:type="dxa"/>
          </w:tblCellMar>
        </w:tblPrEx>
        <w:trPr>
          <w:trHeight w:val="2832" w:hRule="atLeast"/>
        </w:trPr>
        <w:tc>
          <w:tcPr>
            <w:tcW w:w="6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w:t>
            </w:r>
          </w:p>
        </w:tc>
        <w:tc>
          <w:tcPr>
            <w:tcW w:w="6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轻智能警戒机</w:t>
            </w:r>
          </w:p>
        </w:tc>
        <w:tc>
          <w:tcPr>
            <w:tcW w:w="56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具有400万像素 CMOS传感器。</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★内置GPU芯片。（公安部检验报告证明）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★内置红外与白光补光灯。（公安部检验报告证明）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★支持白光报警功能，当报警产生时，可触发联动白光闪烁。（公安部检验报告证明）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最低照度彩色：0.001 lx ，灰度等级不小于11级。（公安部检验报告证明）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白光补光距离不小于15米。（公安部检验报告证明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支持H.264、H.265视频编码格式，且具有High Profile编码能力。（公安部检验报告证明）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需具备区域入侵检测、越界检测、进入区域、离开区域等功能。（公安部检验报告证明）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需支持DC12V/POE供电。（公安部检验报告证明）</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台</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30</w:t>
            </w:r>
          </w:p>
        </w:tc>
      </w:tr>
      <w:tr>
        <w:tblPrEx>
          <w:tblCellMar>
            <w:top w:w="0" w:type="dxa"/>
            <w:left w:w="108" w:type="dxa"/>
            <w:bottom w:w="0" w:type="dxa"/>
            <w:right w:w="108" w:type="dxa"/>
          </w:tblCellMar>
        </w:tblPrEx>
        <w:trPr>
          <w:trHeight w:val="66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2</w:t>
            </w:r>
          </w:p>
        </w:tc>
        <w:tc>
          <w:tcPr>
            <w:tcW w:w="6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插墙式电源</w:t>
            </w:r>
          </w:p>
        </w:tc>
        <w:tc>
          <w:tcPr>
            <w:tcW w:w="5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12V/1A圆头、插墙式，国标，输出线长1500mm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38</w:t>
            </w:r>
          </w:p>
        </w:tc>
      </w:tr>
      <w:tr>
        <w:tblPrEx>
          <w:tblCellMar>
            <w:top w:w="0" w:type="dxa"/>
            <w:left w:w="108" w:type="dxa"/>
            <w:bottom w:w="0" w:type="dxa"/>
            <w:right w:w="108" w:type="dxa"/>
          </w:tblCellMar>
        </w:tblPrEx>
        <w:trPr>
          <w:trHeight w:val="1408"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3</w:t>
            </w:r>
          </w:p>
        </w:tc>
        <w:tc>
          <w:tcPr>
            <w:tcW w:w="6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网络红外球</w:t>
            </w:r>
          </w:p>
        </w:tc>
        <w:tc>
          <w:tcPr>
            <w:tcW w:w="5670" w:type="dxa"/>
            <w:tcBorders>
              <w:top w:val="nil"/>
              <w:left w:val="nil"/>
              <w:bottom w:val="single" w:color="auto" w:sz="4" w:space="0"/>
              <w:right w:val="single" w:color="auto" w:sz="4" w:space="0"/>
            </w:tcBorders>
            <w:shd w:val="clear" w:color="auto" w:fill="auto"/>
            <w:vAlign w:val="center"/>
          </w:tcPr>
          <w:p>
            <w:pPr>
              <w:widowControl/>
              <w:spacing w:after="240"/>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★视频输出支持2560×1440@25fps，分辨力不小于1400TVL，红外距离可达300米（以公安部检验报告为准）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支持23倍光学变焦</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★支持最低照度可达彩色0.0002Lux，黑白0.0001Lux（以公安部检验报告为准）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★支持水平手控速度不小于550°/S，垂直速度不小于120°/S，云台定位精度为±0.1°（以公安部检验报告为准）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水平旋转范围为360°连续旋转，垂直旋转范围为-20°~90°</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支持300个预置位，可按照所设置的预置位完成不小于8条巡航路径，支持不小于4条模式路径设置，支持预置位视频冻结功能；可实现RS485接口优先或RJ45网络接口优先控制功能</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样机可对设定区域内的运动目标在设定时间内持续跟踪，使该目标处于主视频图像中，样机可自动调节变倍，可对该目标抓拍图片并可手动切换跟踪目标</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★信噪比≥63dB，网络延时不大于100ms（以公安部检验报告为准）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★动态范围不小于106dB，照度适应范围不小于138dB，宽动态能力综合得分不小于135（以公安部检验报告为准）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★样机与客户端之间用300m五类非屏蔽网线直接连接，网络传输能力满足发送1500个数据包，重复测试3次，每次丢包数不大于1个（以公安部检验报告为准）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支持智能红外、透雾、强光抑制、电子防抖、数字降噪、防红外过曝功能</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支持区域遮盖功能，支持设置不少于24个不规则四边形区域，可设置不同颜色；支持3D定位、断电记忆功能；支持IP地址访问控制功能，支持定时抓图或报警联动抓图上传ftp功能</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支持三码流同时输出，主码流、第三码流同时支持2560×1440@30fps，2048×1536@30fps</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支持GB28181协议，支持标准Onvif协议</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支持区域入侵、越界入侵、徘徊、物品移除、物品遗留、人员聚集、停车，并联动报警</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具备较好的防护性能环境适应性，支持IP67，8kV防浪涌，工作温度范围可达-45℃-70℃</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4</w:t>
            </w:r>
          </w:p>
        </w:tc>
      </w:tr>
      <w:tr>
        <w:tblPrEx>
          <w:tblCellMar>
            <w:top w:w="0" w:type="dxa"/>
            <w:left w:w="108" w:type="dxa"/>
            <w:bottom w:w="0" w:type="dxa"/>
            <w:right w:w="108" w:type="dxa"/>
          </w:tblCellMar>
        </w:tblPrEx>
        <w:trPr>
          <w:trHeight w:val="61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4</w:t>
            </w:r>
          </w:p>
        </w:tc>
        <w:tc>
          <w:tcPr>
            <w:tcW w:w="6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壁装支架</w:t>
            </w:r>
          </w:p>
        </w:tc>
        <w:tc>
          <w:tcPr>
            <w:tcW w:w="5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壁装支架/白色/铝合金/尺寸306.3×97.3×182.6mm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4</w:t>
            </w:r>
          </w:p>
        </w:tc>
      </w:tr>
      <w:tr>
        <w:tblPrEx>
          <w:tblCellMar>
            <w:top w:w="0" w:type="dxa"/>
            <w:left w:w="108" w:type="dxa"/>
            <w:bottom w:w="0" w:type="dxa"/>
            <w:right w:w="108" w:type="dxa"/>
          </w:tblCellMar>
        </w:tblPrEx>
        <w:trPr>
          <w:trHeight w:val="7530"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5</w:t>
            </w:r>
          </w:p>
        </w:tc>
        <w:tc>
          <w:tcPr>
            <w:tcW w:w="6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轻智能警戒机</w:t>
            </w:r>
          </w:p>
        </w:tc>
        <w:tc>
          <w:tcPr>
            <w:tcW w:w="5670"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具有400万像素 CMOS传感器。</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★内置GPU芯片。（公安部检验报告证明）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★内置红外与白光补光灯。（公安部检验报告证明）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★支持白光报警功能，当报警产生时，可触发联动声音警报和白光闪烁。（公安部检验报告证明）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最大分辨率2560x1440。（公安部检验报告证明）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需具有20路取流路数能力，以满足更多用户同时在线访问摄像机视频。（公安部检验报告证明）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★最低照度彩色：0.0008 lx，黑白：0.0001 lx，灰度等级不小于11级。（公安部检验报告证明）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红外补光距离不小于85米。（公安部检验报告证明）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需具有黑白名单功能，其中白名单可添加不小于10个IP地址。（公安部检验报告证明）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需具有电子防抖、ROI感兴趣区域、SVC可伸缩编码、自动增益、背光补偿、数字降噪、强光抑制、走廊模式、视频水印等功能。（公安部检验报告证明）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摄像机能够在-30~60摄氏度，湿度小于93%环境下稳定工作。（公安部检验报告证明）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设备与客户端之间用100米网线进行传输，数据包丢包率小于0.1%。（公安部检验报告证明）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不低于IP67防尘防水等级。（公安部检验报告证明）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需支持DC12V供电，且在不小于DC12V±30%范围内变化时可以正常工作。（公安部检验报告证明）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设备工作状态时，支持空气放电8kV，接触放电6kV，通讯端口支持6kV峰值电压。（公安部检验报告证明）</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★同一静止场景相同图像质量下，设备在H.265编码方式时，开启智能编码功能和不开启智能编码相比，码率节约1/2。（公安部检验报告证明）</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8</w:t>
            </w:r>
          </w:p>
        </w:tc>
      </w:tr>
      <w:tr>
        <w:tblPrEx>
          <w:tblCellMar>
            <w:top w:w="0" w:type="dxa"/>
            <w:left w:w="108" w:type="dxa"/>
            <w:bottom w:w="0" w:type="dxa"/>
            <w:right w:w="108" w:type="dxa"/>
          </w:tblCellMar>
        </w:tblPrEx>
        <w:trPr>
          <w:trHeight w:val="944"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6</w:t>
            </w:r>
          </w:p>
        </w:tc>
        <w:tc>
          <w:tcPr>
            <w:tcW w:w="6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壁装支架</w:t>
            </w:r>
          </w:p>
        </w:tc>
        <w:tc>
          <w:tcPr>
            <w:tcW w:w="5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　壁装支架/白色/铝合金/尺寸70×97.1×173.4mm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8</w:t>
            </w:r>
          </w:p>
        </w:tc>
      </w:tr>
      <w:tr>
        <w:tblPrEx>
          <w:tblCellMar>
            <w:top w:w="0" w:type="dxa"/>
            <w:left w:w="108" w:type="dxa"/>
            <w:bottom w:w="0" w:type="dxa"/>
            <w:right w:w="108" w:type="dxa"/>
          </w:tblCellMar>
        </w:tblPrEx>
        <w:trPr>
          <w:trHeight w:val="13598"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7</w:t>
            </w:r>
          </w:p>
        </w:tc>
        <w:tc>
          <w:tcPr>
            <w:tcW w:w="6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LCD拼接屏</w:t>
            </w:r>
          </w:p>
        </w:tc>
        <w:tc>
          <w:tcPr>
            <w:tcW w:w="567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LCD显示单元为：55“超窄边液晶屏；物理分辨率达到1920×1080，响应时间≤8ms。</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LCD显示单元物理拼缝≤3.5mm，亮度达到600cd/</w:t>
            </w:r>
            <w:r>
              <w:rPr>
                <w:rFonts w:hint="eastAsia" w:ascii="宋体" w:hAnsi="宋体" w:eastAsia="宋体" w:cs="宋体"/>
                <w:kern w:val="0"/>
                <w:sz w:val="16"/>
                <w:szCs w:val="16"/>
              </w:rPr>
              <w:t>㎡</w:t>
            </w:r>
            <w:r>
              <w:rPr>
                <w:rFonts w:hint="eastAsia" w:ascii="微软雅黑" w:hAnsi="微软雅黑" w:eastAsia="微软雅黑" w:cs="微软雅黑"/>
                <w:kern w:val="0"/>
                <w:sz w:val="16"/>
                <w:szCs w:val="16"/>
              </w:rPr>
              <w:t>，对比度达到</w:t>
            </w:r>
            <w:r>
              <w:rPr>
                <w:rFonts w:hint="eastAsia" w:ascii="微软雅黑" w:hAnsi="微软雅黑" w:eastAsia="微软雅黑" w:cs="宋体"/>
                <w:kern w:val="0"/>
                <w:sz w:val="16"/>
                <w:szCs w:val="16"/>
              </w:rPr>
              <w:t>7000:1，图像显示清晰度≥950TVL，亮度鉴别等级为11级。提供公安部检测报告复印件。</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LCD显示单元具备VGA×1，HDMI×1，DVI×1，BNC×1视频输入接口，具备RJ45×2，USB×1，红外*1控制接口</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★输出接口：VGA×1，DVI×1，BNC×1（需提供公安部检测报告的接口照片）</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LCD显示单元需提供CCC、CE、FCC、RoHS检测报告。</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为保证产品具备良好的防护性和稳定性，LCD显示单元需提供封面首页具有CNAS标识的盐雾试验、防火、防尘等级IP6X检测报告复印件。</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LCD显示单元采用超宽视角液晶屏，视角可达178°。屏幕漏光度小于等于0.006cd/</w:t>
            </w:r>
            <w:r>
              <w:rPr>
                <w:rFonts w:hint="eastAsia" w:ascii="宋体" w:hAnsi="宋体" w:eastAsia="宋体" w:cs="宋体"/>
                <w:kern w:val="0"/>
                <w:sz w:val="16"/>
                <w:szCs w:val="16"/>
              </w:rPr>
              <w:t>㎡</w:t>
            </w:r>
            <w:r>
              <w:rPr>
                <w:rFonts w:hint="eastAsia" w:ascii="微软雅黑" w:hAnsi="微软雅黑" w:eastAsia="微软雅黑" w:cs="微软雅黑"/>
                <w:kern w:val="0"/>
                <w:sz w:val="16"/>
                <w:szCs w:val="16"/>
              </w:rPr>
              <w:t>，可抵抗太阳光等强光干扰</w:t>
            </w:r>
            <w:r>
              <w:rPr>
                <w:rFonts w:hint="eastAsia" w:ascii="微软雅黑" w:hAnsi="微软雅黑" w:eastAsia="微软雅黑" w:cs="宋体"/>
                <w:kern w:val="0"/>
                <w:sz w:val="16"/>
                <w:szCs w:val="16"/>
              </w:rPr>
              <w:t>,照度在95KLux能正常工作。提供针对漏光和抗强光的封面首页具有CNAS标识的第三方检测报告复印件。</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具有节能功能。可以实现拼接单元的自动变频节能功能。打开“节能模式”时，对应拼接单元上会依次显示实时百分比功率、实时功率、累计功率、节能减排等直观显示项目。显示单元支持定时屏保和开启。背光手动控制功能，可以手动调节背光;支持一键开启或关闭背光功能，实现节能环保效果。</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★LCD显示单元支持HDTVI同轴高清视频信号，带一入一出环通接口。支持分辨率：720P@50Hz/60Hz、720P@25Hz/30Hz、1080P@25Hz/30Hz。提供封面首页具有CNAS标识的第三方检测报告复印件。</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LCD显示单元内置黑白精显模式，可将彩色信号转换成黑白灰度模式并提高图像细节辨认能力。提供封面首页具有CNAS标识的第三方检测报告复印件。</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LCD显示单元需支持7色独立调整、精确色彩控制、肤色校正功能。内置图像处理引擎支持、RGBCMYF七种颜色亮度(IBC)、色调(IHC)、饱和度(ICC)独立调整。显示器需要具有厂家自带的自动校色系统，不需要人工参与自动对显示器进行色彩属性一致性校准。显示器色温可以以100K为单位，在2000K至10000K之间调节。提供封面首页具有CNAS标识的第三方检测报告复印件。</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液晶单元具备倍增畅显功能,可将输入的25/30 帧图像转成50/60 帧输出,使图像更加流畅</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LCD显示单元内置wifi模块，支持无线管理，支持手机短信及网络邮件报警功能，显示屏出现异常时可通过互联网进行邮件和短信报警。提供封面首页具有CNAS标识的第三方检测报告复印件。</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LCD显示单元通过调整γ曲线，使得实际γ曲线更为平滑且更为准确，从而提升显示设备的显示效果。</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★液晶显示单元具有色坐标一致性，根据CIE1931标准色度系统，液晶显示单元色坐标误差在±0.01以内。（提供封面具有CMA、ilac-MRA、CNAS标志的权威检测机构的检测报告）</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★液晶显示单元的风扇具备良好的散热效果，风扇散热性能≥30%。（提供封面具有CMA、ilac-MRA、CNAS标志的权威检测机构的检测报告）</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★液晶显示单元客户端具备能力集收集、设备工作状态展示功能。（提供封面具有CMA、ilac-MRA、CNAS标志的权威检测机构的检测报告）</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4</w:t>
            </w:r>
          </w:p>
        </w:tc>
      </w:tr>
      <w:tr>
        <w:tblPrEx>
          <w:tblCellMar>
            <w:top w:w="0" w:type="dxa"/>
            <w:left w:w="108" w:type="dxa"/>
            <w:bottom w:w="0" w:type="dxa"/>
            <w:right w:w="108" w:type="dxa"/>
          </w:tblCellMar>
        </w:tblPrEx>
        <w:trPr>
          <w:trHeight w:val="900"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8</w:t>
            </w:r>
          </w:p>
        </w:tc>
        <w:tc>
          <w:tcPr>
            <w:tcW w:w="60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LCD拼接屏支架</w:t>
            </w:r>
          </w:p>
        </w:tc>
        <w:tc>
          <w:tcPr>
            <w:tcW w:w="567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支架均采用SPCC优质冷轧钢板保障质量的源头（材质证明）；表面采用静电喷塑工艺，喷塑固化温度180-210度，涂层厚度80-100微米，对高防腐要求产品还可选择阴极电泳底漆工艺，防腐耐锈。户外支架外观材料可依据场景选择如冷板、SUS304、SUS316、铝塑板、铝单板等材料，表面处理方式可选户外塑粉、喷漆、氟碳漆等工艺。</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个</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4</w:t>
            </w:r>
          </w:p>
        </w:tc>
      </w:tr>
      <w:tr>
        <w:tblPrEx>
          <w:tblCellMar>
            <w:top w:w="0" w:type="dxa"/>
            <w:left w:w="108" w:type="dxa"/>
            <w:bottom w:w="0" w:type="dxa"/>
            <w:right w:w="108" w:type="dxa"/>
          </w:tblCellMar>
        </w:tblPrEx>
        <w:trPr>
          <w:trHeight w:val="6915"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9</w:t>
            </w:r>
          </w:p>
        </w:tc>
        <w:tc>
          <w:tcPr>
            <w:tcW w:w="6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视频综合平台一体机</w:t>
            </w:r>
          </w:p>
        </w:tc>
        <w:tc>
          <w:tcPr>
            <w:tcW w:w="567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投标产品需提供权威机构所出具的CCC、RoHS、CE、FCC检测报告。</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★投标产品为框架式结构，采用无源背板，机箱不小于13个板卡插槽，系统稳定可靠。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★投标产品主控板具有4个串口，每个串口挂载8个RS485控制设备，可将IP数据发送给串口。（提供公安部出具的型式检验报告复印件加盖原厂商公章）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投标产品支持视频输入通道参数设置功能，可对单个视频输入通道进行分辨率、帧率、码率、亮度、对比度、饱和度、色调、去噪等参数设置，图像显示模式可设定标准、室内、室外、弱光等显示模式进行设置。（提供公安部出具的型式检验报告复印件加盖原厂商公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投标产品具备视频遮挡报警、视频丢失报警、非法访问报警、IP冲突报警等功能。</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★投标产品支持1、2、4、6、8、9、12、16、32、36、48、64画面分割显示。（提供公安部出具的型式检验报告复印件加盖原厂商公章）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投标产品支持将25帧或30帧的视频转换为50或60帧。（提供公安部出具的型式检验报告复印件加盖原厂商公章）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★投标产品具有同一输入通道的视频图像在不同输出端口显示的失步误差小于1ms。（提供公安部出具的型式检验报告复印件加盖原厂商公章）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★投标产品可通过无线终端将视音频、图片、PPT等传送到屏幕上显示。（提供公安部出具的型式检验报告复印件加盖原厂商公章）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★采用嵌入式非X86架构，主控板不具备X86架构特征元件（CPU、内存条、硬盘、VGA接口），并提供产品主控板照片；</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★投标产品的信号源采集后经过高速背板总线到输出显示所用平均时间应≤35ms；（提供公安部出具的封面具有CNAS标志的报告复印件加盖原厂商公章）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★投标产品的图像切换时间＜20ms。（提供公安部出具的封面具有CNAS标志的报告复印件加盖原厂商公章）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★投标产品支持解码中断时保留最后一帧的功能，解码板不同输出口以及跨解码板的输出口之间输出色彩无色差。（提供公安部出具的封面具有CNAS标志的报告复印件加盖原厂商公章）</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w:t>
            </w:r>
          </w:p>
        </w:tc>
      </w:tr>
      <w:tr>
        <w:tblPrEx>
          <w:tblCellMar>
            <w:top w:w="0" w:type="dxa"/>
            <w:left w:w="108" w:type="dxa"/>
            <w:bottom w:w="0" w:type="dxa"/>
            <w:right w:w="108" w:type="dxa"/>
          </w:tblCellMar>
        </w:tblPrEx>
        <w:trPr>
          <w:trHeight w:val="462"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10</w:t>
            </w:r>
          </w:p>
        </w:tc>
        <w:tc>
          <w:tcPr>
            <w:tcW w:w="6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线缆</w:t>
            </w:r>
          </w:p>
        </w:tc>
        <w:tc>
          <w:tcPr>
            <w:tcW w:w="5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HDMI电缆,7m,黑色</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根</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4</w:t>
            </w:r>
          </w:p>
        </w:tc>
      </w:tr>
      <w:tr>
        <w:tblPrEx>
          <w:tblCellMar>
            <w:top w:w="0" w:type="dxa"/>
            <w:left w:w="108" w:type="dxa"/>
            <w:bottom w:w="0" w:type="dxa"/>
            <w:right w:w="108" w:type="dxa"/>
          </w:tblCellMar>
        </w:tblPrEx>
        <w:trPr>
          <w:trHeight w:val="750"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11</w:t>
            </w:r>
          </w:p>
        </w:tc>
        <w:tc>
          <w:tcPr>
            <w:tcW w:w="6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电源线</w:t>
            </w:r>
          </w:p>
        </w:tc>
        <w:tc>
          <w:tcPr>
            <w:tcW w:w="5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RVV 2x1.0 无氧铜监控电源线</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盘</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12</w:t>
            </w:r>
          </w:p>
        </w:tc>
      </w:tr>
      <w:tr>
        <w:tblPrEx>
          <w:tblCellMar>
            <w:top w:w="0" w:type="dxa"/>
            <w:left w:w="108" w:type="dxa"/>
            <w:bottom w:w="0" w:type="dxa"/>
            <w:right w:w="108" w:type="dxa"/>
          </w:tblCellMar>
        </w:tblPrEx>
        <w:trPr>
          <w:trHeight w:val="615"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12</w:t>
            </w:r>
          </w:p>
        </w:tc>
        <w:tc>
          <w:tcPr>
            <w:tcW w:w="6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6类非屏蔽网线</w:t>
            </w:r>
          </w:p>
        </w:tc>
        <w:tc>
          <w:tcPr>
            <w:tcW w:w="5670"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芯线导体 芯线材料 无氧铜</w:t>
            </w:r>
          </w:p>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标称直径(mm) 0.565 上偏差 0.005</w:t>
            </w:r>
          </w:p>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芯线绝缘 绝缘材料 高密度聚乙烯</w:t>
            </w:r>
          </w:p>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外护套 护套厚度 0.55±0.05mm</w:t>
            </w:r>
          </w:p>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表面 光洁亮面,饱满收紧</w:t>
            </w:r>
          </w:p>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护套材料 PVC(符合RoHS)，CM</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箱</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10</w:t>
            </w:r>
          </w:p>
        </w:tc>
      </w:tr>
      <w:tr>
        <w:tblPrEx>
          <w:tblCellMar>
            <w:top w:w="0" w:type="dxa"/>
            <w:left w:w="108" w:type="dxa"/>
            <w:bottom w:w="0" w:type="dxa"/>
            <w:right w:w="108" w:type="dxa"/>
          </w:tblCellMar>
        </w:tblPrEx>
        <w:trPr>
          <w:trHeight w:val="6930"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13</w:t>
            </w:r>
          </w:p>
        </w:tc>
        <w:tc>
          <w:tcPr>
            <w:tcW w:w="6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汇聚交换机</w:t>
            </w:r>
          </w:p>
        </w:tc>
        <w:tc>
          <w:tcPr>
            <w:tcW w:w="567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固化10/100/1000M以太网电口≥24，100/1000M SFP千兆光接口≥4个，10/100/1000M复用电口≥2个，固化单交流电源，无风扇服务：3年售后质保</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★工作温度-5°-55°，提供官网截图，并加盖原厂鲜章；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产品功能</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★要求所投产品端口浪涌抗扰度≥10KV（即具备10KV的防雷能力），要求提供第三方测试报告作为证明，并加盖原厂鲜章；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★支持专门针对CPU的保护机制，能够针对发往CPU处理的各种报文进行流区分和优先级队列分级处理，保护交换机在各种环境下稳定工作</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支持RLDP，可快速检测链路的通断和光纤链路的单向性，并支持端口下的环路检测功能，</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管理特性</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投标时提供具有 CMA或CAL或CNAS认证章的第三方权威机构检验报告证明，并加盖原厂鲜章；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产品资质</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★提供工信部设备进网许可证；并且入网许可证须提供工信部官网查询结果截图及链接，并加盖原厂鲜章；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★要求所投设备遵守国家标准的设计规则，并提供中国质量认证中心出具的《中国国家强制性产品认证证书》，并加盖原厂鲜章；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公司资质</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★投标设备厂商拥有成熟的软件研发能力，须具备国内CMMI 5证书，出具证书及官网查询截图要求为中国区域，并加盖原厂鲜章；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★为保证产品质量，设备制造商须具备完善的供应链管理能力，提供ISO28000供应链安全管理体系认证证书，并加盖原厂鲜章；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★供应商需提供所投产品项目授权及售后服务承诺函并加盖原厂鲜章。</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2</w:t>
            </w:r>
          </w:p>
        </w:tc>
      </w:tr>
      <w:tr>
        <w:tblPrEx>
          <w:tblCellMar>
            <w:top w:w="0" w:type="dxa"/>
            <w:left w:w="108" w:type="dxa"/>
            <w:bottom w:w="0" w:type="dxa"/>
            <w:right w:w="108" w:type="dxa"/>
          </w:tblCellMar>
        </w:tblPrEx>
        <w:trPr>
          <w:trHeight w:val="7200"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14</w:t>
            </w:r>
          </w:p>
        </w:tc>
        <w:tc>
          <w:tcPr>
            <w:tcW w:w="6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接入交换机</w:t>
            </w:r>
          </w:p>
        </w:tc>
        <w:tc>
          <w:tcPr>
            <w:tcW w:w="567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固化10/100/1000M以太网电口≥48，100/1000M SFP千兆光接口≥4个，10/100/1000M复用电口≥2个，固化单交流电源，无风扇服务：3年售后质保</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★工作温度-5°-55°，提供官网截图，并加盖原厂鲜章；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产品功能</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★要求所投产品端口浪涌抗扰度≥10KV（即具备10KV的防雷能力），要求提供第三方测试报告作为证明，并加盖原厂鲜章；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★支持专门针对CPU的保护机制，能够针对发往CPU处理的各种报文进行流区分和优先级队列分级处理，保护交换机在各种环境下稳定工作</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支持RLDP，可快速检测链路的通断和光纤链路的单向性，并支持端口下的环路检测功能，</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管理特性</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设备自带云管理功能，支持一键设备发现，并在线生成交付验收报告；支持一键全网巡检操作，随时随地掌握网络健康状况，并自动生成巡检报告；支持短信认证、微信认证、web认证，支持认证页面自定义；支持一键升级、定时升级网络中的网络设备；支持分级分权功能，实现分布区域，统一管理等，投标时提供具有 CMA或CAL或CNAS认证章的第三方权威机构检验报告证明，并加盖原厂鲜章；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产品资质</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★提供工信部设备进网许可证；并且入网许可证须提供工信部官网查询结果截图及链接，并加盖原厂鲜章；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★要求所投设备遵守国家标准的设计规则，并提供中国质量认证中心出具的《中国国家强制性产品认证证书》，并加盖原厂鲜章；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公司资质</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★投标设备厂商拥有成熟的软件研发能力，须具备国内CMMI 5证书，出具证书及官网查询截图要求为中国区域，并加盖原厂鲜章；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★为保证产品质量，设备制造商须具备完善的供应链管理能力，提供ISO28000供应链安全管理体系认证证书，并加盖原厂鲜章；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★供应商需提供所投产品项目授权及售后服务承诺函并加盖原厂鲜章。</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台</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w:t>
            </w:r>
          </w:p>
        </w:tc>
      </w:tr>
      <w:tr>
        <w:tblPrEx>
          <w:tblCellMar>
            <w:top w:w="0" w:type="dxa"/>
            <w:left w:w="108" w:type="dxa"/>
            <w:bottom w:w="0" w:type="dxa"/>
            <w:right w:w="108" w:type="dxa"/>
          </w:tblCellMar>
        </w:tblPrEx>
        <w:trPr>
          <w:trHeight w:val="4527" w:hRule="atLeast"/>
        </w:trPr>
        <w:tc>
          <w:tcPr>
            <w:tcW w:w="66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15</w:t>
            </w:r>
          </w:p>
        </w:tc>
        <w:tc>
          <w:tcPr>
            <w:tcW w:w="609"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网络视频存储服务器</w:t>
            </w:r>
          </w:p>
        </w:tc>
        <w:tc>
          <w:tcPr>
            <w:tcW w:w="5670"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★支持秒级检索查看硬盘中录像文件（以公安部检测报告为准）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★支持重要录像片段秒级检测，秒级检索录像文件中的人员、车辆、人体等活动目标，并以弹窗形式来展示活动目标关联的录像片段（以公安部检测报告为准）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★支持图片文件秒级检索，秒级提取硬盘中人脸、车辆、人体等图片文件，用户可快速浏览全部通道中的图片文件（以公安部检测报告为准）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★支持录像文件分组显示；支持按车牌号分组显示车辆录像文件（以公安部检测报告为准）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★支持图表形式展示已添加的IP通道，支持自动抓拍一张图片作为IP通道封面（以公安部检测报告为准）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★支持接入双目、三目、800w、1600w球型鹰眼、2400w环型鹰眼相机，3200w相机，并可将视频画面以多画面分割方式显示，可自定义画面布局；</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★支持设备级联，NVR接入NVR、DVR、XVR设备，选择通道添加；</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★支持查看希捷硬盘健康状态信息，包括温度，震动，链路稳定性。并支持状态信息预警显示；支持查看最近7天（168小时）的硬盘状态显示信息（以公安部检测报告为准）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★支持本地预览权限的配置，设置权限后的通道只有登录后才会出现预览画面；支持远程预览加密，只有输入密钥才能解开视频（以公安部检测报告为准）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录像老化，老化模式将硬盘划分为重要录像和普通录像两个存储区（可设置两个存储区的容量比例），系统可自动计算并显示重要录像和普通录像的保存期限；普通录像文件超过保存期限后，系统自动分析普通录像中含有人员目标、车辆目标或者报警触发的录像片断并将其迁移保存至重要录像区实现对重要录像片断的保存（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★可对视频画面叠加10行字符，每行可输入22个汉字（以公安部检测报告为准）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★支持缩略图,录像回放中，当鼠标在进度条上移动时，可自动显示该时间点附近的视频画面图片（以公安部检测报告为准）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★可通过IE预览和回放双目相机的立体声（以公安部检测报告为准）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★支持报警输入触发一键撤防功能，撤防的报警类型可选（弹出报警画面、声音警告、上传中心、发送邮件、触发报警输出）（以公安部检测报告为准）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★支持密码安全,密码错误次数超过7次，锁定账号；设备密码定期提示修改、删除；支持密码复杂度等级显示；设备密码不允许明文显示和拷贝操作（以公安部检测报告为准）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★支持激活和重置，出厂设备需要激活；管理员密码重置需要安全码验证，支持通过安全问题恢复密码（以公安部检测报告为准）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★支持实时查看设备状态，包括CPU使用率、内存使用率、CPU温度、机箱温度、风扇转速等，支持查看录像老化状态，可通过日历形式查看老化记录（以公安部检测报告为准）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★支持快速浏览，录像回放中，拖动进度条可快速浏览视频画面，可通过鼠标移动快慢来控制视频播放速度（以公安部检测报告为准）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★支持实时监测并显示系统正在进行的录像备份任务，可查看剩余录像大小、剩余时间、备份进度百分比和进度条（以公安部检测报告为准）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★支持报警事件、异常事件实时计数提醒，并以图标形式在监控界面上提醒用户，用户可以点击报警图标，查看报警详情列表，可在列表中快速查看报警关联的录像（以公安部检测报告为准）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★支持调节鼠标指针的灵敏度（以公安部检测报告为准）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 支持智能后检索回放功能：接入支持智能后检索功能的IPC，录像回放时，可设置移动侦测区域、越界/区域入侵区域并进行检索，可自动跳过未触发设定规则的录像，只播放触发规则的录像，并且播放速度可设置（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★支持对任一录像文件打标签，单个文件最大支持1024个标签，设备可添加的标签个数不少于8192（以公安部检测报告为准）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★可接入支持ONVIF协议、RTSP协议、GB/T28181协议的设备，可通过私有协议方式接入第三方摄像机，可一键激活并添加局域网内IPC；可通过onvif接入H.265编码相机（以公安部检测报告为准）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多屏输出，支持2屏显示输出图像，其中HDMI和VGA接口可同源或异源输出视频图像，并可分别控制进行预览、回放、配置等操作；支持64/36/32/25/16/9/8/6/4/1分屏预览，可自定义画面分屏（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★支持接入2000万（拼接）摄像机显示，可自动跟踪或手动跟踪（以公安部检测报告为准）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★支持录像打包时间1-300分钟可设置（以公安部检测报告为准）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 支持1/8、1/4、1/2、1、2、4、8、16、32、64、128、256等倍速回放录像，支持录像回放的剪辑和回放截图功能（以公安部检测报告为准）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接入不支持人脸抓拍的网络摄像机，通过NVR智能分析实现人脸抓拍功能，并进行告警上报及联动；支持在NVR配置越界侦测、区域入侵，通过NVR分析检测，有异常时告警上报并进行联动处理；支持通过NVR车辆检测，识别车牌号码、车牌颜色、车辆类型、车辆品牌、车身颜色。（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可支持最大接入总带宽640Mbps的64路H.265编码、1080p格式的视频图像（以公安部检测报告为准）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支持RAID0、RAID1、RAID5、RAID6、RAID10、RAID50、RAID60、JBOD模式；支持一键创建RAID5阵列功能；可指定多块硬盘为全局热备盘；可设置未进行读写操作的硬盘、Raid组自动处于休眠状态（以公安部检测报告为准）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可接入H.265、H.264、MPEG4、smart265、smart264视频编码格式的IPC（以公安部检测报告为准）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对重要的数据能够进行备份，可按移动侦测、外部输入报警、智能侦测等事件类型进行数据备份，将录像文件或者图片保存至USB设备（U盘、移动硬盘）、eSATA盘、DVD刻录机等存储设备。（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支持配置备份计划，自动备份前24小时录像到eSATA盘</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支持WEB端，客户端远程下载录像</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行为分析侦测，接入带有越界侦测、区域入侵侦测、进入区域侦测、离开区域侦测、人员聚集侦测、快速移动侦测、物品遗留侦测、物品拿取侦测、停车侦测、徘徊侦测、场景变更侦测、虚焦侦测、音频异常侦测、PIR报警功能的网络摄像机，当触发报警时，可联动录像、抓拍并保存图片、弹出报警画面、声音警告、上传中心、发送邮件、触发报警输出，并按通道、时间、类型检索报警图片，录像搜索结果支持图片和列表两种展现形式。越界侦测、区域入侵、进入区域、离开区域支持识别目标大小，支持配置最大最小目标区域过滤侦测目标（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浓缩播放功能，录像回放中，移动侦测、外部输入报警、智能侦测等类型的重要录像，视频默认按正常速度播放，其他普通录像视频自动按高倍速播放，并支持自定义设置普通录像和重要录像的播放速度，支持跳过普通录像（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支持时间轴缩放：录像回放中支持设置时间轴范围，范围可选5分钟、10分钟、20分钟、1小时、2小时、4小时、8小时、12小时、16小时、20小时、24小时、2天、4天、1周、2周、4周</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支持即时存储和回放功能，可回放设备断电、断网前一秒的录像（以公安部检测报告为准）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支持将选中通道24小时内的录像文件按时间平均分配至多个窗口进行分时回放，窗口数量可配置，最大16分屏（以公安部检测报告为准）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图片直存功能：接入卡口摄像机，卡口摄像机识别到车牌后可将图片直接存入NVR，NVR可联动录像、抓拍并保存图片、弹出报警画面、声音警告、上传中心、发送邮件、触发报警输出，可按通道、时间、车牌号码检索图片（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支持设置走廊模式，对画面进行“左右”、“上下”、“中心”镜像翻转（以公安部检测报告为准）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支持配置导入导出功能：可通过IE浏览器、客户端软件以文档的形式导入导出设备配置文件，并且用户可编辑该文档（以公安部检测报告为准）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支持录像续传接收功能，接入具有断网续传功能的网络摄像机，当设备与摄像机之间网络中断并恢复后，可自动接收摄像机内存储的视频图像（以公安部检测报告为准）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支持整机热备份功能，设置一台备份硬盘录像机，当主设备异常离线时，备份设备替换主设备进行录像，当主设备正常时，备份设备可回传录像文件至主设备（以公安部检测报告为准）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支持接入带有客流统计功能的IPC，可检索客流量并按日、周、月、年统计生成报表（以公安部检测报告为准）；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支持接入带有热度图功能的IPC，可检索热度图并按日、周、月、年统计生成报表（以公安部检测报告为准）；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支持车牌侦测，接入带有车牌侦测报警功能的IPC，可导入导出车牌黑白名单，可单独设置黑白名单报警联动 、白名单报警联动，可设置图片叠加监测点编号、监测点信息、设备编号、车牌号码、抓拍时间等信息，当触发报警时，可联动录像、抓拍并保存图片、弹出报警画面、声音警告、上传中心、发送邮件、触发报警输出，可按通道、时间、车牌号码检索图片（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人脸侦测，接入带有人脸侦测报警功能的IPC，当触发报警时，可联动录像、抓拍并保存图片、弹出报警画面、声音警告、上传中心、发送邮件、触发报警输出，可按通道、时间检索图片（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支持通过客户端软件预览图像时，当网络带宽低于该通道码率时，自动抽帧处理，使预览画面无花屏、马赛克现象产生（以公安部检测报告为准）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支持抽帧回放：通过客户端软件远程回放录像时，样机可支持抽帧回放</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支持通过客户端软件预览或远程回放图像时，可重新编码一路与主码流不同分辨率、帧率、码率的图像（以公安部检测报告为准）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支持2个以太网口，可将2个网口设置不同网段的IP地址，分别接入不同网段IP地址的IPC（以公安部检测报告为准）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支持客户端与设备端进行实时双向对讲；支持客户端与设备的IP通道进行实时双向对讲，可通过设备端与IPC进行实时双向对讲（以公安部检测报告为准）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支持远程管理IPC功能，支持对前端IPC批量远程升级；支持远程对IPC的参数配置修改，支持IPC的参数复制配置到其他通道（以公安部检测报告为准）；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可设置定时抓图、移动侦测抓图、报警抓图、移动侦测且报警抓图、智能侦测抓图、手动抓图，可进行64路抓拍并存储1080P格式的图片（以公安部检测报告为准）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支持对任一录像文件加锁、解锁，只有解锁后才可被覆盖（以公安部检测报告为准）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支持系统备份功能，检测到一个系统异常时，可从另一个系统启动，并恢复异常系统（以公安部检测报告为准）</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支持16个SATA接，至少支持2个USB2.0，1个USB3.0接口；支持16路报警输入，4路报警输出接口（以公安部检测报告为准）</w:t>
            </w:r>
          </w:p>
        </w:tc>
        <w:tc>
          <w:tcPr>
            <w:tcW w:w="70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w:t>
            </w:r>
          </w:p>
        </w:tc>
      </w:tr>
    </w:tbl>
    <w:p>
      <w:pPr>
        <w:pStyle w:val="2"/>
      </w:pPr>
    </w:p>
    <w:p>
      <w:pPr>
        <w:pStyle w:val="2"/>
        <w:rPr>
          <w:rFonts w:hint="eastAsia" w:ascii="宋体" w:hAnsi="宋体"/>
          <w:b/>
          <w:color w:val="000000"/>
          <w:sz w:val="28"/>
          <w:szCs w:val="28"/>
        </w:rPr>
        <w:sectPr>
          <w:footerReference r:id="rId6" w:type="first"/>
          <w:footerReference r:id="rId5" w:type="default"/>
          <w:pgSz w:w="11906" w:h="16838"/>
          <w:pgMar w:top="1440" w:right="1080" w:bottom="1440" w:left="1080" w:header="851" w:footer="680" w:gutter="0"/>
          <w:pgNumType w:fmt="decimal" w:start="1"/>
          <w:cols w:space="720" w:num="1"/>
          <w:titlePg/>
          <w:docGrid w:type="lines" w:linePitch="312" w:charSpace="0"/>
        </w:sectPr>
      </w:pPr>
    </w:p>
    <w:p>
      <w:pPr>
        <w:pStyle w:val="3"/>
        <w:jc w:val="center"/>
      </w:pPr>
      <w:r>
        <w:rPr>
          <w:rFonts w:hint="eastAsia"/>
        </w:rPr>
        <w:t>第四部分</w:t>
      </w:r>
      <w:r>
        <w:t xml:space="preserve">  </w:t>
      </w:r>
      <w:r>
        <w:rPr>
          <w:rFonts w:hint="eastAsia"/>
        </w:rPr>
        <w:t>投标文件格式</w:t>
      </w:r>
      <w:bookmarkEnd w:id="58"/>
      <w:bookmarkEnd w:id="59"/>
    </w:p>
    <w:p>
      <w:pPr>
        <w:keepNext w:val="0"/>
        <w:keepLines w:val="0"/>
        <w:pageBreakBefore w:val="0"/>
        <w:widowControl w:val="0"/>
        <w:kinsoku/>
        <w:wordWrap/>
        <w:overflowPunct/>
        <w:topLinePunct w:val="0"/>
        <w:autoSpaceDE/>
        <w:autoSpaceDN/>
        <w:bidi w:val="0"/>
        <w:adjustRightInd w:val="0"/>
        <w:snapToGrid/>
        <w:spacing w:line="540" w:lineRule="exact"/>
        <w:ind w:firstLine="480" w:firstLineChars="200"/>
        <w:textAlignment w:val="auto"/>
        <w:rPr>
          <w:rFonts w:ascii="宋体" w:hAnsi="宋体"/>
          <w:sz w:val="24"/>
        </w:rPr>
      </w:pPr>
      <w:r>
        <w:rPr>
          <w:rFonts w:hint="eastAsia" w:ascii="宋体" w:hAnsi="宋体"/>
          <w:sz w:val="24"/>
        </w:rPr>
        <w:t>在此提交的《投标文件》，正本一份，副本四份，投标函信封一份，开标信封（含电子文本）一份。包括如下等内容：</w:t>
      </w:r>
    </w:p>
    <w:p>
      <w:pPr>
        <w:numPr>
          <w:ilvl w:val="0"/>
          <w:numId w:val="5"/>
        </w:numPr>
        <w:adjustRightInd w:val="0"/>
        <w:spacing w:line="560" w:lineRule="exact"/>
        <w:ind w:firstLine="560"/>
        <w:rPr>
          <w:rFonts w:ascii="宋体"/>
          <w:sz w:val="24"/>
        </w:rPr>
      </w:pPr>
      <w:r>
        <w:rPr>
          <w:rFonts w:hint="eastAsia" w:ascii="宋体" w:hAnsi="宋体"/>
          <w:sz w:val="24"/>
        </w:rPr>
        <w:t>投标函；</w:t>
      </w:r>
    </w:p>
    <w:p>
      <w:pPr>
        <w:numPr>
          <w:ilvl w:val="0"/>
          <w:numId w:val="5"/>
        </w:numPr>
        <w:adjustRightInd w:val="0"/>
        <w:spacing w:line="560" w:lineRule="exact"/>
        <w:ind w:firstLine="560"/>
        <w:rPr>
          <w:rFonts w:ascii="宋体"/>
          <w:sz w:val="24"/>
        </w:rPr>
      </w:pPr>
      <w:r>
        <w:rPr>
          <w:rFonts w:hint="eastAsia" w:ascii="宋体" w:hAnsi="宋体"/>
          <w:sz w:val="24"/>
        </w:rPr>
        <w:t>法定代表人身份证明；</w:t>
      </w:r>
    </w:p>
    <w:p>
      <w:pPr>
        <w:numPr>
          <w:ilvl w:val="0"/>
          <w:numId w:val="5"/>
        </w:numPr>
        <w:adjustRightInd w:val="0"/>
        <w:spacing w:line="560" w:lineRule="exact"/>
        <w:ind w:firstLine="560"/>
        <w:rPr>
          <w:rFonts w:ascii="宋体"/>
          <w:sz w:val="24"/>
        </w:rPr>
      </w:pPr>
      <w:r>
        <w:rPr>
          <w:rFonts w:hint="eastAsia" w:ascii="宋体" w:hAnsi="宋体"/>
          <w:sz w:val="24"/>
        </w:rPr>
        <w:t>法定代表人授权委托书；</w:t>
      </w:r>
    </w:p>
    <w:p>
      <w:pPr>
        <w:numPr>
          <w:ilvl w:val="0"/>
          <w:numId w:val="5"/>
        </w:numPr>
        <w:adjustRightInd w:val="0"/>
        <w:spacing w:line="560" w:lineRule="exact"/>
        <w:ind w:firstLine="560"/>
        <w:rPr>
          <w:rFonts w:ascii="宋体"/>
          <w:sz w:val="24"/>
        </w:rPr>
      </w:pPr>
      <w:r>
        <w:rPr>
          <w:rFonts w:hint="eastAsia" w:ascii="宋体" w:hAnsi="宋体"/>
          <w:sz w:val="24"/>
        </w:rPr>
        <w:t>投标保证金（复印件）</w:t>
      </w:r>
    </w:p>
    <w:p>
      <w:pPr>
        <w:numPr>
          <w:ilvl w:val="0"/>
          <w:numId w:val="5"/>
        </w:numPr>
        <w:adjustRightInd w:val="0"/>
        <w:spacing w:line="560" w:lineRule="exact"/>
        <w:ind w:firstLine="560"/>
        <w:rPr>
          <w:rFonts w:ascii="宋体"/>
          <w:sz w:val="24"/>
        </w:rPr>
      </w:pPr>
      <w:r>
        <w:rPr>
          <w:rFonts w:hint="eastAsia" w:ascii="宋体" w:hAnsi="宋体"/>
          <w:sz w:val="24"/>
        </w:rPr>
        <w:t>开标一览表；</w:t>
      </w:r>
    </w:p>
    <w:p>
      <w:pPr>
        <w:numPr>
          <w:ilvl w:val="0"/>
          <w:numId w:val="5"/>
        </w:numPr>
        <w:adjustRightInd w:val="0"/>
        <w:spacing w:line="560" w:lineRule="exact"/>
        <w:ind w:firstLine="560"/>
        <w:rPr>
          <w:rFonts w:ascii="宋体"/>
          <w:sz w:val="24"/>
        </w:rPr>
      </w:pPr>
      <w:r>
        <w:rPr>
          <w:rFonts w:hint="eastAsia" w:ascii="宋体" w:hAnsi="宋体"/>
          <w:sz w:val="24"/>
        </w:rPr>
        <w:t>投标报价明细表；</w:t>
      </w:r>
    </w:p>
    <w:p>
      <w:pPr>
        <w:numPr>
          <w:ilvl w:val="0"/>
          <w:numId w:val="5"/>
        </w:numPr>
        <w:adjustRightInd w:val="0"/>
        <w:spacing w:line="560" w:lineRule="exact"/>
        <w:ind w:firstLine="560"/>
        <w:rPr>
          <w:rFonts w:ascii="宋体"/>
          <w:sz w:val="24"/>
        </w:rPr>
      </w:pPr>
      <w:r>
        <w:rPr>
          <w:rFonts w:hint="eastAsia" w:ascii="宋体" w:hAnsi="宋体"/>
          <w:sz w:val="24"/>
        </w:rPr>
        <w:t>商务、技术规格偏离表；</w:t>
      </w:r>
      <w:r>
        <w:rPr>
          <w:rFonts w:ascii="宋体" w:hAnsi="宋体"/>
          <w:sz w:val="24"/>
        </w:rPr>
        <w:t xml:space="preserve"> </w:t>
      </w:r>
    </w:p>
    <w:p>
      <w:pPr>
        <w:numPr>
          <w:ilvl w:val="0"/>
          <w:numId w:val="5"/>
        </w:numPr>
        <w:adjustRightInd w:val="0"/>
        <w:spacing w:line="560" w:lineRule="exact"/>
        <w:ind w:firstLine="560"/>
        <w:rPr>
          <w:rFonts w:ascii="宋体"/>
          <w:sz w:val="24"/>
        </w:rPr>
      </w:pPr>
      <w:r>
        <w:rPr>
          <w:rFonts w:hint="eastAsia" w:ascii="宋体" w:hAnsi="宋体"/>
          <w:sz w:val="24"/>
          <w:lang w:eastAsia="zh-CN"/>
        </w:rPr>
        <w:t>供应商一般情况表</w:t>
      </w:r>
      <w:r>
        <w:rPr>
          <w:rFonts w:hint="eastAsia" w:ascii="宋体" w:hAnsi="宋体"/>
          <w:sz w:val="24"/>
        </w:rPr>
        <w:t>；</w:t>
      </w:r>
    </w:p>
    <w:p>
      <w:pPr>
        <w:numPr>
          <w:ilvl w:val="0"/>
          <w:numId w:val="5"/>
        </w:numPr>
        <w:adjustRightInd w:val="0"/>
        <w:spacing w:line="560" w:lineRule="exact"/>
        <w:ind w:firstLine="560"/>
        <w:rPr>
          <w:rFonts w:ascii="宋体"/>
          <w:sz w:val="24"/>
        </w:rPr>
      </w:pPr>
      <w:r>
        <w:rPr>
          <w:rFonts w:hint="eastAsia" w:ascii="宋体" w:hAnsi="宋体"/>
          <w:sz w:val="24"/>
        </w:rPr>
        <w:t>质量保证承诺；</w:t>
      </w:r>
    </w:p>
    <w:p>
      <w:pPr>
        <w:numPr>
          <w:ilvl w:val="0"/>
          <w:numId w:val="5"/>
        </w:numPr>
        <w:adjustRightInd w:val="0"/>
        <w:spacing w:line="560" w:lineRule="exact"/>
        <w:ind w:firstLine="560"/>
        <w:rPr>
          <w:rFonts w:ascii="宋体"/>
          <w:sz w:val="24"/>
        </w:rPr>
      </w:pPr>
      <w:r>
        <w:rPr>
          <w:rFonts w:hint="eastAsia" w:ascii="宋体" w:hAnsi="宋体"/>
          <w:sz w:val="24"/>
        </w:rPr>
        <w:t>售后服务保证措施承诺；</w:t>
      </w:r>
    </w:p>
    <w:p>
      <w:pPr>
        <w:numPr>
          <w:ilvl w:val="0"/>
          <w:numId w:val="5"/>
        </w:numPr>
        <w:adjustRightInd w:val="0"/>
        <w:spacing w:line="560" w:lineRule="exact"/>
        <w:ind w:firstLine="560"/>
        <w:rPr>
          <w:rFonts w:hint="eastAsia" w:ascii="宋体" w:hAnsi="宋体" w:eastAsia="宋体"/>
          <w:sz w:val="24"/>
          <w:lang w:val="en-US" w:eastAsia="zh-CN"/>
        </w:rPr>
      </w:pPr>
      <w:r>
        <w:rPr>
          <w:rFonts w:hint="eastAsia" w:ascii="宋体" w:hAnsi="宋体"/>
          <w:sz w:val="24"/>
        </w:rPr>
        <w:t>虚假应标承担责任声明；</w:t>
      </w:r>
    </w:p>
    <w:p>
      <w:pPr>
        <w:numPr>
          <w:ilvl w:val="0"/>
          <w:numId w:val="5"/>
        </w:numPr>
        <w:adjustRightInd w:val="0"/>
        <w:spacing w:line="560" w:lineRule="exact"/>
        <w:ind w:firstLine="560"/>
        <w:rPr>
          <w:rFonts w:ascii="宋体"/>
          <w:sz w:val="24"/>
        </w:rPr>
      </w:pPr>
      <w:r>
        <w:rPr>
          <w:rFonts w:hint="eastAsia" w:ascii="宋体" w:hAnsi="宋体"/>
          <w:sz w:val="24"/>
          <w:lang w:val="en-US" w:eastAsia="zh-CN"/>
        </w:rPr>
        <w:t>未被列入失信记录书面声明；</w:t>
      </w:r>
    </w:p>
    <w:p>
      <w:pPr>
        <w:numPr>
          <w:ilvl w:val="0"/>
          <w:numId w:val="5"/>
        </w:numPr>
        <w:adjustRightInd w:val="0"/>
        <w:spacing w:line="560" w:lineRule="exact"/>
        <w:ind w:firstLine="560"/>
        <w:rPr>
          <w:rFonts w:ascii="宋体"/>
          <w:sz w:val="24"/>
        </w:rPr>
      </w:pPr>
      <w:r>
        <w:rPr>
          <w:rFonts w:hint="eastAsia" w:ascii="宋体" w:hAnsi="宋体"/>
          <w:sz w:val="24"/>
        </w:rPr>
        <w:t>中小企业声明函；</w:t>
      </w:r>
    </w:p>
    <w:p>
      <w:pPr>
        <w:numPr>
          <w:ilvl w:val="0"/>
          <w:numId w:val="5"/>
        </w:numPr>
        <w:adjustRightInd w:val="0"/>
        <w:spacing w:line="560" w:lineRule="exact"/>
        <w:ind w:firstLine="560"/>
        <w:rPr>
          <w:rFonts w:ascii="宋体"/>
          <w:sz w:val="24"/>
        </w:rPr>
      </w:pPr>
      <w:r>
        <w:rPr>
          <w:rFonts w:hint="eastAsia" w:ascii="宋体" w:hAnsi="宋体"/>
          <w:sz w:val="24"/>
        </w:rPr>
        <w:t>小微企业价格评审优惠申请及承诺函；</w:t>
      </w:r>
    </w:p>
    <w:p>
      <w:pPr>
        <w:numPr>
          <w:ilvl w:val="0"/>
          <w:numId w:val="5"/>
        </w:numPr>
        <w:adjustRightInd w:val="0"/>
        <w:spacing w:line="560" w:lineRule="exact"/>
        <w:ind w:firstLine="560"/>
        <w:rPr>
          <w:rFonts w:hint="eastAsia" w:ascii="宋体" w:hAnsi="宋体" w:eastAsia="宋体" w:cs="宋体"/>
          <w:sz w:val="24"/>
          <w:lang w:eastAsia="zh-CN"/>
        </w:rPr>
      </w:pPr>
      <w:r>
        <w:rPr>
          <w:rFonts w:hint="eastAsia" w:ascii="宋体" w:hAnsi="宋体" w:eastAsia="宋体" w:cs="宋体"/>
          <w:sz w:val="24"/>
          <w:lang w:eastAsia="zh-CN"/>
        </w:rPr>
        <w:t>中小企业划型标准规定；</w:t>
      </w:r>
    </w:p>
    <w:p>
      <w:pPr>
        <w:numPr>
          <w:ilvl w:val="0"/>
          <w:numId w:val="0"/>
        </w:numPr>
        <w:adjustRightInd w:val="0"/>
        <w:spacing w:line="560" w:lineRule="exact"/>
        <w:ind w:right="0" w:rightChars="0" w:firstLine="480" w:firstLineChars="200"/>
        <w:rPr>
          <w:rFonts w:hint="default" w:ascii="宋体" w:hAnsi="宋体" w:eastAsia="宋体" w:cs="宋体"/>
          <w:sz w:val="24"/>
          <w:lang w:val="en-US" w:eastAsia="zh-CN"/>
        </w:rPr>
      </w:pPr>
      <w:r>
        <w:rPr>
          <w:rFonts w:hint="eastAsia" w:ascii="宋体" w:hAnsi="宋体" w:eastAsia="宋体" w:cs="宋体"/>
          <w:sz w:val="24"/>
          <w:lang w:val="en-US" w:eastAsia="zh-CN"/>
        </w:rPr>
        <w:t>十六、附件</w:t>
      </w:r>
    </w:p>
    <w:p>
      <w:pPr>
        <w:numPr>
          <w:ilvl w:val="0"/>
          <w:numId w:val="0"/>
        </w:numPr>
        <w:adjustRightInd w:val="0"/>
        <w:spacing w:line="560" w:lineRule="exact"/>
        <w:ind w:right="0" w:rightChars="0"/>
        <w:rPr>
          <w:rFonts w:hint="eastAsia" w:ascii="宋体" w:hAnsi="宋体" w:eastAsia="宋体" w:cs="宋体"/>
          <w:sz w:val="24"/>
          <w:lang w:eastAsia="zh-CN"/>
        </w:rPr>
      </w:pPr>
    </w:p>
    <w:p>
      <w:pPr>
        <w:pStyle w:val="2"/>
        <w:rPr>
          <w:rFonts w:ascii="宋体" w:cs="宋体"/>
          <w:b/>
          <w:sz w:val="28"/>
          <w:szCs w:val="28"/>
        </w:rPr>
      </w:pPr>
    </w:p>
    <w:p>
      <w:pPr>
        <w:pStyle w:val="2"/>
        <w:rPr>
          <w:rFonts w:ascii="宋体" w:cs="宋体"/>
          <w:b/>
          <w:sz w:val="28"/>
          <w:szCs w:val="28"/>
        </w:rPr>
      </w:pPr>
    </w:p>
    <w:p>
      <w:pPr>
        <w:pStyle w:val="2"/>
        <w:rPr>
          <w:rFonts w:ascii="宋体" w:cs="宋体"/>
          <w:b/>
          <w:sz w:val="28"/>
          <w:szCs w:val="28"/>
        </w:rPr>
      </w:pPr>
    </w:p>
    <w:p>
      <w:pPr>
        <w:adjustRightInd w:val="0"/>
        <w:spacing w:line="560" w:lineRule="exact"/>
        <w:ind w:firstLine="562" w:firstLineChars="200"/>
        <w:jc w:val="center"/>
        <w:rPr>
          <w:rFonts w:hint="eastAsia" w:ascii="宋体" w:hAnsi="宋体"/>
          <w:b/>
          <w:sz w:val="28"/>
          <w:szCs w:val="28"/>
        </w:rPr>
      </w:pPr>
      <w:bookmarkStart w:id="60" w:name="_Toc7414_WPSOffice_Level2"/>
      <w:bookmarkStart w:id="61" w:name="_Toc60421812"/>
    </w:p>
    <w:p>
      <w:pPr>
        <w:adjustRightInd w:val="0"/>
        <w:spacing w:line="560" w:lineRule="exact"/>
        <w:ind w:firstLine="562" w:firstLineChars="200"/>
        <w:jc w:val="center"/>
        <w:rPr>
          <w:rFonts w:ascii="宋体"/>
          <w:b/>
          <w:sz w:val="28"/>
          <w:szCs w:val="28"/>
        </w:rPr>
      </w:pPr>
      <w:r>
        <w:rPr>
          <w:rFonts w:hint="eastAsia" w:ascii="宋体" w:hAnsi="宋体"/>
          <w:b/>
          <w:sz w:val="28"/>
          <w:szCs w:val="28"/>
        </w:rPr>
        <w:t>开标信封及投标函信封格式</w:t>
      </w:r>
      <w:bookmarkEnd w:id="60"/>
      <w:bookmarkEnd w:id="61"/>
    </w:p>
    <w:p>
      <w:pPr>
        <w:adjustRightInd w:val="0"/>
        <w:spacing w:line="560" w:lineRule="exact"/>
        <w:ind w:firstLine="480" w:firstLineChars="200"/>
        <w:rPr>
          <w:rFonts w:ascii="宋体"/>
          <w:sz w:val="24"/>
        </w:rPr>
      </w:pPr>
      <w:r>
        <w:rPr>
          <w:rFonts w:hint="eastAsia" w:ascii="宋体" w:hAnsi="宋体"/>
          <w:sz w:val="24"/>
        </w:rPr>
        <w:t>请按以下内容填写开标信封、投标函信封抬头，并将黑框剪下，贴在开标信封及投标函信封外面，除非特殊情况，否则请不要更改信封格式</w:t>
      </w:r>
      <w:r>
        <w:rPr>
          <w:rFonts w:ascii="宋体" w:hAnsi="宋体"/>
          <w:sz w:val="24"/>
        </w:rPr>
        <w:t>:</w:t>
      </w:r>
    </w:p>
    <w:tbl>
      <w:tblPr>
        <w:tblStyle w:val="12"/>
        <w:tblW w:w="85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37"/>
        <w:gridCol w:w="51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2" w:hRule="atLeast"/>
          <w:jc w:val="center"/>
        </w:trPr>
        <w:tc>
          <w:tcPr>
            <w:tcW w:w="8505" w:type="dxa"/>
            <w:gridSpan w:val="2"/>
            <w:tcBorders>
              <w:top w:val="single" w:color="auto" w:sz="4" w:space="0"/>
            </w:tcBorders>
            <w:vAlign w:val="center"/>
          </w:tcPr>
          <w:p>
            <w:pPr>
              <w:adjustRightInd w:val="0"/>
              <w:spacing w:line="560" w:lineRule="exact"/>
              <w:ind w:firstLine="643" w:firstLineChars="200"/>
              <w:rPr>
                <w:rFonts w:ascii="宋体"/>
                <w:b/>
                <w:sz w:val="32"/>
              </w:rPr>
            </w:pPr>
            <w:r>
              <w:rPr>
                <w:rFonts w:hint="eastAsia" w:ascii="宋体" w:hAnsi="宋体"/>
                <w:b/>
                <w:sz w:val="32"/>
              </w:rPr>
              <w:t>开</w:t>
            </w:r>
            <w:r>
              <w:rPr>
                <w:rFonts w:ascii="宋体" w:hAnsi="宋体"/>
                <w:b/>
                <w:sz w:val="32"/>
              </w:rPr>
              <w:t xml:space="preserve"> </w:t>
            </w:r>
            <w:r>
              <w:rPr>
                <w:rFonts w:hint="eastAsia" w:ascii="宋体" w:hAnsi="宋体"/>
                <w:b/>
                <w:sz w:val="32"/>
              </w:rPr>
              <w:t>标</w:t>
            </w:r>
            <w:r>
              <w:rPr>
                <w:rFonts w:ascii="宋体" w:hAnsi="宋体"/>
                <w:b/>
                <w:sz w:val="32"/>
              </w:rPr>
              <w:t xml:space="preserve"> </w:t>
            </w:r>
            <w:r>
              <w:rPr>
                <w:rFonts w:hint="eastAsia" w:ascii="宋体" w:hAnsi="宋体"/>
                <w:b/>
                <w:sz w:val="32"/>
              </w:rPr>
              <w:t>信</w:t>
            </w:r>
            <w:r>
              <w:rPr>
                <w:rFonts w:ascii="宋体" w:hAnsi="宋体"/>
                <w:b/>
                <w:sz w:val="32"/>
              </w:rPr>
              <w:t xml:space="preserve"> </w:t>
            </w:r>
            <w:r>
              <w:rPr>
                <w:rFonts w:hint="eastAsia" w:ascii="宋体" w:hAnsi="宋体"/>
                <w:b/>
                <w:sz w:val="32"/>
              </w:rPr>
              <w:t>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13" w:hRule="atLeast"/>
          <w:jc w:val="center"/>
        </w:trPr>
        <w:tc>
          <w:tcPr>
            <w:tcW w:w="8505" w:type="dxa"/>
            <w:gridSpan w:val="2"/>
            <w:vAlign w:val="center"/>
          </w:tcPr>
          <w:p>
            <w:pPr>
              <w:adjustRightInd w:val="0"/>
              <w:spacing w:line="560" w:lineRule="exact"/>
              <w:ind w:firstLine="562" w:firstLineChars="200"/>
              <w:rPr>
                <w:rFonts w:ascii="宋体"/>
                <w:b/>
                <w:sz w:val="24"/>
              </w:rPr>
            </w:pPr>
            <w:r>
              <w:rPr>
                <w:rFonts w:hint="eastAsia" w:ascii="宋体" w:hAnsi="宋体"/>
                <w:b/>
                <w:sz w:val="28"/>
              </w:rPr>
              <w:t>致：</w:t>
            </w:r>
            <w:r>
              <w:rPr>
                <w:rFonts w:hint="eastAsia" w:ascii="宋体" w:hAnsi="宋体" w:eastAsia="宋体" w:cs="宋体"/>
                <w:b/>
                <w:sz w:val="28"/>
                <w:lang w:eastAsia="zh-CN"/>
              </w:rPr>
              <w:t>甘肃金盛招标代理有限公司</w:t>
            </w:r>
          </w:p>
          <w:p>
            <w:pPr>
              <w:adjustRightInd w:val="0"/>
              <w:spacing w:line="560" w:lineRule="exact"/>
              <w:ind w:firstLine="480" w:firstLineChars="200"/>
              <w:rPr>
                <w:rFonts w:ascii="宋体"/>
                <w:sz w:val="24"/>
              </w:rPr>
            </w:pPr>
            <w:r>
              <w:rPr>
                <w:rFonts w:hint="eastAsia" w:ascii="宋体" w:hAnsi="宋体"/>
                <w:sz w:val="24"/>
              </w:rPr>
              <w:t>项目名称：</w:t>
            </w:r>
            <w:r>
              <w:rPr>
                <w:rFonts w:ascii="宋体" w:hAnsi="宋体"/>
                <w:sz w:val="24"/>
              </w:rPr>
              <w:t xml:space="preserve"> </w:t>
            </w:r>
          </w:p>
          <w:p>
            <w:pPr>
              <w:adjustRightInd w:val="0"/>
              <w:spacing w:line="560" w:lineRule="exact"/>
              <w:ind w:firstLine="480" w:firstLineChars="200"/>
              <w:rPr>
                <w:rFonts w:ascii="宋体"/>
                <w:sz w:val="24"/>
              </w:rPr>
            </w:pPr>
            <w:r>
              <w:rPr>
                <w:rFonts w:hint="eastAsia" w:ascii="宋体" w:hAnsi="宋体"/>
                <w:sz w:val="24"/>
              </w:rPr>
              <w:t>交易编号：</w:t>
            </w:r>
          </w:p>
          <w:p>
            <w:pPr>
              <w:adjustRightInd w:val="0"/>
              <w:spacing w:line="560" w:lineRule="exact"/>
              <w:ind w:firstLine="480" w:firstLineChars="200"/>
              <w:rPr>
                <w:rFonts w:ascii="宋体"/>
                <w:sz w:val="30"/>
              </w:rPr>
            </w:pPr>
            <w:r>
              <w:rPr>
                <w:rFonts w:hint="eastAsia" w:ascii="宋体" w:hAnsi="宋体"/>
                <w:sz w:val="24"/>
              </w:rPr>
              <w:t>请于××年×月×日×时×分前不得启封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3337" w:type="dxa"/>
            <w:tcBorders>
              <w:bottom w:val="single" w:color="auto" w:sz="4" w:space="0"/>
            </w:tcBorders>
            <w:vAlign w:val="center"/>
          </w:tcPr>
          <w:p>
            <w:pPr>
              <w:adjustRightInd w:val="0"/>
              <w:spacing w:line="560" w:lineRule="exact"/>
              <w:ind w:firstLine="480" w:firstLineChars="200"/>
              <w:rPr>
                <w:rFonts w:ascii="宋体"/>
                <w:b/>
                <w:sz w:val="24"/>
              </w:rPr>
            </w:pPr>
            <w:r>
              <w:rPr>
                <w:rFonts w:hint="eastAsia" w:ascii="宋体" w:hAnsi="宋体"/>
                <w:sz w:val="24"/>
              </w:rPr>
              <w:t>供应商：</w:t>
            </w:r>
          </w:p>
        </w:tc>
        <w:tc>
          <w:tcPr>
            <w:tcW w:w="5168" w:type="dxa"/>
            <w:tcBorders>
              <w:bottom w:val="single" w:color="auto" w:sz="4" w:space="0"/>
            </w:tcBorders>
            <w:vAlign w:val="center"/>
          </w:tcPr>
          <w:p>
            <w:pPr>
              <w:adjustRightInd w:val="0"/>
              <w:spacing w:line="560" w:lineRule="exact"/>
              <w:ind w:firstLine="480" w:firstLineChars="200"/>
              <w:rPr>
                <w:rFonts w:ascii="宋体"/>
                <w:sz w:val="24"/>
              </w:rPr>
            </w:pPr>
            <w:r>
              <w:rPr>
                <w:rFonts w:hint="eastAsia" w:ascii="宋体" w:hAnsi="宋体"/>
                <w:sz w:val="24"/>
              </w:rPr>
              <w:t>（盖章）</w:t>
            </w:r>
          </w:p>
        </w:tc>
      </w:tr>
    </w:tbl>
    <w:p>
      <w:pPr>
        <w:adjustRightInd w:val="0"/>
        <w:spacing w:line="560" w:lineRule="exact"/>
        <w:rPr>
          <w:rFonts w:ascii="宋体" w:cs="宋体"/>
          <w:b/>
          <w:sz w:val="28"/>
          <w:szCs w:val="28"/>
        </w:rPr>
      </w:pPr>
    </w:p>
    <w:p>
      <w:pPr>
        <w:adjustRightInd w:val="0"/>
        <w:spacing w:line="560" w:lineRule="exact"/>
        <w:rPr>
          <w:rFonts w:ascii="宋体" w:cs="宋体"/>
          <w:b/>
          <w:sz w:val="28"/>
          <w:szCs w:val="28"/>
        </w:rPr>
      </w:pPr>
    </w:p>
    <w:tbl>
      <w:tblPr>
        <w:tblStyle w:val="12"/>
        <w:tblW w:w="850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337"/>
        <w:gridCol w:w="51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2" w:hRule="atLeast"/>
          <w:jc w:val="center"/>
        </w:trPr>
        <w:tc>
          <w:tcPr>
            <w:tcW w:w="8505" w:type="dxa"/>
            <w:gridSpan w:val="2"/>
            <w:tcBorders>
              <w:top w:val="single" w:color="auto" w:sz="4" w:space="0"/>
            </w:tcBorders>
            <w:vAlign w:val="center"/>
          </w:tcPr>
          <w:p>
            <w:pPr>
              <w:adjustRightInd w:val="0"/>
              <w:spacing w:line="560" w:lineRule="exact"/>
              <w:ind w:firstLine="643" w:firstLineChars="200"/>
              <w:rPr>
                <w:rFonts w:ascii="宋体"/>
                <w:b/>
                <w:sz w:val="32"/>
              </w:rPr>
            </w:pPr>
            <w:r>
              <w:rPr>
                <w:rFonts w:hint="eastAsia" w:ascii="宋体" w:hAnsi="宋体"/>
                <w:b/>
                <w:sz w:val="32"/>
              </w:rPr>
              <w:t>投</w:t>
            </w:r>
            <w:r>
              <w:rPr>
                <w:rFonts w:ascii="宋体" w:hAnsi="宋体"/>
                <w:b/>
                <w:sz w:val="32"/>
              </w:rPr>
              <w:t xml:space="preserve"> </w:t>
            </w:r>
            <w:r>
              <w:rPr>
                <w:rFonts w:hint="eastAsia" w:ascii="宋体" w:hAnsi="宋体"/>
                <w:b/>
                <w:sz w:val="32"/>
              </w:rPr>
              <w:t>标</w:t>
            </w:r>
            <w:r>
              <w:rPr>
                <w:rFonts w:ascii="宋体" w:hAnsi="宋体"/>
                <w:b/>
                <w:sz w:val="32"/>
              </w:rPr>
              <w:t xml:space="preserve"> </w:t>
            </w:r>
            <w:r>
              <w:rPr>
                <w:rFonts w:hint="eastAsia" w:ascii="宋体" w:hAnsi="宋体"/>
                <w:b/>
                <w:sz w:val="32"/>
              </w:rPr>
              <w:t>函</w:t>
            </w:r>
            <w:r>
              <w:rPr>
                <w:rFonts w:ascii="宋体" w:hAnsi="宋体"/>
                <w:b/>
                <w:sz w:val="32"/>
              </w:rPr>
              <w:t xml:space="preserve"> </w:t>
            </w:r>
            <w:r>
              <w:rPr>
                <w:rFonts w:hint="eastAsia" w:ascii="宋体" w:hAnsi="宋体"/>
                <w:b/>
                <w:sz w:val="32"/>
              </w:rPr>
              <w:t>信</w:t>
            </w:r>
            <w:r>
              <w:rPr>
                <w:rFonts w:ascii="宋体" w:hAnsi="宋体"/>
                <w:b/>
                <w:sz w:val="32"/>
              </w:rPr>
              <w:t xml:space="preserve"> </w:t>
            </w:r>
            <w:r>
              <w:rPr>
                <w:rFonts w:hint="eastAsia" w:ascii="宋体" w:hAnsi="宋体"/>
                <w:b/>
                <w:sz w:val="32"/>
              </w:rPr>
              <w:t>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13" w:hRule="atLeast"/>
          <w:jc w:val="center"/>
        </w:trPr>
        <w:tc>
          <w:tcPr>
            <w:tcW w:w="8505" w:type="dxa"/>
            <w:gridSpan w:val="2"/>
            <w:vAlign w:val="center"/>
          </w:tcPr>
          <w:p>
            <w:pPr>
              <w:adjustRightInd w:val="0"/>
              <w:spacing w:line="560" w:lineRule="exact"/>
              <w:ind w:firstLine="562" w:firstLineChars="200"/>
              <w:rPr>
                <w:rFonts w:hint="eastAsia" w:ascii="宋体" w:hAnsi="宋体" w:eastAsia="宋体" w:cs="宋体"/>
                <w:b/>
                <w:sz w:val="28"/>
              </w:rPr>
            </w:pPr>
            <w:r>
              <w:rPr>
                <w:rFonts w:hint="eastAsia" w:ascii="宋体" w:hAnsi="宋体"/>
                <w:b/>
                <w:sz w:val="28"/>
              </w:rPr>
              <w:t>致：</w:t>
            </w:r>
            <w:r>
              <w:rPr>
                <w:rFonts w:hint="eastAsia" w:ascii="宋体" w:hAnsi="宋体" w:eastAsia="宋体" w:cs="宋体"/>
                <w:b/>
                <w:sz w:val="28"/>
                <w:lang w:eastAsia="zh-CN"/>
              </w:rPr>
              <w:t>甘肃金盛招标代理有限公司</w:t>
            </w:r>
          </w:p>
          <w:p>
            <w:pPr>
              <w:adjustRightInd w:val="0"/>
              <w:spacing w:line="560" w:lineRule="exact"/>
              <w:ind w:firstLine="480" w:firstLineChars="200"/>
              <w:rPr>
                <w:rFonts w:ascii="宋体"/>
                <w:sz w:val="24"/>
              </w:rPr>
            </w:pPr>
            <w:r>
              <w:rPr>
                <w:rFonts w:hint="eastAsia" w:ascii="宋体" w:hAnsi="宋体"/>
                <w:sz w:val="24"/>
              </w:rPr>
              <w:t>项目名称：</w:t>
            </w:r>
          </w:p>
          <w:p>
            <w:pPr>
              <w:adjustRightInd w:val="0"/>
              <w:spacing w:line="560" w:lineRule="exact"/>
              <w:ind w:firstLine="480" w:firstLineChars="200"/>
              <w:rPr>
                <w:rFonts w:ascii="宋体"/>
                <w:sz w:val="24"/>
              </w:rPr>
            </w:pPr>
            <w:r>
              <w:rPr>
                <w:rFonts w:hint="eastAsia" w:ascii="宋体" w:hAnsi="宋体"/>
                <w:sz w:val="24"/>
              </w:rPr>
              <w:t>交易编号：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2" w:hRule="atLeast"/>
          <w:jc w:val="center"/>
        </w:trPr>
        <w:tc>
          <w:tcPr>
            <w:tcW w:w="3337" w:type="dxa"/>
            <w:tcBorders>
              <w:bottom w:val="single" w:color="auto" w:sz="4" w:space="0"/>
            </w:tcBorders>
            <w:vAlign w:val="center"/>
          </w:tcPr>
          <w:p>
            <w:pPr>
              <w:adjustRightInd w:val="0"/>
              <w:spacing w:line="560" w:lineRule="exact"/>
              <w:rPr>
                <w:rFonts w:ascii="宋体"/>
                <w:b/>
                <w:sz w:val="24"/>
              </w:rPr>
            </w:pPr>
          </w:p>
        </w:tc>
        <w:tc>
          <w:tcPr>
            <w:tcW w:w="5168" w:type="dxa"/>
            <w:tcBorders>
              <w:bottom w:val="single" w:color="auto" w:sz="4" w:space="0"/>
            </w:tcBorders>
            <w:vAlign w:val="center"/>
          </w:tcPr>
          <w:p>
            <w:pPr>
              <w:adjustRightInd w:val="0"/>
              <w:spacing w:line="560" w:lineRule="exact"/>
              <w:rPr>
                <w:rFonts w:ascii="宋体"/>
                <w:sz w:val="24"/>
              </w:rPr>
            </w:pPr>
            <w:r>
              <w:rPr>
                <w:rFonts w:hint="eastAsia" w:ascii="宋体" w:hAnsi="宋体"/>
                <w:sz w:val="24"/>
              </w:rPr>
              <w:t>供应商：</w:t>
            </w:r>
            <w:r>
              <w:rPr>
                <w:rFonts w:ascii="宋体" w:hAnsi="宋体"/>
                <w:sz w:val="24"/>
              </w:rPr>
              <w:t xml:space="preserve">            </w:t>
            </w:r>
            <w:r>
              <w:rPr>
                <w:rFonts w:hint="eastAsia" w:ascii="宋体" w:hAnsi="宋体"/>
                <w:sz w:val="24"/>
              </w:rPr>
              <w:t>（盖章）</w:t>
            </w:r>
          </w:p>
          <w:p>
            <w:pPr>
              <w:adjustRightInd w:val="0"/>
              <w:spacing w:line="560" w:lineRule="exact"/>
              <w:ind w:firstLine="480" w:firstLineChars="200"/>
              <w:rPr>
                <w:rFonts w:ascii="宋体"/>
                <w:sz w:val="24"/>
              </w:rPr>
            </w:pPr>
          </w:p>
        </w:tc>
      </w:tr>
    </w:tbl>
    <w:p>
      <w:pPr>
        <w:adjustRightInd w:val="0"/>
        <w:spacing w:line="560" w:lineRule="exact"/>
        <w:rPr>
          <w:rFonts w:ascii="宋体" w:cs="宋体"/>
          <w:b/>
          <w:sz w:val="28"/>
          <w:szCs w:val="28"/>
        </w:rPr>
      </w:pPr>
    </w:p>
    <w:p>
      <w:pPr>
        <w:adjustRightInd w:val="0"/>
        <w:spacing w:line="560" w:lineRule="exact"/>
        <w:rPr>
          <w:rFonts w:ascii="宋体" w:cs="宋体"/>
          <w:b/>
          <w:sz w:val="28"/>
          <w:szCs w:val="28"/>
        </w:rPr>
      </w:pPr>
    </w:p>
    <w:p>
      <w:pPr>
        <w:adjustRightInd w:val="0"/>
        <w:spacing w:line="560" w:lineRule="exact"/>
        <w:rPr>
          <w:rFonts w:ascii="宋体" w:cs="宋体"/>
          <w:b/>
          <w:sz w:val="28"/>
          <w:szCs w:val="28"/>
        </w:rPr>
      </w:pPr>
    </w:p>
    <w:p>
      <w:pPr>
        <w:pStyle w:val="2"/>
      </w:pPr>
    </w:p>
    <w:p>
      <w:pPr>
        <w:keepNext/>
        <w:keepLines/>
        <w:widowControl w:val="0"/>
        <w:adjustRightInd w:val="0"/>
        <w:spacing w:before="240" w:line="360" w:lineRule="auto"/>
        <w:jc w:val="center"/>
        <w:textAlignment w:val="baseline"/>
        <w:outlineLvl w:val="1"/>
        <w:rPr>
          <w:rFonts w:ascii="Arial" w:hAnsi="Arial" w:eastAsia="黑体" w:cs="Times New Roman"/>
          <w:b/>
          <w:kern w:val="0"/>
          <w:sz w:val="30"/>
          <w:szCs w:val="20"/>
          <w:lang w:val="en-US" w:eastAsia="zh-CN" w:bidi="ar-SA"/>
        </w:rPr>
      </w:pPr>
      <w:bookmarkStart w:id="62" w:name="_Toc809"/>
      <w:bookmarkStart w:id="63" w:name="_Toc1463_WPSOffice_Level2"/>
      <w:bookmarkStart w:id="64" w:name="_Toc8110_WPSOffice_Level2"/>
      <w:bookmarkStart w:id="65" w:name="_Toc452740886"/>
      <w:bookmarkStart w:id="66" w:name="_Toc30495"/>
      <w:bookmarkStart w:id="67" w:name="_Toc453835960"/>
      <w:r>
        <w:rPr>
          <w:rFonts w:hint="eastAsia" w:ascii="Arial" w:hAnsi="Arial" w:eastAsia="黑体" w:cs="Times New Roman"/>
          <w:b/>
          <w:kern w:val="0"/>
          <w:sz w:val="30"/>
          <w:szCs w:val="20"/>
          <w:lang w:val="en-US" w:eastAsia="zh-CN" w:bidi="ar-SA"/>
        </w:rPr>
        <w:t>一、投标函</w:t>
      </w:r>
      <w:bookmarkEnd w:id="62"/>
    </w:p>
    <w:p>
      <w:pPr>
        <w:autoSpaceDE/>
        <w:autoSpaceDN/>
        <w:adjustRightInd w:val="0"/>
        <w:spacing w:before="0" w:after="0" w:line="400" w:lineRule="exact"/>
        <w:ind w:left="0" w:right="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致：</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我方确认收到贵方提供的</w:t>
      </w:r>
      <w:r>
        <w:rPr>
          <w:rFonts w:hint="eastAsia" w:ascii="宋体" w:hAnsi="宋体" w:eastAsia="宋体" w:cs="Times New Roman"/>
          <w:kern w:val="2"/>
          <w:sz w:val="24"/>
          <w:szCs w:val="24"/>
          <w:lang w:val="en-US" w:eastAsia="zh-CN" w:bidi="ar-SA"/>
        </w:rPr>
        <w:t>交易编号</w:t>
      </w:r>
      <w:r>
        <w:rPr>
          <w:rFonts w:hint="eastAsia" w:ascii="宋体" w:hAnsi="宋体" w:eastAsia="宋体" w:cs="Times New Roman"/>
          <w:kern w:val="2"/>
          <w:sz w:val="24"/>
          <w:szCs w:val="24"/>
          <w:lang w:val="en-US" w:bidi="ar-SA"/>
        </w:rPr>
        <w:t>：</w:t>
      </w:r>
      <w:r>
        <w:rPr>
          <w:rFonts w:hint="eastAsia" w:ascii="宋体" w:hAnsi="宋体" w:eastAsia="宋体" w:cs="Times New Roman"/>
          <w:bCs/>
          <w:kern w:val="2"/>
          <w:sz w:val="24"/>
          <w:szCs w:val="24"/>
          <w:lang w:val="en-US" w:bidi="ar-SA"/>
        </w:rPr>
        <w:t>的《</w:t>
      </w:r>
      <w:r>
        <w:rPr>
          <w:rFonts w:hint="eastAsia" w:ascii="宋体" w:hAnsi="宋体" w:cs="Times New Roman"/>
          <w:bCs/>
          <w:kern w:val="2"/>
          <w:sz w:val="24"/>
          <w:szCs w:val="24"/>
          <w:lang w:val="en-US" w:eastAsia="zh-CN" w:bidi="ar-SA"/>
        </w:rPr>
        <w:t>招标</w:t>
      </w:r>
      <w:r>
        <w:rPr>
          <w:rFonts w:hint="eastAsia" w:ascii="宋体" w:hAnsi="宋体" w:eastAsia="宋体" w:cs="Times New Roman"/>
          <w:bCs/>
          <w:kern w:val="2"/>
          <w:sz w:val="24"/>
          <w:szCs w:val="24"/>
          <w:lang w:val="en-US" w:bidi="ar-SA"/>
        </w:rPr>
        <w:t>文件》</w:t>
      </w:r>
      <w:r>
        <w:rPr>
          <w:rFonts w:hint="eastAsia" w:ascii="宋体" w:hAnsi="宋体" w:eastAsia="宋体" w:cs="Times New Roman"/>
          <w:kern w:val="2"/>
          <w:sz w:val="24"/>
          <w:szCs w:val="24"/>
          <w:lang w:val="en-US" w:bidi="ar-SA"/>
        </w:rPr>
        <w:t>的全部内容，我方：</w:t>
      </w:r>
      <w:r>
        <w:rPr>
          <w:rFonts w:hint="eastAsia" w:ascii="宋体" w:hAnsi="宋体" w:eastAsia="宋体" w:cs="Times New Roman"/>
          <w:kern w:val="2"/>
          <w:sz w:val="24"/>
          <w:szCs w:val="24"/>
          <w:u w:val="single"/>
          <w:lang w:val="en-US" w:bidi="ar-SA"/>
        </w:rPr>
        <w:t>（投标人名称）</w:t>
      </w:r>
      <w:r>
        <w:rPr>
          <w:rFonts w:hint="eastAsia" w:ascii="宋体" w:hAnsi="宋体" w:eastAsia="宋体" w:cs="Times New Roman"/>
          <w:kern w:val="2"/>
          <w:sz w:val="24"/>
          <w:szCs w:val="24"/>
          <w:lang w:val="en-US" w:bidi="ar-SA"/>
        </w:rPr>
        <w:t>作为投标人正式授权</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（授权代表全名、职务）</w:t>
      </w:r>
      <w:r>
        <w:rPr>
          <w:rFonts w:hint="eastAsia" w:ascii="宋体" w:hAnsi="宋体" w:eastAsia="宋体" w:cs="Times New Roman"/>
          <w:kern w:val="2"/>
          <w:sz w:val="24"/>
          <w:szCs w:val="24"/>
          <w:lang w:val="en-US" w:bidi="ar-SA"/>
        </w:rPr>
        <w:t>代表我方进行有关本投标的一切事宜。</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我方已完全明白《</w:t>
      </w:r>
      <w:r>
        <w:rPr>
          <w:rFonts w:hint="eastAsia" w:ascii="宋体" w:hAnsi="宋体" w:cs="Times New Roman"/>
          <w:bCs/>
          <w:kern w:val="2"/>
          <w:sz w:val="24"/>
          <w:szCs w:val="24"/>
          <w:lang w:val="en-US" w:eastAsia="zh-CN" w:bidi="ar-SA"/>
        </w:rPr>
        <w:t>招标</w:t>
      </w:r>
      <w:r>
        <w:rPr>
          <w:rFonts w:hint="eastAsia" w:ascii="宋体" w:hAnsi="宋体" w:eastAsia="宋体" w:cs="Times New Roman"/>
          <w:bCs/>
          <w:kern w:val="2"/>
          <w:sz w:val="24"/>
          <w:szCs w:val="24"/>
          <w:lang w:val="en-US" w:bidi="ar-SA"/>
        </w:rPr>
        <w:t>文件》</w:t>
      </w:r>
      <w:r>
        <w:rPr>
          <w:rFonts w:hint="eastAsia" w:ascii="宋体" w:hAnsi="宋体" w:eastAsia="宋体" w:cs="Times New Roman"/>
          <w:kern w:val="2"/>
          <w:sz w:val="24"/>
          <w:szCs w:val="24"/>
          <w:lang w:val="en-US" w:bidi="ar-SA"/>
        </w:rPr>
        <w:t>的所有条款要求，并重申以下几点：</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（一）我方决定参加：</w:t>
      </w:r>
      <w:r>
        <w:rPr>
          <w:rFonts w:hint="eastAsia" w:ascii="宋体" w:hAnsi="宋体" w:eastAsia="宋体" w:cs="Times New Roman"/>
          <w:kern w:val="2"/>
          <w:sz w:val="24"/>
          <w:szCs w:val="24"/>
          <w:lang w:val="en-US" w:eastAsia="zh-CN" w:bidi="ar-SA"/>
        </w:rPr>
        <w:t>交易编号</w:t>
      </w:r>
      <w:r>
        <w:rPr>
          <w:rFonts w:hint="eastAsia" w:ascii="宋体" w:hAnsi="宋体" w:eastAsia="宋体" w:cs="Times New Roman"/>
          <w:kern w:val="2"/>
          <w:sz w:val="24"/>
          <w:szCs w:val="24"/>
          <w:lang w:val="en-US" w:bidi="ar-SA"/>
        </w:rPr>
        <w:t>为</w:t>
      </w:r>
      <w:r>
        <w:rPr>
          <w:rFonts w:hint="eastAsia" w:ascii="宋体" w:hAnsi="宋体" w:eastAsia="宋体" w:cs="Times New Roman"/>
          <w:kern w:val="2"/>
          <w:sz w:val="24"/>
          <w:szCs w:val="24"/>
          <w:u w:val="single"/>
          <w:lang w:val="en-US" w:eastAsia="zh-CN" w:bidi="ar-SA"/>
        </w:rPr>
        <w:t xml:space="preserve">          </w:t>
      </w:r>
      <w:r>
        <w:rPr>
          <w:rFonts w:hint="eastAsia"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bidi="ar-SA"/>
        </w:rPr>
        <w:t>的投标；</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（二）本《</w:t>
      </w:r>
      <w:r>
        <w:rPr>
          <w:rFonts w:hint="eastAsia" w:ascii="宋体" w:hAnsi="宋体" w:cs="Times New Roman"/>
          <w:kern w:val="2"/>
          <w:sz w:val="24"/>
          <w:szCs w:val="24"/>
          <w:lang w:val="en-US" w:eastAsia="zh-CN" w:bidi="ar-SA"/>
        </w:rPr>
        <w:t>投标</w:t>
      </w:r>
      <w:r>
        <w:rPr>
          <w:rFonts w:hint="eastAsia" w:ascii="宋体" w:hAnsi="宋体" w:eastAsia="宋体" w:cs="Times New Roman"/>
          <w:kern w:val="2"/>
          <w:sz w:val="24"/>
          <w:szCs w:val="24"/>
          <w:lang w:val="en-US" w:bidi="ar-SA"/>
        </w:rPr>
        <w:t>文件》的有效期在投标截止日后</w:t>
      </w:r>
      <w:r>
        <w:rPr>
          <w:rFonts w:ascii="宋体" w:hAnsi="宋体" w:eastAsia="宋体" w:cs="Times New Roman"/>
          <w:kern w:val="2"/>
          <w:sz w:val="24"/>
          <w:szCs w:val="24"/>
          <w:lang w:val="en-US" w:bidi="ar-SA"/>
        </w:rPr>
        <w:t>60</w:t>
      </w:r>
      <w:r>
        <w:rPr>
          <w:rFonts w:hint="eastAsia" w:ascii="宋体" w:hAnsi="宋体" w:eastAsia="宋体" w:cs="Times New Roman"/>
          <w:kern w:val="2"/>
          <w:sz w:val="24"/>
          <w:szCs w:val="24"/>
          <w:lang w:val="en-US" w:bidi="ar-SA"/>
        </w:rPr>
        <w:t>天有效，如成交，有效期将延至合同终止日为止；</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（三）我方已详细研究了《</w:t>
      </w:r>
      <w:r>
        <w:rPr>
          <w:rFonts w:hint="eastAsia" w:ascii="宋体" w:hAnsi="宋体" w:cs="Times New Roman"/>
          <w:kern w:val="2"/>
          <w:sz w:val="24"/>
          <w:szCs w:val="24"/>
          <w:lang w:val="en-US" w:eastAsia="zh-CN" w:bidi="ar-SA"/>
        </w:rPr>
        <w:t>招标</w:t>
      </w:r>
      <w:r>
        <w:rPr>
          <w:rFonts w:hint="eastAsia" w:ascii="宋体" w:hAnsi="宋体" w:eastAsia="宋体" w:cs="Times New Roman"/>
          <w:kern w:val="2"/>
          <w:sz w:val="24"/>
          <w:szCs w:val="24"/>
          <w:lang w:val="en-US" w:bidi="ar-SA"/>
        </w:rPr>
        <w:t>文件》的所有内容包括正文（如果有）和所有已提供的参考资料以及有关附件并完全明白，我方放弃在此方面提出含糊意见或误解的一切权力。</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（四）我方明白并愿意在规定的</w:t>
      </w:r>
      <w:r>
        <w:rPr>
          <w:rFonts w:hint="eastAsia" w:ascii="宋体" w:hAnsi="宋体" w:cs="Times New Roman"/>
          <w:kern w:val="2"/>
          <w:sz w:val="24"/>
          <w:szCs w:val="24"/>
          <w:lang w:val="en-US" w:eastAsia="zh-CN" w:bidi="ar-SA"/>
        </w:rPr>
        <w:t>招标</w:t>
      </w:r>
      <w:r>
        <w:rPr>
          <w:rFonts w:hint="eastAsia" w:ascii="宋体" w:hAnsi="宋体" w:eastAsia="宋体" w:cs="Times New Roman"/>
          <w:kern w:val="2"/>
          <w:sz w:val="24"/>
          <w:szCs w:val="24"/>
          <w:lang w:val="en-US" w:bidi="ar-SA"/>
        </w:rPr>
        <w:t>时间和日期之后、投标有效期之内撤回投标，则投标保证金将被监督方没收。</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（五）我方同意按照贵方可能提出的要求提供与投标有关的任何数据或信息。</w:t>
      </w:r>
    </w:p>
    <w:p>
      <w:pPr>
        <w:autoSpaceDE/>
        <w:autoSpaceDN/>
        <w:adjustRightInd w:val="0"/>
        <w:spacing w:before="0" w:after="0" w:line="400" w:lineRule="exact"/>
        <w:ind w:left="0" w:right="0" w:firstLine="480" w:firstLineChars="200"/>
        <w:jc w:val="both"/>
        <w:rPr>
          <w:rFonts w:ascii="宋体" w:hAnsi="Calibri" w:eastAsia="宋体" w:cs="Times New Roman"/>
          <w:spacing w:val="-6"/>
          <w:kern w:val="2"/>
          <w:sz w:val="24"/>
          <w:szCs w:val="24"/>
          <w:lang w:val="en-US" w:bidi="ar-SA"/>
        </w:rPr>
      </w:pPr>
      <w:r>
        <w:rPr>
          <w:rFonts w:hint="eastAsia" w:ascii="宋体" w:hAnsi="宋体" w:eastAsia="宋体" w:cs="Times New Roman"/>
          <w:kern w:val="2"/>
          <w:sz w:val="24"/>
          <w:szCs w:val="24"/>
          <w:lang w:val="en-US" w:bidi="ar-SA"/>
        </w:rPr>
        <w:t>（六）</w:t>
      </w:r>
      <w:r>
        <w:rPr>
          <w:rFonts w:hint="eastAsia" w:ascii="宋体" w:hAnsi="宋体" w:eastAsia="宋体" w:cs="Times New Roman"/>
          <w:spacing w:val="-6"/>
          <w:kern w:val="2"/>
          <w:sz w:val="24"/>
          <w:szCs w:val="24"/>
          <w:lang w:val="en-US" w:bidi="ar-SA"/>
        </w:rPr>
        <w:t>我方理解贵方不一定接受最低标价或任何贵方可能收到的投标。</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（七）我方如果成交，将保证履行</w:t>
      </w:r>
      <w:r>
        <w:rPr>
          <w:rFonts w:hint="eastAsia" w:ascii="宋体" w:hAnsi="宋体" w:cs="Times New Roman"/>
          <w:kern w:val="2"/>
          <w:sz w:val="24"/>
          <w:szCs w:val="24"/>
          <w:lang w:val="en-US" w:eastAsia="zh-CN" w:bidi="ar-SA"/>
        </w:rPr>
        <w:t>招标</w:t>
      </w:r>
      <w:r>
        <w:rPr>
          <w:rFonts w:hint="eastAsia" w:ascii="宋体" w:hAnsi="宋体" w:eastAsia="宋体" w:cs="Times New Roman"/>
          <w:kern w:val="2"/>
          <w:sz w:val="24"/>
          <w:szCs w:val="24"/>
          <w:lang w:val="en-US" w:bidi="ar-SA"/>
        </w:rPr>
        <w:t>文件及其补充文件中的全部责任和义务，保质、保量、按期完成合同中的全部任务。</w:t>
      </w:r>
    </w:p>
    <w:p>
      <w:pPr>
        <w:autoSpaceDE/>
        <w:autoSpaceDN/>
        <w:adjustRightInd w:val="0"/>
        <w:spacing w:before="0" w:after="0" w:line="400" w:lineRule="exact"/>
        <w:ind w:left="0" w:right="0" w:firstLine="480" w:firstLineChars="200"/>
        <w:jc w:val="both"/>
        <w:rPr>
          <w:rFonts w:ascii="宋体" w:hAnsi="Calibri" w:eastAsia="宋体" w:cs="Times New Roman"/>
          <w:spacing w:val="-6"/>
          <w:kern w:val="2"/>
          <w:sz w:val="24"/>
          <w:szCs w:val="24"/>
          <w:lang w:val="en-US" w:bidi="ar-SA"/>
        </w:rPr>
      </w:pPr>
      <w:r>
        <w:rPr>
          <w:rFonts w:hint="eastAsia" w:ascii="宋体" w:hAnsi="宋体" w:eastAsia="宋体" w:cs="Times New Roman"/>
          <w:kern w:val="2"/>
          <w:sz w:val="24"/>
          <w:szCs w:val="24"/>
          <w:lang w:val="en-US" w:bidi="ar-SA"/>
        </w:rPr>
        <w:t>（八）</w:t>
      </w:r>
      <w:r>
        <w:rPr>
          <w:rFonts w:hint="eastAsia" w:ascii="宋体" w:hAnsi="宋体" w:eastAsia="宋体" w:cs="Times New Roman"/>
          <w:spacing w:val="-6"/>
          <w:kern w:val="2"/>
          <w:sz w:val="24"/>
          <w:szCs w:val="24"/>
          <w:lang w:val="en-US" w:bidi="ar-SA"/>
        </w:rPr>
        <w:t>如我方成交，我方将在收到成交通知书之前，按《</w:t>
      </w:r>
      <w:r>
        <w:rPr>
          <w:rFonts w:hint="eastAsia" w:ascii="宋体" w:hAnsi="宋体" w:cs="Times New Roman"/>
          <w:spacing w:val="-6"/>
          <w:kern w:val="2"/>
          <w:sz w:val="24"/>
          <w:szCs w:val="24"/>
          <w:lang w:val="en-US" w:eastAsia="zh-CN" w:bidi="ar-SA"/>
        </w:rPr>
        <w:t>招标</w:t>
      </w:r>
      <w:r>
        <w:rPr>
          <w:rFonts w:hint="eastAsia" w:ascii="宋体" w:hAnsi="宋体" w:eastAsia="宋体" w:cs="Times New Roman"/>
          <w:spacing w:val="-6"/>
          <w:kern w:val="2"/>
          <w:sz w:val="24"/>
          <w:szCs w:val="24"/>
          <w:lang w:val="en-US" w:bidi="ar-SA"/>
        </w:rPr>
        <w:t>文件》中规定的标准一次性向</w:t>
      </w: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甘肃金盛招标代理有限公司</w:t>
      </w:r>
      <w:r>
        <w:rPr>
          <w:rFonts w:hint="eastAsia" w:ascii="宋体" w:hAnsi="宋体" w:eastAsia="宋体" w:cs="Times New Roman"/>
          <w:spacing w:val="-6"/>
          <w:kern w:val="2"/>
          <w:sz w:val="24"/>
          <w:szCs w:val="24"/>
          <w:lang w:val="en-US" w:bidi="ar-SA"/>
        </w:rPr>
        <w:t>交纳足额的代理服务费。</w:t>
      </w: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p>
    <w:p>
      <w:pPr>
        <w:autoSpaceDE/>
        <w:autoSpaceDN/>
        <w:adjustRightInd w:val="0"/>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（九）与本招标有关的函件请发往下列地址：</w:t>
      </w:r>
    </w:p>
    <w:p>
      <w:pPr>
        <w:autoSpaceDE/>
        <w:autoSpaceDN/>
        <w:spacing w:before="0" w:after="0" w:line="400" w:lineRule="exact"/>
        <w:ind w:left="0" w:right="0" w:firstLine="480" w:firstLineChars="20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地址：</w:t>
      </w:r>
      <w:r>
        <w:rPr>
          <w:rFonts w:ascii="宋体" w:hAnsi="宋体" w:eastAsia="宋体" w:cs="Times New Roman"/>
          <w:kern w:val="2"/>
          <w:sz w:val="24"/>
          <w:szCs w:val="24"/>
          <w:lang w:val="en-US" w:bidi="ar-SA"/>
        </w:rPr>
        <w:t xml:space="preserve"> </w:t>
      </w:r>
      <w:r>
        <w:rPr>
          <w:rFonts w:ascii="宋体" w:hAnsi="宋体" w:eastAsia="宋体" w:cs="Times New Roman"/>
          <w:kern w:val="2"/>
          <w:sz w:val="24"/>
          <w:szCs w:val="24"/>
          <w:u w:val="single"/>
          <w:lang w:val="en-US" w:bidi="ar-SA"/>
        </w:rPr>
        <w:t xml:space="preserve">                        </w:t>
      </w:r>
    </w:p>
    <w:p>
      <w:pPr>
        <w:autoSpaceDE/>
        <w:autoSpaceDN/>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邮编：</w:t>
      </w:r>
      <w:r>
        <w:rPr>
          <w:rFonts w:ascii="宋体" w:hAnsi="宋体" w:eastAsia="宋体" w:cs="Times New Roman"/>
          <w:kern w:val="2"/>
          <w:sz w:val="24"/>
          <w:szCs w:val="24"/>
          <w:u w:val="single"/>
          <w:lang w:val="en-US" w:bidi="ar-SA"/>
        </w:rPr>
        <w:t xml:space="preserve">                         </w:t>
      </w:r>
    </w:p>
    <w:p>
      <w:pPr>
        <w:autoSpaceDE/>
        <w:autoSpaceDN/>
        <w:spacing w:before="0" w:after="0" w:line="400" w:lineRule="exact"/>
        <w:ind w:left="0" w:right="0" w:firstLine="480" w:firstLineChars="20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电话：</w:t>
      </w:r>
      <w:r>
        <w:rPr>
          <w:rFonts w:ascii="宋体" w:hAnsi="宋体" w:eastAsia="宋体" w:cs="Times New Roman"/>
          <w:kern w:val="2"/>
          <w:sz w:val="24"/>
          <w:szCs w:val="24"/>
          <w:u w:val="single"/>
          <w:lang w:val="en-US" w:bidi="ar-SA"/>
        </w:rPr>
        <w:t xml:space="preserve">                         </w:t>
      </w:r>
    </w:p>
    <w:p>
      <w:pPr>
        <w:autoSpaceDE/>
        <w:autoSpaceDN/>
        <w:spacing w:before="0" w:after="0" w:line="400" w:lineRule="exact"/>
        <w:ind w:left="0" w:right="0" w:firstLine="480" w:firstLineChars="20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传真：</w:t>
      </w:r>
      <w:r>
        <w:rPr>
          <w:rFonts w:ascii="宋体" w:hAnsi="宋体" w:eastAsia="宋体" w:cs="Times New Roman"/>
          <w:kern w:val="2"/>
          <w:sz w:val="24"/>
          <w:szCs w:val="24"/>
          <w:u w:val="single"/>
          <w:lang w:val="en-US" w:bidi="ar-SA"/>
        </w:rPr>
        <w:t xml:space="preserve">                         </w:t>
      </w:r>
    </w:p>
    <w:p>
      <w:pPr>
        <w:autoSpaceDE/>
        <w:autoSpaceDN/>
        <w:spacing w:before="0" w:after="0" w:line="400" w:lineRule="exact"/>
        <w:ind w:left="0" w:right="0" w:firstLine="480" w:firstLineChars="20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电子函件：</w:t>
      </w:r>
      <w:r>
        <w:rPr>
          <w:rFonts w:ascii="宋体" w:hAnsi="宋体" w:eastAsia="宋体" w:cs="Times New Roman"/>
          <w:kern w:val="2"/>
          <w:sz w:val="24"/>
          <w:szCs w:val="24"/>
          <w:u w:val="single"/>
          <w:lang w:val="en-US" w:bidi="ar-SA"/>
        </w:rPr>
        <w:t xml:space="preserve">                     </w:t>
      </w:r>
    </w:p>
    <w:p>
      <w:pPr>
        <w:autoSpaceDE/>
        <w:autoSpaceDN/>
        <w:spacing w:before="0" w:after="0" w:line="400" w:lineRule="exact"/>
        <w:ind w:left="0" w:right="0" w:firstLine="480" w:firstLineChars="200"/>
        <w:jc w:val="both"/>
        <w:rPr>
          <w:rFonts w:ascii="宋体" w:hAnsi="Calibri" w:eastAsia="宋体" w:cs="宋体"/>
          <w:b/>
          <w:kern w:val="2"/>
          <w:sz w:val="24"/>
          <w:szCs w:val="24"/>
          <w:lang w:val="en-US" w:bidi="ar-SA"/>
        </w:rPr>
      </w:pPr>
      <w:r>
        <w:rPr>
          <w:rFonts w:hint="eastAsia" w:ascii="宋体" w:hAnsi="宋体" w:eastAsia="宋体" w:cs="Times New Roman"/>
          <w:kern w:val="2"/>
          <w:sz w:val="24"/>
          <w:szCs w:val="24"/>
          <w:lang w:val="en-US" w:bidi="ar-SA"/>
        </w:rPr>
        <w:t>投标人代表签字：</w:t>
      </w:r>
      <w:r>
        <w:rPr>
          <w:rFonts w:ascii="宋体" w:hAnsi="宋体" w:eastAsia="宋体" w:cs="Times New Roman"/>
          <w:kern w:val="2"/>
          <w:sz w:val="24"/>
          <w:szCs w:val="24"/>
          <w:u w:val="single"/>
          <w:lang w:val="en-US" w:bidi="ar-SA"/>
        </w:rPr>
        <w:t xml:space="preserve">               </w:t>
      </w:r>
    </w:p>
    <w:p>
      <w:pPr>
        <w:autoSpaceDE/>
        <w:autoSpaceDN/>
        <w:spacing w:before="0" w:after="0" w:line="40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投标人名称：</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（盖章）</w:t>
      </w:r>
    </w:p>
    <w:p>
      <w:pPr>
        <w:autoSpaceDE/>
        <w:autoSpaceDN/>
        <w:spacing w:before="0" w:after="0" w:line="400" w:lineRule="exact"/>
        <w:ind w:left="0" w:right="0" w:firstLine="480" w:firstLineChars="20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日期：</w:t>
      </w:r>
      <w:r>
        <w:rPr>
          <w:rFonts w:ascii="宋体" w:hAnsi="宋体" w:eastAsia="宋体" w:cs="Times New Roman"/>
          <w:kern w:val="2"/>
          <w:sz w:val="24"/>
          <w:szCs w:val="24"/>
          <w:u w:val="single"/>
          <w:lang w:val="en-US" w:bidi="ar-SA"/>
        </w:rPr>
        <w:t xml:space="preserve">                         </w:t>
      </w:r>
    </w:p>
    <w:p>
      <w:pPr>
        <w:autoSpaceDE/>
        <w:autoSpaceDN/>
        <w:spacing w:before="0" w:after="0" w:line="560" w:lineRule="exact"/>
        <w:ind w:left="0" w:right="0" w:firstLine="560" w:firstLineChars="200"/>
        <w:jc w:val="both"/>
        <w:rPr>
          <w:rFonts w:ascii="宋体" w:hAnsi="Calibri" w:eastAsia="宋体" w:cs="Times New Roman"/>
          <w:kern w:val="2"/>
          <w:sz w:val="28"/>
          <w:szCs w:val="28"/>
          <w:u w:val="single"/>
          <w:lang w:val="en-US" w:bidi="ar-SA"/>
        </w:rPr>
      </w:pPr>
    </w:p>
    <w:p>
      <w:pPr>
        <w:autoSpaceDE/>
        <w:autoSpaceDN/>
        <w:spacing w:before="0" w:after="0" w:line="240" w:lineRule="auto"/>
        <w:ind w:left="0" w:right="0"/>
        <w:jc w:val="both"/>
        <w:rPr>
          <w:rFonts w:ascii="宋体" w:hAnsi="Calibri" w:eastAsia="宋体" w:cs="Times New Roman"/>
          <w:kern w:val="2"/>
          <w:sz w:val="28"/>
          <w:szCs w:val="28"/>
          <w:u w:val="single"/>
          <w:lang w:val="en-US" w:bidi="ar-SA"/>
        </w:rPr>
      </w:pPr>
    </w:p>
    <w:p>
      <w:pPr>
        <w:keepNext/>
        <w:keepLines/>
        <w:widowControl w:val="0"/>
        <w:adjustRightInd w:val="0"/>
        <w:spacing w:before="240" w:line="360" w:lineRule="auto"/>
        <w:jc w:val="center"/>
        <w:textAlignment w:val="baseline"/>
        <w:outlineLvl w:val="1"/>
        <w:rPr>
          <w:rFonts w:ascii="Arial" w:hAnsi="Arial" w:eastAsia="黑体" w:cs="Times New Roman"/>
          <w:b/>
          <w:kern w:val="0"/>
          <w:sz w:val="30"/>
          <w:szCs w:val="28"/>
          <w:lang w:val="en-US" w:eastAsia="zh-CN" w:bidi="ar-SA"/>
        </w:rPr>
      </w:pPr>
      <w:bookmarkStart w:id="68" w:name="_Toc10369"/>
      <w:r>
        <w:rPr>
          <w:rFonts w:hint="eastAsia" w:ascii="Arial" w:hAnsi="Arial" w:eastAsia="黑体" w:cs="Times New Roman"/>
          <w:b/>
          <w:kern w:val="0"/>
          <w:sz w:val="30"/>
          <w:szCs w:val="28"/>
          <w:lang w:val="en-US" w:eastAsia="zh-CN" w:bidi="ar-SA"/>
        </w:rPr>
        <w:t>二、法定代表人身份证明</w:t>
      </w:r>
      <w:bookmarkEnd w:id="68"/>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投标人名称：</w:t>
      </w:r>
      <w:r>
        <w:rPr>
          <w:rFonts w:hint="eastAsia" w:ascii="宋体" w:hAnsi="宋体" w:eastAsia="宋体" w:cs="Times New Roman"/>
          <w:kern w:val="2"/>
          <w:sz w:val="24"/>
          <w:szCs w:val="24"/>
          <w:u w:val="single"/>
          <w:lang w:val="en-US" w:bidi="ar-SA"/>
        </w:rPr>
        <w:t>　　　　　　　　　</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单位性质：</w:t>
      </w:r>
      <w:r>
        <w:rPr>
          <w:rFonts w:hint="eastAsia" w:ascii="宋体" w:hAnsi="宋体" w:eastAsia="宋体" w:cs="Times New Roman"/>
          <w:kern w:val="2"/>
          <w:sz w:val="24"/>
          <w:szCs w:val="24"/>
          <w:u w:val="single"/>
          <w:lang w:val="en-US" w:bidi="ar-SA"/>
        </w:rPr>
        <w:t>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地址：</w:t>
      </w:r>
      <w:r>
        <w:rPr>
          <w:rFonts w:hint="eastAsia" w:ascii="宋体" w:hAnsi="宋体" w:eastAsia="宋体" w:cs="Times New Roman"/>
          <w:kern w:val="2"/>
          <w:sz w:val="24"/>
          <w:szCs w:val="24"/>
          <w:u w:val="single"/>
          <w:lang w:val="en-US" w:bidi="ar-SA"/>
        </w:rPr>
        <w:t>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成立时间：</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年</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月</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日</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经营期限：</w:t>
      </w:r>
      <w:r>
        <w:rPr>
          <w:rFonts w:hint="eastAsia" w:ascii="宋体" w:hAnsi="宋体" w:eastAsia="宋体" w:cs="Times New Roman"/>
          <w:kern w:val="2"/>
          <w:sz w:val="24"/>
          <w:szCs w:val="24"/>
          <w:u w:val="single"/>
          <w:lang w:val="en-US" w:bidi="ar-SA"/>
        </w:rPr>
        <w:t>　　　　　　</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姓名：</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　性别：</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　年龄：</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　职务：</w:t>
      </w:r>
      <w:r>
        <w:rPr>
          <w:rFonts w:hint="eastAsia" w:ascii="宋体" w:hAnsi="宋体" w:eastAsia="宋体" w:cs="Times New Roman"/>
          <w:kern w:val="2"/>
          <w:sz w:val="24"/>
          <w:szCs w:val="24"/>
          <w:u w:val="single"/>
          <w:lang w:val="en-US" w:bidi="ar-SA"/>
        </w:rPr>
        <w:t>　</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u w:val="single"/>
          <w:lang w:val="en-US" w:bidi="ar-SA"/>
        </w:rPr>
        <w:t>　　　</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身份证号码：</w:t>
      </w:r>
      <w:r>
        <w:rPr>
          <w:rFonts w:hint="eastAsia" w:ascii="宋体" w:hAnsi="宋体" w:eastAsia="宋体" w:cs="Times New Roman"/>
          <w:kern w:val="2"/>
          <w:sz w:val="24"/>
          <w:szCs w:val="24"/>
          <w:u w:val="single"/>
          <w:lang w:val="en-US" w:bidi="ar-SA"/>
        </w:rPr>
        <w:t>　　　　　　</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系</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（投标人名称）的法定代表人。</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特此证明。</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（盖单位章）</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年</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月</w:t>
      </w:r>
      <w:r>
        <w:rPr>
          <w:rFonts w:hint="eastAsia" w:ascii="宋体" w:hAnsi="宋体" w:eastAsia="宋体" w:cs="Times New Roman"/>
          <w:kern w:val="2"/>
          <w:sz w:val="24"/>
          <w:szCs w:val="24"/>
          <w:u w:val="single"/>
          <w:lang w:val="en-US" w:bidi="ar-SA"/>
        </w:rPr>
        <w:t>　　</w:t>
      </w:r>
      <w:r>
        <w:rPr>
          <w:rFonts w:hint="eastAsia" w:ascii="宋体" w:hAnsi="宋体" w:eastAsia="宋体" w:cs="Times New Roman"/>
          <w:kern w:val="2"/>
          <w:sz w:val="24"/>
          <w:szCs w:val="24"/>
          <w:lang w:val="en-US" w:bidi="ar-SA"/>
        </w:rPr>
        <w:t>日</w:t>
      </w:r>
    </w:p>
    <w:p>
      <w:pPr>
        <w:autoSpaceDE/>
        <w:autoSpaceDN/>
        <w:adjustRightInd w:val="0"/>
        <w:spacing w:before="0" w:after="0" w:line="560" w:lineRule="exact"/>
        <w:ind w:left="0" w:right="0" w:firstLine="482" w:firstLineChars="200"/>
        <w:jc w:val="both"/>
        <w:rPr>
          <w:rFonts w:ascii="宋体" w:hAnsi="Calibri" w:eastAsia="宋体" w:cs="Times New Roman"/>
          <w:b/>
          <w:kern w:val="2"/>
          <w:sz w:val="24"/>
          <w:szCs w:val="24"/>
          <w:lang w:val="en-US" w:bidi="ar-SA"/>
        </w:rPr>
      </w:pPr>
      <w:r>
        <w:rPr>
          <w:rFonts w:hint="eastAsia" w:ascii="宋体" w:hAnsi="宋体" w:eastAsia="宋体" w:cs="Times New Roman"/>
          <w:b/>
          <w:kern w:val="2"/>
          <w:sz w:val="24"/>
          <w:szCs w:val="24"/>
          <w:lang w:val="en-US" w:bidi="ar-SA"/>
        </w:rPr>
        <w:t>法定代表人身份证明复印件：</w: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r>
        <w:rPr>
          <w:rFonts w:ascii="Calibri" w:hAnsi="Calibri" w:eastAsia="宋体" w:cs="Times New Roman"/>
          <w:kern w:val="2"/>
          <w:sz w:val="24"/>
          <w:szCs w:val="24"/>
          <w:lang w:val="en-US" w:bidi="ar-SA"/>
        </w:rPr>
        <mc:AlternateContent>
          <mc:Choice Requires="wps">
            <w:drawing>
              <wp:anchor distT="0" distB="0" distL="114300" distR="114300" simplePos="0" relativeHeight="251664384" behindDoc="1" locked="0" layoutInCell="1" allowOverlap="1">
                <wp:simplePos x="0" y="0"/>
                <wp:positionH relativeFrom="column">
                  <wp:posOffset>2681605</wp:posOffset>
                </wp:positionH>
                <wp:positionV relativeFrom="paragraph">
                  <wp:posOffset>257175</wp:posOffset>
                </wp:positionV>
                <wp:extent cx="2508885" cy="2230120"/>
                <wp:effectExtent l="4445" t="5080" r="20320" b="12700"/>
                <wp:wrapNone/>
                <wp:docPr id="5" name="圆角矩形 5"/>
                <wp:cNvGraphicFramePr/>
                <a:graphic xmlns:a="http://schemas.openxmlformats.org/drawingml/2006/main">
                  <a:graphicData uri="http://schemas.microsoft.com/office/word/2010/wordprocessingShape">
                    <wps:wsp>
                      <wps:cNvSpPr/>
                      <wps:spPr>
                        <a:xfrm>
                          <a:off x="0" y="0"/>
                          <a:ext cx="3185160" cy="223012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roundrect id="_x0000_s1026" o:spid="_x0000_s1026" o:spt="2" style="position:absolute;left:0pt;margin-left:211.15pt;margin-top:20.25pt;height:175.6pt;width:197.55pt;z-index:-251652096;mso-width-relative:page;mso-height-relative:page;" fillcolor="#FFFFFF" filled="t" stroked="t" coordsize="21600,21600" arcsize="0.110925925925926" o:gfxdata="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8yddnaAAAACgEAAA8AAAAAAAAAAQAgAAAA&#10;IgAAAGRycy9kb3ducmV2LnhtbFBLAQIUABQAAAAIAIdO4kBdsHi7CQIAAAwEAAAOAAAAAAAAAAEA&#10;IAAAACkBAABkcnMvZTJvRG9jLnhtbFBLBQYAAAAABgAGAFkBAACkBQAAAAA=&#10;">
                <v:fill on="t" focussize="0,0"/>
                <v:stroke color="#000000" joinstyle="round"/>
                <v:imagedata o:title=""/>
                <o:lock v:ext="edit" aspectratio="f"/>
              </v:roundrect>
            </w:pict>
          </mc:Fallback>
        </mc:AlternateContent>
      </w:r>
      <w:r>
        <w:rPr>
          <w:rFonts w:ascii="Calibri" w:hAnsi="Calibri" w:eastAsia="宋体" w:cs="Times New Roman"/>
          <w:kern w:val="2"/>
          <w:sz w:val="24"/>
          <w:szCs w:val="24"/>
          <w:lang w:val="en-US" w:bidi="ar-SA"/>
        </w:rPr>
        <mc:AlternateContent>
          <mc:Choice Requires="wps">
            <w:drawing>
              <wp:anchor distT="0" distB="0" distL="114300" distR="114300" simplePos="0" relativeHeight="251665408" behindDoc="1" locked="0" layoutInCell="1" allowOverlap="1">
                <wp:simplePos x="0" y="0"/>
                <wp:positionH relativeFrom="column">
                  <wp:posOffset>-95885</wp:posOffset>
                </wp:positionH>
                <wp:positionV relativeFrom="paragraph">
                  <wp:posOffset>247650</wp:posOffset>
                </wp:positionV>
                <wp:extent cx="2545715" cy="2230120"/>
                <wp:effectExtent l="4445" t="4445" r="21590" b="13335"/>
                <wp:wrapNone/>
                <wp:docPr id="1" name="圆角矩形 1"/>
                <wp:cNvGraphicFramePr/>
                <a:graphic xmlns:a="http://schemas.openxmlformats.org/drawingml/2006/main">
                  <a:graphicData uri="http://schemas.microsoft.com/office/word/2010/wordprocessingShape">
                    <wps:wsp>
                      <wps:cNvSpPr/>
                      <wps:spPr>
                        <a:xfrm>
                          <a:off x="0" y="0"/>
                          <a:ext cx="3126105" cy="223012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roundrect id="_x0000_s1026" o:spid="_x0000_s1026" o:spt="2" style="position:absolute;left:0pt;margin-left:-7.55pt;margin-top:19.5pt;height:175.6pt;width:200.45pt;z-index:-251651072;mso-width-relative:page;mso-height-relative:page;" fillcolor="#FFFFFF" filled="t" stroked="t" coordsize="21600,21600" arcsize="0.110925925925926" o:gfxdata="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hgCLNgAAAAKAQAADwAAAAAAAAABACAAAAAiAAAA&#10;ZHJzL2Rvd25yZXYueG1sUEsBAhQAFAAAAAgAh07iQPwgMqgHAgAADAQAAA4AAAAAAAAAAQAgAAAA&#10;JwEAAGRycy9lMm9Eb2MueG1sUEsFBgAAAAAGAAYAWQEAAKAFAAAAAA==&#10;">
                <v:fill on="t" focussize="0,0"/>
                <v:stroke color="#000000" joinstyle="round"/>
                <v:imagedata o:title=""/>
                <o:lock v:ext="edit" aspectratio="f"/>
              </v:roundrect>
            </w:pict>
          </mc:Fallback>
        </mc:AlternateContent>
      </w: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firstLine="480" w:firstLineChars="20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firstLine="482" w:firstLineChars="200"/>
        <w:jc w:val="both"/>
        <w:rPr>
          <w:rFonts w:ascii="宋体" w:hAnsi="Calibri" w:eastAsia="宋体" w:cs="Times New Roman"/>
          <w:b/>
          <w:snapToGrid w:val="0"/>
          <w:kern w:val="0"/>
          <w:sz w:val="24"/>
          <w:szCs w:val="24"/>
          <w:lang w:val="en-US" w:bidi="ar-SA"/>
        </w:rPr>
      </w:pPr>
      <w:r>
        <w:rPr>
          <w:rFonts w:hint="eastAsia" w:ascii="宋体" w:hAnsi="宋体" w:eastAsia="宋体" w:cs="Times New Roman"/>
          <w:b/>
          <w:snapToGrid w:val="0"/>
          <w:kern w:val="0"/>
          <w:sz w:val="24"/>
          <w:szCs w:val="24"/>
          <w:lang w:val="en-US" w:bidi="ar-SA"/>
        </w:rPr>
        <w:t>注：此法定代表人身份证明须另提交一份，与</w:t>
      </w:r>
      <w:r>
        <w:rPr>
          <w:rFonts w:hint="eastAsia" w:ascii="宋体" w:hAnsi="宋体" w:eastAsia="宋体" w:cs="Times New Roman"/>
          <w:b/>
          <w:bCs/>
          <w:snapToGrid w:val="0"/>
          <w:kern w:val="0"/>
          <w:sz w:val="24"/>
          <w:szCs w:val="24"/>
          <w:lang w:val="en-US" w:bidi="ar-SA"/>
        </w:rPr>
        <w:t>法定代表人授权书</w:t>
      </w:r>
      <w:r>
        <w:rPr>
          <w:rFonts w:hint="eastAsia" w:ascii="宋体" w:hAnsi="宋体" w:eastAsia="宋体" w:cs="Times New Roman"/>
          <w:b/>
          <w:snapToGrid w:val="0"/>
          <w:kern w:val="0"/>
          <w:sz w:val="24"/>
          <w:szCs w:val="24"/>
          <w:lang w:val="en-US" w:bidi="ar-SA"/>
        </w:rPr>
        <w:t>、投标函、投标保证金交纳和</w:t>
      </w:r>
      <w:r>
        <w:rPr>
          <w:rFonts w:hint="eastAsia" w:ascii="宋体" w:hAnsi="宋体" w:eastAsia="宋体" w:cs="Times New Roman"/>
          <w:b/>
          <w:snapToGrid w:val="0"/>
          <w:kern w:val="0"/>
          <w:sz w:val="24"/>
          <w:szCs w:val="24"/>
          <w:lang w:val="en-US" w:eastAsia="zh-CN" w:bidi="ar-SA"/>
        </w:rPr>
        <w:t>开户许可证复印件</w:t>
      </w:r>
      <w:r>
        <w:rPr>
          <w:rFonts w:hint="eastAsia" w:ascii="宋体" w:hAnsi="宋体" w:eastAsia="宋体" w:cs="Times New Roman"/>
          <w:b/>
          <w:snapToGrid w:val="0"/>
          <w:kern w:val="0"/>
          <w:sz w:val="24"/>
          <w:szCs w:val="24"/>
          <w:lang w:val="en-US" w:bidi="ar-SA"/>
        </w:rPr>
        <w:t>装入同一单独密封袋，与</w:t>
      </w:r>
      <w:r>
        <w:rPr>
          <w:rFonts w:hint="eastAsia" w:ascii="宋体" w:hAnsi="宋体" w:cs="Times New Roman"/>
          <w:b/>
          <w:snapToGrid w:val="0"/>
          <w:kern w:val="0"/>
          <w:sz w:val="24"/>
          <w:szCs w:val="24"/>
          <w:lang w:val="en-US" w:eastAsia="zh-CN" w:bidi="ar-SA"/>
        </w:rPr>
        <w:t>招标</w:t>
      </w:r>
      <w:r>
        <w:rPr>
          <w:rFonts w:hint="eastAsia" w:ascii="宋体" w:hAnsi="宋体" w:eastAsia="宋体" w:cs="Times New Roman"/>
          <w:b/>
          <w:snapToGrid w:val="0"/>
          <w:kern w:val="0"/>
          <w:sz w:val="24"/>
          <w:szCs w:val="24"/>
          <w:lang w:val="en-US" w:bidi="ar-SA"/>
        </w:rPr>
        <w:t>前接受检查。</w:t>
      </w:r>
    </w:p>
    <w:p>
      <w:pPr>
        <w:autoSpaceDE/>
        <w:autoSpaceDN/>
        <w:adjustRightInd w:val="0"/>
        <w:spacing w:before="0" w:after="0" w:line="560" w:lineRule="exact"/>
        <w:ind w:left="0" w:right="0" w:firstLine="482" w:firstLineChars="200"/>
        <w:jc w:val="both"/>
        <w:rPr>
          <w:rFonts w:ascii="宋体" w:hAnsi="Calibri" w:eastAsia="宋体" w:cs="Times New Roman"/>
          <w:b/>
          <w:snapToGrid w:val="0"/>
          <w:kern w:val="0"/>
          <w:sz w:val="24"/>
          <w:szCs w:val="24"/>
          <w:lang w:val="en-US" w:bidi="ar-SA"/>
        </w:rPr>
      </w:pPr>
    </w:p>
    <w:p>
      <w:pPr>
        <w:autoSpaceDE/>
        <w:autoSpaceDN/>
        <w:adjustRightInd w:val="0"/>
        <w:spacing w:before="0" w:after="0" w:line="560" w:lineRule="exact"/>
        <w:ind w:left="0" w:right="0" w:firstLine="482" w:firstLineChars="200"/>
        <w:jc w:val="both"/>
        <w:rPr>
          <w:rFonts w:ascii="宋体" w:hAnsi="Calibri" w:eastAsia="宋体" w:cs="Times New Roman"/>
          <w:b/>
          <w:snapToGrid w:val="0"/>
          <w:kern w:val="0"/>
          <w:sz w:val="24"/>
          <w:szCs w:val="24"/>
          <w:lang w:val="en-US" w:bidi="ar-SA"/>
        </w:rPr>
      </w:pPr>
    </w:p>
    <w:p>
      <w:pPr>
        <w:keepNext/>
        <w:keepLines/>
        <w:widowControl w:val="0"/>
        <w:adjustRightInd w:val="0"/>
        <w:spacing w:before="240" w:line="360" w:lineRule="auto"/>
        <w:jc w:val="center"/>
        <w:textAlignment w:val="baseline"/>
        <w:outlineLvl w:val="1"/>
        <w:rPr>
          <w:rFonts w:ascii="Arial" w:hAnsi="Arial" w:eastAsia="黑体" w:cs="Times New Roman"/>
          <w:b/>
          <w:kern w:val="0"/>
          <w:sz w:val="30"/>
          <w:szCs w:val="28"/>
          <w:lang w:val="en-US" w:eastAsia="zh-CN" w:bidi="ar-SA"/>
        </w:rPr>
      </w:pPr>
      <w:bookmarkStart w:id="69" w:name="_Toc20502"/>
      <w:r>
        <w:rPr>
          <w:rFonts w:hint="eastAsia" w:ascii="Arial" w:hAnsi="Arial" w:eastAsia="黑体" w:cs="Times New Roman"/>
          <w:b/>
          <w:kern w:val="0"/>
          <w:sz w:val="30"/>
          <w:szCs w:val="28"/>
          <w:lang w:val="en-US" w:eastAsia="zh-CN" w:bidi="ar-SA"/>
        </w:rPr>
        <w:t>三、法定代表人授权委托书</w:t>
      </w:r>
      <w:bookmarkEnd w:id="69"/>
    </w:p>
    <w:p>
      <w:pPr>
        <w:autoSpaceDE/>
        <w:autoSpaceDN/>
        <w:adjustRightInd w:val="0"/>
        <w:spacing w:before="0" w:after="0" w:line="560" w:lineRule="exact"/>
        <w:ind w:left="0" w:right="0"/>
        <w:jc w:val="both"/>
        <w:rPr>
          <w:rFonts w:hint="eastAsia" w:ascii="宋体" w:hAnsi="宋体" w:eastAsia="宋体" w:cs="Times New Roman"/>
          <w:b/>
          <w:bCs/>
          <w:kern w:val="2"/>
          <w:sz w:val="24"/>
          <w:szCs w:val="24"/>
          <w:lang w:val="en-US" w:bidi="ar-SA"/>
        </w:rPr>
      </w:pPr>
      <w:r>
        <w:rPr>
          <w:rFonts w:hint="eastAsia" w:ascii="宋体" w:hAnsi="宋体" w:eastAsia="宋体" w:cs="Times New Roman"/>
          <w:b/>
          <w:bCs/>
          <w:kern w:val="2"/>
          <w:sz w:val="24"/>
          <w:szCs w:val="24"/>
          <w:lang w:val="en-US" w:bidi="ar-SA"/>
        </w:rPr>
        <w:t>致：</w:t>
      </w:r>
      <w:r>
        <w:rPr>
          <w:rFonts w:hint="eastAsia" w:ascii="宋体" w:hAnsi="宋体" w:eastAsia="宋体" w:cs="Times New Roman"/>
          <w:b/>
          <w:bCs/>
          <w:kern w:val="2"/>
          <w:sz w:val="24"/>
          <w:szCs w:val="24"/>
          <w:lang w:val="en-US" w:eastAsia="zh-CN" w:bidi="ar-SA"/>
        </w:rPr>
        <w:t>甘肃金盛招标代理有限公司</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本授权书声明：注册于</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（国家或地区）的</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（投标人名称）的在下面签字的</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（法定代表人姓名、职务）代表本公司授权在下面签字的</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（被授权人的姓名、职务）为本公司的合法代表人，就</w:t>
      </w:r>
      <w:r>
        <w:rPr>
          <w:rFonts w:ascii="宋体" w:hAnsi="宋体" w:eastAsia="宋体" w:cs="Times New Roman"/>
          <w:b/>
          <w:kern w:val="2"/>
          <w:sz w:val="24"/>
          <w:szCs w:val="24"/>
          <w:u w:val="single"/>
          <w:lang w:val="en-US" w:bidi="ar-SA"/>
        </w:rPr>
        <w:t xml:space="preserve">            </w:t>
      </w:r>
      <w:r>
        <w:rPr>
          <w:rFonts w:hint="eastAsia" w:ascii="宋体" w:hAnsi="宋体" w:eastAsia="宋体" w:cs="Times New Roman"/>
          <w:b/>
          <w:bCs/>
          <w:kern w:val="2"/>
          <w:sz w:val="24"/>
          <w:szCs w:val="24"/>
          <w:lang w:val="en-US" w:bidi="ar-SA"/>
        </w:rPr>
        <w:t>〔</w:t>
      </w:r>
      <w:r>
        <w:rPr>
          <w:rFonts w:hint="eastAsia" w:ascii="宋体" w:hAnsi="宋体" w:eastAsia="宋体" w:cs="Times New Roman"/>
          <w:kern w:val="2"/>
          <w:sz w:val="24"/>
          <w:szCs w:val="24"/>
          <w:lang w:val="en-US" w:eastAsia="zh-CN" w:bidi="ar-SA"/>
        </w:rPr>
        <w:t>交易登记号</w:t>
      </w:r>
      <w:r>
        <w:rPr>
          <w:rFonts w:hint="eastAsia" w:ascii="宋体" w:hAnsi="宋体" w:eastAsia="宋体" w:cs="Times New Roman"/>
          <w:kern w:val="2"/>
          <w:sz w:val="24"/>
          <w:szCs w:val="24"/>
          <w:lang w:val="en-US" w:bidi="ar-SA"/>
        </w:rPr>
        <w:t>为</w:t>
      </w:r>
      <w:r>
        <w:rPr>
          <w:rFonts w:ascii="宋体" w:hAnsi="宋体" w:eastAsia="宋体" w:cs="Times New Roman"/>
          <w:b/>
          <w:bCs/>
          <w:kern w:val="2"/>
          <w:sz w:val="24"/>
          <w:szCs w:val="24"/>
          <w:u w:val="single"/>
          <w:lang w:val="en-US" w:bidi="ar-SA"/>
        </w:rPr>
        <w:t xml:space="preserve">              </w:t>
      </w:r>
      <w:r>
        <w:rPr>
          <w:rFonts w:hint="eastAsia" w:ascii="宋体" w:hAnsi="宋体" w:eastAsia="宋体" w:cs="Times New Roman"/>
          <w:b/>
          <w:bCs/>
          <w:kern w:val="2"/>
          <w:sz w:val="24"/>
          <w:szCs w:val="24"/>
          <w:lang w:val="en-US" w:bidi="ar-SA"/>
        </w:rPr>
        <w:t>〕</w:t>
      </w:r>
      <w:r>
        <w:rPr>
          <w:rFonts w:hint="eastAsia" w:ascii="宋体" w:hAnsi="宋体" w:eastAsia="宋体" w:cs="Times New Roman"/>
          <w:kern w:val="2"/>
          <w:sz w:val="24"/>
          <w:szCs w:val="24"/>
          <w:lang w:val="en-US" w:bidi="ar-SA"/>
        </w:rPr>
        <w:t>的</w:t>
      </w:r>
      <w:r>
        <w:rPr>
          <w:rFonts w:hint="eastAsia" w:ascii="宋体" w:hAnsi="宋体" w:cs="Times New Roman"/>
          <w:kern w:val="2"/>
          <w:sz w:val="24"/>
          <w:szCs w:val="24"/>
          <w:lang w:val="en-US" w:eastAsia="zh-CN" w:bidi="ar-SA"/>
        </w:rPr>
        <w:t>招标</w:t>
      </w:r>
      <w:r>
        <w:rPr>
          <w:rFonts w:hint="eastAsia" w:ascii="宋体" w:hAnsi="宋体" w:eastAsia="宋体" w:cs="Times New Roman"/>
          <w:kern w:val="2"/>
          <w:sz w:val="24"/>
          <w:szCs w:val="24"/>
          <w:lang w:val="en-US" w:bidi="ar-SA"/>
        </w:rPr>
        <w:t>文件中的</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项目的投标和合同执行，以我方的名义处理一切与之有关的事宜。</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本授权书于</w:t>
      </w:r>
      <w:r>
        <w:rPr>
          <w:rFonts w:ascii="宋体" w:hAnsi="宋体" w:eastAsia="宋体" w:cs="Times New Roman"/>
          <w:kern w:val="2"/>
          <w:sz w:val="24"/>
          <w:szCs w:val="24"/>
          <w:lang w:val="en-US" w:bidi="ar-SA"/>
        </w:rPr>
        <w:t xml:space="preserve">    </w:t>
      </w:r>
      <w:r>
        <w:rPr>
          <w:rFonts w:hint="eastAsia" w:ascii="宋体" w:hAnsi="宋体" w:eastAsia="宋体" w:cs="Times New Roman"/>
          <w:kern w:val="2"/>
          <w:sz w:val="24"/>
          <w:szCs w:val="24"/>
          <w:lang w:val="en-US" w:bidi="ar-SA"/>
        </w:rPr>
        <w:t>年</w:t>
      </w:r>
      <w:r>
        <w:rPr>
          <w:rFonts w:ascii="宋体" w:hAnsi="宋体" w:eastAsia="宋体" w:cs="Times New Roman"/>
          <w:kern w:val="2"/>
          <w:sz w:val="24"/>
          <w:szCs w:val="24"/>
          <w:lang w:val="en-US" w:bidi="ar-SA"/>
        </w:rPr>
        <w:t xml:space="preserve">  </w:t>
      </w:r>
      <w:r>
        <w:rPr>
          <w:rFonts w:hint="eastAsia" w:ascii="宋体" w:hAnsi="宋体" w:eastAsia="宋体" w:cs="Times New Roman"/>
          <w:kern w:val="2"/>
          <w:sz w:val="24"/>
          <w:szCs w:val="24"/>
          <w:lang w:val="en-US" w:bidi="ar-SA"/>
        </w:rPr>
        <w:t>月</w:t>
      </w:r>
      <w:r>
        <w:rPr>
          <w:rFonts w:ascii="宋体" w:hAnsi="宋体" w:eastAsia="宋体" w:cs="Times New Roman"/>
          <w:kern w:val="2"/>
          <w:sz w:val="24"/>
          <w:szCs w:val="24"/>
          <w:lang w:val="en-US" w:bidi="ar-SA"/>
        </w:rPr>
        <w:t xml:space="preserve">  </w:t>
      </w:r>
      <w:r>
        <w:rPr>
          <w:rFonts w:hint="eastAsia" w:ascii="宋体" w:hAnsi="宋体" w:eastAsia="宋体" w:cs="Times New Roman"/>
          <w:kern w:val="2"/>
          <w:sz w:val="24"/>
          <w:szCs w:val="24"/>
          <w:lang w:val="en-US" w:bidi="ar-SA"/>
        </w:rPr>
        <w:t>日签字生效，特此声明。</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right="0" w:rightChars="0" w:firstLine="480" w:firstLineChars="200"/>
        <w:jc w:val="both"/>
        <w:textAlignment w:val="auto"/>
        <w:outlineLvl w:val="9"/>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投标人（盖章）：</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地址：</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560" w:firstLineChars="200"/>
        <w:jc w:val="both"/>
        <w:textAlignment w:val="auto"/>
        <w:outlineLvl w:val="9"/>
        <w:rPr>
          <w:rFonts w:ascii="宋体" w:hAnsi="Calibri" w:eastAsia="宋体" w:cs="Times New Roman"/>
          <w:kern w:val="2"/>
          <w:sz w:val="28"/>
          <w:szCs w:val="28"/>
          <w:lang w:val="en-US" w:bidi="ar-SA"/>
        </w:rPr>
      </w:pP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法定代表人（签名或盖章）：</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职务：</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lang w:val="en-US" w:bidi="ar-SA"/>
        </w:rPr>
      </w:pP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被授权人（签名或盖章）：</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leftChars="0" w:right="0" w:rightChars="0" w:firstLine="480" w:firstLineChars="200"/>
        <w:jc w:val="both"/>
        <w:textAlignment w:val="auto"/>
        <w:outlineLvl w:val="9"/>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职务：</w:t>
      </w:r>
    </w:p>
    <w:p>
      <w:pPr>
        <w:keepNext w:val="0"/>
        <w:keepLines w:val="0"/>
        <w:pageBreakBefore w:val="0"/>
        <w:widowControl w:val="0"/>
        <w:kinsoku/>
        <w:wordWrap/>
        <w:overflowPunct/>
        <w:topLinePunct w:val="0"/>
        <w:autoSpaceDE/>
        <w:autoSpaceDN/>
        <w:bidi w:val="0"/>
        <w:adjustRightInd w:val="0"/>
        <w:snapToGrid/>
        <w:spacing w:before="0" w:after="0" w:line="500" w:lineRule="exact"/>
        <w:ind w:left="0" w:right="0" w:rightChars="0" w:firstLine="482" w:firstLineChars="200"/>
        <w:jc w:val="both"/>
        <w:textAlignment w:val="auto"/>
        <w:outlineLvl w:val="9"/>
        <w:rPr>
          <w:rFonts w:ascii="宋体" w:hAnsi="Calibri" w:eastAsia="宋体" w:cs="宋体"/>
          <w:b/>
          <w:kern w:val="0"/>
          <w:sz w:val="24"/>
          <w:szCs w:val="24"/>
          <w:lang w:val="en-US" w:bidi="ar-SA"/>
        </w:rPr>
      </w:pPr>
      <w:r>
        <w:rPr>
          <w:rFonts w:hint="eastAsia" w:ascii="宋体" w:hAnsi="宋体" w:eastAsia="宋体" w:cs="宋体"/>
          <w:b/>
          <w:kern w:val="0"/>
          <w:sz w:val="24"/>
          <w:szCs w:val="24"/>
          <w:lang w:val="en-US" w:bidi="ar-SA"/>
        </w:rPr>
        <w:t>注：法定代表人与被授权人身份证（复印件）需附在《</w:t>
      </w:r>
      <w:r>
        <w:rPr>
          <w:rFonts w:hint="eastAsia" w:ascii="宋体" w:hAnsi="宋体" w:cs="宋体"/>
          <w:b/>
          <w:kern w:val="0"/>
          <w:sz w:val="24"/>
          <w:szCs w:val="24"/>
          <w:lang w:val="en-US" w:eastAsia="zh-CN" w:bidi="ar-SA"/>
        </w:rPr>
        <w:t>投标</w:t>
      </w:r>
      <w:r>
        <w:rPr>
          <w:rFonts w:hint="eastAsia" w:ascii="宋体" w:hAnsi="宋体" w:eastAsia="宋体" w:cs="宋体"/>
          <w:b/>
          <w:kern w:val="0"/>
          <w:sz w:val="24"/>
          <w:szCs w:val="24"/>
          <w:lang w:val="en-US" w:bidi="ar-SA"/>
        </w:rPr>
        <w:t>文件》中。同时，被授权人需携带身份证原件至</w:t>
      </w:r>
      <w:r>
        <w:rPr>
          <w:rFonts w:hint="eastAsia" w:ascii="宋体" w:hAnsi="宋体" w:cs="宋体"/>
          <w:b/>
          <w:kern w:val="0"/>
          <w:sz w:val="24"/>
          <w:szCs w:val="24"/>
          <w:lang w:val="en-US" w:eastAsia="zh-CN" w:bidi="ar-SA"/>
        </w:rPr>
        <w:t>招标</w:t>
      </w:r>
      <w:r>
        <w:rPr>
          <w:rFonts w:hint="eastAsia" w:ascii="宋体" w:hAnsi="宋体" w:eastAsia="宋体" w:cs="宋体"/>
          <w:b/>
          <w:kern w:val="0"/>
          <w:sz w:val="24"/>
          <w:szCs w:val="24"/>
          <w:lang w:val="en-US" w:bidi="ar-SA"/>
        </w:rPr>
        <w:t>现场</w:t>
      </w:r>
    </w:p>
    <w:p>
      <w:pPr>
        <w:autoSpaceDE/>
        <w:autoSpaceDN/>
        <w:spacing w:before="0" w:after="0" w:line="240" w:lineRule="auto"/>
        <w:ind w:left="0" w:right="0"/>
        <w:jc w:val="both"/>
        <w:rPr>
          <w:rFonts w:ascii="宋体" w:hAnsi="Calibri" w:eastAsia="宋体" w:cs="宋体"/>
          <w:kern w:val="2"/>
          <w:sz w:val="24"/>
          <w:szCs w:val="24"/>
          <w:lang w:val="en-US" w:bidi="ar-SA"/>
        </w:rPr>
      </w:pPr>
      <w:r>
        <w:rPr>
          <w:rFonts w:ascii="Calibri" w:hAnsi="Calibri" w:eastAsia="宋体" w:cs="Times New Roman"/>
          <w:kern w:val="2"/>
          <w:sz w:val="24"/>
          <w:szCs w:val="24"/>
          <w:lang w:val="en-US" w:bidi="ar-SA"/>
        </w:rPr>
        <mc:AlternateContent>
          <mc:Choice Requires="wps">
            <w:drawing>
              <wp:anchor distT="0" distB="0" distL="114300" distR="114300" simplePos="0" relativeHeight="251667456" behindDoc="1" locked="0" layoutInCell="1" allowOverlap="1">
                <wp:simplePos x="0" y="0"/>
                <wp:positionH relativeFrom="column">
                  <wp:posOffset>3100705</wp:posOffset>
                </wp:positionH>
                <wp:positionV relativeFrom="paragraph">
                  <wp:posOffset>196215</wp:posOffset>
                </wp:positionV>
                <wp:extent cx="2776220" cy="2078355"/>
                <wp:effectExtent l="4445" t="4445" r="19685" b="12700"/>
                <wp:wrapNone/>
                <wp:docPr id="3" name="圆角矩形 3"/>
                <wp:cNvGraphicFramePr/>
                <a:graphic xmlns:a="http://schemas.openxmlformats.org/drawingml/2006/main">
                  <a:graphicData uri="http://schemas.microsoft.com/office/word/2010/wordprocessingShape">
                    <wps:wsp>
                      <wps:cNvSpPr/>
                      <wps:spPr>
                        <a:xfrm>
                          <a:off x="0" y="0"/>
                          <a:ext cx="2776220" cy="2078355"/>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roundrect id="_x0000_s1026" o:spid="_x0000_s1026" o:spt="2" style="position:absolute;left:0pt;margin-left:244.15pt;margin-top:15.45pt;height:163.65pt;width:218.6pt;z-index:-251649024;mso-width-relative:page;mso-height-relative:page;" fillcolor="#FFFFFF" filled="t" stroked="t" coordsize="21600,21600" arcsize="0.110925925925926" o:gfxdata="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NO0ar3aAAAACgEAAA8AAAAAAAAAAQAgAAAA&#10;IgAAAGRycy9kb3ducmV2LnhtbFBLAQIUABQAAAAIAIdO4kAxE8umCQIAAAwEAAAOAAAAAAAAAAEA&#10;IAAAACkBAABkcnMvZTJvRG9jLnhtbFBLBQYAAAAABgAGAFkBAACkBQAAAAA=&#10;">
                <v:fill on="t" focussize="0,0"/>
                <v:stroke color="#000000" joinstyle="round"/>
                <v:imagedata o:title=""/>
                <o:lock v:ext="edit" aspectratio="f"/>
              </v:roundrect>
            </w:pict>
          </mc:Fallback>
        </mc:AlternateContent>
      </w:r>
    </w:p>
    <w:p>
      <w:pPr>
        <w:autoSpaceDE/>
        <w:autoSpaceDN/>
        <w:spacing w:before="0" w:after="0" w:line="240" w:lineRule="auto"/>
        <w:ind w:left="0" w:right="0"/>
        <w:jc w:val="both"/>
        <w:rPr>
          <w:rFonts w:ascii="宋体" w:hAnsi="Calibri" w:eastAsia="宋体" w:cs="宋体"/>
          <w:kern w:val="2"/>
          <w:sz w:val="24"/>
          <w:szCs w:val="24"/>
          <w:lang w:val="en-US" w:bidi="ar-SA"/>
        </w:rPr>
      </w:pPr>
      <w:r>
        <w:rPr>
          <w:rFonts w:ascii="Calibri" w:hAnsi="Calibri" w:eastAsia="宋体" w:cs="Times New Roman"/>
          <w:kern w:val="2"/>
          <w:sz w:val="24"/>
          <w:szCs w:val="24"/>
          <w:lang w:val="en-US" w:bidi="ar-SA"/>
        </w:rPr>
        <mc:AlternateContent>
          <mc:Choice Requires="wps">
            <w:drawing>
              <wp:anchor distT="0" distB="0" distL="114300" distR="114300" simplePos="0" relativeHeight="251666432" behindDoc="1" locked="0" layoutInCell="1" allowOverlap="1">
                <wp:simplePos x="0" y="0"/>
                <wp:positionH relativeFrom="column">
                  <wp:posOffset>-95885</wp:posOffset>
                </wp:positionH>
                <wp:positionV relativeFrom="paragraph">
                  <wp:posOffset>26670</wp:posOffset>
                </wp:positionV>
                <wp:extent cx="2602865" cy="2030730"/>
                <wp:effectExtent l="4445" t="4445" r="21590" b="22225"/>
                <wp:wrapNone/>
                <wp:docPr id="4" name="圆角矩形 4"/>
                <wp:cNvGraphicFramePr/>
                <a:graphic xmlns:a="http://schemas.openxmlformats.org/drawingml/2006/main">
                  <a:graphicData uri="http://schemas.microsoft.com/office/word/2010/wordprocessingShape">
                    <wps:wsp>
                      <wps:cNvSpPr/>
                      <wps:spPr>
                        <a:xfrm>
                          <a:off x="0" y="0"/>
                          <a:ext cx="2602865" cy="2030730"/>
                        </a:xfrm>
                        <a:prstGeom prst="roundRect">
                          <a:avLst>
                            <a:gd name="adj" fmla="val 11093"/>
                          </a:avLst>
                        </a:prstGeom>
                        <a:solidFill>
                          <a:srgbClr val="FFFFFF"/>
                        </a:solidFill>
                        <a:ln w="9525" cap="flat" cmpd="sng">
                          <a:solidFill>
                            <a:srgbClr val="000000"/>
                          </a:solidFill>
                          <a:prstDash val="solid"/>
                          <a:headEnd type="none" w="med" len="med"/>
                          <a:tailEnd type="none" w="med" len="med"/>
                        </a:ln>
                        <a:effectLst/>
                      </wps:spPr>
                      <wps:bodyPr upright="1"/>
                    </wps:wsp>
                  </a:graphicData>
                </a:graphic>
              </wp:anchor>
            </w:drawing>
          </mc:Choice>
          <mc:Fallback>
            <w:pict>
              <v:roundrect id="_x0000_s1026" o:spid="_x0000_s1026" o:spt="2" style="position:absolute;left:0pt;margin-left:-7.55pt;margin-top:2.1pt;height:159.9pt;width:204.95pt;z-index:-251650048;mso-width-relative:page;mso-height-relative:page;" fillcolor="#FFFFFF" filled="t" stroked="t" coordsize="21600,21600" arcsize="0.110925925925926" o:gfxdata="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zqmgXZAAAACQEAAA8AAAAAAAAAAQAgAAAA&#10;IgAAAGRycy9kb3ducmV2LnhtbFBLAQIUABQAAAAIAIdO4kDWWtFXCgIAAAwEAAAOAAAAAAAAAAEA&#10;IAAAACgBAABkcnMvZTJvRG9jLnhtbFBLBQYAAAAABgAGAFkBAACkBQAAAAA=&#10;">
                <v:fill on="t" focussize="0,0"/>
                <v:stroke color="#000000" joinstyle="round"/>
                <v:imagedata o:title=""/>
                <o:lock v:ext="edit" aspectratio="f"/>
              </v:roundrect>
            </w:pict>
          </mc:Fallback>
        </mc:AlternateContent>
      </w:r>
    </w:p>
    <w:p>
      <w:pPr>
        <w:autoSpaceDE/>
        <w:autoSpaceDN/>
        <w:spacing w:before="0" w:after="0" w:line="240" w:lineRule="auto"/>
        <w:ind w:left="0" w:right="0"/>
        <w:jc w:val="both"/>
        <w:rPr>
          <w:rFonts w:ascii="宋体" w:hAnsi="Calibri" w:eastAsia="宋体" w:cs="宋体"/>
          <w:kern w:val="2"/>
          <w:sz w:val="24"/>
          <w:szCs w:val="24"/>
          <w:lang w:val="en-US" w:bidi="ar-SA"/>
        </w:rPr>
      </w:pPr>
    </w:p>
    <w:p>
      <w:pPr>
        <w:autoSpaceDE/>
        <w:autoSpaceDN/>
        <w:spacing w:before="0" w:after="0" w:line="240" w:lineRule="auto"/>
        <w:ind w:left="0" w:right="0"/>
        <w:jc w:val="both"/>
        <w:rPr>
          <w:rFonts w:ascii="宋体" w:hAnsi="Calibri" w:eastAsia="宋体" w:cs="宋体"/>
          <w:kern w:val="2"/>
          <w:sz w:val="24"/>
          <w:szCs w:val="24"/>
          <w:lang w:val="en-US" w:bidi="ar-SA"/>
        </w:rPr>
      </w:pPr>
    </w:p>
    <w:p>
      <w:pPr>
        <w:autoSpaceDE/>
        <w:autoSpaceDN/>
        <w:spacing w:before="0" w:after="0" w:line="240" w:lineRule="auto"/>
        <w:ind w:left="0" w:right="0"/>
        <w:jc w:val="both"/>
        <w:rPr>
          <w:rFonts w:ascii="宋体" w:hAnsi="Calibri" w:eastAsia="宋体" w:cs="宋体"/>
          <w:kern w:val="2"/>
          <w:sz w:val="24"/>
          <w:szCs w:val="24"/>
          <w:lang w:val="en-US" w:bidi="ar-SA"/>
        </w:rPr>
      </w:pPr>
    </w:p>
    <w:p>
      <w:pPr>
        <w:autoSpaceDE/>
        <w:autoSpaceDN/>
        <w:spacing w:before="0" w:after="0" w:line="240" w:lineRule="auto"/>
        <w:ind w:left="0" w:right="0"/>
        <w:jc w:val="both"/>
        <w:rPr>
          <w:rFonts w:ascii="宋体" w:hAnsi="Calibri" w:eastAsia="宋体" w:cs="宋体"/>
          <w:kern w:val="2"/>
          <w:sz w:val="24"/>
          <w:szCs w:val="24"/>
          <w:lang w:val="en-US" w:bidi="ar-SA"/>
        </w:rPr>
      </w:pPr>
    </w:p>
    <w:p>
      <w:pPr>
        <w:autoSpaceDE/>
        <w:autoSpaceDN/>
        <w:spacing w:before="0" w:after="0" w:line="240" w:lineRule="auto"/>
        <w:ind w:left="0" w:right="0"/>
        <w:jc w:val="both"/>
        <w:rPr>
          <w:rFonts w:ascii="宋体" w:hAnsi="Calibri" w:eastAsia="宋体" w:cs="宋体"/>
          <w:kern w:val="2"/>
          <w:sz w:val="24"/>
          <w:szCs w:val="24"/>
          <w:lang w:val="en-US" w:bidi="ar-SA"/>
        </w:rPr>
      </w:pPr>
    </w:p>
    <w:p>
      <w:pPr>
        <w:autoSpaceDE/>
        <w:autoSpaceDN/>
        <w:spacing w:before="0" w:after="0" w:line="240" w:lineRule="auto"/>
        <w:ind w:left="0" w:right="0"/>
        <w:jc w:val="both"/>
        <w:rPr>
          <w:rFonts w:ascii="宋体" w:hAnsi="Calibri" w:eastAsia="宋体" w:cs="宋体"/>
          <w:kern w:val="2"/>
          <w:sz w:val="24"/>
          <w:szCs w:val="24"/>
          <w:lang w:val="en-US" w:bidi="ar-SA"/>
        </w:rPr>
      </w:pPr>
    </w:p>
    <w:p>
      <w:pPr>
        <w:autoSpaceDE/>
        <w:autoSpaceDN/>
        <w:spacing w:before="0" w:after="0" w:line="240" w:lineRule="auto"/>
        <w:ind w:left="0" w:right="0"/>
        <w:jc w:val="both"/>
        <w:rPr>
          <w:rFonts w:ascii="宋体" w:hAnsi="Calibri" w:eastAsia="宋体" w:cs="宋体"/>
          <w:kern w:val="2"/>
          <w:sz w:val="24"/>
          <w:szCs w:val="24"/>
          <w:lang w:val="en-US" w:eastAsia="zh-CN" w:bidi="ar-SA"/>
        </w:rPr>
      </w:pPr>
    </w:p>
    <w:p>
      <w:pPr>
        <w:autoSpaceDE/>
        <w:autoSpaceDN/>
        <w:spacing w:before="0" w:after="0" w:line="240" w:lineRule="auto"/>
        <w:ind w:left="0" w:right="0"/>
        <w:jc w:val="both"/>
        <w:rPr>
          <w:rFonts w:ascii="宋体" w:hAnsi="Calibri" w:eastAsia="宋体" w:cs="宋体"/>
          <w:kern w:val="2"/>
          <w:sz w:val="24"/>
          <w:szCs w:val="24"/>
          <w:lang w:val="en-US" w:eastAsia="zh-CN" w:bidi="ar-SA"/>
        </w:rPr>
      </w:pPr>
    </w:p>
    <w:p>
      <w:pPr>
        <w:autoSpaceDE/>
        <w:autoSpaceDN/>
        <w:spacing w:before="0" w:after="0" w:line="240" w:lineRule="auto"/>
        <w:ind w:left="0" w:right="0"/>
        <w:jc w:val="center"/>
        <w:rPr>
          <w:rFonts w:ascii="Calibri" w:hAnsi="Calibri" w:eastAsia="宋体" w:cs="Times New Roman"/>
          <w:kern w:val="2"/>
          <w:sz w:val="21"/>
          <w:szCs w:val="24"/>
          <w:lang w:val="en-US" w:eastAsia="zh-CN" w:bidi="ar-SA"/>
        </w:rPr>
      </w:pPr>
    </w:p>
    <w:p>
      <w:pPr>
        <w:keepNext/>
        <w:keepLines/>
        <w:widowControl w:val="0"/>
        <w:adjustRightInd w:val="0"/>
        <w:spacing w:before="240" w:line="360" w:lineRule="auto"/>
        <w:jc w:val="center"/>
        <w:textAlignment w:val="baseline"/>
        <w:outlineLvl w:val="1"/>
        <w:rPr>
          <w:rFonts w:hint="eastAsia" w:ascii="Arial" w:hAnsi="Arial" w:eastAsia="黑体" w:cs="Times New Roman"/>
          <w:b/>
          <w:kern w:val="0"/>
          <w:sz w:val="30"/>
          <w:szCs w:val="28"/>
          <w:lang w:val="en-US" w:eastAsia="zh-CN" w:bidi="ar-SA"/>
        </w:rPr>
      </w:pPr>
      <w:bookmarkStart w:id="70" w:name="_Toc31410"/>
    </w:p>
    <w:p>
      <w:pPr>
        <w:keepNext/>
        <w:keepLines/>
        <w:widowControl w:val="0"/>
        <w:adjustRightInd w:val="0"/>
        <w:spacing w:before="240" w:line="360" w:lineRule="auto"/>
        <w:jc w:val="center"/>
        <w:textAlignment w:val="baseline"/>
        <w:outlineLvl w:val="1"/>
        <w:rPr>
          <w:rFonts w:ascii="Arial" w:hAnsi="Arial" w:eastAsia="黑体" w:cs="Times New Roman"/>
          <w:b/>
          <w:kern w:val="0"/>
          <w:sz w:val="30"/>
          <w:szCs w:val="28"/>
          <w:lang w:val="en-US" w:eastAsia="zh-CN" w:bidi="ar-SA"/>
        </w:rPr>
      </w:pPr>
      <w:r>
        <w:rPr>
          <w:rFonts w:hint="eastAsia" w:ascii="Arial" w:hAnsi="Arial" w:eastAsia="黑体" w:cs="Times New Roman"/>
          <w:b/>
          <w:kern w:val="0"/>
          <w:sz w:val="30"/>
          <w:szCs w:val="28"/>
          <w:lang w:val="en-US" w:eastAsia="zh-CN" w:bidi="ar-SA"/>
        </w:rPr>
        <w:t>四、投标保证金</w:t>
      </w:r>
      <w:bookmarkEnd w:id="70"/>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p>
    <w:p>
      <w:pPr>
        <w:autoSpaceDE/>
        <w:autoSpaceDN/>
        <w:spacing w:before="0" w:after="0" w:line="360" w:lineRule="auto"/>
        <w:ind w:left="0" w:right="0" w:firstLine="602" w:firstLineChars="200"/>
        <w:jc w:val="center"/>
        <w:rPr>
          <w:rFonts w:ascii="宋体" w:hAnsi="Calibri" w:eastAsia="宋体" w:cs="Times New Roman"/>
          <w:b/>
          <w:spacing w:val="10"/>
          <w:kern w:val="2"/>
          <w:sz w:val="28"/>
          <w:szCs w:val="28"/>
          <w:lang w:val="en-US" w:bidi="ar-SA"/>
        </w:rPr>
      </w:pPr>
      <w:r>
        <w:rPr>
          <w:rFonts w:hint="eastAsia" w:ascii="宋体" w:hAnsi="宋体" w:eastAsia="宋体" w:cs="Times New Roman"/>
          <w:b/>
          <w:spacing w:val="10"/>
          <w:kern w:val="2"/>
          <w:sz w:val="28"/>
          <w:szCs w:val="28"/>
          <w:lang w:val="en-US" w:bidi="ar-SA"/>
        </w:rPr>
        <w:t>投标人电汇凭证（加盖公章）</w:t>
      </w:r>
    </w:p>
    <w:p>
      <w:pPr>
        <w:autoSpaceDE/>
        <w:autoSpaceDN/>
        <w:spacing w:before="0" w:after="0" w:line="360" w:lineRule="auto"/>
        <w:ind w:left="0" w:right="0" w:firstLine="520" w:firstLineChars="200"/>
        <w:jc w:val="both"/>
        <w:rPr>
          <w:rFonts w:ascii="宋体" w:hAnsi="Calibri" w:eastAsia="宋体" w:cs="Times New Roman"/>
          <w:spacing w:val="10"/>
          <w:kern w:val="2"/>
          <w:sz w:val="24"/>
          <w:szCs w:val="24"/>
          <w:highlight w:val="yellow"/>
          <w:lang w:val="en-US" w:bidi="ar-SA"/>
        </w:rPr>
      </w:pPr>
    </w:p>
    <w:p>
      <w:pPr>
        <w:autoSpaceDE/>
        <w:autoSpaceDN/>
        <w:spacing w:before="0" w:after="0" w:line="360" w:lineRule="auto"/>
        <w:ind w:left="0" w:right="0" w:firstLine="520" w:firstLineChars="200"/>
        <w:jc w:val="both"/>
        <w:rPr>
          <w:rFonts w:ascii="宋体" w:hAnsi="Calibri" w:eastAsia="宋体" w:cs="Times New Roman"/>
          <w:spacing w:val="10"/>
          <w:kern w:val="2"/>
          <w:sz w:val="24"/>
          <w:szCs w:val="24"/>
          <w:highlight w:val="yellow"/>
          <w:lang w:val="en-US" w:bidi="ar-SA"/>
        </w:rPr>
      </w:pPr>
    </w:p>
    <w:p>
      <w:pPr>
        <w:autoSpaceDE/>
        <w:autoSpaceDN/>
        <w:spacing w:before="0" w:after="0" w:line="360" w:lineRule="auto"/>
        <w:ind w:left="0" w:right="0" w:firstLine="520" w:firstLineChars="200"/>
        <w:jc w:val="both"/>
        <w:rPr>
          <w:rFonts w:ascii="宋体" w:hAnsi="Calibri" w:eastAsia="宋体" w:cs="Times New Roman"/>
          <w:spacing w:val="10"/>
          <w:kern w:val="2"/>
          <w:sz w:val="24"/>
          <w:szCs w:val="24"/>
          <w:highlight w:val="yellow"/>
          <w:lang w:val="en-US" w:bidi="ar-SA"/>
        </w:rPr>
      </w:pPr>
    </w:p>
    <w:p>
      <w:pPr>
        <w:autoSpaceDE/>
        <w:autoSpaceDN/>
        <w:spacing w:before="0" w:after="0" w:line="360" w:lineRule="auto"/>
        <w:ind w:left="0" w:right="0" w:firstLine="520" w:firstLineChars="200"/>
        <w:jc w:val="both"/>
        <w:rPr>
          <w:rFonts w:ascii="宋体" w:hAnsi="Calibri" w:eastAsia="宋体" w:cs="Times New Roman"/>
          <w:spacing w:val="10"/>
          <w:kern w:val="2"/>
          <w:sz w:val="24"/>
          <w:szCs w:val="24"/>
          <w:highlight w:val="yellow"/>
          <w:lang w:val="en-US" w:bidi="ar-SA"/>
        </w:rPr>
      </w:pPr>
    </w:p>
    <w:p>
      <w:pPr>
        <w:autoSpaceDE/>
        <w:autoSpaceDN/>
        <w:spacing w:before="0" w:after="0" w:line="360" w:lineRule="auto"/>
        <w:ind w:left="0" w:right="0"/>
        <w:jc w:val="both"/>
        <w:rPr>
          <w:rFonts w:ascii="宋体" w:hAnsi="Calibri" w:eastAsia="宋体" w:cs="Times New Roman"/>
          <w:spacing w:val="10"/>
          <w:kern w:val="2"/>
          <w:sz w:val="24"/>
          <w:szCs w:val="24"/>
          <w:highlight w:val="yellow"/>
          <w:lang w:val="en-US" w:bidi="ar-SA"/>
        </w:rPr>
      </w:pPr>
    </w:p>
    <w:p>
      <w:pPr>
        <w:autoSpaceDE/>
        <w:autoSpaceDN/>
        <w:spacing w:before="0" w:after="0" w:line="360" w:lineRule="auto"/>
        <w:ind w:left="0" w:right="0"/>
        <w:jc w:val="both"/>
        <w:rPr>
          <w:rFonts w:ascii="宋体" w:hAnsi="Calibri" w:eastAsia="宋体" w:cs="Times New Roman"/>
          <w:spacing w:val="10"/>
          <w:kern w:val="2"/>
          <w:sz w:val="24"/>
          <w:szCs w:val="24"/>
          <w:highlight w:val="yellow"/>
          <w:lang w:val="en-US" w:bidi="ar-SA"/>
        </w:rPr>
      </w:pPr>
    </w:p>
    <w:p>
      <w:pPr>
        <w:autoSpaceDE/>
        <w:autoSpaceDN/>
        <w:adjustRightInd w:val="0"/>
        <w:spacing w:before="0" w:after="0" w:line="560" w:lineRule="exact"/>
        <w:ind w:left="0" w:right="0" w:firstLine="560" w:firstLineChars="200"/>
        <w:jc w:val="both"/>
        <w:rPr>
          <w:rFonts w:ascii="宋体" w:hAnsi="Calibri" w:eastAsia="宋体" w:cs="宋体"/>
          <w:kern w:val="2"/>
          <w:sz w:val="28"/>
          <w:szCs w:val="28"/>
          <w:lang w:val="en-US" w:bidi="ar-SA"/>
        </w:rPr>
      </w:pPr>
    </w:p>
    <w:p>
      <w:pPr>
        <w:autoSpaceDE/>
        <w:autoSpaceDN/>
        <w:adjustRightInd w:val="0"/>
        <w:spacing w:before="0" w:after="0" w:line="560" w:lineRule="exact"/>
        <w:ind w:left="0" w:right="0" w:firstLine="560" w:firstLineChars="200"/>
        <w:jc w:val="both"/>
        <w:rPr>
          <w:rFonts w:ascii="宋体" w:hAnsi="Calibri" w:eastAsia="宋体" w:cs="宋体"/>
          <w:kern w:val="2"/>
          <w:sz w:val="28"/>
          <w:szCs w:val="28"/>
          <w:lang w:val="en-US" w:bidi="ar-SA"/>
        </w:rPr>
      </w:pPr>
    </w:p>
    <w:p>
      <w:pPr>
        <w:autoSpaceDE/>
        <w:autoSpaceDN/>
        <w:adjustRightInd w:val="0"/>
        <w:spacing w:before="0" w:after="0" w:line="560" w:lineRule="exact"/>
        <w:ind w:left="0" w:right="0" w:firstLine="560" w:firstLineChars="200"/>
        <w:jc w:val="both"/>
        <w:rPr>
          <w:rFonts w:ascii="宋体" w:hAnsi="Calibri" w:eastAsia="宋体" w:cs="宋体"/>
          <w:kern w:val="2"/>
          <w:sz w:val="28"/>
          <w:szCs w:val="28"/>
          <w:lang w:val="en-US" w:bidi="ar-SA"/>
        </w:rPr>
      </w:pPr>
    </w:p>
    <w:p>
      <w:pPr>
        <w:autoSpaceDE/>
        <w:autoSpaceDN/>
        <w:spacing w:before="0" w:after="0" w:line="240" w:lineRule="auto"/>
        <w:ind w:left="0" w:right="0"/>
        <w:jc w:val="both"/>
        <w:rPr>
          <w:rFonts w:ascii="Calibri" w:hAnsi="Calibri" w:eastAsia="宋体" w:cs="Times New Roman"/>
          <w:kern w:val="2"/>
          <w:sz w:val="21"/>
          <w:szCs w:val="24"/>
          <w:lang w:val="en-US" w:bidi="ar-SA"/>
        </w:rPr>
      </w:pPr>
      <w:bookmarkStart w:id="71" w:name="_Toc16982"/>
    </w:p>
    <w:p>
      <w:pPr>
        <w:autoSpaceDE/>
        <w:autoSpaceDN/>
        <w:spacing w:before="0" w:after="0" w:line="240" w:lineRule="auto"/>
        <w:ind w:left="0" w:right="0"/>
        <w:jc w:val="both"/>
        <w:rPr>
          <w:rFonts w:ascii="Calibri" w:hAnsi="Calibri" w:eastAsia="宋体" w:cs="Times New Roman"/>
          <w:kern w:val="2"/>
          <w:sz w:val="21"/>
          <w:szCs w:val="24"/>
          <w:lang w:val="en-US" w:bidi="ar-SA"/>
        </w:rPr>
      </w:pPr>
    </w:p>
    <w:p>
      <w:pPr>
        <w:autoSpaceDE/>
        <w:autoSpaceDN/>
        <w:spacing w:before="0" w:after="0" w:line="240" w:lineRule="auto"/>
        <w:ind w:left="0" w:right="0"/>
        <w:jc w:val="both"/>
        <w:rPr>
          <w:rFonts w:ascii="Calibri" w:hAnsi="Calibri" w:eastAsia="宋体" w:cs="Times New Roman"/>
          <w:kern w:val="2"/>
          <w:sz w:val="21"/>
          <w:szCs w:val="24"/>
          <w:lang w:val="en-US" w:bidi="ar-SA"/>
        </w:rPr>
      </w:pPr>
    </w:p>
    <w:p>
      <w:pPr>
        <w:autoSpaceDE/>
        <w:autoSpaceDN/>
        <w:spacing w:before="0" w:after="0" w:line="240" w:lineRule="auto"/>
        <w:ind w:left="0" w:right="0"/>
        <w:jc w:val="both"/>
        <w:rPr>
          <w:rFonts w:ascii="Calibri" w:hAnsi="Calibri" w:eastAsia="宋体" w:cs="Times New Roman"/>
          <w:kern w:val="2"/>
          <w:sz w:val="21"/>
          <w:szCs w:val="24"/>
          <w:lang w:val="en-US" w:bidi="ar-SA"/>
        </w:rPr>
      </w:pPr>
    </w:p>
    <w:p>
      <w:pPr>
        <w:autoSpaceDE/>
        <w:autoSpaceDN/>
        <w:spacing w:before="0" w:after="0" w:line="240" w:lineRule="auto"/>
        <w:ind w:left="0" w:right="0"/>
        <w:jc w:val="both"/>
        <w:rPr>
          <w:rFonts w:hint="eastAsia" w:ascii="Calibri" w:hAnsi="Calibri" w:eastAsia="宋体" w:cs="Times New Roman"/>
          <w:kern w:val="2"/>
          <w:sz w:val="21"/>
          <w:szCs w:val="24"/>
          <w:lang w:val="en-US" w:bidi="ar-SA"/>
        </w:rPr>
      </w:pPr>
    </w:p>
    <w:p>
      <w:pPr>
        <w:autoSpaceDE/>
        <w:autoSpaceDN/>
        <w:spacing w:before="0" w:after="0" w:line="240" w:lineRule="auto"/>
        <w:ind w:left="0" w:right="0"/>
        <w:jc w:val="both"/>
        <w:rPr>
          <w:rFonts w:ascii="Calibri" w:hAnsi="Calibri" w:eastAsia="宋体" w:cs="Times New Roman"/>
          <w:kern w:val="2"/>
          <w:sz w:val="21"/>
          <w:szCs w:val="24"/>
          <w:lang w:val="en-US" w:bidi="ar-SA"/>
        </w:rPr>
      </w:pPr>
    </w:p>
    <w:p>
      <w:pPr>
        <w:autoSpaceDE/>
        <w:autoSpaceDN/>
        <w:spacing w:before="0" w:after="0" w:line="520" w:lineRule="exact"/>
        <w:ind w:left="0" w:right="0" w:firstLine="480" w:firstLineChars="200"/>
        <w:jc w:val="both"/>
        <w:rPr>
          <w:rFonts w:ascii="Calibri" w:hAnsi="Calibri" w:eastAsia="宋体" w:cs="Times New Roman"/>
          <w:kern w:val="2"/>
          <w:sz w:val="24"/>
          <w:szCs w:val="28"/>
          <w:lang w:val="en-US" w:bidi="ar-SA"/>
        </w:rPr>
      </w:pPr>
    </w:p>
    <w:bookmarkEnd w:id="71"/>
    <w:p>
      <w:pPr>
        <w:autoSpaceDE/>
        <w:autoSpaceDN/>
        <w:spacing w:before="0" w:after="0" w:line="240" w:lineRule="auto"/>
        <w:ind w:left="0" w:right="0"/>
        <w:jc w:val="both"/>
        <w:rPr>
          <w:rFonts w:ascii="宋体" w:hAnsi="Calibri" w:eastAsia="宋体" w:cs="宋体"/>
          <w:kern w:val="2"/>
          <w:sz w:val="24"/>
          <w:szCs w:val="24"/>
          <w:lang w:val="en-US" w:bidi="ar-SA"/>
        </w:rPr>
      </w:pPr>
    </w:p>
    <w:p>
      <w:pPr>
        <w:sectPr>
          <w:footerReference r:id="rId8" w:type="first"/>
          <w:footerReference r:id="rId7" w:type="default"/>
          <w:pgSz w:w="11906" w:h="16838"/>
          <w:pgMar w:top="1134" w:right="1644" w:bottom="1134" w:left="1531" w:header="851" w:footer="1021" w:gutter="0"/>
          <w:pgNumType w:fmt="decimal"/>
          <w:cols w:space="720" w:num="1"/>
          <w:titlePg/>
          <w:docGrid w:type="lines" w:linePitch="312" w:charSpace="0"/>
        </w:sectPr>
      </w:pPr>
    </w:p>
    <w:p>
      <w:pPr>
        <w:keepNext/>
        <w:keepLines/>
        <w:widowControl w:val="0"/>
        <w:numPr>
          <w:ilvl w:val="0"/>
          <w:numId w:val="0"/>
        </w:numPr>
        <w:adjustRightInd w:val="0"/>
        <w:spacing w:before="240" w:line="360" w:lineRule="auto"/>
        <w:jc w:val="center"/>
        <w:textAlignment w:val="baseline"/>
        <w:outlineLvl w:val="1"/>
        <w:rPr>
          <w:rFonts w:hint="eastAsia" w:ascii="Arial" w:hAnsi="Arial" w:eastAsia="黑体" w:cs="Times New Roman"/>
          <w:b/>
          <w:kern w:val="0"/>
          <w:sz w:val="30"/>
          <w:szCs w:val="20"/>
          <w:lang w:val="en-US" w:eastAsia="zh-CN" w:bidi="ar-SA"/>
        </w:rPr>
      </w:pPr>
      <w:r>
        <w:rPr>
          <w:rFonts w:hint="eastAsia" w:ascii="Arial" w:hAnsi="Arial" w:eastAsia="黑体" w:cs="Times New Roman"/>
          <w:b/>
          <w:kern w:val="0"/>
          <w:sz w:val="30"/>
          <w:szCs w:val="28"/>
          <w:lang w:val="en-US" w:eastAsia="zh-CN" w:bidi="ar-SA"/>
        </w:rPr>
        <w:t>五、开标一览表</w:t>
      </w:r>
    </w:p>
    <w:p>
      <w:pPr>
        <w:autoSpaceDE/>
        <w:autoSpaceDN/>
        <w:adjustRightInd w:val="0"/>
        <w:spacing w:before="0" w:after="0" w:line="560" w:lineRule="exact"/>
        <w:ind w:left="0" w:right="0"/>
        <w:jc w:val="both"/>
        <w:rPr>
          <w:rFonts w:ascii="宋体" w:hAnsi="Calibri" w:eastAsia="宋体" w:cs="宋体"/>
          <w:kern w:val="2"/>
          <w:sz w:val="24"/>
          <w:szCs w:val="24"/>
          <w:u w:val="single"/>
          <w:lang w:val="en-US" w:bidi="ar-SA"/>
        </w:rPr>
      </w:pPr>
      <w:r>
        <w:rPr>
          <w:rFonts w:hint="eastAsia" w:ascii="宋体" w:hAnsi="宋体" w:eastAsia="宋体" w:cs="宋体"/>
          <w:kern w:val="2"/>
          <w:sz w:val="24"/>
          <w:szCs w:val="24"/>
          <w:lang w:val="en-US" w:bidi="ar-SA"/>
        </w:rPr>
        <w:t xml:space="preserve">项目名称： </w:t>
      </w:r>
    </w:p>
    <w:p>
      <w:pPr>
        <w:widowControl/>
        <w:autoSpaceDE/>
        <w:autoSpaceDN/>
        <w:adjustRightInd w:val="0"/>
        <w:spacing w:before="0" w:after="0" w:line="560" w:lineRule="exact"/>
        <w:ind w:left="0" w:right="0"/>
        <w:jc w:val="both"/>
        <w:rPr>
          <w:rFonts w:ascii="宋体" w:hAnsi="Calibri" w:eastAsia="宋体" w:cs="宋体"/>
          <w:kern w:val="2"/>
          <w:sz w:val="24"/>
          <w:szCs w:val="24"/>
          <w:u w:val="single"/>
          <w:lang w:val="en-US" w:bidi="ar-SA"/>
        </w:rPr>
      </w:pPr>
      <w:r>
        <w:rPr>
          <w:rFonts w:hint="eastAsia" w:ascii="宋体" w:hAnsi="宋体" w:eastAsia="宋体" w:cs="宋体"/>
          <w:kern w:val="2"/>
          <w:sz w:val="24"/>
          <w:szCs w:val="24"/>
          <w:lang w:val="en-US" w:bidi="ar-SA"/>
        </w:rPr>
        <w:t>交易编号：</w:t>
      </w:r>
    </w:p>
    <w:p>
      <w:pPr>
        <w:autoSpaceDE/>
        <w:autoSpaceDN/>
        <w:adjustRightInd w:val="0"/>
        <w:spacing w:before="0" w:after="0" w:line="560" w:lineRule="exact"/>
        <w:ind w:left="0" w:right="0"/>
        <w:jc w:val="both"/>
        <w:rPr>
          <w:rFonts w:ascii="宋体" w:hAnsi="Calibri" w:eastAsia="宋体" w:cs="宋体"/>
          <w:kern w:val="2"/>
          <w:sz w:val="24"/>
          <w:szCs w:val="24"/>
          <w:u w:val="single"/>
          <w:lang w:val="en-US" w:bidi="ar-SA"/>
        </w:rPr>
      </w:pPr>
      <w:r>
        <w:rPr>
          <w:rFonts w:hint="eastAsia" w:ascii="宋体" w:hAnsi="宋体" w:eastAsia="宋体" w:cs="宋体"/>
          <w:kern w:val="2"/>
          <w:sz w:val="24"/>
          <w:szCs w:val="24"/>
          <w:lang w:val="en-US" w:bidi="ar-SA"/>
        </w:rPr>
        <w:t>供应商名称：</w:t>
      </w:r>
      <w:r>
        <w:rPr>
          <w:rFonts w:ascii="宋体" w:hAnsi="宋体" w:eastAsia="宋体" w:cs="宋体"/>
          <w:kern w:val="2"/>
          <w:sz w:val="24"/>
          <w:szCs w:val="24"/>
          <w:u w:val="single"/>
          <w:lang w:val="en-US" w:bidi="ar-SA"/>
        </w:rPr>
        <w:t xml:space="preserve">                       </w:t>
      </w:r>
      <w:r>
        <w:rPr>
          <w:rFonts w:ascii="宋体" w:hAnsi="宋体" w:eastAsia="宋体" w:cs="宋体"/>
          <w:i/>
          <w:kern w:val="2"/>
          <w:sz w:val="24"/>
          <w:szCs w:val="24"/>
          <w:lang w:val="en-US" w:bidi="ar-SA"/>
        </w:rPr>
        <w:t xml:space="preserve">                              </w:t>
      </w:r>
      <w:r>
        <w:rPr>
          <w:rFonts w:ascii="宋体" w:hAnsi="宋体" w:eastAsia="宋体" w:cs="宋体"/>
          <w:kern w:val="2"/>
          <w:sz w:val="24"/>
          <w:szCs w:val="24"/>
          <w:lang w:val="en-US" w:bidi="ar-SA"/>
        </w:rPr>
        <w:t xml:space="preserve">                         </w:t>
      </w:r>
      <w:r>
        <w:rPr>
          <w:rFonts w:ascii="宋体" w:hAnsi="宋体" w:eastAsia="宋体" w:cs="宋体"/>
          <w:i/>
          <w:kern w:val="2"/>
          <w:sz w:val="24"/>
          <w:szCs w:val="24"/>
          <w:lang w:val="en-US" w:bidi="ar-SA"/>
        </w:rPr>
        <w:t xml:space="preserve"> </w:t>
      </w:r>
      <w:r>
        <w:rPr>
          <w:rFonts w:hint="eastAsia" w:ascii="宋体" w:hAnsi="宋体" w:eastAsia="宋体" w:cs="宋体"/>
          <w:kern w:val="2"/>
          <w:sz w:val="24"/>
          <w:szCs w:val="24"/>
          <w:lang w:val="en-US" w:bidi="ar-SA"/>
        </w:rPr>
        <w:t>价格单位：人民币</w:t>
      </w:r>
      <w:r>
        <w:rPr>
          <w:rFonts w:ascii="宋体" w:hAnsi="宋体" w:eastAsia="宋体" w:cs="宋体"/>
          <w:kern w:val="2"/>
          <w:sz w:val="24"/>
          <w:szCs w:val="24"/>
          <w:lang w:val="en-US" w:bidi="ar-SA"/>
        </w:rPr>
        <w:t>/</w:t>
      </w:r>
      <w:r>
        <w:rPr>
          <w:rFonts w:hint="eastAsia" w:ascii="宋体" w:hAnsi="宋体" w:eastAsia="宋体" w:cs="宋体"/>
          <w:kern w:val="2"/>
          <w:sz w:val="24"/>
          <w:szCs w:val="24"/>
          <w:lang w:val="en-US" w:bidi="ar-SA"/>
        </w:rPr>
        <w:t>元</w:t>
      </w:r>
    </w:p>
    <w:tbl>
      <w:tblPr>
        <w:tblStyle w:val="12"/>
        <w:tblW w:w="147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2957"/>
        <w:gridCol w:w="4275"/>
        <w:gridCol w:w="3345"/>
        <w:gridCol w:w="231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90" w:hRule="atLeast"/>
          <w:jc w:val="center"/>
        </w:trPr>
        <w:tc>
          <w:tcPr>
            <w:tcW w:w="4776" w:type="dxa"/>
            <w:gridSpan w:val="2"/>
            <w:tcBorders>
              <w:top w:val="double" w:color="auto" w:sz="4" w:space="0"/>
            </w:tcBorders>
            <w:vAlign w:val="center"/>
          </w:tcPr>
          <w:p>
            <w:pPr>
              <w:autoSpaceDE/>
              <w:autoSpaceDN/>
              <w:adjustRightInd w:val="0"/>
              <w:snapToGrid w:val="0"/>
              <w:spacing w:before="0" w:after="0" w:line="560" w:lineRule="exact"/>
              <w:ind w:left="0" w:right="0" w:firstLine="480" w:firstLineChars="20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项目名称</w:t>
            </w:r>
          </w:p>
        </w:tc>
        <w:tc>
          <w:tcPr>
            <w:tcW w:w="4275" w:type="dxa"/>
            <w:tcBorders>
              <w:top w:val="double" w:color="auto" w:sz="4" w:space="0"/>
            </w:tcBorders>
            <w:vAlign w:val="center"/>
          </w:tcPr>
          <w:p>
            <w:pPr>
              <w:autoSpaceDE/>
              <w:autoSpaceDN/>
              <w:adjustRightInd w:val="0"/>
              <w:snapToGrid w:val="0"/>
              <w:spacing w:before="0" w:after="0" w:line="560" w:lineRule="exact"/>
              <w:ind w:left="0" w:right="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投标总价</w:t>
            </w:r>
          </w:p>
        </w:tc>
        <w:tc>
          <w:tcPr>
            <w:tcW w:w="3345" w:type="dxa"/>
            <w:tcBorders>
              <w:top w:val="double" w:color="auto" w:sz="4" w:space="0"/>
            </w:tcBorders>
            <w:vAlign w:val="center"/>
          </w:tcPr>
          <w:p>
            <w:pPr>
              <w:autoSpaceDE/>
              <w:autoSpaceDN/>
              <w:adjustRightInd w:val="0"/>
              <w:snapToGrid w:val="0"/>
              <w:spacing w:before="0" w:after="0" w:line="560" w:lineRule="exact"/>
              <w:ind w:left="0" w:right="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供货期</w:t>
            </w:r>
          </w:p>
        </w:tc>
        <w:tc>
          <w:tcPr>
            <w:tcW w:w="2315" w:type="dxa"/>
            <w:tcBorders>
              <w:top w:val="double" w:color="auto" w:sz="4" w:space="0"/>
            </w:tcBorders>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4776"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427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34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31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4776"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427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34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31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4776"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427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34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31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jc w:val="center"/>
        </w:trPr>
        <w:tc>
          <w:tcPr>
            <w:tcW w:w="4776"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427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34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315"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1819" w:type="dxa"/>
            <w:tcBorders>
              <w:bottom w:val="double" w:color="auto" w:sz="4" w:space="0"/>
            </w:tcBorders>
            <w:vAlign w:val="center"/>
          </w:tcPr>
          <w:p>
            <w:pPr>
              <w:autoSpaceDE/>
              <w:autoSpaceDN/>
              <w:adjustRightInd w:val="0"/>
              <w:snapToGrid w:val="0"/>
              <w:spacing w:before="0" w:after="0" w:line="560" w:lineRule="exact"/>
              <w:ind w:left="0" w:right="0" w:firstLine="482" w:firstLineChars="200"/>
              <w:jc w:val="both"/>
              <w:rPr>
                <w:rFonts w:ascii="宋体" w:hAnsi="Calibri" w:eastAsia="宋体" w:cs="宋体"/>
                <w:b/>
                <w:kern w:val="2"/>
                <w:sz w:val="24"/>
                <w:szCs w:val="24"/>
                <w:lang w:val="en-US" w:bidi="ar-SA"/>
              </w:rPr>
            </w:pPr>
            <w:r>
              <w:rPr>
                <w:rFonts w:hint="eastAsia" w:ascii="宋体" w:hAnsi="宋体" w:eastAsia="宋体" w:cs="宋体"/>
                <w:b/>
                <w:kern w:val="2"/>
                <w:sz w:val="24"/>
                <w:szCs w:val="24"/>
                <w:lang w:val="en-US" w:bidi="ar-SA"/>
              </w:rPr>
              <w:t>总报价</w:t>
            </w:r>
          </w:p>
        </w:tc>
        <w:tc>
          <w:tcPr>
            <w:tcW w:w="12892" w:type="dxa"/>
            <w:gridSpan w:val="4"/>
            <w:tcBorders>
              <w:bottom w:val="double" w:color="auto" w:sz="4" w:space="0"/>
            </w:tcBorders>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大写：</w:t>
            </w:r>
            <w:r>
              <w:rPr>
                <w:rFonts w:ascii="宋体" w:hAnsi="宋体" w:eastAsia="宋体" w:cs="宋体"/>
                <w:kern w:val="2"/>
                <w:sz w:val="24"/>
                <w:szCs w:val="24"/>
                <w:u w:val="single"/>
                <w:lang w:val="en-US" w:bidi="ar-SA"/>
              </w:rPr>
              <w:t xml:space="preserve">                                   </w:t>
            </w:r>
            <w:r>
              <w:rPr>
                <w:rFonts w:ascii="宋体" w:hAnsi="宋体" w:eastAsia="宋体" w:cs="宋体"/>
                <w:kern w:val="2"/>
                <w:sz w:val="24"/>
                <w:szCs w:val="24"/>
                <w:lang w:val="en-US" w:bidi="ar-SA"/>
              </w:rPr>
              <w:t xml:space="preserve"> </w:t>
            </w:r>
            <w:r>
              <w:rPr>
                <w:rFonts w:hint="eastAsia" w:ascii="宋体" w:hAnsi="宋体" w:eastAsia="宋体" w:cs="宋体"/>
                <w:kern w:val="2"/>
                <w:sz w:val="24"/>
                <w:szCs w:val="24"/>
                <w:lang w:val="en-US" w:bidi="ar-SA"/>
              </w:rPr>
              <w:t>小写：</w:t>
            </w:r>
            <w:r>
              <w:rPr>
                <w:rFonts w:ascii="宋体" w:hAnsi="宋体" w:eastAsia="宋体" w:cs="宋体"/>
                <w:kern w:val="2"/>
                <w:sz w:val="24"/>
                <w:szCs w:val="24"/>
                <w:lang w:val="en-US" w:bidi="ar-SA"/>
              </w:rPr>
              <w:t xml:space="preserve"> </w:t>
            </w:r>
            <w:r>
              <w:rPr>
                <w:rFonts w:ascii="宋体" w:hAnsi="宋体" w:eastAsia="宋体" w:cs="宋体"/>
                <w:kern w:val="2"/>
                <w:sz w:val="24"/>
                <w:szCs w:val="24"/>
                <w:u w:val="single"/>
                <w:lang w:val="en-US" w:bidi="ar-SA"/>
              </w:rPr>
              <w:t xml:space="preserve">                          </w:t>
            </w:r>
          </w:p>
        </w:tc>
      </w:tr>
    </w:tbl>
    <w:p>
      <w:pPr>
        <w:autoSpaceDE/>
        <w:autoSpaceDN/>
        <w:adjustRightInd w:val="0"/>
        <w:spacing w:before="0" w:after="0" w:line="560" w:lineRule="exact"/>
        <w:ind w:left="0" w:right="0" w:firstLine="6480" w:firstLineChars="2700"/>
        <w:jc w:val="both"/>
        <w:rPr>
          <w:rFonts w:ascii="宋体" w:hAnsi="宋体" w:eastAsia="宋体" w:cs="宋体"/>
          <w:kern w:val="2"/>
          <w:sz w:val="24"/>
          <w:szCs w:val="24"/>
          <w:u w:val="single"/>
          <w:lang w:val="en-US" w:bidi="ar-SA"/>
        </w:rPr>
      </w:pPr>
      <w:r>
        <w:rPr>
          <w:rFonts w:hint="eastAsia" w:ascii="宋体" w:hAnsi="宋体" w:eastAsia="宋体" w:cs="宋体"/>
          <w:kern w:val="2"/>
          <w:sz w:val="24"/>
          <w:szCs w:val="24"/>
          <w:lang w:val="en-US" w:bidi="ar-SA"/>
        </w:rPr>
        <w:t>供应商（签字、盖章）：</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bidi="ar-SA"/>
        </w:rPr>
        <w:t xml:space="preserve">     </w:t>
      </w:r>
      <w:r>
        <w:rPr>
          <w:rFonts w:ascii="宋体" w:hAnsi="宋体" w:eastAsia="宋体" w:cs="宋体"/>
          <w:kern w:val="2"/>
          <w:sz w:val="24"/>
          <w:szCs w:val="24"/>
          <w:u w:val="single"/>
          <w:lang w:val="en-US" w:bidi="ar-SA"/>
        </w:rPr>
        <w:t xml:space="preserve">           </w:t>
      </w:r>
    </w:p>
    <w:p>
      <w:pPr>
        <w:autoSpaceDE/>
        <w:autoSpaceDN/>
        <w:adjustRightInd w:val="0"/>
        <w:spacing w:before="0" w:after="0" w:line="560" w:lineRule="exact"/>
        <w:ind w:left="0" w:right="0" w:firstLine="6480" w:firstLineChars="2700"/>
        <w:jc w:val="both"/>
        <w:rPr>
          <w:rFonts w:ascii="宋体" w:hAnsi="宋体" w:eastAsia="宋体" w:cs="宋体"/>
          <w:kern w:val="2"/>
          <w:sz w:val="24"/>
          <w:szCs w:val="24"/>
          <w:lang w:val="en-US" w:bidi="ar-SA"/>
        </w:rPr>
      </w:pPr>
      <w:r>
        <w:rPr>
          <w:rFonts w:hint="eastAsia" w:ascii="宋体" w:hAnsi="宋体" w:eastAsia="宋体" w:cs="宋体"/>
          <w:kern w:val="2"/>
          <w:sz w:val="24"/>
          <w:szCs w:val="24"/>
          <w:lang w:val="en-US" w:bidi="ar-SA"/>
        </w:rPr>
        <w:t>法定代表人或委托代理人：（签字）</w:t>
      </w:r>
      <w:r>
        <w:rPr>
          <w:rFonts w:hint="eastAsia" w:ascii="宋体" w:hAnsi="宋体" w:eastAsia="宋体" w:cs="宋体"/>
          <w:kern w:val="2"/>
          <w:sz w:val="24"/>
          <w:szCs w:val="24"/>
          <w:u w:val="single"/>
          <w:lang w:val="en-US" w:bidi="ar-SA"/>
        </w:rPr>
        <w:t xml:space="preserve">          </w:t>
      </w:r>
    </w:p>
    <w:p>
      <w:pPr>
        <w:widowControl/>
        <w:autoSpaceDE/>
        <w:autoSpaceDN/>
        <w:adjustRightInd w:val="0"/>
        <w:spacing w:before="0" w:after="0" w:line="560" w:lineRule="exact"/>
        <w:ind w:left="0" w:right="0" w:firstLine="6480" w:firstLineChars="27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日期：</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lang w:val="en-US" w:bidi="ar-SA"/>
        </w:rPr>
        <w:t>年</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bidi="ar-SA"/>
        </w:rPr>
        <w:t xml:space="preserve">      </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lang w:val="en-US" w:bidi="ar-SA"/>
        </w:rPr>
        <w:t>月</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bidi="ar-SA"/>
        </w:rPr>
        <w:t xml:space="preserve">      </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lang w:val="en-US" w:bidi="ar-SA"/>
        </w:rPr>
        <w:t>日</w:t>
      </w:r>
    </w:p>
    <w:p>
      <w:pPr>
        <w:autoSpaceDE/>
        <w:autoSpaceDN/>
        <w:adjustRightInd w:val="0"/>
        <w:spacing w:before="0" w:after="0" w:line="560" w:lineRule="exact"/>
        <w:ind w:left="0" w:right="0" w:firstLine="482" w:firstLineChars="200"/>
        <w:jc w:val="both"/>
        <w:rPr>
          <w:rFonts w:ascii="宋体" w:hAnsi="Calibri" w:eastAsia="宋体" w:cs="宋体"/>
          <w:b/>
          <w:kern w:val="2"/>
          <w:sz w:val="24"/>
          <w:szCs w:val="24"/>
          <w:lang w:val="en-US" w:bidi="ar-SA"/>
        </w:rPr>
      </w:pPr>
      <w:r>
        <w:rPr>
          <w:rFonts w:hint="eastAsia" w:ascii="宋体" w:hAnsi="宋体" w:eastAsia="宋体" w:cs="宋体"/>
          <w:b/>
          <w:kern w:val="2"/>
          <w:sz w:val="24"/>
          <w:szCs w:val="24"/>
          <w:lang w:val="en-US" w:bidi="ar-SA"/>
        </w:rPr>
        <w:t>注：</w:t>
      </w:r>
      <w:r>
        <w:rPr>
          <w:rFonts w:ascii="宋体" w:hAnsi="宋体" w:eastAsia="宋体" w:cs="宋体"/>
          <w:b/>
          <w:kern w:val="2"/>
          <w:sz w:val="24"/>
          <w:szCs w:val="24"/>
          <w:lang w:val="en-US" w:bidi="ar-SA"/>
        </w:rPr>
        <w:t xml:space="preserve"> </w:t>
      </w:r>
      <w:r>
        <w:rPr>
          <w:rFonts w:hint="eastAsia" w:ascii="宋体" w:hAnsi="宋体" w:eastAsia="宋体" w:cs="宋体"/>
          <w:b/>
          <w:kern w:val="2"/>
          <w:sz w:val="24"/>
          <w:szCs w:val="24"/>
          <w:lang w:val="en-US" w:bidi="ar-SA"/>
        </w:rPr>
        <w:t>此开标信应按“供应商须知”的规定密封标记密封单独提交。此表每一包一份，单独分开递交。</w:t>
      </w:r>
    </w:p>
    <w:p>
      <w:pPr>
        <w:rPr>
          <w:rFonts w:hint="eastAsia"/>
          <w:lang w:eastAsia="zh-CN"/>
        </w:rPr>
        <w:sectPr>
          <w:pgSz w:w="16838" w:h="11906" w:orient="landscape"/>
          <w:pgMar w:top="1531" w:right="1134" w:bottom="1531" w:left="1134" w:header="851" w:footer="1021" w:gutter="0"/>
          <w:pgNumType w:fmt="decimal"/>
          <w:cols w:space="720" w:num="1"/>
          <w:titlePg/>
          <w:docGrid w:type="lines" w:linePitch="312" w:charSpace="0"/>
        </w:sectPr>
      </w:pPr>
    </w:p>
    <w:p>
      <w:pPr>
        <w:widowControl/>
        <w:autoSpaceDE/>
        <w:autoSpaceDN/>
        <w:adjustRightInd w:val="0"/>
        <w:spacing w:before="0" w:after="0" w:line="560" w:lineRule="exact"/>
        <w:ind w:left="0" w:right="0"/>
        <w:jc w:val="center"/>
        <w:rPr>
          <w:rFonts w:ascii="Calibri" w:hAnsi="Calibri" w:eastAsia="宋体" w:cs="宋体"/>
          <w:kern w:val="2"/>
          <w:sz w:val="21"/>
          <w:szCs w:val="24"/>
          <w:lang w:val="en-US" w:bidi="ar-SA"/>
        </w:rPr>
      </w:pPr>
      <w:bookmarkStart w:id="72" w:name="_Toc4190_WPSOffice_Level2"/>
      <w:bookmarkStart w:id="73" w:name="_Toc7645_WPSOffice_Level2"/>
      <w:bookmarkStart w:id="74" w:name="_Toc14250"/>
      <w:bookmarkStart w:id="75" w:name="_Toc29489"/>
      <w:r>
        <w:rPr>
          <w:rFonts w:hint="eastAsia" w:ascii="Arial" w:hAnsi="Arial" w:eastAsia="黑体" w:cs="宋体"/>
          <w:b/>
          <w:kern w:val="0"/>
          <w:sz w:val="30"/>
          <w:szCs w:val="20"/>
          <w:lang w:val="en-US" w:bidi="ar-SA"/>
        </w:rPr>
        <w:t>六、投标报价明细表</w:t>
      </w:r>
      <w:bookmarkEnd w:id="72"/>
      <w:bookmarkEnd w:id="73"/>
    </w:p>
    <w:bookmarkEnd w:id="74"/>
    <w:p>
      <w:pPr>
        <w:autoSpaceDE/>
        <w:autoSpaceDN/>
        <w:adjustRightInd w:val="0"/>
        <w:spacing w:before="0" w:after="0" w:line="560" w:lineRule="exact"/>
        <w:ind w:left="0" w:right="0"/>
        <w:jc w:val="both"/>
        <w:rPr>
          <w:rFonts w:ascii="宋体" w:hAnsi="Calibri" w:eastAsia="宋体" w:cs="宋体"/>
          <w:kern w:val="2"/>
          <w:sz w:val="24"/>
          <w:szCs w:val="24"/>
          <w:u w:val="single"/>
          <w:lang w:val="en-US" w:bidi="ar-SA"/>
        </w:rPr>
      </w:pPr>
      <w:r>
        <w:rPr>
          <w:rFonts w:hint="eastAsia" w:ascii="宋体" w:hAnsi="宋体" w:eastAsia="宋体" w:cs="宋体"/>
          <w:kern w:val="2"/>
          <w:sz w:val="24"/>
          <w:szCs w:val="24"/>
          <w:lang w:val="en-US" w:bidi="ar-SA"/>
        </w:rPr>
        <w:t>项目名称：</w:t>
      </w:r>
    </w:p>
    <w:p>
      <w:pPr>
        <w:widowControl/>
        <w:autoSpaceDE/>
        <w:autoSpaceDN/>
        <w:adjustRightInd w:val="0"/>
        <w:spacing w:before="0" w:after="0" w:line="560" w:lineRule="exact"/>
        <w:ind w:left="0" w:right="0"/>
        <w:jc w:val="both"/>
        <w:rPr>
          <w:rFonts w:ascii="宋体" w:hAnsi="Calibri" w:eastAsia="宋体" w:cs="宋体"/>
          <w:kern w:val="2"/>
          <w:sz w:val="24"/>
          <w:szCs w:val="24"/>
          <w:u w:val="single"/>
          <w:lang w:val="en-US" w:bidi="ar-SA"/>
        </w:rPr>
      </w:pPr>
      <w:r>
        <w:rPr>
          <w:rFonts w:hint="eastAsia" w:ascii="宋体" w:hAnsi="宋体" w:eastAsia="宋体" w:cs="宋体"/>
          <w:kern w:val="2"/>
          <w:sz w:val="24"/>
          <w:szCs w:val="24"/>
          <w:lang w:val="en-US" w:bidi="ar-SA"/>
        </w:rPr>
        <w:t>交易编号：</w:t>
      </w:r>
    </w:p>
    <w:p>
      <w:pPr>
        <w:widowControl/>
        <w:autoSpaceDE/>
        <w:autoSpaceDN/>
        <w:adjustRightInd w:val="0"/>
        <w:spacing w:before="0" w:after="0" w:line="560" w:lineRule="exact"/>
        <w:ind w:left="0" w:right="0"/>
        <w:jc w:val="both"/>
        <w:rPr>
          <w:rFonts w:ascii="宋体" w:hAnsi="Calibri" w:eastAsia="宋体" w:cs="宋体"/>
          <w:kern w:val="2"/>
          <w:sz w:val="24"/>
          <w:szCs w:val="24"/>
          <w:u w:val="single"/>
          <w:lang w:val="en-US" w:bidi="ar-SA"/>
        </w:rPr>
      </w:pPr>
      <w:r>
        <w:rPr>
          <w:rFonts w:hint="eastAsia" w:ascii="宋体" w:hAnsi="宋体" w:eastAsia="宋体" w:cs="宋体"/>
          <w:kern w:val="2"/>
          <w:sz w:val="24"/>
          <w:szCs w:val="24"/>
          <w:lang w:val="en-US" w:bidi="ar-SA"/>
        </w:rPr>
        <w:t>供应商名称：</w:t>
      </w:r>
      <w:r>
        <w:rPr>
          <w:rFonts w:ascii="宋体" w:hAnsi="宋体" w:eastAsia="宋体" w:cs="宋体"/>
          <w:kern w:val="2"/>
          <w:sz w:val="24"/>
          <w:szCs w:val="24"/>
          <w:u w:val="single"/>
          <w:lang w:val="en-US" w:bidi="ar-SA"/>
        </w:rPr>
        <w:t xml:space="preserve">                       </w:t>
      </w:r>
      <w:r>
        <w:rPr>
          <w:rFonts w:ascii="宋体" w:hAnsi="宋体" w:eastAsia="宋体" w:cs="宋体"/>
          <w:i/>
          <w:kern w:val="2"/>
          <w:sz w:val="24"/>
          <w:szCs w:val="24"/>
          <w:lang w:val="en-US" w:bidi="ar-SA"/>
        </w:rPr>
        <w:t xml:space="preserve"> </w:t>
      </w:r>
      <w:r>
        <w:rPr>
          <w:rFonts w:ascii="宋体" w:hAnsi="宋体" w:eastAsia="宋体" w:cs="宋体"/>
          <w:kern w:val="2"/>
          <w:sz w:val="24"/>
          <w:szCs w:val="24"/>
          <w:lang w:val="en-US" w:bidi="ar-SA"/>
        </w:rPr>
        <w:t xml:space="preserve">                                                      </w:t>
      </w:r>
      <w:r>
        <w:rPr>
          <w:rFonts w:ascii="宋体" w:hAnsi="宋体" w:eastAsia="宋体" w:cs="宋体"/>
          <w:i/>
          <w:kern w:val="2"/>
          <w:sz w:val="24"/>
          <w:szCs w:val="24"/>
          <w:lang w:val="en-US" w:bidi="ar-SA"/>
        </w:rPr>
        <w:t xml:space="preserve"> </w:t>
      </w:r>
      <w:r>
        <w:rPr>
          <w:rFonts w:hint="eastAsia" w:ascii="宋体" w:hAnsi="宋体" w:eastAsia="宋体" w:cs="宋体"/>
          <w:kern w:val="2"/>
          <w:sz w:val="24"/>
          <w:szCs w:val="24"/>
          <w:lang w:val="en-US" w:bidi="ar-SA"/>
        </w:rPr>
        <w:t>价格单位：人民币</w:t>
      </w:r>
      <w:r>
        <w:rPr>
          <w:rFonts w:ascii="宋体" w:hAnsi="宋体" w:eastAsia="宋体" w:cs="宋体"/>
          <w:kern w:val="2"/>
          <w:sz w:val="24"/>
          <w:szCs w:val="24"/>
          <w:lang w:val="en-US" w:bidi="ar-SA"/>
        </w:rPr>
        <w:t>/</w:t>
      </w:r>
      <w:r>
        <w:rPr>
          <w:rFonts w:hint="eastAsia" w:ascii="宋体" w:hAnsi="宋体" w:eastAsia="宋体" w:cs="宋体"/>
          <w:kern w:val="2"/>
          <w:sz w:val="24"/>
          <w:szCs w:val="24"/>
          <w:lang w:val="en-US" w:bidi="ar-SA"/>
        </w:rPr>
        <w:t>元</w:t>
      </w:r>
    </w:p>
    <w:tbl>
      <w:tblPr>
        <w:tblStyle w:val="12"/>
        <w:tblW w:w="1424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258"/>
        <w:gridCol w:w="2475"/>
        <w:gridCol w:w="2449"/>
        <w:gridCol w:w="1646"/>
        <w:gridCol w:w="3004"/>
        <w:gridCol w:w="16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3019" w:type="dxa"/>
            <w:gridSpan w:val="2"/>
            <w:tcBorders>
              <w:top w:val="double" w:color="auto" w:sz="4" w:space="0"/>
            </w:tcBorders>
            <w:vAlign w:val="center"/>
          </w:tcPr>
          <w:p>
            <w:pPr>
              <w:autoSpaceDE/>
              <w:autoSpaceDN/>
              <w:adjustRightInd w:val="0"/>
              <w:snapToGrid w:val="0"/>
              <w:spacing w:before="0" w:after="0" w:line="560" w:lineRule="exact"/>
              <w:ind w:left="0" w:right="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项目名称</w:t>
            </w:r>
          </w:p>
        </w:tc>
        <w:tc>
          <w:tcPr>
            <w:tcW w:w="2475" w:type="dxa"/>
            <w:tcBorders>
              <w:top w:val="double" w:color="auto" w:sz="4" w:space="0"/>
            </w:tcBorders>
            <w:vAlign w:val="center"/>
          </w:tcPr>
          <w:p>
            <w:pPr>
              <w:autoSpaceDE/>
              <w:autoSpaceDN/>
              <w:adjustRightInd w:val="0"/>
              <w:snapToGrid w:val="0"/>
              <w:spacing w:before="0" w:after="0" w:line="560" w:lineRule="exact"/>
              <w:ind w:left="0" w:right="0" w:firstLine="480" w:firstLineChars="20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分项名称</w:t>
            </w:r>
          </w:p>
        </w:tc>
        <w:tc>
          <w:tcPr>
            <w:tcW w:w="2449" w:type="dxa"/>
            <w:tcBorders>
              <w:top w:val="double" w:color="auto" w:sz="4" w:space="0"/>
            </w:tcBorders>
            <w:vAlign w:val="center"/>
          </w:tcPr>
          <w:p>
            <w:pPr>
              <w:autoSpaceDE/>
              <w:autoSpaceDN/>
              <w:adjustRightInd w:val="0"/>
              <w:snapToGrid w:val="0"/>
              <w:spacing w:before="0" w:after="0" w:line="560" w:lineRule="exact"/>
              <w:ind w:left="0" w:right="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投标单价</w:t>
            </w:r>
          </w:p>
        </w:tc>
        <w:tc>
          <w:tcPr>
            <w:tcW w:w="1646" w:type="dxa"/>
            <w:tcBorders>
              <w:top w:val="double" w:color="auto" w:sz="4" w:space="0"/>
            </w:tcBorders>
            <w:vAlign w:val="center"/>
          </w:tcPr>
          <w:p>
            <w:pPr>
              <w:autoSpaceDE/>
              <w:autoSpaceDN/>
              <w:adjustRightInd w:val="0"/>
              <w:snapToGrid w:val="0"/>
              <w:spacing w:before="0" w:after="0" w:line="560" w:lineRule="exact"/>
              <w:ind w:left="0" w:right="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投标总价</w:t>
            </w:r>
          </w:p>
        </w:tc>
        <w:tc>
          <w:tcPr>
            <w:tcW w:w="3004" w:type="dxa"/>
            <w:tcBorders>
              <w:top w:val="double" w:color="auto" w:sz="4" w:space="0"/>
            </w:tcBorders>
            <w:vAlign w:val="center"/>
          </w:tcPr>
          <w:p>
            <w:pPr>
              <w:autoSpaceDE/>
              <w:autoSpaceDN/>
              <w:adjustRightInd w:val="0"/>
              <w:snapToGrid w:val="0"/>
              <w:spacing w:before="0" w:after="0" w:line="560" w:lineRule="exact"/>
              <w:ind w:left="0" w:right="0"/>
              <w:jc w:val="center"/>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供货期</w:t>
            </w:r>
          </w:p>
        </w:tc>
        <w:tc>
          <w:tcPr>
            <w:tcW w:w="1647" w:type="dxa"/>
            <w:tcBorders>
              <w:top w:val="double" w:color="auto" w:sz="4" w:space="0"/>
            </w:tcBorders>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3019"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75" w:type="dxa"/>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49"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6"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004"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7"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3019"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75" w:type="dxa"/>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49"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6"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004"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7"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3019"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75" w:type="dxa"/>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49"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6"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004"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7"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3019" w:type="dxa"/>
            <w:gridSpan w:val="2"/>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75" w:type="dxa"/>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2449"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6"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3004"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c>
          <w:tcPr>
            <w:tcW w:w="1647" w:type="dxa"/>
            <w:vAlign w:val="center"/>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761" w:type="dxa"/>
            <w:tcBorders>
              <w:bottom w:val="double" w:color="auto" w:sz="4" w:space="0"/>
            </w:tcBorders>
            <w:vAlign w:val="center"/>
          </w:tcPr>
          <w:p>
            <w:pPr>
              <w:autoSpaceDE/>
              <w:autoSpaceDN/>
              <w:adjustRightInd w:val="0"/>
              <w:snapToGrid w:val="0"/>
              <w:spacing w:before="0" w:after="0" w:line="560" w:lineRule="exact"/>
              <w:ind w:left="0" w:right="0" w:firstLine="482" w:firstLineChars="200"/>
              <w:jc w:val="both"/>
              <w:rPr>
                <w:rFonts w:ascii="宋体" w:hAnsi="Calibri" w:eastAsia="宋体" w:cs="宋体"/>
                <w:b/>
                <w:kern w:val="2"/>
                <w:sz w:val="24"/>
                <w:szCs w:val="24"/>
                <w:lang w:val="en-US" w:bidi="ar-SA"/>
              </w:rPr>
            </w:pPr>
            <w:r>
              <w:rPr>
                <w:rFonts w:hint="eastAsia" w:ascii="宋体" w:hAnsi="宋体" w:eastAsia="宋体" w:cs="宋体"/>
                <w:b/>
                <w:kern w:val="2"/>
                <w:sz w:val="24"/>
                <w:szCs w:val="24"/>
                <w:lang w:val="en-US" w:bidi="ar-SA"/>
              </w:rPr>
              <w:t>总报价</w:t>
            </w:r>
          </w:p>
        </w:tc>
        <w:tc>
          <w:tcPr>
            <w:tcW w:w="12479" w:type="dxa"/>
            <w:gridSpan w:val="6"/>
            <w:tcBorders>
              <w:bottom w:val="double" w:color="auto" w:sz="4" w:space="0"/>
            </w:tcBorders>
          </w:tcPr>
          <w:p>
            <w:pPr>
              <w:autoSpaceDE/>
              <w:autoSpaceDN/>
              <w:adjustRightInd w:val="0"/>
              <w:snapToGrid w:val="0"/>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大写：</w:t>
            </w:r>
            <w:r>
              <w:rPr>
                <w:rFonts w:ascii="宋体" w:hAnsi="宋体" w:eastAsia="宋体" w:cs="宋体"/>
                <w:kern w:val="2"/>
                <w:sz w:val="24"/>
                <w:szCs w:val="24"/>
                <w:u w:val="single"/>
                <w:lang w:val="en-US" w:bidi="ar-SA"/>
              </w:rPr>
              <w:t xml:space="preserve">                                   </w:t>
            </w:r>
            <w:r>
              <w:rPr>
                <w:rFonts w:ascii="宋体" w:hAnsi="宋体" w:eastAsia="宋体" w:cs="宋体"/>
                <w:kern w:val="2"/>
                <w:sz w:val="24"/>
                <w:szCs w:val="24"/>
                <w:lang w:val="en-US" w:bidi="ar-SA"/>
              </w:rPr>
              <w:t xml:space="preserve"> </w:t>
            </w:r>
            <w:r>
              <w:rPr>
                <w:rFonts w:hint="eastAsia" w:ascii="宋体" w:hAnsi="宋体" w:eastAsia="宋体" w:cs="宋体"/>
                <w:kern w:val="2"/>
                <w:sz w:val="24"/>
                <w:szCs w:val="24"/>
                <w:lang w:val="en-US" w:bidi="ar-SA"/>
              </w:rPr>
              <w:t>小写：</w:t>
            </w:r>
            <w:r>
              <w:rPr>
                <w:rFonts w:ascii="宋体" w:hAnsi="宋体" w:eastAsia="宋体" w:cs="宋体"/>
                <w:kern w:val="2"/>
                <w:sz w:val="24"/>
                <w:szCs w:val="24"/>
                <w:lang w:val="en-US" w:bidi="ar-SA"/>
              </w:rPr>
              <w:t xml:space="preserve"> </w:t>
            </w:r>
            <w:r>
              <w:rPr>
                <w:rFonts w:ascii="宋体" w:hAnsi="宋体" w:eastAsia="宋体" w:cs="宋体"/>
                <w:kern w:val="2"/>
                <w:sz w:val="24"/>
                <w:szCs w:val="24"/>
                <w:u w:val="single"/>
                <w:lang w:val="en-US" w:bidi="ar-SA"/>
              </w:rPr>
              <w:t xml:space="preserve">                          </w:t>
            </w:r>
          </w:p>
        </w:tc>
      </w:tr>
    </w:tbl>
    <w:p>
      <w:pPr>
        <w:autoSpaceDE/>
        <w:autoSpaceDN/>
        <w:adjustRightInd w:val="0"/>
        <w:spacing w:before="0" w:after="0" w:line="560" w:lineRule="exact"/>
        <w:ind w:left="0" w:right="0" w:firstLine="6480" w:firstLineChars="2700"/>
        <w:jc w:val="both"/>
        <w:rPr>
          <w:rFonts w:ascii="宋体" w:hAnsi="宋体" w:eastAsia="宋体" w:cs="宋体"/>
          <w:kern w:val="2"/>
          <w:sz w:val="24"/>
          <w:szCs w:val="24"/>
          <w:u w:val="single"/>
          <w:lang w:val="en-US" w:bidi="ar-SA"/>
        </w:rPr>
      </w:pPr>
      <w:r>
        <w:rPr>
          <w:rFonts w:hint="eastAsia" w:ascii="宋体" w:hAnsi="宋体" w:eastAsia="宋体" w:cs="宋体"/>
          <w:kern w:val="2"/>
          <w:sz w:val="24"/>
          <w:szCs w:val="24"/>
          <w:lang w:val="en-US" w:bidi="ar-SA"/>
        </w:rPr>
        <w:t>供应商（签字、盖章）：</w:t>
      </w:r>
      <w:r>
        <w:rPr>
          <w:rFonts w:ascii="宋体" w:hAnsi="宋体" w:eastAsia="宋体" w:cs="宋体"/>
          <w:kern w:val="2"/>
          <w:sz w:val="24"/>
          <w:szCs w:val="24"/>
          <w:u w:val="single"/>
          <w:lang w:val="en-US" w:bidi="ar-SA"/>
        </w:rPr>
        <w:t xml:space="preserve">                </w:t>
      </w:r>
    </w:p>
    <w:p>
      <w:pPr>
        <w:autoSpaceDE/>
        <w:autoSpaceDN/>
        <w:adjustRightInd w:val="0"/>
        <w:spacing w:before="0" w:after="0" w:line="560" w:lineRule="exact"/>
        <w:ind w:left="0" w:right="0" w:firstLine="6480" w:firstLineChars="2700"/>
        <w:jc w:val="both"/>
        <w:rPr>
          <w:rFonts w:ascii="宋体" w:hAnsi="宋体" w:eastAsia="宋体" w:cs="宋体"/>
          <w:kern w:val="2"/>
          <w:sz w:val="24"/>
          <w:szCs w:val="24"/>
          <w:u w:val="single"/>
          <w:lang w:val="en-US" w:bidi="ar-SA"/>
        </w:rPr>
      </w:pPr>
      <w:r>
        <w:rPr>
          <w:rFonts w:hint="eastAsia" w:ascii="宋体" w:hAnsi="宋体" w:eastAsia="宋体" w:cs="宋体"/>
          <w:kern w:val="2"/>
          <w:sz w:val="24"/>
          <w:szCs w:val="24"/>
          <w:lang w:val="en-US" w:bidi="ar-SA"/>
        </w:rPr>
        <w:t>法定代表人或委托代理人：（签字）</w:t>
      </w:r>
      <w:r>
        <w:rPr>
          <w:rFonts w:hint="eastAsia" w:ascii="宋体" w:hAnsi="宋体" w:eastAsia="宋体" w:cs="宋体"/>
          <w:kern w:val="2"/>
          <w:sz w:val="24"/>
          <w:szCs w:val="24"/>
          <w:u w:val="single"/>
          <w:lang w:val="en-US" w:bidi="ar-SA"/>
        </w:rPr>
        <w:t xml:space="preserve">     </w:t>
      </w:r>
    </w:p>
    <w:p>
      <w:pPr>
        <w:widowControl/>
        <w:autoSpaceDE/>
        <w:autoSpaceDN/>
        <w:adjustRightInd w:val="0"/>
        <w:spacing w:before="0" w:after="0" w:line="560" w:lineRule="exact"/>
        <w:ind w:left="0" w:right="0" w:firstLine="6480" w:firstLineChars="27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日期：</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lang w:val="en-US" w:bidi="ar-SA"/>
        </w:rPr>
        <w:t>年</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bidi="ar-SA"/>
        </w:rPr>
        <w:t xml:space="preserve">      </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lang w:val="en-US" w:bidi="ar-SA"/>
        </w:rPr>
        <w:t>月</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u w:val="single"/>
          <w:lang w:val="en-US" w:bidi="ar-SA"/>
        </w:rPr>
        <w:t xml:space="preserve"> </w:t>
      </w:r>
      <w:r>
        <w:rPr>
          <w:rFonts w:ascii="宋体" w:hAnsi="宋体" w:eastAsia="宋体" w:cs="宋体"/>
          <w:kern w:val="2"/>
          <w:sz w:val="24"/>
          <w:szCs w:val="24"/>
          <w:u w:val="single"/>
          <w:lang w:val="en-US" w:bidi="ar-SA"/>
        </w:rPr>
        <w:t xml:space="preserve">   </w:t>
      </w:r>
      <w:r>
        <w:rPr>
          <w:rFonts w:hint="eastAsia" w:ascii="宋体" w:hAnsi="宋体" w:eastAsia="宋体" w:cs="宋体"/>
          <w:kern w:val="2"/>
          <w:sz w:val="24"/>
          <w:szCs w:val="24"/>
          <w:lang w:val="en-US" w:bidi="ar-SA"/>
        </w:rPr>
        <w:t>日</w:t>
      </w:r>
    </w:p>
    <w:p>
      <w:pPr>
        <w:spacing w:line="460" w:lineRule="exact"/>
        <w:ind w:firstLine="482" w:firstLineChars="200"/>
        <w:rPr>
          <w:rFonts w:ascii="宋体"/>
          <w:b/>
          <w:sz w:val="24"/>
        </w:rPr>
        <w:sectPr>
          <w:pgSz w:w="16838" w:h="11906" w:orient="landscape"/>
          <w:pgMar w:top="1440" w:right="1080" w:bottom="1440" w:left="1080" w:header="851" w:footer="1021" w:gutter="0"/>
          <w:pgNumType w:fmt="decimal"/>
          <w:cols w:space="720" w:num="1"/>
          <w:docGrid w:type="lines" w:linePitch="312" w:charSpace="0"/>
        </w:sectPr>
      </w:pPr>
    </w:p>
    <w:p>
      <w:pPr>
        <w:keepNext/>
        <w:keepLines/>
        <w:widowControl w:val="0"/>
        <w:adjustRightInd w:val="0"/>
        <w:spacing w:before="240" w:line="360" w:lineRule="auto"/>
        <w:jc w:val="center"/>
        <w:textAlignment w:val="baseline"/>
        <w:outlineLvl w:val="1"/>
        <w:rPr>
          <w:rFonts w:ascii="宋体" w:hAnsi="Arial" w:eastAsia="宋体" w:cs="Times New Roman"/>
          <w:b/>
          <w:kern w:val="0"/>
          <w:sz w:val="30"/>
          <w:szCs w:val="28"/>
          <w:lang w:val="en-US" w:eastAsia="zh-CN" w:bidi="ar-SA"/>
        </w:rPr>
      </w:pPr>
      <w:r>
        <w:rPr>
          <w:rFonts w:hint="eastAsia" w:ascii="Arial" w:hAnsi="Arial" w:eastAsia="黑体" w:cs="Times New Roman"/>
          <w:b/>
          <w:kern w:val="0"/>
          <w:sz w:val="30"/>
          <w:szCs w:val="28"/>
          <w:lang w:val="en-US" w:eastAsia="zh-CN" w:bidi="ar-SA"/>
        </w:rPr>
        <w:t>七、商务、技术偏离表</w:t>
      </w:r>
      <w:bookmarkEnd w:id="75"/>
    </w:p>
    <w:p>
      <w:pPr>
        <w:autoSpaceDE/>
        <w:autoSpaceDN/>
        <w:adjustRightInd w:val="0"/>
        <w:spacing w:before="0" w:after="0" w:line="560" w:lineRule="exact"/>
        <w:ind w:left="0" w:right="0"/>
        <w:jc w:val="center"/>
        <w:rPr>
          <w:rFonts w:ascii="宋体" w:hAnsi="Calibri" w:eastAsia="宋体" w:cs="Times New Roman"/>
          <w:b/>
          <w:kern w:val="2"/>
          <w:sz w:val="28"/>
          <w:szCs w:val="28"/>
          <w:lang w:val="en-US" w:bidi="ar-SA"/>
        </w:rPr>
      </w:pPr>
      <w:r>
        <w:rPr>
          <w:rFonts w:hint="eastAsia" w:ascii="宋体" w:hAnsi="宋体" w:eastAsia="宋体" w:cs="Times New Roman"/>
          <w:b/>
          <w:kern w:val="2"/>
          <w:sz w:val="28"/>
          <w:szCs w:val="28"/>
          <w:lang w:val="en-US" w:bidi="ar-SA"/>
        </w:rPr>
        <w:t>商务偏离表</w:t>
      </w:r>
    </w:p>
    <w:p>
      <w:pPr>
        <w:autoSpaceDE/>
        <w:autoSpaceDN/>
        <w:adjustRightInd w:val="0"/>
        <w:spacing w:before="0" w:after="0" w:line="560" w:lineRule="exact"/>
        <w:ind w:left="0" w:right="0"/>
        <w:jc w:val="both"/>
        <w:rPr>
          <w:rFonts w:ascii="宋体" w:hAnsi="Calibri" w:eastAsia="宋体" w:cs="Times New Roman"/>
          <w:b/>
          <w:kern w:val="2"/>
          <w:sz w:val="24"/>
          <w:szCs w:val="24"/>
          <w:lang w:val="en-US" w:bidi="ar-SA"/>
        </w:rPr>
      </w:pPr>
      <w:r>
        <w:rPr>
          <w:rFonts w:hint="eastAsia" w:ascii="宋体" w:hAnsi="宋体" w:eastAsia="宋体" w:cs="Times New Roman"/>
          <w:b/>
          <w:kern w:val="2"/>
          <w:sz w:val="24"/>
          <w:szCs w:val="24"/>
          <w:lang w:val="en-US" w:bidi="ar-SA"/>
        </w:rPr>
        <w:t>〔说明〕</w:t>
      </w:r>
      <w:r>
        <w:rPr>
          <w:rFonts w:hint="eastAsia" w:ascii="宋体" w:hAnsi="宋体" w:eastAsia="宋体" w:cs="Times New Roman"/>
          <w:kern w:val="2"/>
          <w:sz w:val="24"/>
          <w:szCs w:val="24"/>
          <w:lang w:val="en-US" w:bidi="ar-SA"/>
        </w:rPr>
        <w:t>投标人应根据其能够提供的服务质量，对照</w:t>
      </w:r>
      <w:r>
        <w:rPr>
          <w:rFonts w:hint="eastAsia" w:ascii="宋体" w:hAnsi="宋体" w:cs="Times New Roman"/>
          <w:kern w:val="2"/>
          <w:sz w:val="24"/>
          <w:szCs w:val="24"/>
          <w:lang w:val="en-US" w:eastAsia="zh-CN" w:bidi="ar-SA"/>
        </w:rPr>
        <w:t>招标</w:t>
      </w:r>
      <w:r>
        <w:rPr>
          <w:rFonts w:hint="eastAsia" w:ascii="宋体" w:hAnsi="宋体" w:eastAsia="宋体" w:cs="Times New Roman"/>
          <w:kern w:val="2"/>
          <w:sz w:val="24"/>
          <w:szCs w:val="24"/>
          <w:lang w:val="en-US" w:bidi="ar-SA"/>
        </w:rPr>
        <w:t>文件除“技术参数要求”外的要求予以说明。有差异的，则在差异表中写明实际响应的具体内容。</w:t>
      </w:r>
    </w:p>
    <w:p>
      <w:pPr>
        <w:widowControl w:val="0"/>
        <w:tabs>
          <w:tab w:val="left" w:pos="284"/>
        </w:tabs>
        <w:adjustRightInd w:val="0"/>
        <w:spacing w:line="560" w:lineRule="exact"/>
        <w:jc w:val="both"/>
        <w:rPr>
          <w:rFonts w:ascii="宋体" w:hAnsi="Calibri" w:eastAsia="宋体" w:cs="Times New Roman"/>
          <w:color w:val="000000"/>
          <w:kern w:val="2"/>
          <w:sz w:val="24"/>
          <w:szCs w:val="24"/>
          <w:lang w:val="en-US" w:eastAsia="zh-CN" w:bidi="ar-SA"/>
        </w:rPr>
      </w:pPr>
      <w:r>
        <w:rPr>
          <w:rFonts w:hint="eastAsia" w:ascii="宋体" w:hAnsi="宋体" w:eastAsia="宋体" w:cs="Times New Roman"/>
          <w:color w:val="000000"/>
          <w:kern w:val="2"/>
          <w:sz w:val="24"/>
          <w:szCs w:val="24"/>
          <w:lang w:val="en-US" w:eastAsia="zh-CN" w:bidi="ar-SA"/>
        </w:rPr>
        <w:t>投标人名称：</w:t>
      </w:r>
      <w:r>
        <w:rPr>
          <w:rFonts w:ascii="宋体" w:hAnsi="宋体" w:eastAsia="宋体" w:cs="Times New Roman"/>
          <w:color w:val="000000"/>
          <w:kern w:val="2"/>
          <w:sz w:val="24"/>
          <w:szCs w:val="24"/>
          <w:u w:val="none"/>
          <w:lang w:val="en-US" w:eastAsia="zh-CN" w:bidi="ar-SA"/>
        </w:rPr>
        <w:t xml:space="preserve">                             </w:t>
      </w:r>
      <w:r>
        <w:rPr>
          <w:rFonts w:hint="eastAsia" w:ascii="宋体" w:hAnsi="宋体" w:eastAsia="宋体" w:cs="Times New Roman"/>
          <w:color w:val="000000"/>
          <w:kern w:val="2"/>
          <w:sz w:val="24"/>
          <w:szCs w:val="24"/>
          <w:lang w:val="en-US" w:eastAsia="zh-CN" w:bidi="ar-SA"/>
        </w:rPr>
        <w:t>交易编号：</w:t>
      </w:r>
    </w:p>
    <w:tbl>
      <w:tblPr>
        <w:tblStyle w:val="12"/>
        <w:tblW w:w="84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460"/>
        <w:gridCol w:w="2556"/>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top w:val="double" w:color="auto" w:sz="4" w:space="0"/>
              <w:left w:val="double" w:color="auto" w:sz="4" w:space="0"/>
            </w:tcBorders>
            <w:noWrap w:val="0"/>
            <w:vAlign w:val="center"/>
          </w:tcPr>
          <w:p>
            <w:pPr>
              <w:tabs>
                <w:tab w:val="left" w:pos="284"/>
              </w:tabs>
              <w:autoSpaceDE/>
              <w:autoSpaceDN/>
              <w:adjustRightInd w:val="0"/>
              <w:spacing w:before="0" w:after="0" w:line="560" w:lineRule="exact"/>
              <w:ind w:left="0" w:right="0"/>
              <w:jc w:val="center"/>
              <w:rPr>
                <w:rFonts w:ascii="宋体" w:hAnsi="Calibri" w:eastAsia="宋体" w:cs="Times New Roman"/>
                <w:b/>
                <w:bCs/>
                <w:kern w:val="2"/>
                <w:sz w:val="24"/>
                <w:szCs w:val="24"/>
                <w:lang w:val="en-US" w:bidi="ar-SA"/>
              </w:rPr>
            </w:pPr>
            <w:r>
              <w:rPr>
                <w:rFonts w:hint="eastAsia" w:ascii="宋体" w:hAnsi="宋体" w:eastAsia="宋体" w:cs="Times New Roman"/>
                <w:b/>
                <w:kern w:val="2"/>
                <w:sz w:val="24"/>
                <w:szCs w:val="24"/>
                <w:lang w:val="en-US" w:bidi="ar-SA"/>
              </w:rPr>
              <w:t>序号</w:t>
            </w:r>
          </w:p>
        </w:tc>
        <w:tc>
          <w:tcPr>
            <w:tcW w:w="2460" w:type="dxa"/>
            <w:tcBorders>
              <w:top w:val="double" w:color="auto" w:sz="4" w:space="0"/>
            </w:tcBorders>
            <w:noWrap w:val="0"/>
            <w:vAlign w:val="center"/>
          </w:tcPr>
          <w:p>
            <w:pPr>
              <w:tabs>
                <w:tab w:val="left" w:pos="284"/>
              </w:tabs>
              <w:autoSpaceDE/>
              <w:autoSpaceDN/>
              <w:adjustRightInd w:val="0"/>
              <w:spacing w:before="0" w:after="0" w:line="560" w:lineRule="exact"/>
              <w:ind w:left="0" w:right="0"/>
              <w:jc w:val="center"/>
              <w:rPr>
                <w:rFonts w:ascii="宋体" w:hAnsi="Calibri" w:eastAsia="宋体" w:cs="Times New Roman"/>
                <w:b/>
                <w:kern w:val="2"/>
                <w:sz w:val="24"/>
                <w:szCs w:val="24"/>
                <w:lang w:val="en-US" w:bidi="ar-SA"/>
              </w:rPr>
            </w:pPr>
            <w:r>
              <w:rPr>
                <w:rFonts w:hint="eastAsia" w:ascii="宋体" w:hAnsi="宋体" w:cs="Times New Roman"/>
                <w:b/>
                <w:kern w:val="2"/>
                <w:sz w:val="24"/>
                <w:szCs w:val="24"/>
                <w:lang w:val="en-US" w:eastAsia="zh-CN" w:bidi="ar-SA"/>
              </w:rPr>
              <w:t>招标</w:t>
            </w:r>
            <w:r>
              <w:rPr>
                <w:rFonts w:hint="eastAsia" w:ascii="宋体" w:hAnsi="宋体" w:eastAsia="宋体" w:cs="Times New Roman"/>
                <w:b/>
                <w:kern w:val="2"/>
                <w:sz w:val="24"/>
                <w:szCs w:val="24"/>
                <w:lang w:val="en-US" w:bidi="ar-SA"/>
              </w:rPr>
              <w:t>文件</w:t>
            </w:r>
          </w:p>
        </w:tc>
        <w:tc>
          <w:tcPr>
            <w:tcW w:w="2556" w:type="dxa"/>
            <w:tcBorders>
              <w:top w:val="double" w:color="auto" w:sz="4" w:space="0"/>
            </w:tcBorders>
            <w:noWrap w:val="0"/>
            <w:vAlign w:val="center"/>
          </w:tcPr>
          <w:p>
            <w:pPr>
              <w:tabs>
                <w:tab w:val="left" w:pos="284"/>
              </w:tabs>
              <w:autoSpaceDE/>
              <w:autoSpaceDN/>
              <w:adjustRightInd w:val="0"/>
              <w:spacing w:before="0" w:after="0" w:line="560" w:lineRule="exact"/>
              <w:ind w:left="0" w:right="0"/>
              <w:jc w:val="center"/>
              <w:rPr>
                <w:rFonts w:ascii="宋体" w:hAnsi="Calibri" w:eastAsia="宋体" w:cs="Times New Roman"/>
                <w:b/>
                <w:bCs/>
                <w:kern w:val="2"/>
                <w:sz w:val="24"/>
                <w:szCs w:val="24"/>
                <w:lang w:val="en-US" w:bidi="ar-SA"/>
              </w:rPr>
            </w:pPr>
            <w:r>
              <w:rPr>
                <w:rFonts w:hint="eastAsia" w:ascii="宋体" w:hAnsi="宋体" w:cs="Times New Roman"/>
                <w:b/>
                <w:kern w:val="2"/>
                <w:sz w:val="24"/>
                <w:szCs w:val="24"/>
                <w:lang w:val="en-US" w:eastAsia="zh-CN" w:bidi="ar-SA"/>
              </w:rPr>
              <w:t>投标</w:t>
            </w:r>
            <w:r>
              <w:rPr>
                <w:rFonts w:hint="eastAsia" w:ascii="宋体" w:hAnsi="宋体" w:eastAsia="宋体" w:cs="Times New Roman"/>
                <w:b/>
                <w:kern w:val="2"/>
                <w:sz w:val="24"/>
                <w:szCs w:val="24"/>
                <w:lang w:val="en-US" w:bidi="ar-SA"/>
              </w:rPr>
              <w:t>文件内容</w:t>
            </w:r>
          </w:p>
        </w:tc>
        <w:tc>
          <w:tcPr>
            <w:tcW w:w="2400" w:type="dxa"/>
            <w:tcBorders>
              <w:top w:val="double" w:color="auto" w:sz="4" w:space="0"/>
              <w:right w:val="double" w:color="auto" w:sz="4" w:space="0"/>
            </w:tcBorders>
            <w:noWrap w:val="0"/>
            <w:vAlign w:val="center"/>
          </w:tcPr>
          <w:p>
            <w:pPr>
              <w:tabs>
                <w:tab w:val="left" w:pos="284"/>
              </w:tabs>
              <w:autoSpaceDE/>
              <w:autoSpaceDN/>
              <w:adjustRightInd w:val="0"/>
              <w:spacing w:before="0" w:after="0" w:line="560" w:lineRule="exact"/>
              <w:ind w:left="0" w:right="0"/>
              <w:jc w:val="center"/>
              <w:rPr>
                <w:rFonts w:ascii="宋体" w:hAnsi="Calibri" w:eastAsia="宋体" w:cs="Times New Roman"/>
                <w:b/>
                <w:kern w:val="2"/>
                <w:sz w:val="24"/>
                <w:szCs w:val="24"/>
                <w:lang w:val="en-US" w:bidi="ar-SA"/>
              </w:rPr>
            </w:pPr>
            <w:r>
              <w:rPr>
                <w:rFonts w:hint="eastAsia" w:ascii="宋体" w:hAnsi="宋体" w:eastAsia="宋体" w:cs="Times New Roman"/>
                <w:b/>
                <w:kern w:val="2"/>
                <w:sz w:val="24"/>
                <w:szCs w:val="24"/>
                <w:lang w:val="en-US" w:bidi="ar-SA"/>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60" w:type="dxa"/>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556" w:type="dxa"/>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00" w:type="dxa"/>
            <w:tcBorders>
              <w:righ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60" w:type="dxa"/>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556" w:type="dxa"/>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00" w:type="dxa"/>
            <w:tcBorders>
              <w:righ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60" w:type="dxa"/>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556" w:type="dxa"/>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00" w:type="dxa"/>
            <w:tcBorders>
              <w:righ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60" w:type="dxa"/>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556" w:type="dxa"/>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00" w:type="dxa"/>
            <w:tcBorders>
              <w:righ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60" w:type="dxa"/>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556" w:type="dxa"/>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00" w:type="dxa"/>
            <w:tcBorders>
              <w:righ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60" w:type="dxa"/>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556" w:type="dxa"/>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00" w:type="dxa"/>
            <w:tcBorders>
              <w:righ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60" w:type="dxa"/>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556" w:type="dxa"/>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00" w:type="dxa"/>
            <w:tcBorders>
              <w:righ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80" w:type="dxa"/>
            <w:tcBorders>
              <w:left w:val="double" w:color="auto" w:sz="4" w:space="0"/>
              <w:bottom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60" w:type="dxa"/>
            <w:tcBorders>
              <w:bottom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556" w:type="dxa"/>
            <w:tcBorders>
              <w:bottom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c>
          <w:tcPr>
            <w:tcW w:w="2400" w:type="dxa"/>
            <w:tcBorders>
              <w:bottom w:val="double" w:color="auto" w:sz="4" w:space="0"/>
              <w:right w:val="double" w:color="auto" w:sz="4" w:space="0"/>
            </w:tcBorders>
            <w:noWrap w:val="0"/>
            <w:vAlign w:val="top"/>
          </w:tcPr>
          <w:p>
            <w:pPr>
              <w:tabs>
                <w:tab w:val="left" w:pos="284"/>
              </w:tabs>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c>
      </w:tr>
    </w:tbl>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jc w:val="both"/>
        <w:textAlignment w:val="auto"/>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投标人（盖章）：</w:t>
      </w:r>
    </w:p>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jc w:val="both"/>
        <w:textAlignment w:val="auto"/>
        <w:rPr>
          <w:rFonts w:hint="eastAsia" w:ascii="宋体" w:hAnsi="宋体" w:eastAsia="宋体" w:cs="Times New Roman"/>
          <w:kern w:val="2"/>
          <w:sz w:val="24"/>
          <w:szCs w:val="24"/>
          <w:lang w:val="en-US" w:bidi="ar-SA"/>
        </w:rPr>
      </w:pPr>
      <w:r>
        <w:rPr>
          <w:rFonts w:hint="eastAsia" w:ascii="宋体" w:hAnsi="宋体" w:eastAsia="宋体" w:cs="Times New Roman"/>
          <w:kern w:val="2"/>
          <w:sz w:val="24"/>
          <w:szCs w:val="24"/>
          <w:lang w:val="en-US" w:bidi="ar-SA"/>
        </w:rPr>
        <w:t xml:space="preserve">法定代表人或授权委托人（签字）：          </w:t>
      </w:r>
    </w:p>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jc w:val="both"/>
        <w:textAlignment w:val="auto"/>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日期：</w:t>
      </w:r>
    </w:p>
    <w:p>
      <w:pPr>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jc w:val="both"/>
        <w:rPr>
          <w:rFonts w:ascii="宋体" w:hAnsi="Calibri" w:eastAsia="宋体" w:cs="Times New Roman"/>
          <w:b/>
          <w:kern w:val="2"/>
          <w:sz w:val="28"/>
          <w:szCs w:val="24"/>
          <w:lang w:val="en-US" w:bidi="ar-SA"/>
        </w:rPr>
      </w:pPr>
    </w:p>
    <w:p>
      <w:pPr>
        <w:autoSpaceDE/>
        <w:autoSpaceDN/>
        <w:adjustRightInd w:val="0"/>
        <w:spacing w:before="0" w:after="0" w:line="560" w:lineRule="exact"/>
        <w:ind w:left="0" w:right="0"/>
        <w:jc w:val="center"/>
        <w:rPr>
          <w:rFonts w:hint="eastAsia" w:ascii="宋体" w:hAnsi="宋体" w:eastAsia="宋体" w:cs="Times New Roman"/>
          <w:b/>
          <w:kern w:val="2"/>
          <w:sz w:val="28"/>
          <w:szCs w:val="24"/>
          <w:lang w:val="en-US" w:bidi="ar-SA"/>
        </w:rPr>
      </w:pPr>
    </w:p>
    <w:p>
      <w:pPr>
        <w:pStyle w:val="2"/>
        <w:rPr>
          <w:rFonts w:hint="eastAsia"/>
          <w:lang w:val="en-US"/>
        </w:rPr>
      </w:pPr>
    </w:p>
    <w:p>
      <w:pPr>
        <w:autoSpaceDE/>
        <w:autoSpaceDN/>
        <w:adjustRightInd w:val="0"/>
        <w:spacing w:before="0" w:after="0" w:line="560" w:lineRule="exact"/>
        <w:ind w:left="0" w:right="0"/>
        <w:jc w:val="center"/>
        <w:rPr>
          <w:rFonts w:hint="eastAsia" w:ascii="宋体" w:hAnsi="宋体" w:eastAsia="宋体" w:cs="Times New Roman"/>
          <w:b/>
          <w:kern w:val="2"/>
          <w:sz w:val="28"/>
          <w:szCs w:val="24"/>
          <w:lang w:val="en-US" w:bidi="ar-SA"/>
        </w:rPr>
      </w:pPr>
    </w:p>
    <w:p>
      <w:pPr>
        <w:autoSpaceDE/>
        <w:autoSpaceDN/>
        <w:adjustRightInd w:val="0"/>
        <w:spacing w:before="0" w:after="0" w:line="560" w:lineRule="exact"/>
        <w:ind w:left="0" w:right="0"/>
        <w:jc w:val="center"/>
        <w:rPr>
          <w:rFonts w:ascii="宋体" w:hAnsi="Calibri" w:eastAsia="宋体" w:cs="Times New Roman"/>
          <w:b/>
          <w:kern w:val="2"/>
          <w:sz w:val="28"/>
          <w:szCs w:val="24"/>
          <w:lang w:val="en-US" w:bidi="ar-SA"/>
        </w:rPr>
      </w:pPr>
      <w:r>
        <w:rPr>
          <w:rFonts w:hint="eastAsia" w:ascii="宋体" w:hAnsi="宋体" w:eastAsia="宋体" w:cs="Times New Roman"/>
          <w:b/>
          <w:kern w:val="2"/>
          <w:sz w:val="28"/>
          <w:szCs w:val="24"/>
          <w:lang w:val="en-US" w:bidi="ar-SA"/>
        </w:rPr>
        <w:t>技术偏离表</w:t>
      </w:r>
    </w:p>
    <w:p>
      <w:pPr>
        <w:autoSpaceDE/>
        <w:autoSpaceDN/>
        <w:adjustRightInd w:val="0"/>
        <w:spacing w:before="0" w:after="0" w:line="560" w:lineRule="exact"/>
        <w:ind w:left="0" w:right="0"/>
        <w:jc w:val="both"/>
        <w:rPr>
          <w:rFonts w:ascii="宋体" w:hAnsi="Calibri" w:eastAsia="宋体" w:cs="Times New Roman"/>
          <w:kern w:val="2"/>
          <w:sz w:val="24"/>
          <w:szCs w:val="24"/>
          <w:lang w:val="en-US" w:bidi="ar-SA"/>
        </w:rPr>
      </w:pPr>
      <w:r>
        <w:rPr>
          <w:rFonts w:hint="eastAsia" w:ascii="宋体" w:hAnsi="宋体" w:eastAsia="宋体" w:cs="Times New Roman"/>
          <w:b/>
          <w:kern w:val="2"/>
          <w:sz w:val="24"/>
          <w:szCs w:val="24"/>
          <w:lang w:val="en-US" w:bidi="ar-SA"/>
        </w:rPr>
        <w:t>〔说明〕</w:t>
      </w:r>
      <w:r>
        <w:rPr>
          <w:rFonts w:hint="eastAsia" w:ascii="宋体" w:hAnsi="宋体" w:eastAsia="宋体" w:cs="Times New Roman"/>
          <w:kern w:val="2"/>
          <w:sz w:val="24"/>
          <w:szCs w:val="24"/>
          <w:lang w:val="en-US" w:bidi="ar-SA"/>
        </w:rPr>
        <w:t>投标人应按照《</w:t>
      </w:r>
      <w:r>
        <w:rPr>
          <w:rFonts w:hint="eastAsia" w:ascii="宋体" w:hAnsi="宋体" w:cs="Times New Roman"/>
          <w:kern w:val="2"/>
          <w:sz w:val="24"/>
          <w:szCs w:val="24"/>
          <w:lang w:val="en-US" w:eastAsia="zh-CN" w:bidi="ar-SA"/>
        </w:rPr>
        <w:t>招标</w:t>
      </w:r>
      <w:r>
        <w:rPr>
          <w:rFonts w:hint="eastAsia" w:ascii="宋体" w:hAnsi="宋体" w:eastAsia="宋体" w:cs="Times New Roman"/>
          <w:kern w:val="2"/>
          <w:sz w:val="24"/>
          <w:szCs w:val="24"/>
          <w:lang w:val="en-US" w:bidi="ar-SA"/>
        </w:rPr>
        <w:t>文件》要求，根据“技术参数要求”内容做出全面响应。对响应有差异的，则说明差异的内容</w:t>
      </w:r>
      <w:r>
        <w:rPr>
          <w:rFonts w:ascii="宋体" w:hAnsi="宋体" w:eastAsia="宋体" w:cs="Times New Roman"/>
          <w:kern w:val="2"/>
          <w:sz w:val="24"/>
          <w:szCs w:val="24"/>
          <w:lang w:val="en-US" w:bidi="ar-SA"/>
        </w:rPr>
        <w:t xml:space="preserve"> </w:t>
      </w:r>
      <w:r>
        <w:rPr>
          <w:rFonts w:hint="eastAsia" w:ascii="宋体" w:hAnsi="宋体" w:eastAsia="宋体" w:cs="Times New Roman"/>
          <w:kern w:val="2"/>
          <w:sz w:val="24"/>
          <w:szCs w:val="24"/>
          <w:lang w:val="en-US" w:eastAsia="zh-CN" w:bidi="ar-SA"/>
        </w:rPr>
        <w:t>。</w:t>
      </w:r>
    </w:p>
    <w:p>
      <w:pPr>
        <w:autoSpaceDE/>
        <w:autoSpaceDN/>
        <w:adjustRightInd w:val="0"/>
        <w:spacing w:before="0" w:after="0" w:line="560" w:lineRule="exact"/>
        <w:ind w:left="0" w:right="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投标人名称：</w:t>
      </w:r>
      <w:r>
        <w:rPr>
          <w:rFonts w:ascii="宋体" w:hAnsi="宋体" w:eastAsia="宋体" w:cs="Times New Roman"/>
          <w:kern w:val="2"/>
          <w:sz w:val="24"/>
          <w:szCs w:val="24"/>
          <w:u w:val="none"/>
          <w:lang w:val="en-US" w:bidi="ar-SA"/>
        </w:rPr>
        <w:t xml:space="preserve">                                   </w:t>
      </w:r>
      <w:r>
        <w:rPr>
          <w:rFonts w:hint="eastAsia" w:ascii="宋体" w:hAnsi="宋体" w:eastAsia="宋体" w:cs="Times New Roman"/>
          <w:kern w:val="2"/>
          <w:sz w:val="24"/>
          <w:szCs w:val="24"/>
          <w:lang w:val="en-US" w:eastAsia="zh-CN" w:bidi="ar-SA"/>
        </w:rPr>
        <w:t>交易编号</w:t>
      </w:r>
      <w:r>
        <w:rPr>
          <w:rFonts w:hint="eastAsia" w:ascii="宋体" w:hAnsi="宋体" w:eastAsia="宋体" w:cs="Times New Roman"/>
          <w:kern w:val="2"/>
          <w:sz w:val="24"/>
          <w:szCs w:val="24"/>
          <w:lang w:val="en-US" w:bidi="ar-SA"/>
        </w:rPr>
        <w:t>：</w:t>
      </w:r>
    </w:p>
    <w:tbl>
      <w:tblPr>
        <w:tblStyle w:val="12"/>
        <w:tblW w:w="834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232"/>
        <w:gridCol w:w="2500"/>
        <w:gridCol w:w="1401"/>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1080" w:type="dxa"/>
            <w:tcBorders>
              <w:top w:val="single" w:color="auto" w:sz="12" w:space="0"/>
            </w:tcBorders>
            <w:noWrap w:val="0"/>
            <w:vAlign w:val="center"/>
          </w:tcPr>
          <w:p>
            <w:pPr>
              <w:autoSpaceDE/>
              <w:autoSpaceDN/>
              <w:adjustRightInd w:val="0"/>
              <w:spacing w:before="0" w:after="0" w:line="560" w:lineRule="exact"/>
              <w:ind w:left="0" w:right="0"/>
              <w:jc w:val="center"/>
              <w:rPr>
                <w:rFonts w:ascii="宋体" w:hAnsi="Calibri" w:eastAsia="宋体" w:cs="Times New Roman"/>
                <w:b/>
                <w:kern w:val="2"/>
                <w:sz w:val="24"/>
                <w:szCs w:val="24"/>
                <w:lang w:val="en-US" w:bidi="ar-SA"/>
              </w:rPr>
            </w:pPr>
            <w:r>
              <w:rPr>
                <w:rFonts w:hint="eastAsia" w:ascii="宋体" w:hAnsi="宋体" w:eastAsia="宋体" w:cs="Times New Roman"/>
                <w:b/>
                <w:kern w:val="2"/>
                <w:sz w:val="24"/>
                <w:szCs w:val="24"/>
                <w:lang w:val="en-US" w:bidi="ar-SA"/>
              </w:rPr>
              <w:t>序号</w:t>
            </w:r>
          </w:p>
        </w:tc>
        <w:tc>
          <w:tcPr>
            <w:tcW w:w="2232" w:type="dxa"/>
            <w:tcBorders>
              <w:top w:val="single" w:color="auto" w:sz="12" w:space="0"/>
            </w:tcBorders>
            <w:noWrap w:val="0"/>
            <w:vAlign w:val="center"/>
          </w:tcPr>
          <w:p>
            <w:pPr>
              <w:autoSpaceDE/>
              <w:autoSpaceDN/>
              <w:adjustRightInd w:val="0"/>
              <w:spacing w:before="0" w:after="0" w:line="560" w:lineRule="exact"/>
              <w:ind w:left="0" w:right="0"/>
              <w:jc w:val="center"/>
              <w:rPr>
                <w:rFonts w:ascii="宋体" w:hAnsi="Calibri" w:eastAsia="宋体" w:cs="Times New Roman"/>
                <w:b/>
                <w:kern w:val="2"/>
                <w:sz w:val="24"/>
                <w:szCs w:val="24"/>
                <w:lang w:val="en-US" w:bidi="ar-SA"/>
              </w:rPr>
            </w:pPr>
            <w:r>
              <w:rPr>
                <w:rFonts w:hint="eastAsia" w:ascii="宋体" w:hAnsi="宋体" w:cs="Times New Roman"/>
                <w:b/>
                <w:kern w:val="2"/>
                <w:sz w:val="24"/>
                <w:szCs w:val="24"/>
                <w:lang w:val="en-US" w:eastAsia="zh-CN" w:bidi="ar-SA"/>
              </w:rPr>
              <w:t>招标</w:t>
            </w:r>
            <w:r>
              <w:rPr>
                <w:rFonts w:hint="eastAsia" w:ascii="宋体" w:hAnsi="宋体" w:eastAsia="宋体" w:cs="Times New Roman"/>
                <w:b/>
                <w:kern w:val="2"/>
                <w:sz w:val="24"/>
                <w:szCs w:val="24"/>
                <w:lang w:val="en-US" w:bidi="ar-SA"/>
              </w:rPr>
              <w:t>文件</w:t>
            </w:r>
          </w:p>
        </w:tc>
        <w:tc>
          <w:tcPr>
            <w:tcW w:w="2500" w:type="dxa"/>
            <w:tcBorders>
              <w:top w:val="single" w:color="auto" w:sz="12" w:space="0"/>
            </w:tcBorders>
            <w:noWrap w:val="0"/>
            <w:vAlign w:val="center"/>
          </w:tcPr>
          <w:p>
            <w:pPr>
              <w:autoSpaceDE/>
              <w:autoSpaceDN/>
              <w:adjustRightInd w:val="0"/>
              <w:spacing w:before="0" w:after="0" w:line="560" w:lineRule="exact"/>
              <w:ind w:left="0" w:right="0"/>
              <w:jc w:val="center"/>
              <w:rPr>
                <w:rFonts w:ascii="宋体" w:hAnsi="Calibri" w:eastAsia="宋体" w:cs="Times New Roman"/>
                <w:b/>
                <w:kern w:val="2"/>
                <w:sz w:val="24"/>
                <w:szCs w:val="24"/>
                <w:lang w:val="en-US" w:bidi="ar-SA"/>
              </w:rPr>
            </w:pPr>
            <w:r>
              <w:rPr>
                <w:rFonts w:hint="eastAsia" w:ascii="宋体" w:hAnsi="宋体" w:cs="Times New Roman"/>
                <w:b/>
                <w:kern w:val="2"/>
                <w:sz w:val="24"/>
                <w:szCs w:val="24"/>
                <w:lang w:val="en-US" w:eastAsia="zh-CN" w:bidi="ar-SA"/>
              </w:rPr>
              <w:t>投标</w:t>
            </w:r>
            <w:r>
              <w:rPr>
                <w:rFonts w:hint="eastAsia" w:ascii="宋体" w:hAnsi="宋体" w:eastAsia="宋体" w:cs="Times New Roman"/>
                <w:b/>
                <w:kern w:val="2"/>
                <w:sz w:val="24"/>
                <w:szCs w:val="24"/>
                <w:lang w:val="en-US" w:bidi="ar-SA"/>
              </w:rPr>
              <w:t>文件</w:t>
            </w:r>
          </w:p>
        </w:tc>
        <w:tc>
          <w:tcPr>
            <w:tcW w:w="1401" w:type="dxa"/>
            <w:tcBorders>
              <w:top w:val="single" w:color="auto" w:sz="12" w:space="0"/>
            </w:tcBorders>
            <w:noWrap w:val="0"/>
            <w:vAlign w:val="center"/>
          </w:tcPr>
          <w:p>
            <w:pPr>
              <w:autoSpaceDE/>
              <w:autoSpaceDN/>
              <w:adjustRightInd w:val="0"/>
              <w:spacing w:before="0" w:after="0" w:line="560" w:lineRule="exact"/>
              <w:ind w:left="0" w:right="0"/>
              <w:jc w:val="both"/>
              <w:rPr>
                <w:rFonts w:ascii="宋体" w:hAnsi="Calibri" w:eastAsia="宋体" w:cs="Times New Roman"/>
                <w:b/>
                <w:kern w:val="2"/>
                <w:sz w:val="24"/>
                <w:szCs w:val="24"/>
                <w:lang w:val="en-US" w:bidi="ar-SA"/>
              </w:rPr>
            </w:pPr>
            <w:r>
              <w:rPr>
                <w:rFonts w:hint="eastAsia" w:ascii="宋体" w:hAnsi="宋体" w:eastAsia="宋体" w:cs="Times New Roman"/>
                <w:b/>
                <w:kern w:val="2"/>
                <w:sz w:val="24"/>
                <w:szCs w:val="24"/>
                <w:lang w:val="en-US" w:bidi="ar-SA"/>
              </w:rPr>
              <w:t>偏离情况</w:t>
            </w:r>
          </w:p>
        </w:tc>
        <w:tc>
          <w:tcPr>
            <w:tcW w:w="1134" w:type="dxa"/>
            <w:tcBorders>
              <w:top w:val="single" w:color="auto" w:sz="12" w:space="0"/>
            </w:tcBorders>
            <w:noWrap w:val="0"/>
            <w:vAlign w:val="center"/>
          </w:tcPr>
          <w:p>
            <w:pPr>
              <w:autoSpaceDE/>
              <w:autoSpaceDN/>
              <w:adjustRightInd w:val="0"/>
              <w:spacing w:before="0" w:after="0" w:line="560" w:lineRule="exact"/>
              <w:ind w:left="0" w:right="0"/>
              <w:jc w:val="both"/>
              <w:rPr>
                <w:rFonts w:ascii="宋体" w:hAnsi="Calibri" w:eastAsia="宋体" w:cs="Times New Roman"/>
                <w:b/>
                <w:kern w:val="2"/>
                <w:sz w:val="24"/>
                <w:szCs w:val="24"/>
                <w:lang w:val="en-US" w:bidi="ar-SA"/>
              </w:rPr>
            </w:pPr>
            <w:r>
              <w:rPr>
                <w:rFonts w:hint="eastAsia" w:ascii="宋体" w:hAnsi="宋体" w:eastAsia="宋体" w:cs="Times New Roman"/>
                <w:b/>
                <w:kern w:val="2"/>
                <w:sz w:val="24"/>
                <w:szCs w:val="24"/>
                <w:lang w:val="en-US" w:bidi="ar-SA"/>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center"/>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232" w:type="dxa"/>
            <w:noWrap w:val="0"/>
            <w:vAlign w:val="center"/>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500" w:type="dxa"/>
            <w:noWrap w:val="0"/>
            <w:vAlign w:val="center"/>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401" w:type="dxa"/>
            <w:noWrap w:val="0"/>
            <w:vAlign w:val="center"/>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134" w:type="dxa"/>
            <w:noWrap w:val="0"/>
            <w:vAlign w:val="center"/>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232"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500"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401"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134"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232"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500"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401"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134"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232"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500"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401"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134"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232"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500"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401"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134"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232"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500"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401"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134"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232"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500"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401"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134" w:type="dxa"/>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tcBorders>
              <w:bottom w:val="single" w:color="auto" w:sz="12" w:space="0"/>
            </w:tcBorders>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232" w:type="dxa"/>
            <w:tcBorders>
              <w:bottom w:val="single" w:color="auto" w:sz="12" w:space="0"/>
            </w:tcBorders>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2500" w:type="dxa"/>
            <w:tcBorders>
              <w:bottom w:val="single" w:color="auto" w:sz="12" w:space="0"/>
            </w:tcBorders>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401" w:type="dxa"/>
            <w:tcBorders>
              <w:bottom w:val="single" w:color="auto" w:sz="12" w:space="0"/>
            </w:tcBorders>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c>
          <w:tcPr>
            <w:tcW w:w="1134" w:type="dxa"/>
            <w:tcBorders>
              <w:bottom w:val="single" w:color="auto" w:sz="12" w:space="0"/>
            </w:tcBorders>
            <w:noWrap w:val="0"/>
            <w:vAlign w:val="top"/>
          </w:tcPr>
          <w:p>
            <w:pPr>
              <w:autoSpaceDE/>
              <w:autoSpaceDN/>
              <w:adjustRightInd w:val="0"/>
              <w:spacing w:before="0" w:after="0" w:line="560" w:lineRule="exact"/>
              <w:ind w:left="848" w:leftChars="404" w:right="0"/>
              <w:jc w:val="both"/>
              <w:rPr>
                <w:rFonts w:ascii="宋体" w:hAnsi="Calibri" w:eastAsia="宋体" w:cs="Times New Roman"/>
                <w:kern w:val="2"/>
                <w:sz w:val="21"/>
                <w:szCs w:val="24"/>
                <w:lang w:val="en-US" w:bidi="ar-SA"/>
              </w:rPr>
            </w:pPr>
          </w:p>
        </w:tc>
      </w:tr>
    </w:tbl>
    <w:p>
      <w:pPr>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注：请对《</w:t>
      </w:r>
      <w:r>
        <w:rPr>
          <w:rFonts w:hint="eastAsia" w:ascii="宋体" w:hAnsi="宋体" w:cs="Times New Roman"/>
          <w:kern w:val="2"/>
          <w:sz w:val="24"/>
          <w:szCs w:val="24"/>
          <w:lang w:val="en-US" w:eastAsia="zh-CN" w:bidi="ar-SA"/>
        </w:rPr>
        <w:t>招标</w:t>
      </w:r>
      <w:r>
        <w:rPr>
          <w:rFonts w:hint="eastAsia" w:ascii="宋体" w:hAnsi="宋体" w:eastAsia="宋体" w:cs="Times New Roman"/>
          <w:kern w:val="2"/>
          <w:sz w:val="24"/>
          <w:szCs w:val="24"/>
          <w:lang w:val="en-US" w:bidi="ar-SA"/>
        </w:rPr>
        <w:t>文件》技术规格书要求内容逐条响应</w:t>
      </w:r>
    </w:p>
    <w:p>
      <w:pPr>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jc w:val="both"/>
        <w:textAlignment w:val="auto"/>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投标人（盖章）：</w:t>
      </w:r>
    </w:p>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jc w:val="both"/>
        <w:textAlignment w:val="auto"/>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 xml:space="preserve">法定代表人或授权委托人（签字）：        </w:t>
      </w:r>
    </w:p>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jc w:val="both"/>
        <w:textAlignment w:val="auto"/>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日期：</w:t>
      </w:r>
    </w:p>
    <w:p>
      <w:pPr>
        <w:keepNext w:val="0"/>
        <w:keepLines w:val="0"/>
        <w:pageBreakBefore w:val="0"/>
        <w:widowControl w:val="0"/>
        <w:kinsoku/>
        <w:wordWrap/>
        <w:overflowPunct/>
        <w:topLinePunct w:val="0"/>
        <w:autoSpaceDE/>
        <w:autoSpaceDN/>
        <w:bidi w:val="0"/>
        <w:adjustRightInd w:val="0"/>
        <w:snapToGrid/>
        <w:spacing w:before="0" w:after="0" w:line="560" w:lineRule="exact"/>
        <w:ind w:left="0" w:leftChars="0" w:right="0"/>
        <w:jc w:val="both"/>
        <w:textAlignment w:val="auto"/>
        <w:rPr>
          <w:rFonts w:ascii="宋体" w:hAnsi="Calibri" w:eastAsia="宋体" w:cs="Times New Roman"/>
          <w:kern w:val="2"/>
          <w:sz w:val="24"/>
          <w:szCs w:val="24"/>
          <w:lang w:val="en-US" w:bidi="ar-SA"/>
        </w:rPr>
      </w:pPr>
    </w:p>
    <w:p>
      <w:pPr>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p>
      <w:pPr>
        <w:pStyle w:val="4"/>
        <w:outlineLvl w:val="9"/>
        <w:rPr>
          <w:rFonts w:hint="eastAsia"/>
          <w:szCs w:val="28"/>
          <w:lang w:val="en-US" w:eastAsia="zh-CN"/>
        </w:rPr>
      </w:pPr>
    </w:p>
    <w:p>
      <w:pPr>
        <w:rPr>
          <w:rFonts w:hint="eastAsia"/>
          <w:szCs w:val="28"/>
          <w:lang w:val="en-US" w:eastAsia="zh-CN"/>
        </w:rPr>
      </w:pPr>
    </w:p>
    <w:p>
      <w:pPr>
        <w:pStyle w:val="2"/>
        <w:rPr>
          <w:rFonts w:hint="eastAsia"/>
          <w:lang w:val="en-US" w:eastAsia="zh-CN"/>
        </w:rPr>
      </w:pPr>
    </w:p>
    <w:p>
      <w:pPr>
        <w:keepNext/>
        <w:keepLines/>
        <w:widowControl w:val="0"/>
        <w:adjustRightInd w:val="0"/>
        <w:spacing w:before="240" w:line="360" w:lineRule="auto"/>
        <w:jc w:val="center"/>
        <w:textAlignment w:val="baseline"/>
        <w:outlineLvl w:val="1"/>
        <w:rPr>
          <w:rFonts w:hint="eastAsia" w:ascii="Arial" w:hAnsi="Arial" w:eastAsia="黑体" w:cs="Times New Roman"/>
          <w:b/>
          <w:kern w:val="0"/>
          <w:sz w:val="30"/>
          <w:szCs w:val="28"/>
          <w:lang w:val="en-US" w:eastAsia="zh-CN" w:bidi="ar-SA"/>
        </w:rPr>
      </w:pPr>
      <w:r>
        <w:rPr>
          <w:rFonts w:hint="eastAsia" w:ascii="Arial" w:hAnsi="Arial" w:eastAsia="黑体" w:cs="Times New Roman"/>
          <w:b/>
          <w:kern w:val="0"/>
          <w:sz w:val="30"/>
          <w:szCs w:val="28"/>
          <w:lang w:val="en-US" w:eastAsia="zh-CN" w:bidi="ar-SA"/>
        </w:rPr>
        <w:t>八、供应商一般情况表</w:t>
      </w:r>
    </w:p>
    <w:p>
      <w:pPr>
        <w:autoSpaceDE/>
        <w:autoSpaceDN/>
        <w:adjustRightInd w:val="0"/>
        <w:spacing w:before="0" w:after="0" w:line="560" w:lineRule="exact"/>
        <w:ind w:left="848" w:leftChars="404" w:right="0"/>
        <w:jc w:val="both"/>
        <w:rPr>
          <w:rFonts w:ascii="宋体" w:hAnsi="Calibri" w:eastAsia="宋体" w:cs="Times New Roman"/>
          <w:kern w:val="2"/>
          <w:sz w:val="24"/>
          <w:szCs w:val="24"/>
          <w:lang w:val="en-US" w:bidi="ar-SA"/>
        </w:rPr>
      </w:pPr>
    </w:p>
    <w:tbl>
      <w:tblPr>
        <w:tblStyle w:val="13"/>
        <w:tblpPr w:leftFromText="180" w:rightFromText="180" w:vertAnchor="page" w:horzAnchor="page" w:tblpX="1264" w:tblpY="2212"/>
        <w:tblOverlap w:val="never"/>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1365"/>
        <w:gridCol w:w="1290"/>
        <w:gridCol w:w="1425"/>
        <w:gridCol w:w="1369"/>
        <w:gridCol w:w="84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投标人名称</w:t>
            </w:r>
          </w:p>
        </w:tc>
        <w:tc>
          <w:tcPr>
            <w:tcW w:w="8179" w:type="dxa"/>
            <w:gridSpan w:val="6"/>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676"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注册地址</w:t>
            </w:r>
          </w:p>
        </w:tc>
        <w:tc>
          <w:tcPr>
            <w:tcW w:w="2655"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2794"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邮政编码</w:t>
            </w:r>
          </w:p>
        </w:tc>
        <w:tc>
          <w:tcPr>
            <w:tcW w:w="2730"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676" w:type="dxa"/>
            <w:vMerge w:val="restart"/>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联系方式</w:t>
            </w:r>
          </w:p>
        </w:tc>
        <w:tc>
          <w:tcPr>
            <w:tcW w:w="1365"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联系人</w:t>
            </w:r>
          </w:p>
        </w:tc>
        <w:tc>
          <w:tcPr>
            <w:tcW w:w="1290"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2794"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电    话</w:t>
            </w:r>
          </w:p>
        </w:tc>
        <w:tc>
          <w:tcPr>
            <w:tcW w:w="2730"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676" w:type="dxa"/>
            <w:vMerge w:val="continue"/>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lang w:val="en-US" w:bidi="ar-SA"/>
              </w:rPr>
            </w:pPr>
          </w:p>
        </w:tc>
        <w:tc>
          <w:tcPr>
            <w:tcW w:w="1365"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传  真</w:t>
            </w:r>
          </w:p>
        </w:tc>
        <w:tc>
          <w:tcPr>
            <w:tcW w:w="1290"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2794" w:type="dxa"/>
            <w:gridSpan w:val="2"/>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网    址</w:t>
            </w:r>
          </w:p>
        </w:tc>
        <w:tc>
          <w:tcPr>
            <w:tcW w:w="2730" w:type="dxa"/>
            <w:gridSpan w:val="2"/>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kern w:val="2"/>
                <w:sz w:val="24"/>
                <w:szCs w:val="24"/>
                <w:lang w:val="en-US" w:bidi="ar-SA"/>
              </w:rPr>
            </w:pPr>
            <w:r>
              <w:rPr>
                <w:rFonts w:hint="eastAsia" w:ascii="宋体" w:hAnsi="宋体" w:eastAsia="宋体" w:cs="宋体"/>
                <w:b w:val="0"/>
                <w:bCs w:val="0"/>
                <w:color w:val="000000"/>
                <w:kern w:val="0"/>
                <w:sz w:val="24"/>
                <w:szCs w:val="24"/>
                <w:lang w:val="en-US" w:eastAsia="zh-CN" w:bidi="ar"/>
              </w:rPr>
              <w:t>法定代表人</w:t>
            </w:r>
          </w:p>
        </w:tc>
        <w:tc>
          <w:tcPr>
            <w:tcW w:w="1365"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姓  名</w:t>
            </w:r>
          </w:p>
        </w:tc>
        <w:tc>
          <w:tcPr>
            <w:tcW w:w="1290"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技术职称</w:t>
            </w:r>
          </w:p>
        </w:tc>
        <w:tc>
          <w:tcPr>
            <w:tcW w:w="1369"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840"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电 话</w:t>
            </w:r>
          </w:p>
        </w:tc>
        <w:tc>
          <w:tcPr>
            <w:tcW w:w="1890"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kern w:val="2"/>
                <w:sz w:val="24"/>
                <w:szCs w:val="24"/>
                <w:lang w:val="en-US" w:bidi="ar-SA"/>
              </w:rPr>
            </w:pPr>
            <w:r>
              <w:rPr>
                <w:rFonts w:hint="eastAsia" w:ascii="宋体" w:hAnsi="宋体" w:eastAsia="宋体" w:cs="宋体"/>
                <w:b w:val="0"/>
                <w:bCs w:val="0"/>
                <w:color w:val="000000"/>
                <w:kern w:val="0"/>
                <w:sz w:val="24"/>
                <w:szCs w:val="24"/>
                <w:lang w:val="en-US" w:eastAsia="zh-CN" w:bidi="ar"/>
              </w:rPr>
              <w:t>质量负责人</w:t>
            </w:r>
          </w:p>
        </w:tc>
        <w:tc>
          <w:tcPr>
            <w:tcW w:w="1365"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姓  名</w:t>
            </w:r>
          </w:p>
        </w:tc>
        <w:tc>
          <w:tcPr>
            <w:tcW w:w="1290" w:type="dxa"/>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技术职称</w:t>
            </w:r>
          </w:p>
        </w:tc>
        <w:tc>
          <w:tcPr>
            <w:tcW w:w="1369"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840"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电 话</w:t>
            </w:r>
          </w:p>
        </w:tc>
        <w:tc>
          <w:tcPr>
            <w:tcW w:w="1890"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成立时间</w:t>
            </w:r>
          </w:p>
        </w:tc>
        <w:tc>
          <w:tcPr>
            <w:tcW w:w="2655"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员工总人数</w:t>
            </w:r>
          </w:p>
        </w:tc>
        <w:tc>
          <w:tcPr>
            <w:tcW w:w="4099" w:type="dxa"/>
            <w:gridSpan w:val="3"/>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76" w:type="dxa"/>
            <w:vAlign w:val="center"/>
          </w:tcPr>
          <w:p>
            <w:pPr>
              <w:keepNext w:val="0"/>
              <w:keepLines w:val="0"/>
              <w:widowControl/>
              <w:suppressLineNumbers w:val="0"/>
              <w:autoSpaceDE/>
              <w:autoSpaceDN/>
              <w:spacing w:before="0" w:after="0" w:line="240" w:lineRule="auto"/>
              <w:ind w:left="0" w:right="0"/>
              <w:jc w:val="left"/>
              <w:rPr>
                <w:rFonts w:hint="eastAsia" w:ascii="宋体" w:hAnsi="宋体" w:eastAsia="宋体" w:cs="宋体"/>
                <w:kern w:val="2"/>
                <w:sz w:val="24"/>
                <w:szCs w:val="24"/>
                <w:lang w:val="en-US" w:bidi="ar-SA"/>
              </w:rPr>
            </w:pPr>
            <w:r>
              <w:rPr>
                <w:rFonts w:hint="eastAsia" w:ascii="宋体" w:hAnsi="宋体" w:eastAsia="宋体" w:cs="宋体"/>
                <w:color w:val="000000"/>
                <w:kern w:val="0"/>
                <w:sz w:val="24"/>
                <w:szCs w:val="24"/>
                <w:lang w:val="en-US" w:eastAsia="zh-CN" w:bidi="ar"/>
              </w:rPr>
              <w:t>企业资质等级</w:t>
            </w:r>
          </w:p>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color w:val="000000"/>
                <w:kern w:val="0"/>
                <w:sz w:val="24"/>
                <w:szCs w:val="24"/>
                <w:lang w:val="en-US" w:eastAsia="zh-CN" w:bidi="ar"/>
              </w:rPr>
            </w:pPr>
          </w:p>
        </w:tc>
        <w:tc>
          <w:tcPr>
            <w:tcW w:w="2655"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Merge w:val="restart"/>
            <w:vAlign w:val="center"/>
          </w:tcPr>
          <w:p>
            <w:pPr>
              <w:autoSpaceDE/>
              <w:autoSpaceDN/>
              <w:spacing w:before="0" w:after="0" w:line="240" w:lineRule="auto"/>
              <w:ind w:left="0" w:right="0" w:firstLine="480" w:firstLineChars="200"/>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其</w:t>
            </w:r>
          </w:p>
          <w:p>
            <w:pPr>
              <w:autoSpaceDE/>
              <w:autoSpaceDN/>
              <w:spacing w:before="0" w:after="0" w:line="240" w:lineRule="auto"/>
              <w:ind w:left="0" w:right="0"/>
              <w:jc w:val="both"/>
              <w:rPr>
                <w:rFonts w:hint="eastAsia" w:ascii="宋体" w:hAnsi="宋体" w:eastAsia="宋体" w:cs="宋体"/>
                <w:b w:val="0"/>
                <w:bCs w:val="0"/>
                <w:kern w:val="2"/>
                <w:sz w:val="24"/>
                <w:szCs w:val="24"/>
                <w:vertAlign w:val="baseline"/>
                <w:lang w:val="en-US" w:eastAsia="zh-CN" w:bidi="ar-SA"/>
              </w:rPr>
            </w:pPr>
          </w:p>
          <w:p>
            <w:pPr>
              <w:autoSpaceDE/>
              <w:autoSpaceDN/>
              <w:spacing w:before="0" w:after="0" w:line="240" w:lineRule="auto"/>
              <w:ind w:left="0" w:right="0"/>
              <w:jc w:val="both"/>
              <w:rPr>
                <w:rFonts w:hint="eastAsia" w:ascii="宋体" w:hAnsi="宋体" w:eastAsia="宋体" w:cs="宋体"/>
                <w:b w:val="0"/>
                <w:bCs w:val="0"/>
                <w:kern w:val="2"/>
                <w:sz w:val="24"/>
                <w:szCs w:val="24"/>
                <w:vertAlign w:val="baseline"/>
                <w:lang w:val="en-US" w:eastAsia="zh-CN" w:bidi="ar-SA"/>
              </w:rPr>
            </w:pPr>
          </w:p>
          <w:p>
            <w:pPr>
              <w:autoSpaceDE/>
              <w:autoSpaceDN/>
              <w:spacing w:before="0" w:after="0" w:line="240" w:lineRule="auto"/>
              <w:ind w:left="0" w:right="0" w:firstLine="480" w:firstLineChars="200"/>
              <w:jc w:val="both"/>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中</w:t>
            </w:r>
          </w:p>
        </w:tc>
        <w:tc>
          <w:tcPr>
            <w:tcW w:w="1369"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kern w:val="2"/>
                <w:sz w:val="24"/>
                <w:szCs w:val="24"/>
                <w:lang w:val="en-US" w:bidi="ar-SA"/>
              </w:rPr>
            </w:pPr>
            <w:r>
              <w:rPr>
                <w:rFonts w:hint="eastAsia" w:ascii="宋体" w:hAnsi="宋体" w:eastAsia="宋体" w:cs="宋体"/>
                <w:color w:val="000000"/>
                <w:kern w:val="0"/>
                <w:sz w:val="24"/>
                <w:szCs w:val="24"/>
                <w:lang w:val="en-US" w:eastAsia="zh-CN" w:bidi="ar"/>
              </w:rPr>
              <w:t>高级职称人员</w:t>
            </w:r>
          </w:p>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2730" w:type="dxa"/>
            <w:gridSpan w:val="2"/>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kern w:val="2"/>
                <w:sz w:val="24"/>
                <w:szCs w:val="24"/>
                <w:lang w:val="en-US" w:bidi="ar-SA"/>
              </w:rPr>
            </w:pPr>
            <w:r>
              <w:rPr>
                <w:rFonts w:hint="eastAsia" w:ascii="宋体" w:hAnsi="宋体" w:eastAsia="宋体" w:cs="宋体"/>
                <w:color w:val="000000"/>
                <w:kern w:val="0"/>
                <w:sz w:val="24"/>
                <w:szCs w:val="24"/>
                <w:lang w:val="en-US" w:eastAsia="zh-CN" w:bidi="ar"/>
              </w:rPr>
              <w:t>营业执照号</w:t>
            </w:r>
          </w:p>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color w:val="000000"/>
                <w:kern w:val="0"/>
                <w:sz w:val="24"/>
                <w:szCs w:val="24"/>
                <w:lang w:val="en-US" w:eastAsia="zh-CN" w:bidi="ar"/>
              </w:rPr>
            </w:pPr>
          </w:p>
        </w:tc>
        <w:tc>
          <w:tcPr>
            <w:tcW w:w="2655"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Merge w:val="continue"/>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369"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kern w:val="2"/>
                <w:sz w:val="24"/>
                <w:szCs w:val="24"/>
                <w:lang w:val="en-US" w:bidi="ar-SA"/>
              </w:rPr>
            </w:pPr>
            <w:r>
              <w:rPr>
                <w:rFonts w:hint="eastAsia" w:ascii="宋体" w:hAnsi="宋体" w:eastAsia="宋体" w:cs="宋体"/>
                <w:color w:val="000000"/>
                <w:kern w:val="0"/>
                <w:sz w:val="24"/>
                <w:szCs w:val="24"/>
                <w:lang w:val="en-US" w:eastAsia="zh-CN" w:bidi="ar"/>
              </w:rPr>
              <w:t>中级职称人员</w:t>
            </w:r>
          </w:p>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2730" w:type="dxa"/>
            <w:gridSpan w:val="2"/>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kern w:val="2"/>
                <w:sz w:val="24"/>
                <w:szCs w:val="24"/>
                <w:lang w:val="en-US" w:bidi="ar-SA"/>
              </w:rPr>
            </w:pPr>
            <w:r>
              <w:rPr>
                <w:rFonts w:hint="eastAsia" w:ascii="宋体" w:hAnsi="宋体" w:eastAsia="宋体" w:cs="宋体"/>
                <w:color w:val="000000"/>
                <w:kern w:val="0"/>
                <w:sz w:val="24"/>
                <w:szCs w:val="24"/>
                <w:lang w:val="en-US" w:eastAsia="zh-CN" w:bidi="ar"/>
              </w:rPr>
              <w:t>注册资金</w:t>
            </w:r>
          </w:p>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color w:val="000000"/>
                <w:kern w:val="0"/>
                <w:sz w:val="24"/>
                <w:szCs w:val="24"/>
                <w:lang w:val="en-US" w:eastAsia="zh-CN" w:bidi="ar"/>
              </w:rPr>
            </w:pPr>
          </w:p>
        </w:tc>
        <w:tc>
          <w:tcPr>
            <w:tcW w:w="2655"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Merge w:val="continue"/>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369"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kern w:val="2"/>
                <w:sz w:val="24"/>
                <w:szCs w:val="24"/>
                <w:lang w:val="en-US" w:bidi="ar-SA"/>
              </w:rPr>
            </w:pPr>
            <w:r>
              <w:rPr>
                <w:rFonts w:hint="eastAsia" w:ascii="宋体" w:hAnsi="宋体" w:eastAsia="宋体" w:cs="宋体"/>
                <w:color w:val="000000"/>
                <w:kern w:val="0"/>
                <w:sz w:val="24"/>
                <w:szCs w:val="24"/>
                <w:lang w:val="en-US" w:eastAsia="zh-CN" w:bidi="ar"/>
              </w:rPr>
              <w:t>初级职称人员</w:t>
            </w:r>
          </w:p>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2730" w:type="dxa"/>
            <w:gridSpan w:val="2"/>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开户银行</w:t>
            </w:r>
          </w:p>
        </w:tc>
        <w:tc>
          <w:tcPr>
            <w:tcW w:w="2655"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Merge w:val="continue"/>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369"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技   工</w:t>
            </w:r>
          </w:p>
        </w:tc>
        <w:tc>
          <w:tcPr>
            <w:tcW w:w="2730" w:type="dxa"/>
            <w:gridSpan w:val="2"/>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账   号</w:t>
            </w:r>
          </w:p>
        </w:tc>
        <w:tc>
          <w:tcPr>
            <w:tcW w:w="2655" w:type="dxa"/>
            <w:gridSpan w:val="2"/>
            <w:vAlign w:val="center"/>
          </w:tcPr>
          <w:p>
            <w:pPr>
              <w:numPr>
                <w:ilvl w:val="0"/>
                <w:numId w:val="0"/>
              </w:num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425" w:type="dxa"/>
            <w:vMerge w:val="continue"/>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c>
          <w:tcPr>
            <w:tcW w:w="1369" w:type="dxa"/>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r>
              <w:rPr>
                <w:rFonts w:hint="eastAsia" w:ascii="宋体" w:hAnsi="宋体" w:eastAsia="宋体" w:cs="宋体"/>
                <w:b w:val="0"/>
                <w:bCs w:val="0"/>
                <w:kern w:val="2"/>
                <w:sz w:val="24"/>
                <w:szCs w:val="24"/>
                <w:vertAlign w:val="baseline"/>
                <w:lang w:val="en-US" w:eastAsia="zh-CN" w:bidi="ar-SA"/>
              </w:rPr>
              <w:t>其   他</w:t>
            </w:r>
          </w:p>
        </w:tc>
        <w:tc>
          <w:tcPr>
            <w:tcW w:w="2730" w:type="dxa"/>
            <w:gridSpan w:val="2"/>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2" w:hRule="atLeast"/>
        </w:trPr>
        <w:tc>
          <w:tcPr>
            <w:tcW w:w="1676" w:type="dxa"/>
            <w:vAlign w:val="center"/>
          </w:tcPr>
          <w:p>
            <w:pPr>
              <w:keepNext w:val="0"/>
              <w:keepLines w:val="0"/>
              <w:widowControl/>
              <w:suppressLineNumbers w:val="0"/>
              <w:autoSpaceDE/>
              <w:autoSpaceDN/>
              <w:spacing w:before="0" w:after="0" w:line="240" w:lineRule="auto"/>
              <w:ind w:left="0" w:right="0"/>
              <w:jc w:val="center"/>
              <w:rPr>
                <w:rFonts w:hint="eastAsia" w:ascii="宋体" w:hAnsi="宋体" w:eastAsia="宋体" w:cs="宋体"/>
                <w:b w:val="0"/>
                <w:bCs w:val="0"/>
                <w:color w:val="000000"/>
                <w:kern w:val="0"/>
                <w:sz w:val="24"/>
                <w:szCs w:val="24"/>
                <w:lang w:val="en-US" w:eastAsia="zh-CN" w:bidi="ar"/>
              </w:rPr>
            </w:pPr>
            <w:r>
              <w:rPr>
                <w:rFonts w:hint="eastAsia" w:ascii="宋体" w:hAnsi="宋体" w:eastAsia="宋体" w:cs="宋体"/>
                <w:b w:val="0"/>
                <w:bCs w:val="0"/>
                <w:color w:val="000000"/>
                <w:kern w:val="0"/>
                <w:sz w:val="24"/>
                <w:szCs w:val="24"/>
                <w:lang w:val="en-US" w:eastAsia="zh-CN" w:bidi="ar"/>
              </w:rPr>
              <w:t>经营范围</w:t>
            </w:r>
          </w:p>
        </w:tc>
        <w:tc>
          <w:tcPr>
            <w:tcW w:w="8179" w:type="dxa"/>
            <w:gridSpan w:val="6"/>
            <w:vAlign w:val="center"/>
          </w:tcPr>
          <w:p>
            <w:pPr>
              <w:autoSpaceDE/>
              <w:autoSpaceDN/>
              <w:spacing w:before="0" w:after="0" w:line="240" w:lineRule="auto"/>
              <w:ind w:left="0" w:right="0"/>
              <w:jc w:val="center"/>
              <w:rPr>
                <w:rFonts w:hint="eastAsia" w:ascii="宋体" w:hAnsi="宋体" w:eastAsia="宋体" w:cs="宋体"/>
                <w:b w:val="0"/>
                <w:bCs w:val="0"/>
                <w:kern w:val="2"/>
                <w:sz w:val="24"/>
                <w:szCs w:val="24"/>
                <w:vertAlign w:val="baseline"/>
                <w:lang w:val="en-US" w:eastAsia="zh-CN" w:bidi="ar-SA"/>
              </w:rPr>
            </w:pPr>
          </w:p>
        </w:tc>
      </w:tr>
    </w:tbl>
    <w:p>
      <w:pPr>
        <w:keepNext/>
        <w:keepLines/>
        <w:widowControl w:val="0"/>
        <w:adjustRightInd w:val="0"/>
        <w:spacing w:before="240" w:line="360" w:lineRule="auto"/>
        <w:jc w:val="both"/>
        <w:textAlignment w:val="baseline"/>
        <w:outlineLvl w:val="9"/>
        <w:rPr>
          <w:rFonts w:ascii="Arial" w:hAnsi="Arial" w:eastAsia="黑体" w:cs="Times New Roman"/>
          <w:b/>
          <w:kern w:val="0"/>
          <w:sz w:val="30"/>
          <w:szCs w:val="28"/>
          <w:lang w:val="en-US" w:eastAsia="zh-CN" w:bidi="ar-SA"/>
        </w:rPr>
      </w:pPr>
    </w:p>
    <w:tbl>
      <w:tblPr>
        <w:tblStyle w:val="12"/>
        <w:tblpPr w:leftFromText="180" w:rightFromText="180" w:vertAnchor="text" w:horzAnchor="page" w:tblpX="1690" w:tblpY="603"/>
        <w:tblW w:w="87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619"/>
        <w:gridCol w:w="1848"/>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809" w:type="dxa"/>
            <w:noWrap w:val="0"/>
            <w:vAlign w:val="center"/>
          </w:tcPr>
          <w:p>
            <w:pPr>
              <w:adjustRightInd w:val="0"/>
              <w:spacing w:line="560" w:lineRule="exact"/>
              <w:jc w:val="center"/>
              <w:textAlignment w:val="baseline"/>
              <w:rPr>
                <w:rFonts w:ascii="宋体"/>
                <w:b/>
                <w:sz w:val="24"/>
              </w:rPr>
            </w:pPr>
            <w:r>
              <w:rPr>
                <w:rFonts w:hint="eastAsia" w:ascii="宋体" w:hAnsi="宋体"/>
                <w:b/>
                <w:sz w:val="24"/>
              </w:rPr>
              <w:t>年份</w:t>
            </w:r>
          </w:p>
        </w:tc>
        <w:tc>
          <w:tcPr>
            <w:tcW w:w="2619" w:type="dxa"/>
            <w:noWrap w:val="0"/>
            <w:vAlign w:val="center"/>
          </w:tcPr>
          <w:p>
            <w:pPr>
              <w:adjustRightInd w:val="0"/>
              <w:spacing w:line="560" w:lineRule="exact"/>
              <w:textAlignment w:val="baseline"/>
              <w:rPr>
                <w:rFonts w:ascii="宋体"/>
                <w:b/>
                <w:sz w:val="24"/>
              </w:rPr>
            </w:pPr>
            <w:r>
              <w:rPr>
                <w:rFonts w:hint="eastAsia" w:ascii="宋体" w:hAnsi="宋体"/>
                <w:b/>
                <w:sz w:val="24"/>
              </w:rPr>
              <w:t>处分或处罚记录</w:t>
            </w:r>
          </w:p>
        </w:tc>
        <w:tc>
          <w:tcPr>
            <w:tcW w:w="1848" w:type="dxa"/>
            <w:noWrap w:val="0"/>
            <w:vAlign w:val="center"/>
          </w:tcPr>
          <w:p>
            <w:pPr>
              <w:adjustRightInd w:val="0"/>
              <w:spacing w:line="560" w:lineRule="exact"/>
              <w:jc w:val="center"/>
              <w:textAlignment w:val="baseline"/>
              <w:rPr>
                <w:rFonts w:ascii="宋体"/>
                <w:b/>
                <w:sz w:val="24"/>
              </w:rPr>
            </w:pPr>
            <w:r>
              <w:rPr>
                <w:rFonts w:hint="eastAsia" w:ascii="宋体" w:hAnsi="宋体"/>
                <w:b/>
                <w:sz w:val="24"/>
              </w:rPr>
              <w:t>处分单位</w:t>
            </w:r>
          </w:p>
        </w:tc>
        <w:tc>
          <w:tcPr>
            <w:tcW w:w="2472" w:type="dxa"/>
            <w:noWrap w:val="0"/>
            <w:vAlign w:val="center"/>
          </w:tcPr>
          <w:p>
            <w:pPr>
              <w:adjustRightInd w:val="0"/>
              <w:spacing w:line="560" w:lineRule="exact"/>
              <w:jc w:val="center"/>
              <w:textAlignment w:val="baseline"/>
              <w:rPr>
                <w:rFonts w:ascii="宋体"/>
                <w:b/>
                <w:sz w:val="24"/>
              </w:rPr>
            </w:pPr>
            <w:r>
              <w:rPr>
                <w:rFonts w:hint="eastAsia" w:ascii="宋体" w:hAnsi="宋体"/>
                <w:b/>
                <w:sz w:val="24"/>
              </w:rPr>
              <w:t>相关说明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809" w:type="dxa"/>
            <w:noWrap w:val="0"/>
            <w:vAlign w:val="center"/>
          </w:tcPr>
          <w:p>
            <w:pPr>
              <w:adjustRightInd w:val="0"/>
              <w:spacing w:line="560" w:lineRule="exact"/>
              <w:jc w:val="center"/>
              <w:textAlignment w:val="baseline"/>
              <w:rPr>
                <w:rFonts w:hint="eastAsia" w:ascii="宋体" w:eastAsiaTheme="minorEastAsia"/>
                <w:sz w:val="24"/>
                <w:lang w:val="en-US" w:eastAsia="zh-CN"/>
              </w:rPr>
            </w:pPr>
            <w:r>
              <w:rPr>
                <w:rFonts w:ascii="宋体" w:hAnsi="宋体"/>
                <w:sz w:val="24"/>
              </w:rPr>
              <w:t>201</w:t>
            </w:r>
            <w:r>
              <w:rPr>
                <w:rFonts w:hint="eastAsia" w:ascii="宋体" w:hAnsi="宋体"/>
                <w:sz w:val="24"/>
                <w:lang w:val="en-US" w:eastAsia="zh-CN"/>
              </w:rPr>
              <w:t>6</w:t>
            </w:r>
          </w:p>
        </w:tc>
        <w:tc>
          <w:tcPr>
            <w:tcW w:w="2619" w:type="dxa"/>
            <w:noWrap w:val="0"/>
            <w:vAlign w:val="center"/>
          </w:tcPr>
          <w:p>
            <w:pPr>
              <w:adjustRightInd w:val="0"/>
              <w:spacing w:line="560" w:lineRule="exact"/>
              <w:textAlignment w:val="baseline"/>
              <w:rPr>
                <w:rFonts w:ascii="宋体"/>
                <w:sz w:val="24"/>
              </w:rPr>
            </w:pPr>
          </w:p>
        </w:tc>
        <w:tc>
          <w:tcPr>
            <w:tcW w:w="1848" w:type="dxa"/>
            <w:noWrap w:val="0"/>
            <w:vAlign w:val="center"/>
          </w:tcPr>
          <w:p>
            <w:pPr>
              <w:adjustRightInd w:val="0"/>
              <w:spacing w:line="560" w:lineRule="exact"/>
              <w:textAlignment w:val="baseline"/>
              <w:rPr>
                <w:rFonts w:ascii="宋体"/>
                <w:sz w:val="24"/>
              </w:rPr>
            </w:pPr>
          </w:p>
        </w:tc>
        <w:tc>
          <w:tcPr>
            <w:tcW w:w="2472" w:type="dxa"/>
            <w:noWrap w:val="0"/>
            <w:vAlign w:val="center"/>
          </w:tcPr>
          <w:p>
            <w:pPr>
              <w:adjustRightInd w:val="0"/>
              <w:spacing w:line="560" w:lineRule="exact"/>
              <w:textAlignment w:val="baselin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809" w:type="dxa"/>
            <w:noWrap w:val="0"/>
            <w:vAlign w:val="center"/>
          </w:tcPr>
          <w:p>
            <w:pPr>
              <w:adjustRightInd w:val="0"/>
              <w:spacing w:line="560" w:lineRule="exact"/>
              <w:jc w:val="center"/>
              <w:textAlignment w:val="baseline"/>
              <w:rPr>
                <w:rFonts w:hint="eastAsia" w:ascii="宋体" w:eastAsiaTheme="minorEastAsia"/>
                <w:sz w:val="24"/>
                <w:lang w:val="en-US" w:eastAsia="zh-CN"/>
              </w:rPr>
            </w:pPr>
            <w:r>
              <w:rPr>
                <w:rFonts w:ascii="宋体" w:hAnsi="宋体"/>
                <w:sz w:val="24"/>
              </w:rPr>
              <w:t>201</w:t>
            </w:r>
            <w:r>
              <w:rPr>
                <w:rFonts w:hint="eastAsia" w:ascii="宋体" w:hAnsi="宋体"/>
                <w:sz w:val="24"/>
                <w:lang w:val="en-US" w:eastAsia="zh-CN"/>
              </w:rPr>
              <w:t>7</w:t>
            </w:r>
          </w:p>
        </w:tc>
        <w:tc>
          <w:tcPr>
            <w:tcW w:w="2619" w:type="dxa"/>
            <w:noWrap w:val="0"/>
            <w:vAlign w:val="center"/>
          </w:tcPr>
          <w:p>
            <w:pPr>
              <w:adjustRightInd w:val="0"/>
              <w:spacing w:line="560" w:lineRule="exact"/>
              <w:textAlignment w:val="baseline"/>
              <w:rPr>
                <w:rFonts w:ascii="宋体"/>
                <w:sz w:val="24"/>
              </w:rPr>
            </w:pPr>
          </w:p>
        </w:tc>
        <w:tc>
          <w:tcPr>
            <w:tcW w:w="1848" w:type="dxa"/>
            <w:noWrap w:val="0"/>
            <w:vAlign w:val="center"/>
          </w:tcPr>
          <w:p>
            <w:pPr>
              <w:adjustRightInd w:val="0"/>
              <w:spacing w:line="560" w:lineRule="exact"/>
              <w:textAlignment w:val="baseline"/>
              <w:rPr>
                <w:rFonts w:ascii="宋体"/>
                <w:sz w:val="24"/>
              </w:rPr>
            </w:pPr>
          </w:p>
        </w:tc>
        <w:tc>
          <w:tcPr>
            <w:tcW w:w="2472" w:type="dxa"/>
            <w:noWrap w:val="0"/>
            <w:vAlign w:val="center"/>
          </w:tcPr>
          <w:p>
            <w:pPr>
              <w:adjustRightInd w:val="0"/>
              <w:spacing w:line="560" w:lineRule="exact"/>
              <w:textAlignment w:val="baseline"/>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809" w:type="dxa"/>
            <w:noWrap w:val="0"/>
            <w:vAlign w:val="center"/>
          </w:tcPr>
          <w:p>
            <w:pPr>
              <w:adjustRightInd w:val="0"/>
              <w:spacing w:line="560" w:lineRule="exact"/>
              <w:jc w:val="center"/>
              <w:textAlignment w:val="baseline"/>
              <w:rPr>
                <w:rFonts w:hint="eastAsia" w:ascii="宋体" w:eastAsiaTheme="minorEastAsia"/>
                <w:sz w:val="24"/>
                <w:lang w:val="en-US" w:eastAsia="zh-CN"/>
              </w:rPr>
            </w:pPr>
            <w:r>
              <w:rPr>
                <w:rFonts w:ascii="宋体" w:hAnsi="宋体"/>
                <w:sz w:val="24"/>
              </w:rPr>
              <w:t>201</w:t>
            </w:r>
            <w:r>
              <w:rPr>
                <w:rFonts w:hint="eastAsia" w:ascii="宋体" w:hAnsi="宋体"/>
                <w:sz w:val="24"/>
                <w:lang w:val="en-US" w:eastAsia="zh-CN"/>
              </w:rPr>
              <w:t>8</w:t>
            </w:r>
          </w:p>
        </w:tc>
        <w:tc>
          <w:tcPr>
            <w:tcW w:w="2619" w:type="dxa"/>
            <w:noWrap w:val="0"/>
            <w:vAlign w:val="center"/>
          </w:tcPr>
          <w:p>
            <w:pPr>
              <w:adjustRightInd w:val="0"/>
              <w:spacing w:line="560" w:lineRule="exact"/>
              <w:textAlignment w:val="baseline"/>
              <w:rPr>
                <w:rFonts w:ascii="宋体"/>
                <w:sz w:val="24"/>
              </w:rPr>
            </w:pPr>
          </w:p>
        </w:tc>
        <w:tc>
          <w:tcPr>
            <w:tcW w:w="1848" w:type="dxa"/>
            <w:noWrap w:val="0"/>
            <w:vAlign w:val="center"/>
          </w:tcPr>
          <w:p>
            <w:pPr>
              <w:adjustRightInd w:val="0"/>
              <w:spacing w:line="560" w:lineRule="exact"/>
              <w:textAlignment w:val="baseline"/>
              <w:rPr>
                <w:rFonts w:ascii="宋体"/>
                <w:sz w:val="24"/>
              </w:rPr>
            </w:pPr>
          </w:p>
        </w:tc>
        <w:tc>
          <w:tcPr>
            <w:tcW w:w="2472" w:type="dxa"/>
            <w:noWrap w:val="0"/>
            <w:vAlign w:val="center"/>
          </w:tcPr>
          <w:p>
            <w:pPr>
              <w:adjustRightInd w:val="0"/>
              <w:spacing w:line="560" w:lineRule="exact"/>
              <w:textAlignment w:val="baseline"/>
              <w:rPr>
                <w:rFonts w:ascii="宋体"/>
                <w:sz w:val="24"/>
              </w:rPr>
            </w:pPr>
          </w:p>
        </w:tc>
      </w:tr>
    </w:tbl>
    <w:p>
      <w:pPr>
        <w:keepNext/>
        <w:keepLines/>
        <w:widowControl w:val="0"/>
        <w:adjustRightInd w:val="0"/>
        <w:spacing w:before="240" w:line="360" w:lineRule="auto"/>
        <w:jc w:val="both"/>
        <w:textAlignment w:val="baseline"/>
        <w:outlineLvl w:val="9"/>
        <w:rPr>
          <w:rFonts w:ascii="Arial" w:hAnsi="Arial" w:eastAsia="黑体" w:cs="Times New Roman"/>
          <w:b/>
          <w:kern w:val="0"/>
          <w:sz w:val="30"/>
          <w:szCs w:val="28"/>
          <w:lang w:val="en-US" w:eastAsia="zh-CN" w:bidi="ar-SA"/>
        </w:rPr>
      </w:pPr>
    </w:p>
    <w:p>
      <w:pPr>
        <w:keepNext/>
        <w:keepLines/>
        <w:widowControl w:val="0"/>
        <w:adjustRightInd w:val="0"/>
        <w:spacing w:before="240" w:line="360" w:lineRule="auto"/>
        <w:jc w:val="both"/>
        <w:textAlignment w:val="baseline"/>
        <w:outlineLvl w:val="9"/>
        <w:rPr>
          <w:rFonts w:ascii="Arial" w:hAnsi="Arial" w:eastAsia="黑体" w:cs="Times New Roman"/>
          <w:b/>
          <w:kern w:val="0"/>
          <w:sz w:val="30"/>
          <w:szCs w:val="28"/>
          <w:lang w:val="en-US" w:eastAsia="zh-CN" w:bidi="ar-SA"/>
        </w:rPr>
      </w:pPr>
    </w:p>
    <w:p>
      <w:pPr>
        <w:keepNext/>
        <w:keepLines/>
        <w:widowControl w:val="0"/>
        <w:adjustRightInd w:val="0"/>
        <w:spacing w:before="240" w:line="360" w:lineRule="auto"/>
        <w:jc w:val="both"/>
        <w:textAlignment w:val="baseline"/>
        <w:outlineLvl w:val="9"/>
        <w:rPr>
          <w:rFonts w:ascii="Arial" w:hAnsi="Arial" w:eastAsia="黑体" w:cs="Times New Roman"/>
          <w:b/>
          <w:kern w:val="0"/>
          <w:sz w:val="30"/>
          <w:szCs w:val="28"/>
          <w:lang w:val="en-US" w:eastAsia="zh-CN" w:bidi="ar-SA"/>
        </w:rPr>
      </w:pPr>
    </w:p>
    <w:p>
      <w:pPr>
        <w:autoSpaceDE/>
        <w:autoSpaceDN/>
        <w:adjustRightInd w:val="0"/>
        <w:spacing w:before="0" w:after="0" w:line="560" w:lineRule="exact"/>
        <w:ind w:left="0" w:right="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兹证明上述声明是真实、正确的，并提供了全部能提供的资料和数据，我们同意遵照贵方要求出示有关证明文件。</w:t>
      </w:r>
    </w:p>
    <w:p>
      <w:pPr>
        <w:autoSpaceDE/>
        <w:autoSpaceDN/>
        <w:adjustRightInd w:val="0"/>
        <w:spacing w:before="0" w:after="0" w:line="560" w:lineRule="exact"/>
        <w:ind w:left="0" w:right="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jc w:val="both"/>
        <w:rPr>
          <w:rFonts w:ascii="宋体" w:hAnsi="Calibri" w:eastAsia="宋体" w:cs="Times New Roman"/>
          <w:kern w:val="2"/>
          <w:sz w:val="24"/>
          <w:szCs w:val="24"/>
          <w:lang w:val="en-US" w:bidi="ar-SA"/>
        </w:rPr>
      </w:pPr>
      <w:r>
        <w:rPr>
          <w:rFonts w:hint="eastAsia" w:ascii="宋体" w:hAnsi="宋体" w:eastAsia="宋体" w:cs="Times New Roman"/>
          <w:kern w:val="2"/>
          <w:sz w:val="24"/>
          <w:szCs w:val="24"/>
          <w:lang w:val="en-US" w:bidi="ar-SA"/>
        </w:rPr>
        <w:t>投标人：</w:t>
      </w:r>
      <w:r>
        <w:rPr>
          <w:rFonts w:ascii="宋体" w:hAnsi="宋体" w:eastAsia="宋体" w:cs="Times New Roman"/>
          <w:kern w:val="2"/>
          <w:sz w:val="24"/>
          <w:szCs w:val="24"/>
          <w:u w:val="single"/>
          <w:lang w:val="en-US" w:bidi="ar-SA"/>
        </w:rPr>
        <w:t xml:space="preserve">                        </w:t>
      </w:r>
      <w:r>
        <w:rPr>
          <w:rFonts w:hint="eastAsia" w:ascii="宋体" w:hAnsi="宋体" w:eastAsia="宋体" w:cs="Times New Roman"/>
          <w:kern w:val="2"/>
          <w:sz w:val="24"/>
          <w:szCs w:val="24"/>
          <w:lang w:val="en-US" w:bidi="ar-SA"/>
        </w:rPr>
        <w:t>（盖章）</w:t>
      </w:r>
    </w:p>
    <w:p>
      <w:pPr>
        <w:autoSpaceDE/>
        <w:autoSpaceDN/>
        <w:adjustRightInd w:val="0"/>
        <w:spacing w:before="0" w:after="0" w:line="560" w:lineRule="exact"/>
        <w:ind w:left="0" w:right="0"/>
        <w:jc w:val="both"/>
        <w:rPr>
          <w:rFonts w:ascii="宋体" w:hAnsi="Calibri" w:eastAsia="宋体" w:cs="Times New Roman"/>
          <w:kern w:val="2"/>
          <w:sz w:val="24"/>
          <w:szCs w:val="24"/>
          <w:lang w:val="en-US" w:bidi="ar-SA"/>
        </w:rPr>
      </w:pPr>
    </w:p>
    <w:p>
      <w:pPr>
        <w:autoSpaceDE/>
        <w:autoSpaceDN/>
        <w:adjustRightInd w:val="0"/>
        <w:spacing w:before="0" w:after="0" w:line="560" w:lineRule="exact"/>
        <w:ind w:left="0" w:right="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法定代表人或授权委托人（签字）：</w:t>
      </w:r>
      <w:r>
        <w:rPr>
          <w:rFonts w:ascii="宋体" w:hAnsi="宋体" w:eastAsia="宋体" w:cs="Times New Roman"/>
          <w:kern w:val="2"/>
          <w:sz w:val="24"/>
          <w:szCs w:val="24"/>
          <w:u w:val="single"/>
          <w:lang w:val="en-US" w:bidi="ar-SA"/>
        </w:rPr>
        <w:t xml:space="preserve">           </w:t>
      </w:r>
    </w:p>
    <w:p>
      <w:pPr>
        <w:framePr w:hSpace="180" w:wrap="around" w:vAnchor="text" w:hAnchor="margin" w:xAlign="center" w:y="7"/>
        <w:autoSpaceDE/>
        <w:autoSpaceDN/>
        <w:adjustRightInd w:val="0"/>
        <w:spacing w:before="0" w:after="0" w:line="560" w:lineRule="exact"/>
        <w:ind w:left="0" w:right="0"/>
        <w:jc w:val="both"/>
        <w:textAlignment w:val="baseline"/>
        <w:rPr>
          <w:rFonts w:ascii="宋体" w:hAnsi="Calibri" w:eastAsia="宋体" w:cs="Times New Roman"/>
          <w:kern w:val="2"/>
          <w:sz w:val="24"/>
          <w:szCs w:val="24"/>
          <w:lang w:val="en-US" w:bidi="ar-SA"/>
        </w:rPr>
      </w:pPr>
      <w:r>
        <w:rPr>
          <w:rFonts w:ascii="宋体" w:hAnsi="宋体" w:eastAsia="宋体" w:cs="Times New Roman"/>
          <w:kern w:val="2"/>
          <w:sz w:val="24"/>
          <w:szCs w:val="24"/>
          <w:lang w:val="en-US" w:bidi="ar-SA"/>
        </w:rPr>
        <w:t xml:space="preserve">       </w:t>
      </w:r>
      <w:r>
        <w:rPr>
          <w:rFonts w:ascii="宋体" w:hAnsi="宋体" w:eastAsia="宋体" w:cs="Times New Roman"/>
          <w:kern w:val="2"/>
          <w:sz w:val="24"/>
          <w:szCs w:val="24"/>
          <w:u w:val="single"/>
          <w:lang w:val="en-US" w:bidi="ar-SA"/>
        </w:rPr>
        <w:t xml:space="preserve">           </w:t>
      </w:r>
      <w:r>
        <w:rPr>
          <w:rFonts w:ascii="宋体" w:hAnsi="宋体" w:eastAsia="宋体" w:cs="Times New Roman"/>
          <w:kern w:val="2"/>
          <w:sz w:val="24"/>
          <w:szCs w:val="24"/>
          <w:lang w:val="en-US" w:bidi="ar-SA"/>
        </w:rPr>
        <w:t xml:space="preserve">  </w:t>
      </w:r>
    </w:p>
    <w:p>
      <w:pPr>
        <w:autoSpaceDE/>
        <w:autoSpaceDN/>
        <w:spacing w:before="0" w:after="0" w:line="240" w:lineRule="auto"/>
        <w:ind w:left="0" w:right="0"/>
        <w:jc w:val="both"/>
        <w:rPr>
          <w:rFonts w:ascii="宋体" w:hAnsi="Calibri" w:eastAsia="宋体" w:cs="Times New Roman"/>
          <w:kern w:val="2"/>
          <w:sz w:val="24"/>
          <w:szCs w:val="24"/>
          <w:lang w:val="en-US" w:bidi="ar-SA"/>
        </w:rPr>
      </w:pPr>
    </w:p>
    <w:p>
      <w:pPr>
        <w:autoSpaceDE/>
        <w:autoSpaceDN/>
        <w:spacing w:before="0" w:after="0" w:line="240" w:lineRule="auto"/>
        <w:ind w:left="0" w:right="0"/>
        <w:jc w:val="both"/>
        <w:rPr>
          <w:rFonts w:ascii="宋体" w:hAnsi="Calibri" w:eastAsia="宋体" w:cs="Times New Roman"/>
          <w:kern w:val="2"/>
          <w:sz w:val="24"/>
          <w:szCs w:val="24"/>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r>
        <w:rPr>
          <w:rFonts w:hint="eastAsia" w:ascii="宋体" w:hAnsi="宋体" w:eastAsia="宋体" w:cs="Times New Roman"/>
          <w:kern w:val="2"/>
          <w:sz w:val="24"/>
          <w:szCs w:val="24"/>
          <w:lang w:val="en-US" w:bidi="ar-SA"/>
        </w:rPr>
        <w:t>日期：</w:t>
      </w:r>
      <w:r>
        <w:rPr>
          <w:rFonts w:ascii="宋体" w:hAnsi="宋体" w:eastAsia="宋体" w:cs="Times New Roman"/>
          <w:kern w:val="2"/>
          <w:sz w:val="24"/>
          <w:szCs w:val="24"/>
          <w:u w:val="single"/>
          <w:lang w:val="en-US" w:bidi="ar-SA"/>
        </w:rPr>
        <w:t xml:space="preserve">                 </w:t>
      </w: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autoSpaceDE/>
        <w:autoSpaceDN/>
        <w:spacing w:before="0" w:after="0" w:line="240" w:lineRule="auto"/>
        <w:ind w:left="0" w:right="0"/>
        <w:jc w:val="both"/>
        <w:rPr>
          <w:rFonts w:ascii="宋体" w:hAnsi="Calibri" w:eastAsia="宋体" w:cs="Times New Roman"/>
          <w:kern w:val="2"/>
          <w:sz w:val="24"/>
          <w:szCs w:val="24"/>
          <w:u w:val="single"/>
          <w:lang w:val="en-US" w:bidi="ar-SA"/>
        </w:rPr>
      </w:pPr>
    </w:p>
    <w:p>
      <w:pPr>
        <w:keepNext/>
        <w:keepLines/>
        <w:widowControl w:val="0"/>
        <w:adjustRightInd w:val="0"/>
        <w:spacing w:before="240" w:line="360" w:lineRule="auto"/>
        <w:jc w:val="center"/>
        <w:textAlignment w:val="baseline"/>
        <w:outlineLvl w:val="1"/>
        <w:rPr>
          <w:rFonts w:ascii="Arial" w:hAnsi="Arial" w:eastAsia="黑体" w:cs="Times New Roman"/>
          <w:b/>
          <w:kern w:val="0"/>
          <w:sz w:val="30"/>
          <w:szCs w:val="28"/>
          <w:lang w:val="en-US" w:eastAsia="zh-CN" w:bidi="ar-SA"/>
        </w:rPr>
      </w:pPr>
      <w:bookmarkStart w:id="76" w:name="_Toc21271"/>
      <w:r>
        <w:rPr>
          <w:rFonts w:hint="eastAsia" w:ascii="Arial" w:hAnsi="Arial" w:eastAsia="黑体" w:cs="Times New Roman"/>
          <w:b/>
          <w:kern w:val="0"/>
          <w:sz w:val="30"/>
          <w:szCs w:val="28"/>
          <w:lang w:val="en-US" w:eastAsia="zh-CN" w:bidi="ar-SA"/>
        </w:rPr>
        <w:t>九、服务质量保证承诺</w:t>
      </w:r>
      <w:bookmarkEnd w:id="76"/>
    </w:p>
    <w:p>
      <w:pPr>
        <w:autoSpaceDE/>
        <w:autoSpaceDN/>
        <w:spacing w:before="0" w:after="0" w:line="240" w:lineRule="auto"/>
        <w:ind w:left="0" w:right="0"/>
        <w:jc w:val="center"/>
        <w:rPr>
          <w:rFonts w:ascii="宋体" w:hAnsi="Calibri" w:eastAsia="宋体" w:cs="宋体"/>
          <w:kern w:val="2"/>
          <w:sz w:val="28"/>
          <w:szCs w:val="28"/>
          <w:lang w:val="en-US" w:bidi="ar-SA"/>
        </w:rPr>
      </w:pPr>
      <w:r>
        <w:rPr>
          <w:rFonts w:hint="eastAsia" w:ascii="宋体" w:hAnsi="宋体" w:eastAsia="宋体" w:cs="宋体"/>
          <w:kern w:val="2"/>
          <w:sz w:val="28"/>
          <w:szCs w:val="28"/>
          <w:lang w:val="en-US" w:bidi="ar-SA"/>
        </w:rPr>
        <w:t>（自行编写）</w:t>
      </w:r>
    </w:p>
    <w:p>
      <w:pPr>
        <w:autoSpaceDE/>
        <w:autoSpaceDN/>
        <w:spacing w:before="0" w:after="0" w:line="360" w:lineRule="auto"/>
        <w:ind w:left="0" w:right="0"/>
        <w:jc w:val="both"/>
        <w:textAlignment w:val="baseline"/>
        <w:rPr>
          <w:rFonts w:ascii="新宋体" w:hAnsi="新宋体" w:eastAsia="新宋体" w:cs="新宋体"/>
          <w:b/>
          <w:kern w:val="2"/>
          <w:sz w:val="24"/>
          <w:szCs w:val="24"/>
          <w:lang w:val="en-US" w:bidi="ar-SA"/>
        </w:rPr>
      </w:pPr>
      <w:r>
        <w:rPr>
          <w:rFonts w:hint="eastAsia" w:ascii="新宋体" w:hAnsi="新宋体" w:eastAsia="新宋体" w:cs="新宋体"/>
          <w:kern w:val="2"/>
          <w:sz w:val="24"/>
          <w:szCs w:val="24"/>
          <w:lang w:val="en-US" w:bidi="ar-SA"/>
        </w:rPr>
        <w:t>例如：</w:t>
      </w:r>
    </w:p>
    <w:p>
      <w:pPr>
        <w:autoSpaceDE/>
        <w:autoSpaceDN/>
        <w:spacing w:before="0" w:after="0" w:line="360" w:lineRule="auto"/>
        <w:ind w:left="0" w:right="0"/>
        <w:jc w:val="both"/>
        <w:rPr>
          <w:rFonts w:ascii="新宋体" w:hAnsi="新宋体" w:eastAsia="新宋体" w:cs="新宋体"/>
          <w:kern w:val="2"/>
          <w:sz w:val="24"/>
          <w:szCs w:val="24"/>
          <w:lang w:val="en-US" w:bidi="ar-SA"/>
        </w:rPr>
      </w:pPr>
      <w:r>
        <w:rPr>
          <w:rFonts w:hint="eastAsia" w:ascii="宋体" w:hAnsi="宋体" w:eastAsia="宋体" w:cs="Times New Roman"/>
          <w:kern w:val="2"/>
          <w:sz w:val="24"/>
          <w:szCs w:val="24"/>
          <w:u w:val="single"/>
          <w:lang w:val="en-US" w:eastAsia="zh-CN" w:bidi="ar-SA"/>
        </w:rPr>
        <w:t>民乐县人民法院</w:t>
      </w:r>
      <w:r>
        <w:rPr>
          <w:rFonts w:hint="eastAsia" w:ascii="新宋体" w:hAnsi="新宋体" w:eastAsia="新宋体" w:cs="新宋体"/>
          <w:kern w:val="2"/>
          <w:sz w:val="24"/>
          <w:szCs w:val="24"/>
          <w:lang w:val="en-US" w:bidi="ar-SA"/>
        </w:rPr>
        <w:t>：</w:t>
      </w:r>
    </w:p>
    <w:p>
      <w:pPr>
        <w:autoSpaceDE/>
        <w:autoSpaceDN/>
        <w:adjustRightInd w:val="0"/>
        <w:spacing w:before="0" w:after="0" w:line="560" w:lineRule="exact"/>
        <w:ind w:left="0" w:right="0"/>
        <w:jc w:val="both"/>
        <w:rPr>
          <w:rFonts w:ascii="新宋体" w:hAnsi="新宋体" w:eastAsia="新宋体" w:cs="新宋体"/>
          <w:kern w:val="2"/>
          <w:sz w:val="24"/>
          <w:szCs w:val="24"/>
          <w:lang w:val="en-US" w:bidi="ar-SA"/>
        </w:rPr>
      </w:pPr>
      <w:r>
        <w:rPr>
          <w:rFonts w:ascii="新宋体" w:hAnsi="新宋体" w:eastAsia="新宋体" w:cs="新宋体"/>
          <w:kern w:val="2"/>
          <w:sz w:val="24"/>
          <w:szCs w:val="24"/>
          <w:lang w:val="en-US" w:bidi="ar-SA"/>
        </w:rPr>
        <w:t xml:space="preserve">    </w:t>
      </w:r>
      <w:r>
        <w:rPr>
          <w:rFonts w:hint="eastAsia" w:ascii="新宋体" w:hAnsi="新宋体" w:eastAsia="新宋体" w:cs="新宋体"/>
          <w:kern w:val="2"/>
          <w:sz w:val="24"/>
          <w:szCs w:val="24"/>
          <w:lang w:val="en-US" w:bidi="ar-SA"/>
        </w:rPr>
        <w:t>关于贵方</w:t>
      </w:r>
      <w:r>
        <w:rPr>
          <w:rFonts w:ascii="新宋体" w:hAnsi="新宋体" w:eastAsia="新宋体" w:cs="新宋体"/>
          <w:kern w:val="2"/>
          <w:sz w:val="24"/>
          <w:szCs w:val="24"/>
          <w:lang w:val="en-US" w:bidi="ar-SA"/>
        </w:rPr>
        <w:t>201</w:t>
      </w:r>
      <w:r>
        <w:rPr>
          <w:rFonts w:hint="eastAsia" w:ascii="新宋体" w:hAnsi="新宋体" w:eastAsia="新宋体" w:cs="新宋体"/>
          <w:kern w:val="2"/>
          <w:sz w:val="24"/>
          <w:szCs w:val="24"/>
          <w:lang w:val="en-US" w:eastAsia="zh-CN" w:bidi="ar-SA"/>
        </w:rPr>
        <w:t>9</w:t>
      </w:r>
      <w:r>
        <w:rPr>
          <w:rFonts w:hint="eastAsia" w:ascii="新宋体" w:hAnsi="新宋体" w:eastAsia="新宋体" w:cs="新宋体"/>
          <w:kern w:val="2"/>
          <w:sz w:val="24"/>
          <w:szCs w:val="24"/>
          <w:lang w:val="en-US" w:bidi="ar-SA"/>
        </w:rPr>
        <w:t>年</w:t>
      </w:r>
      <w:r>
        <w:rPr>
          <w:rFonts w:ascii="新宋体" w:hAnsi="新宋体" w:eastAsia="新宋体" w:cs="新宋体"/>
          <w:kern w:val="2"/>
          <w:sz w:val="24"/>
          <w:szCs w:val="24"/>
          <w:lang w:val="en-US" w:bidi="ar-SA"/>
        </w:rPr>
        <w:t>XX</w:t>
      </w:r>
      <w:r>
        <w:rPr>
          <w:rFonts w:hint="eastAsia" w:ascii="新宋体" w:hAnsi="新宋体" w:eastAsia="新宋体" w:cs="新宋体"/>
          <w:kern w:val="2"/>
          <w:sz w:val="24"/>
          <w:szCs w:val="24"/>
          <w:lang w:val="en-US" w:bidi="ar-SA"/>
        </w:rPr>
        <w:t>月</w:t>
      </w:r>
      <w:r>
        <w:rPr>
          <w:rFonts w:ascii="新宋体" w:hAnsi="新宋体" w:eastAsia="新宋体" w:cs="新宋体"/>
          <w:kern w:val="2"/>
          <w:sz w:val="24"/>
          <w:szCs w:val="24"/>
          <w:lang w:val="en-US" w:bidi="ar-SA"/>
        </w:rPr>
        <w:t>XX</w:t>
      </w:r>
      <w:r>
        <w:rPr>
          <w:rFonts w:hint="eastAsia" w:ascii="新宋体" w:hAnsi="新宋体" w:eastAsia="新宋体" w:cs="新宋体"/>
          <w:kern w:val="2"/>
          <w:sz w:val="24"/>
          <w:szCs w:val="24"/>
          <w:lang w:val="en-US" w:bidi="ar-SA"/>
        </w:rPr>
        <w:t>日就</w:t>
      </w:r>
      <w:r>
        <w:rPr>
          <w:rFonts w:hint="eastAsia" w:ascii="新宋体" w:hAnsi="新宋体" w:eastAsia="新宋体" w:cs="新宋体"/>
          <w:kern w:val="2"/>
          <w:sz w:val="24"/>
          <w:szCs w:val="24"/>
          <w:u w:val="single"/>
          <w:lang w:val="en-US" w:eastAsia="zh-CN" w:bidi="ar-SA"/>
        </w:rPr>
        <w:t>民乐县人民法院数据机房及办公楼安防监控改造项</w:t>
      </w:r>
      <w:r>
        <w:rPr>
          <w:rFonts w:hint="eastAsia" w:ascii="宋体" w:hAnsi="宋体" w:eastAsia="宋体" w:cs="宋体"/>
          <w:u w:val="single"/>
          <w:lang w:eastAsia="zh-CN"/>
        </w:rPr>
        <w:t>目</w:t>
      </w:r>
      <w:r>
        <w:rPr>
          <w:rFonts w:hint="eastAsia" w:ascii="宋体" w:hAnsi="宋体" w:eastAsia="宋体" w:cs="宋体"/>
          <w:lang w:val="en-US" w:eastAsia="zh-CN"/>
        </w:rPr>
        <w:t xml:space="preserve"> </w:t>
      </w:r>
      <w:r>
        <w:rPr>
          <w:rFonts w:hint="eastAsia" w:ascii="宋体" w:hAnsi="宋体" w:cs="宋体"/>
          <w:lang w:val="en-US" w:eastAsia="zh-CN"/>
        </w:rPr>
        <w:t>公开招标</w:t>
      </w:r>
      <w:r>
        <w:rPr>
          <w:rFonts w:hint="eastAsia" w:ascii="新宋体" w:hAnsi="新宋体" w:eastAsia="新宋体" w:cs="新宋体"/>
          <w:kern w:val="2"/>
          <w:sz w:val="24"/>
          <w:szCs w:val="24"/>
          <w:lang w:val="en-US" w:bidi="ar-SA"/>
        </w:rPr>
        <w:t>（</w:t>
      </w:r>
      <w:r>
        <w:rPr>
          <w:rFonts w:hint="eastAsia" w:ascii="新宋体" w:hAnsi="新宋体" w:eastAsia="新宋体" w:cs="新宋体"/>
          <w:kern w:val="2"/>
          <w:sz w:val="24"/>
          <w:szCs w:val="24"/>
          <w:lang w:val="en-US" w:eastAsia="zh-CN" w:bidi="ar-SA"/>
        </w:rPr>
        <w:t>招标</w:t>
      </w:r>
      <w:r>
        <w:rPr>
          <w:rFonts w:hint="eastAsia" w:ascii="新宋体" w:hAnsi="新宋体" w:eastAsia="新宋体" w:cs="新宋体"/>
          <w:kern w:val="2"/>
          <w:sz w:val="24"/>
          <w:szCs w:val="24"/>
          <w:lang w:val="en-US" w:bidi="ar-SA"/>
        </w:rPr>
        <w:t>文件编号</w:t>
      </w:r>
      <w:r>
        <w:rPr>
          <w:rFonts w:hint="eastAsia" w:ascii="新宋体" w:hAnsi="新宋体" w:eastAsia="新宋体" w:cs="新宋体"/>
          <w:kern w:val="2"/>
          <w:sz w:val="24"/>
          <w:szCs w:val="24"/>
          <w:lang w:val="en-US" w:eastAsia="zh-CN" w:bidi="ar-SA"/>
        </w:rPr>
        <w:t xml:space="preserve"> </w:t>
      </w:r>
      <w:r>
        <w:rPr>
          <w:rFonts w:hint="eastAsia" w:ascii="新宋体" w:hAnsi="新宋体" w:eastAsia="新宋体" w:cs="新宋体"/>
          <w:kern w:val="2"/>
          <w:sz w:val="24"/>
          <w:szCs w:val="24"/>
          <w:lang w:val="en-US" w:bidi="ar-SA"/>
        </w:rPr>
        <w:t>：）事宜，我公司作为投标人，作如下保证：保证该项目质量标准完全符合采购方要求，完全响应贵方在</w:t>
      </w:r>
      <w:r>
        <w:rPr>
          <w:rFonts w:hint="eastAsia" w:ascii="新宋体" w:hAnsi="新宋体" w:eastAsia="新宋体" w:cs="新宋体"/>
          <w:kern w:val="2"/>
          <w:sz w:val="24"/>
          <w:szCs w:val="24"/>
          <w:lang w:val="en-US" w:eastAsia="zh-CN" w:bidi="ar-SA"/>
        </w:rPr>
        <w:t>招标</w:t>
      </w:r>
      <w:r>
        <w:rPr>
          <w:rFonts w:hint="eastAsia" w:ascii="新宋体" w:hAnsi="新宋体" w:eastAsia="新宋体" w:cs="新宋体"/>
          <w:kern w:val="2"/>
          <w:sz w:val="24"/>
          <w:szCs w:val="24"/>
          <w:lang w:val="en-US" w:bidi="ar-SA"/>
        </w:rPr>
        <w:t>文件中规定的该项目质量标准及售后服务要求，并在规定的时间内交付使用。</w:t>
      </w: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both"/>
        <w:rPr>
          <w:rFonts w:ascii="宋体" w:hAnsi="Calibri" w:eastAsia="宋体" w:cs="宋体"/>
          <w:b/>
          <w:kern w:val="2"/>
          <w:sz w:val="32"/>
          <w:szCs w:val="32"/>
          <w:lang w:val="en-US" w:bidi="ar-SA"/>
        </w:rPr>
      </w:pPr>
    </w:p>
    <w:p>
      <w:pPr>
        <w:autoSpaceDE/>
        <w:autoSpaceDN/>
        <w:spacing w:before="0" w:after="0" w:line="240" w:lineRule="auto"/>
        <w:ind w:left="0" w:right="0"/>
        <w:jc w:val="both"/>
        <w:rPr>
          <w:rFonts w:ascii="宋体" w:hAnsi="Calibri" w:eastAsia="宋体" w:cs="宋体"/>
          <w:b/>
          <w:kern w:val="2"/>
          <w:sz w:val="32"/>
          <w:szCs w:val="32"/>
          <w:lang w:val="en-US" w:bidi="ar-SA"/>
        </w:rPr>
      </w:pPr>
    </w:p>
    <w:p>
      <w:pPr>
        <w:pStyle w:val="2"/>
        <w:rPr>
          <w:rFonts w:ascii="宋体" w:hAnsi="Calibri" w:eastAsia="宋体" w:cs="宋体"/>
          <w:b/>
          <w:kern w:val="2"/>
          <w:sz w:val="32"/>
          <w:szCs w:val="32"/>
          <w:lang w:val="en-US" w:bidi="ar-SA"/>
        </w:rPr>
      </w:pPr>
    </w:p>
    <w:p>
      <w:pPr>
        <w:keepNext/>
        <w:keepLines/>
        <w:widowControl w:val="0"/>
        <w:adjustRightInd w:val="0"/>
        <w:spacing w:before="240" w:line="360" w:lineRule="auto"/>
        <w:jc w:val="center"/>
        <w:textAlignment w:val="baseline"/>
        <w:outlineLvl w:val="1"/>
        <w:rPr>
          <w:rFonts w:ascii="Arial" w:hAnsi="Arial" w:eastAsia="黑体" w:cs="Times New Roman"/>
          <w:b/>
          <w:kern w:val="0"/>
          <w:sz w:val="30"/>
          <w:szCs w:val="28"/>
          <w:lang w:val="en-US" w:eastAsia="zh-CN" w:bidi="ar-SA"/>
        </w:rPr>
      </w:pPr>
      <w:bookmarkStart w:id="77" w:name="_Toc24091"/>
      <w:r>
        <w:rPr>
          <w:rFonts w:hint="eastAsia" w:ascii="Arial" w:hAnsi="Arial" w:eastAsia="黑体" w:cs="Times New Roman"/>
          <w:b/>
          <w:kern w:val="0"/>
          <w:sz w:val="30"/>
          <w:szCs w:val="28"/>
          <w:lang w:val="en-US" w:eastAsia="zh-CN" w:bidi="ar-SA"/>
        </w:rPr>
        <w:t>十、</w:t>
      </w:r>
      <w:bookmarkStart w:id="78" w:name="_Toc14134"/>
      <w:bookmarkStart w:id="79" w:name="_Toc5660"/>
      <w:r>
        <w:rPr>
          <w:rFonts w:hint="eastAsia" w:ascii="Arial" w:hAnsi="Arial" w:eastAsia="黑体" w:cs="Times New Roman"/>
          <w:b/>
          <w:kern w:val="0"/>
          <w:sz w:val="30"/>
          <w:szCs w:val="28"/>
          <w:lang w:val="en-US" w:eastAsia="zh-CN" w:bidi="ar-SA"/>
        </w:rPr>
        <w:t>售后服务保证措施承诺</w:t>
      </w:r>
      <w:bookmarkEnd w:id="77"/>
      <w:bookmarkEnd w:id="78"/>
      <w:bookmarkEnd w:id="79"/>
    </w:p>
    <w:p>
      <w:pPr>
        <w:autoSpaceDE/>
        <w:autoSpaceDN/>
        <w:spacing w:before="0" w:after="0" w:line="240" w:lineRule="auto"/>
        <w:ind w:left="0" w:right="0"/>
        <w:jc w:val="center"/>
        <w:rPr>
          <w:rFonts w:ascii="宋体" w:hAnsi="Calibri" w:eastAsia="宋体" w:cs="宋体"/>
          <w:kern w:val="2"/>
          <w:sz w:val="28"/>
          <w:szCs w:val="28"/>
          <w:lang w:val="en-US" w:bidi="ar-SA"/>
        </w:rPr>
      </w:pPr>
      <w:r>
        <w:rPr>
          <w:rFonts w:hint="eastAsia" w:ascii="宋体" w:hAnsi="宋体" w:eastAsia="宋体" w:cs="宋体"/>
          <w:kern w:val="2"/>
          <w:sz w:val="28"/>
          <w:szCs w:val="28"/>
          <w:lang w:val="en-US" w:bidi="ar-SA"/>
        </w:rPr>
        <w:t>（自行编写）</w:t>
      </w:r>
    </w:p>
    <w:p>
      <w:pPr>
        <w:autoSpaceDE/>
        <w:autoSpaceDN/>
        <w:spacing w:before="0" w:after="0" w:line="240" w:lineRule="auto"/>
        <w:ind w:left="0" w:right="0"/>
        <w:jc w:val="center"/>
        <w:rPr>
          <w:rFonts w:ascii="宋体" w:hAnsi="Calibri" w:eastAsia="宋体" w:cs="宋体"/>
          <w:b/>
          <w:kern w:val="2"/>
          <w:sz w:val="32"/>
          <w:szCs w:val="32"/>
          <w:lang w:val="en-US" w:bidi="ar-SA"/>
        </w:rPr>
      </w:pPr>
    </w:p>
    <w:p>
      <w:pPr>
        <w:widowControl w:val="0"/>
        <w:snapToGrid w:val="0"/>
        <w:spacing w:line="900" w:lineRule="exact"/>
        <w:ind w:firstLine="1200" w:firstLineChars="500"/>
        <w:jc w:val="center"/>
        <w:rPr>
          <w:rFonts w:hint="eastAsia" w:ascii="宋体" w:hAnsi="宋体" w:eastAsia="宋体" w:cs="Times New Roman"/>
          <w:kern w:val="2"/>
          <w:sz w:val="24"/>
          <w:szCs w:val="24"/>
          <w:lang w:val="en-US" w:eastAsia="zh-CN" w:bidi="ar-SA"/>
        </w:rPr>
      </w:pPr>
    </w:p>
    <w:p>
      <w:pPr>
        <w:widowControl w:val="0"/>
        <w:snapToGrid w:val="0"/>
        <w:spacing w:line="900" w:lineRule="exact"/>
        <w:ind w:firstLine="1200" w:firstLineChars="500"/>
        <w:jc w:val="center"/>
        <w:rPr>
          <w:rFonts w:hint="eastAsia" w:ascii="宋体" w:hAnsi="宋体" w:eastAsia="宋体" w:cs="Times New Roman"/>
          <w:kern w:val="2"/>
          <w:sz w:val="24"/>
          <w:szCs w:val="24"/>
          <w:lang w:val="en-US" w:eastAsia="zh-CN" w:bidi="ar-SA"/>
        </w:rPr>
      </w:pPr>
    </w:p>
    <w:p>
      <w:pPr>
        <w:widowControl w:val="0"/>
        <w:snapToGrid w:val="0"/>
        <w:spacing w:line="900" w:lineRule="exact"/>
        <w:ind w:firstLine="1200" w:firstLineChars="500"/>
        <w:jc w:val="center"/>
        <w:rPr>
          <w:rFonts w:hint="eastAsia" w:ascii="宋体" w:hAnsi="宋体" w:eastAsia="宋体" w:cs="Times New Roman"/>
          <w:kern w:val="2"/>
          <w:sz w:val="24"/>
          <w:szCs w:val="24"/>
          <w:lang w:val="en-US" w:eastAsia="zh-CN" w:bidi="ar-SA"/>
        </w:rPr>
      </w:pPr>
    </w:p>
    <w:p>
      <w:pPr>
        <w:widowControl w:val="0"/>
        <w:snapToGrid w:val="0"/>
        <w:spacing w:line="900" w:lineRule="exact"/>
        <w:ind w:firstLine="1200" w:firstLineChars="500"/>
        <w:jc w:val="center"/>
        <w:rPr>
          <w:rFonts w:hint="eastAsia" w:ascii="宋体" w:hAnsi="宋体" w:eastAsia="宋体" w:cs="Times New Roman"/>
          <w:kern w:val="2"/>
          <w:sz w:val="24"/>
          <w:szCs w:val="24"/>
          <w:lang w:val="en-US" w:eastAsia="zh-CN" w:bidi="ar-SA"/>
        </w:rPr>
      </w:pPr>
    </w:p>
    <w:p>
      <w:pPr>
        <w:widowControl w:val="0"/>
        <w:snapToGrid w:val="0"/>
        <w:spacing w:line="900" w:lineRule="exact"/>
        <w:ind w:firstLine="1200" w:firstLineChars="50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   投标人（公章）：</w:t>
      </w:r>
      <w:r>
        <w:rPr>
          <w:rFonts w:ascii="宋体" w:hAnsi="宋体" w:eastAsia="宋体" w:cs="Times New Roman"/>
          <w:kern w:val="2"/>
          <w:sz w:val="24"/>
          <w:szCs w:val="24"/>
          <w:u w:val="single"/>
          <w:lang w:val="en-US" w:eastAsia="zh-CN" w:bidi="ar-SA"/>
        </w:rPr>
        <w:t xml:space="preserve">XXXXXXXXXXXXXXXXXXXXXXXXXXXX  </w:t>
      </w:r>
    </w:p>
    <w:p>
      <w:pPr>
        <w:widowControl w:val="0"/>
        <w:snapToGrid w:val="0"/>
        <w:spacing w:line="900" w:lineRule="exact"/>
        <w:ind w:firstLine="1320" w:firstLineChars="550"/>
        <w:jc w:val="center"/>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法</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定</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地</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址：</w:t>
      </w:r>
      <w:r>
        <w:rPr>
          <w:rFonts w:ascii="宋体" w:hAnsi="宋体" w:eastAsia="宋体" w:cs="Times New Roman"/>
          <w:kern w:val="2"/>
          <w:sz w:val="24"/>
          <w:szCs w:val="24"/>
          <w:u w:val="single"/>
          <w:lang w:val="en-US" w:eastAsia="zh-CN" w:bidi="ar-SA"/>
        </w:rPr>
        <w:t xml:space="preserve">XXXXXXXXXXXXXXXXXXXXXXXXXXXXXXXX </w:t>
      </w:r>
    </w:p>
    <w:p>
      <w:pPr>
        <w:widowControl w:val="0"/>
        <w:snapToGrid w:val="0"/>
        <w:spacing w:line="900" w:lineRule="exact"/>
        <w:ind w:firstLine="1320" w:firstLineChars="550"/>
        <w:jc w:val="center"/>
        <w:rPr>
          <w:rFonts w:ascii="宋体" w:hAnsi="宋体" w:eastAsia="宋体" w:cs="Times New Roman"/>
          <w:kern w:val="2"/>
          <w:sz w:val="24"/>
          <w:szCs w:val="24"/>
          <w:u w:val="single"/>
          <w:lang w:val="en-US" w:eastAsia="zh-CN" w:bidi="ar-SA"/>
        </w:rPr>
      </w:pPr>
      <w:r>
        <w:rPr>
          <w:rFonts w:hint="eastAsia" w:ascii="宋体" w:hAnsi="宋体" w:eastAsia="宋体" w:cs="Times New Roman"/>
          <w:kern w:val="2"/>
          <w:sz w:val="24"/>
          <w:szCs w:val="24"/>
          <w:lang w:val="en-US" w:eastAsia="zh-CN" w:bidi="ar-SA"/>
        </w:rPr>
        <w:t>法定代表人或授权委托人（签字）：XXXXXXXXXXXXXXX</w:t>
      </w:r>
    </w:p>
    <w:p>
      <w:pPr>
        <w:widowControl w:val="0"/>
        <w:snapToGrid w:val="0"/>
        <w:spacing w:line="900" w:lineRule="exact"/>
        <w:ind w:firstLine="1320" w:firstLineChars="550"/>
        <w:jc w:val="center"/>
        <w:rPr>
          <w:rFonts w:ascii="宋体" w:hAnsi="宋体" w:eastAsia="宋体" w:cs="Times New Roman"/>
          <w:bCs/>
          <w:kern w:val="2"/>
          <w:sz w:val="24"/>
          <w:szCs w:val="24"/>
          <w:lang w:val="en-US" w:eastAsia="zh-CN" w:bidi="ar-SA"/>
        </w:rPr>
      </w:pPr>
      <w:r>
        <w:rPr>
          <w:rFonts w:hint="eastAsia" w:ascii="宋体" w:hAnsi="宋体" w:eastAsia="宋体" w:cs="Times New Roman"/>
          <w:kern w:val="2"/>
          <w:sz w:val="24"/>
          <w:szCs w:val="24"/>
          <w:lang w:val="en-US" w:eastAsia="zh-CN" w:bidi="ar-SA"/>
        </w:rPr>
        <w:t xml:space="preserve"> 电</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话：</w:t>
      </w:r>
      <w:r>
        <w:rPr>
          <w:rFonts w:ascii="宋体" w:hAnsi="宋体" w:eastAsia="宋体" w:cs="Times New Roman"/>
          <w:kern w:val="2"/>
          <w:sz w:val="24"/>
          <w:szCs w:val="24"/>
          <w:u w:val="single"/>
          <w:lang w:val="en-US" w:eastAsia="zh-CN" w:bidi="ar-SA"/>
        </w:rPr>
        <w:t xml:space="preserve">XXXXXXXXXX </w:t>
      </w:r>
      <w:r>
        <w:rPr>
          <w:rFonts w:hint="eastAsia" w:ascii="宋体" w:hAnsi="宋体" w:eastAsia="宋体" w:cs="Times New Roman"/>
          <w:kern w:val="2"/>
          <w:sz w:val="24"/>
          <w:szCs w:val="24"/>
          <w:lang w:val="en-US" w:eastAsia="zh-CN" w:bidi="ar-SA"/>
        </w:rPr>
        <w:t>传</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真：</w:t>
      </w:r>
      <w:r>
        <w:rPr>
          <w:rFonts w:ascii="宋体" w:hAnsi="宋体" w:eastAsia="宋体" w:cs="Times New Roman"/>
          <w:kern w:val="2"/>
          <w:sz w:val="24"/>
          <w:szCs w:val="24"/>
          <w:u w:val="single"/>
          <w:lang w:val="en-US" w:eastAsia="zh-CN" w:bidi="ar-SA"/>
        </w:rPr>
        <w:t>XXXXXXXXXX</w:t>
      </w:r>
    </w:p>
    <w:p>
      <w:pPr>
        <w:autoSpaceDE/>
        <w:autoSpaceDN/>
        <w:spacing w:before="0" w:after="0" w:line="240" w:lineRule="auto"/>
        <w:ind w:left="0" w:right="0"/>
        <w:jc w:val="right"/>
        <w:rPr>
          <w:rFonts w:ascii="Calibri" w:hAnsi="Calibri" w:eastAsia="宋体" w:cs="Times New Roman"/>
          <w:kern w:val="2"/>
          <w:sz w:val="24"/>
          <w:szCs w:val="24"/>
          <w:lang w:val="en-US" w:bidi="ar-SA"/>
        </w:rPr>
      </w:pPr>
    </w:p>
    <w:p>
      <w:pPr>
        <w:autoSpaceDE/>
        <w:autoSpaceDN/>
        <w:spacing w:before="0" w:after="0" w:line="240" w:lineRule="auto"/>
        <w:ind w:left="0" w:right="0"/>
        <w:jc w:val="right"/>
        <w:rPr>
          <w:rFonts w:ascii="Calibri" w:hAnsi="Calibri" w:eastAsia="宋体" w:cs="Times New Roman"/>
          <w:kern w:val="2"/>
          <w:sz w:val="24"/>
          <w:szCs w:val="24"/>
          <w:lang w:val="en-US" w:bidi="ar-SA"/>
        </w:rPr>
      </w:pPr>
    </w:p>
    <w:p>
      <w:pPr>
        <w:autoSpaceDE/>
        <w:autoSpaceDN/>
        <w:spacing w:before="0" w:after="0" w:line="240" w:lineRule="auto"/>
        <w:ind w:left="0" w:right="600" w:firstLine="3960" w:firstLineChars="1650"/>
        <w:jc w:val="right"/>
        <w:rPr>
          <w:rFonts w:ascii="Calibri" w:hAnsi="Calibri" w:eastAsia="宋体" w:cs="Times New Roman"/>
          <w:kern w:val="2"/>
          <w:sz w:val="24"/>
          <w:szCs w:val="24"/>
          <w:lang w:val="en-US" w:bidi="ar-SA"/>
        </w:rPr>
      </w:pPr>
      <w:r>
        <w:rPr>
          <w:rFonts w:ascii="Calibri" w:hAnsi="Calibri" w:eastAsia="宋体" w:cs="Times New Roman"/>
          <w:kern w:val="2"/>
          <w:sz w:val="24"/>
          <w:szCs w:val="24"/>
          <w:lang w:val="en-US" w:bidi="ar-SA"/>
        </w:rPr>
        <w:t>201</w:t>
      </w:r>
      <w:r>
        <w:rPr>
          <w:rFonts w:hint="eastAsia" w:ascii="Calibri" w:hAnsi="Calibri" w:eastAsia="宋体" w:cs="Times New Roman"/>
          <w:kern w:val="2"/>
          <w:sz w:val="24"/>
          <w:szCs w:val="24"/>
          <w:lang w:val="en-US" w:eastAsia="zh-CN" w:bidi="ar-SA"/>
        </w:rPr>
        <w:t>9</w:t>
      </w:r>
      <w:r>
        <w:rPr>
          <w:rFonts w:hint="eastAsia" w:ascii="Calibri" w:hAnsi="Calibri" w:eastAsia="宋体" w:cs="Times New Roman"/>
          <w:kern w:val="2"/>
          <w:sz w:val="24"/>
          <w:szCs w:val="24"/>
          <w:lang w:val="en-US" w:bidi="ar-SA"/>
        </w:rPr>
        <w:t>年</w:t>
      </w:r>
      <w:r>
        <w:rPr>
          <w:rFonts w:ascii="Calibri" w:hAnsi="Calibri" w:eastAsia="宋体" w:cs="Times New Roman"/>
          <w:kern w:val="2"/>
          <w:sz w:val="24"/>
          <w:szCs w:val="24"/>
          <w:u w:val="single"/>
          <w:lang w:val="en-US" w:bidi="ar-SA"/>
        </w:rPr>
        <w:t>XX</w:t>
      </w:r>
      <w:r>
        <w:rPr>
          <w:rFonts w:hint="eastAsia" w:ascii="Calibri" w:hAnsi="Calibri" w:eastAsia="宋体" w:cs="Times New Roman"/>
          <w:kern w:val="2"/>
          <w:sz w:val="24"/>
          <w:szCs w:val="24"/>
          <w:lang w:val="en-US" w:bidi="ar-SA"/>
        </w:rPr>
        <w:t>月</w:t>
      </w:r>
      <w:r>
        <w:rPr>
          <w:rFonts w:ascii="Calibri" w:hAnsi="Calibri" w:eastAsia="宋体" w:cs="Times New Roman"/>
          <w:kern w:val="2"/>
          <w:sz w:val="24"/>
          <w:szCs w:val="24"/>
          <w:lang w:val="en-US" w:bidi="ar-SA"/>
        </w:rPr>
        <w:t xml:space="preserve"> </w:t>
      </w:r>
      <w:r>
        <w:rPr>
          <w:rFonts w:ascii="Calibri" w:hAnsi="Calibri" w:eastAsia="宋体" w:cs="Times New Roman"/>
          <w:kern w:val="2"/>
          <w:sz w:val="24"/>
          <w:szCs w:val="24"/>
          <w:u w:val="single"/>
          <w:lang w:val="en-US" w:bidi="ar-SA"/>
        </w:rPr>
        <w:t>XX</w:t>
      </w:r>
      <w:r>
        <w:rPr>
          <w:rFonts w:hint="eastAsia" w:ascii="Calibri" w:hAnsi="Calibri" w:eastAsia="宋体" w:cs="Times New Roman"/>
          <w:kern w:val="2"/>
          <w:sz w:val="24"/>
          <w:szCs w:val="24"/>
          <w:lang w:val="en-US" w:bidi="ar-SA"/>
        </w:rPr>
        <w:t>日</w:t>
      </w:r>
    </w:p>
    <w:p>
      <w:pPr>
        <w:autoSpaceDE/>
        <w:autoSpaceDN/>
        <w:spacing w:before="0" w:after="0" w:line="240" w:lineRule="auto"/>
        <w:ind w:left="0" w:right="0"/>
        <w:jc w:val="center"/>
        <w:rPr>
          <w:rFonts w:ascii="宋体" w:hAnsi="Calibri" w:eastAsia="宋体" w:cs="宋体"/>
          <w:b/>
          <w:kern w:val="2"/>
          <w:sz w:val="32"/>
          <w:szCs w:val="32"/>
          <w:lang w:val="en-US" w:bidi="ar-SA"/>
        </w:rPr>
      </w:pPr>
    </w:p>
    <w:p>
      <w:pPr>
        <w:autoSpaceDE/>
        <w:autoSpaceDN/>
        <w:spacing w:before="0" w:after="0" w:line="240" w:lineRule="auto"/>
        <w:ind w:left="0" w:right="0"/>
        <w:jc w:val="center"/>
        <w:rPr>
          <w:rFonts w:ascii="宋体" w:hAnsi="Calibri" w:eastAsia="宋体" w:cs="宋体"/>
          <w:b/>
          <w:kern w:val="2"/>
          <w:sz w:val="32"/>
          <w:szCs w:val="32"/>
          <w:lang w:val="en-US" w:bidi="ar-SA"/>
        </w:rPr>
      </w:pPr>
    </w:p>
    <w:p>
      <w:pPr>
        <w:keepNext/>
        <w:keepLines/>
        <w:widowControl w:val="0"/>
        <w:adjustRightInd w:val="0"/>
        <w:spacing w:before="240" w:line="360" w:lineRule="auto"/>
        <w:jc w:val="both"/>
        <w:textAlignment w:val="baseline"/>
        <w:outlineLvl w:val="9"/>
        <w:rPr>
          <w:rFonts w:hint="eastAsia" w:ascii="Arial" w:hAnsi="Arial" w:eastAsia="黑体" w:cs="Times New Roman"/>
          <w:b/>
          <w:kern w:val="0"/>
          <w:sz w:val="30"/>
          <w:szCs w:val="28"/>
          <w:lang w:val="en-US" w:eastAsia="zh-CN" w:bidi="ar-SA"/>
        </w:rPr>
      </w:pPr>
      <w:bookmarkStart w:id="80" w:name="_Toc7588"/>
    </w:p>
    <w:bookmarkEnd w:id="80"/>
    <w:p>
      <w:pPr>
        <w:widowControl w:val="0"/>
        <w:snapToGrid w:val="0"/>
        <w:spacing w:line="560" w:lineRule="exact"/>
        <w:jc w:val="both"/>
        <w:rPr>
          <w:rFonts w:hint="eastAsia" w:ascii="宋体" w:hAnsi="宋体" w:eastAsia="宋体" w:cs="Times New Roman"/>
          <w:b/>
          <w:kern w:val="2"/>
          <w:sz w:val="28"/>
          <w:szCs w:val="28"/>
          <w:lang w:val="en-US" w:eastAsia="zh-CN" w:bidi="ar-SA"/>
        </w:rPr>
      </w:pPr>
    </w:p>
    <w:p>
      <w:pPr>
        <w:widowControl w:val="0"/>
        <w:snapToGrid w:val="0"/>
        <w:spacing w:line="560" w:lineRule="exact"/>
        <w:jc w:val="both"/>
        <w:rPr>
          <w:rFonts w:hint="eastAsia" w:ascii="宋体" w:hAnsi="宋体" w:eastAsia="宋体" w:cs="Times New Roman"/>
          <w:b/>
          <w:kern w:val="2"/>
          <w:sz w:val="28"/>
          <w:szCs w:val="28"/>
          <w:lang w:val="en-US" w:eastAsia="zh-CN" w:bidi="ar-SA"/>
        </w:rPr>
      </w:pPr>
    </w:p>
    <w:p>
      <w:pPr>
        <w:widowControl w:val="0"/>
        <w:snapToGrid w:val="0"/>
        <w:spacing w:line="560" w:lineRule="exact"/>
        <w:jc w:val="both"/>
        <w:rPr>
          <w:rFonts w:hint="eastAsia" w:ascii="宋体" w:hAnsi="宋体" w:eastAsia="宋体" w:cs="Times New Roman"/>
          <w:b/>
          <w:kern w:val="2"/>
          <w:sz w:val="28"/>
          <w:szCs w:val="28"/>
          <w:lang w:val="en-US" w:eastAsia="zh-CN" w:bidi="ar-SA"/>
        </w:rPr>
      </w:pPr>
    </w:p>
    <w:p>
      <w:pPr>
        <w:keepNext/>
        <w:keepLines/>
        <w:widowControl w:val="0"/>
        <w:adjustRightInd w:val="0"/>
        <w:spacing w:before="240" w:line="360" w:lineRule="auto"/>
        <w:jc w:val="center"/>
        <w:textAlignment w:val="baseline"/>
        <w:outlineLvl w:val="1"/>
        <w:rPr>
          <w:rFonts w:ascii="Arial" w:hAnsi="Arial" w:eastAsia="黑体" w:cs="Times New Roman"/>
          <w:b/>
          <w:kern w:val="0"/>
          <w:sz w:val="30"/>
          <w:szCs w:val="28"/>
          <w:lang w:val="en-US" w:eastAsia="zh-CN" w:bidi="ar-SA"/>
        </w:rPr>
      </w:pPr>
      <w:r>
        <w:rPr>
          <w:rFonts w:hint="eastAsia" w:ascii="Arial" w:hAnsi="Arial" w:eastAsia="黑体" w:cs="Times New Roman"/>
          <w:b/>
          <w:kern w:val="0"/>
          <w:sz w:val="30"/>
          <w:szCs w:val="28"/>
          <w:lang w:val="en-US" w:eastAsia="zh-CN" w:bidi="ar-SA"/>
        </w:rPr>
        <w:t>十一、虚假应标承担责任声明</w:t>
      </w:r>
    </w:p>
    <w:p>
      <w:pPr>
        <w:widowControl w:val="0"/>
        <w:snapToGrid w:val="0"/>
        <w:spacing w:line="560" w:lineRule="exact"/>
        <w:jc w:val="both"/>
        <w:rPr>
          <w:rFonts w:hint="eastAsia" w:ascii="宋体" w:hAnsi="宋体" w:eastAsia="宋体" w:cs="Times New Roman"/>
          <w:kern w:val="2"/>
          <w:sz w:val="24"/>
          <w:szCs w:val="24"/>
          <w:lang w:val="en-US" w:eastAsia="zh-CN" w:bidi="ar-SA"/>
        </w:rPr>
      </w:pPr>
      <w:r>
        <w:rPr>
          <w:rFonts w:hint="eastAsia" w:ascii="宋体" w:hAnsi="宋体" w:eastAsia="宋体" w:cs="Times New Roman"/>
          <w:b/>
          <w:kern w:val="2"/>
          <w:sz w:val="28"/>
          <w:szCs w:val="28"/>
          <w:lang w:val="en-US" w:eastAsia="zh-CN" w:bidi="ar-SA"/>
        </w:rPr>
        <w:t>致</w:t>
      </w:r>
      <w:r>
        <w:rPr>
          <w:rFonts w:ascii="宋体" w:hAnsi="宋体" w:eastAsia="宋体" w:cs="Times New Roman"/>
          <w:b/>
          <w:kern w:val="2"/>
          <w:sz w:val="28"/>
          <w:szCs w:val="28"/>
          <w:lang w:val="en-US" w:eastAsia="zh-CN" w:bidi="ar-SA"/>
        </w:rPr>
        <w:t>:</w:t>
      </w: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甘肃金盛招标代理有限公司</w:t>
      </w:r>
    </w:p>
    <w:p>
      <w:pPr>
        <w:widowControl w:val="0"/>
        <w:snapToGrid w:val="0"/>
        <w:spacing w:line="560" w:lineRule="exact"/>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我公司承诺所提供的</w:t>
      </w:r>
      <w:r>
        <w:rPr>
          <w:rFonts w:hint="eastAsia" w:ascii="宋体" w:hAnsi="宋体" w:cs="Times New Roman"/>
          <w:kern w:val="2"/>
          <w:sz w:val="24"/>
          <w:szCs w:val="24"/>
          <w:lang w:val="en-US" w:eastAsia="zh-CN" w:bidi="ar-SA"/>
        </w:rPr>
        <w:t>投标</w:t>
      </w:r>
      <w:r>
        <w:rPr>
          <w:rFonts w:hint="eastAsia" w:ascii="宋体" w:hAnsi="宋体" w:eastAsia="宋体" w:cs="Times New Roman"/>
          <w:kern w:val="2"/>
          <w:sz w:val="24"/>
          <w:szCs w:val="24"/>
          <w:lang w:val="en-US" w:eastAsia="zh-CN" w:bidi="ar-SA"/>
        </w:rPr>
        <w:t>文件（包括一切技术资料、技术承诺、商务承诺等）均真实有效，若在项目招标过程中（包括开评标、成交公示过程）及履行合同期间（包括验收过程）发现我公司货物（或服务）与</w:t>
      </w:r>
      <w:r>
        <w:rPr>
          <w:rFonts w:hint="eastAsia" w:ascii="宋体" w:hAnsi="宋体" w:cs="Times New Roman"/>
          <w:kern w:val="2"/>
          <w:sz w:val="24"/>
          <w:szCs w:val="24"/>
          <w:lang w:val="en-US" w:eastAsia="zh-CN" w:bidi="ar-SA"/>
        </w:rPr>
        <w:t>投标</w:t>
      </w:r>
      <w:r>
        <w:rPr>
          <w:rFonts w:hint="eastAsia" w:ascii="宋体" w:hAnsi="宋体" w:eastAsia="宋体" w:cs="Times New Roman"/>
          <w:kern w:val="2"/>
          <w:sz w:val="24"/>
          <w:szCs w:val="24"/>
          <w:lang w:val="en-US" w:eastAsia="zh-CN" w:bidi="ar-SA"/>
        </w:rPr>
        <w:t>文件不一致，或发现我公司提供了不真实的</w:t>
      </w:r>
      <w:r>
        <w:rPr>
          <w:rFonts w:hint="eastAsia" w:ascii="宋体" w:hAnsi="宋体" w:cs="Times New Roman"/>
          <w:kern w:val="2"/>
          <w:sz w:val="24"/>
          <w:szCs w:val="24"/>
          <w:lang w:val="en-US" w:eastAsia="zh-CN" w:bidi="ar-SA"/>
        </w:rPr>
        <w:t>投标标</w:t>
      </w:r>
      <w:r>
        <w:rPr>
          <w:rFonts w:hint="eastAsia" w:ascii="宋体" w:hAnsi="宋体" w:eastAsia="宋体" w:cs="Times New Roman"/>
          <w:kern w:val="2"/>
          <w:sz w:val="24"/>
          <w:szCs w:val="24"/>
          <w:lang w:val="en-US" w:eastAsia="zh-CN" w:bidi="ar-SA"/>
        </w:rPr>
        <w:t>文件（虚假材料），我公司愿意承担一切法律责任并认可采购人或采购代理机构做出的取消中标资格、罚没保证金等决定。</w:t>
      </w:r>
    </w:p>
    <w:p>
      <w:pPr>
        <w:widowControl w:val="0"/>
        <w:tabs>
          <w:tab w:val="left" w:pos="3840"/>
        </w:tabs>
        <w:snapToGrid w:val="0"/>
        <w:spacing w:line="560" w:lineRule="exact"/>
        <w:jc w:val="both"/>
        <w:rPr>
          <w:rFonts w:ascii="宋体" w:hAnsi="宋体" w:eastAsia="宋体" w:cs="Times New Roman"/>
          <w:kern w:val="2"/>
          <w:sz w:val="24"/>
          <w:szCs w:val="24"/>
          <w:lang w:val="en-US" w:eastAsia="zh-CN" w:bidi="ar-SA"/>
        </w:rPr>
      </w:pP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特此声明。</w:t>
      </w:r>
      <w:r>
        <w:rPr>
          <w:rFonts w:ascii="宋体" w:hAnsi="宋体" w:eastAsia="宋体" w:cs="Times New Roman"/>
          <w:kern w:val="2"/>
          <w:sz w:val="24"/>
          <w:szCs w:val="24"/>
          <w:lang w:val="en-US" w:eastAsia="zh-CN" w:bidi="ar-SA"/>
        </w:rPr>
        <w:tab/>
      </w:r>
    </w:p>
    <w:p>
      <w:pPr>
        <w:widowControl w:val="0"/>
        <w:snapToGrid w:val="0"/>
        <w:spacing w:line="560" w:lineRule="exact"/>
        <w:jc w:val="both"/>
        <w:rPr>
          <w:rFonts w:ascii="宋体" w:hAnsi="宋体" w:eastAsia="宋体"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投标人（公章）：</w:t>
      </w:r>
      <w:r>
        <w:rPr>
          <w:rFonts w:ascii="宋体" w:hAnsi="宋体" w:eastAsia="宋体" w:cs="Times New Roman"/>
          <w:kern w:val="2"/>
          <w:sz w:val="24"/>
          <w:szCs w:val="24"/>
          <w:u w:val="single"/>
          <w:lang w:val="en-US" w:eastAsia="zh-CN" w:bidi="ar-SA"/>
        </w:rPr>
        <w:t xml:space="preserve">XXXXXXXXXXXXXXXXXXXXXXXXXXXX  </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法</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定</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地</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址：</w:t>
      </w:r>
      <w:r>
        <w:rPr>
          <w:rFonts w:ascii="宋体" w:hAnsi="宋体" w:eastAsia="宋体" w:cs="Times New Roman"/>
          <w:kern w:val="2"/>
          <w:sz w:val="24"/>
          <w:szCs w:val="24"/>
          <w:u w:val="single"/>
          <w:lang w:val="en-US" w:eastAsia="zh-CN" w:bidi="ar-SA"/>
        </w:rPr>
        <w:t xml:space="preserve">XXXXXXXXXXXXXXXXXXXXXXXXXXXXXXXX </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宋体" w:hAnsi="宋体" w:eastAsia="宋体" w:cs="Times New Roman"/>
          <w:kern w:val="2"/>
          <w:sz w:val="24"/>
          <w:szCs w:val="24"/>
          <w:u w:val="single"/>
          <w:lang w:val="en-US" w:eastAsia="zh-CN" w:bidi="ar-SA"/>
        </w:rPr>
      </w:pPr>
      <w:r>
        <w:rPr>
          <w:rFonts w:hint="eastAsia" w:ascii="宋体" w:hAnsi="宋体" w:eastAsia="宋体" w:cs="Times New Roman"/>
          <w:kern w:val="2"/>
          <w:sz w:val="24"/>
          <w:szCs w:val="24"/>
          <w:lang w:val="en-US" w:eastAsia="zh-CN" w:bidi="ar-SA"/>
        </w:rPr>
        <w:t>法定代表人或授权委托人（签字）：</w:t>
      </w:r>
      <w:r>
        <w:rPr>
          <w:rFonts w:ascii="宋体" w:hAnsi="宋体" w:eastAsia="宋体" w:cs="Times New Roman"/>
          <w:kern w:val="2"/>
          <w:sz w:val="24"/>
          <w:szCs w:val="24"/>
          <w:u w:val="single"/>
          <w:lang w:val="en-US" w:eastAsia="zh-CN" w:bidi="ar-SA"/>
        </w:rPr>
        <w:t>XXXX</w:t>
      </w:r>
      <w:r>
        <w:rPr>
          <w:rFonts w:hint="eastAsia" w:ascii="宋体" w:hAnsi="宋体" w:eastAsia="宋体" w:cs="Times New Roman"/>
          <w:kern w:val="2"/>
          <w:sz w:val="24"/>
          <w:szCs w:val="24"/>
          <w:u w:val="single"/>
          <w:lang w:val="en-US" w:eastAsia="zh-CN" w:bidi="ar-SA"/>
        </w:rPr>
        <w:t>XXXXXXXXX</w:t>
      </w:r>
      <w:r>
        <w:rPr>
          <w:rFonts w:ascii="宋体" w:hAnsi="宋体" w:eastAsia="宋体" w:cs="Times New Roman"/>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宋体" w:hAnsi="宋体" w:eastAsia="宋体" w:cs="Times New Roman"/>
          <w:kern w:val="2"/>
          <w:sz w:val="24"/>
          <w:szCs w:val="24"/>
          <w:u w:val="single"/>
          <w:lang w:val="en-US" w:eastAsia="zh-CN" w:bidi="ar-SA"/>
        </w:rPr>
      </w:pPr>
      <w:r>
        <w:rPr>
          <w:rFonts w:hint="eastAsia" w:ascii="宋体" w:hAnsi="宋体" w:eastAsia="宋体" w:cs="Times New Roman"/>
          <w:kern w:val="2"/>
          <w:sz w:val="24"/>
          <w:szCs w:val="24"/>
          <w:lang w:val="en-US" w:eastAsia="zh-CN" w:bidi="ar-SA"/>
        </w:rPr>
        <w:t>电</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话：</w:t>
      </w:r>
      <w:r>
        <w:rPr>
          <w:rFonts w:ascii="宋体" w:hAnsi="宋体" w:eastAsia="宋体" w:cs="Times New Roman"/>
          <w:kern w:val="2"/>
          <w:sz w:val="24"/>
          <w:szCs w:val="24"/>
          <w:u w:val="single"/>
          <w:lang w:val="en-US" w:eastAsia="zh-CN" w:bidi="ar-SA"/>
        </w:rPr>
        <w:t xml:space="preserve">XXXXXXXXXX </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ascii="宋体" w:hAnsi="宋体" w:eastAsia="宋体" w:cs="Times New Roman"/>
          <w:bCs/>
          <w:kern w:val="2"/>
          <w:sz w:val="24"/>
          <w:szCs w:val="24"/>
          <w:lang w:val="en-US" w:eastAsia="zh-CN" w:bidi="ar-SA"/>
        </w:rPr>
      </w:pPr>
      <w:r>
        <w:rPr>
          <w:rFonts w:hint="eastAsia" w:ascii="宋体" w:hAnsi="宋体" w:eastAsia="宋体" w:cs="Times New Roman"/>
          <w:kern w:val="2"/>
          <w:sz w:val="24"/>
          <w:szCs w:val="24"/>
          <w:lang w:val="en-US" w:eastAsia="zh-CN" w:bidi="ar-SA"/>
        </w:rPr>
        <w:t>传</w:t>
      </w:r>
      <w:r>
        <w:rPr>
          <w:rFonts w:ascii="宋体" w:hAnsi="宋体"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真：</w:t>
      </w:r>
      <w:r>
        <w:rPr>
          <w:rFonts w:ascii="宋体" w:hAnsi="宋体" w:eastAsia="宋体" w:cs="Times New Roman"/>
          <w:kern w:val="2"/>
          <w:sz w:val="24"/>
          <w:szCs w:val="24"/>
          <w:u w:val="single"/>
          <w:lang w:val="en-US" w:eastAsia="zh-CN" w:bidi="ar-SA"/>
        </w:rPr>
        <w:t>XXXXXXXXXX</w:t>
      </w:r>
    </w:p>
    <w:p>
      <w:pPr>
        <w:autoSpaceDE/>
        <w:autoSpaceDN/>
        <w:spacing w:before="0" w:after="0" w:line="240" w:lineRule="auto"/>
        <w:ind w:left="0" w:right="0"/>
        <w:jc w:val="right"/>
        <w:rPr>
          <w:rFonts w:ascii="Calibri" w:hAnsi="Calibri" w:eastAsia="宋体" w:cs="Times New Roman"/>
          <w:kern w:val="2"/>
          <w:sz w:val="30"/>
          <w:szCs w:val="30"/>
          <w:lang w:val="en-US" w:bidi="ar-SA"/>
        </w:rPr>
      </w:pPr>
    </w:p>
    <w:p>
      <w:pPr>
        <w:autoSpaceDE/>
        <w:autoSpaceDN/>
        <w:spacing w:before="0" w:after="0" w:line="240" w:lineRule="auto"/>
        <w:ind w:left="0" w:right="0"/>
        <w:jc w:val="right"/>
        <w:rPr>
          <w:rFonts w:ascii="Calibri" w:hAnsi="Calibri" w:eastAsia="宋体" w:cs="Times New Roman"/>
          <w:kern w:val="2"/>
          <w:sz w:val="30"/>
          <w:szCs w:val="30"/>
          <w:lang w:val="en-US" w:bidi="ar-SA"/>
        </w:rPr>
      </w:pPr>
    </w:p>
    <w:p>
      <w:pPr>
        <w:autoSpaceDE/>
        <w:autoSpaceDN/>
        <w:spacing w:before="0" w:after="0" w:line="240" w:lineRule="auto"/>
        <w:ind w:left="0" w:right="600" w:firstLine="3960" w:firstLineChars="1650"/>
        <w:jc w:val="both"/>
        <w:rPr>
          <w:rFonts w:ascii="Calibri" w:hAnsi="Calibri" w:eastAsia="宋体" w:cs="Times New Roman"/>
          <w:kern w:val="2"/>
          <w:sz w:val="30"/>
          <w:szCs w:val="30"/>
          <w:lang w:val="en-US" w:bidi="ar-SA"/>
        </w:rPr>
      </w:pPr>
      <w:r>
        <w:rPr>
          <w:rFonts w:ascii="Calibri" w:hAnsi="Calibri" w:eastAsia="宋体" w:cs="Times New Roman"/>
          <w:kern w:val="2"/>
          <w:sz w:val="24"/>
          <w:szCs w:val="24"/>
          <w:lang w:val="en-US" w:bidi="ar-SA"/>
        </w:rPr>
        <w:t>201</w:t>
      </w:r>
      <w:r>
        <w:rPr>
          <w:rFonts w:hint="eastAsia" w:ascii="Calibri" w:hAnsi="Calibri" w:eastAsia="宋体" w:cs="Times New Roman"/>
          <w:kern w:val="2"/>
          <w:sz w:val="24"/>
          <w:szCs w:val="24"/>
          <w:lang w:val="en-US" w:eastAsia="zh-CN" w:bidi="ar-SA"/>
        </w:rPr>
        <w:t>9</w:t>
      </w:r>
      <w:r>
        <w:rPr>
          <w:rFonts w:hint="eastAsia" w:ascii="Calibri" w:hAnsi="Calibri" w:eastAsia="宋体" w:cs="Times New Roman"/>
          <w:kern w:val="2"/>
          <w:sz w:val="24"/>
          <w:szCs w:val="24"/>
          <w:lang w:val="en-US" w:bidi="ar-SA"/>
        </w:rPr>
        <w:t>年</w:t>
      </w:r>
      <w:r>
        <w:rPr>
          <w:rFonts w:ascii="Calibri" w:hAnsi="Calibri" w:eastAsia="宋体" w:cs="Times New Roman"/>
          <w:kern w:val="2"/>
          <w:sz w:val="24"/>
          <w:szCs w:val="24"/>
          <w:u w:val="single"/>
          <w:lang w:val="en-US" w:bidi="ar-SA"/>
        </w:rPr>
        <w:t>XX</w:t>
      </w:r>
      <w:r>
        <w:rPr>
          <w:rFonts w:hint="eastAsia" w:ascii="Calibri" w:hAnsi="Calibri" w:eastAsia="宋体" w:cs="Times New Roman"/>
          <w:kern w:val="2"/>
          <w:sz w:val="24"/>
          <w:szCs w:val="24"/>
          <w:lang w:val="en-US" w:bidi="ar-SA"/>
        </w:rPr>
        <w:t>月</w:t>
      </w:r>
      <w:r>
        <w:rPr>
          <w:rFonts w:ascii="Calibri" w:hAnsi="Calibri" w:eastAsia="宋体" w:cs="Times New Roman"/>
          <w:kern w:val="2"/>
          <w:sz w:val="24"/>
          <w:szCs w:val="24"/>
          <w:lang w:val="en-US" w:bidi="ar-SA"/>
        </w:rPr>
        <w:t xml:space="preserve"> </w:t>
      </w:r>
      <w:r>
        <w:rPr>
          <w:rFonts w:ascii="Calibri" w:hAnsi="Calibri" w:eastAsia="宋体" w:cs="Times New Roman"/>
          <w:kern w:val="2"/>
          <w:sz w:val="24"/>
          <w:szCs w:val="24"/>
          <w:u w:val="single"/>
          <w:lang w:val="en-US" w:bidi="ar-SA"/>
        </w:rPr>
        <w:t>XX</w:t>
      </w:r>
      <w:r>
        <w:rPr>
          <w:rFonts w:hint="eastAsia" w:ascii="Calibri" w:hAnsi="Calibri" w:eastAsia="宋体" w:cs="Times New Roman"/>
          <w:kern w:val="2"/>
          <w:sz w:val="24"/>
          <w:szCs w:val="24"/>
          <w:lang w:val="en-US" w:bidi="ar-SA"/>
        </w:rPr>
        <w:t>日</w:t>
      </w:r>
    </w:p>
    <w:p>
      <w:pPr>
        <w:autoSpaceDE/>
        <w:autoSpaceDN/>
        <w:adjustRightInd w:val="0"/>
        <w:spacing w:before="0" w:after="0" w:line="240" w:lineRule="auto"/>
        <w:ind w:left="0" w:right="0"/>
        <w:jc w:val="both"/>
        <w:rPr>
          <w:rFonts w:ascii="宋体" w:hAnsi="Calibri" w:eastAsia="宋体" w:cs="Times New Roman"/>
          <w:kern w:val="2"/>
          <w:sz w:val="32"/>
          <w:szCs w:val="24"/>
          <w:lang w:val="en-US" w:bidi="ar-SA"/>
        </w:rPr>
      </w:pPr>
      <w:r>
        <w:rPr>
          <w:rFonts w:ascii="宋体" w:hAnsi="宋体" w:eastAsia="宋体" w:cs="Times New Roman"/>
          <w:kern w:val="2"/>
          <w:sz w:val="32"/>
          <w:szCs w:val="24"/>
          <w:lang w:val="en-US" w:bidi="ar-SA"/>
        </w:rPr>
        <w:t xml:space="preserve"> </w:t>
      </w:r>
    </w:p>
    <w:p>
      <w:pPr>
        <w:autoSpaceDE/>
        <w:autoSpaceDN/>
        <w:adjustRightInd w:val="0"/>
        <w:spacing w:before="0" w:after="0" w:line="240" w:lineRule="auto"/>
        <w:ind w:left="0" w:right="0"/>
        <w:jc w:val="both"/>
        <w:rPr>
          <w:rFonts w:hint="eastAsia" w:ascii="宋体" w:hAnsi="Calibri" w:eastAsia="宋体" w:cs="Times New Roman"/>
          <w:kern w:val="2"/>
          <w:sz w:val="32"/>
          <w:szCs w:val="24"/>
          <w:lang w:val="en-US" w:bidi="ar-SA"/>
        </w:rPr>
      </w:pPr>
    </w:p>
    <w:p>
      <w:pPr>
        <w:autoSpaceDE/>
        <w:autoSpaceDN/>
        <w:adjustRightInd w:val="0"/>
        <w:spacing w:before="0" w:after="0" w:line="240" w:lineRule="auto"/>
        <w:ind w:left="0" w:right="0"/>
        <w:jc w:val="both"/>
        <w:rPr>
          <w:rFonts w:ascii="宋体" w:hAnsi="Calibri" w:eastAsia="宋体" w:cs="Times New Roman"/>
          <w:kern w:val="2"/>
          <w:sz w:val="32"/>
          <w:szCs w:val="24"/>
          <w:lang w:val="en-US" w:bidi="ar-SA"/>
        </w:rPr>
      </w:pPr>
    </w:p>
    <w:p>
      <w:pPr>
        <w:autoSpaceDE/>
        <w:autoSpaceDN/>
        <w:adjustRightInd w:val="0"/>
        <w:spacing w:before="0" w:after="0" w:line="240" w:lineRule="auto"/>
        <w:ind w:left="0" w:right="0"/>
        <w:jc w:val="both"/>
        <w:rPr>
          <w:rFonts w:ascii="宋体" w:hAnsi="Calibri" w:eastAsia="宋体" w:cs="Times New Roman"/>
          <w:kern w:val="2"/>
          <w:sz w:val="32"/>
          <w:szCs w:val="24"/>
          <w:lang w:val="en-US" w:bidi="ar-SA"/>
        </w:rPr>
      </w:pPr>
    </w:p>
    <w:p>
      <w:pPr>
        <w:autoSpaceDE/>
        <w:autoSpaceDN/>
        <w:adjustRightInd w:val="0"/>
        <w:spacing w:before="0" w:after="0" w:line="240" w:lineRule="auto"/>
        <w:ind w:left="0" w:right="0"/>
        <w:jc w:val="both"/>
        <w:rPr>
          <w:rFonts w:ascii="宋体" w:hAnsi="Calibri" w:eastAsia="宋体" w:cs="Times New Roman"/>
          <w:kern w:val="2"/>
          <w:sz w:val="32"/>
          <w:szCs w:val="24"/>
          <w:lang w:val="en-US" w:bidi="ar-SA"/>
        </w:rPr>
      </w:pPr>
    </w:p>
    <w:p>
      <w:pPr>
        <w:keepNext/>
        <w:keepLines/>
        <w:pageBreakBefore w:val="0"/>
        <w:widowControl w:val="0"/>
        <w:kinsoku/>
        <w:wordWrap/>
        <w:overflowPunct/>
        <w:topLinePunct w:val="0"/>
        <w:autoSpaceDE/>
        <w:autoSpaceDN/>
        <w:bidi w:val="0"/>
        <w:adjustRightInd w:val="0"/>
        <w:snapToGrid/>
        <w:spacing w:before="0" w:line="360" w:lineRule="auto"/>
        <w:jc w:val="center"/>
        <w:textAlignment w:val="baseline"/>
        <w:outlineLvl w:val="1"/>
        <w:rPr>
          <w:rFonts w:hint="eastAsia" w:ascii="Arial" w:hAnsi="Arial" w:eastAsia="黑体" w:cs="Times New Roman"/>
          <w:b/>
          <w:kern w:val="0"/>
          <w:sz w:val="30"/>
          <w:szCs w:val="28"/>
          <w:lang w:val="en-US" w:eastAsia="zh-CN" w:bidi="ar-SA"/>
        </w:rPr>
      </w:pPr>
      <w:bookmarkStart w:id="81" w:name="_Toc1465"/>
      <w:bookmarkStart w:id="82" w:name="_Toc453073928"/>
      <w:bookmarkStart w:id="83" w:name="_Toc453835957"/>
    </w:p>
    <w:p>
      <w:pPr>
        <w:keepNext/>
        <w:keepLines/>
        <w:pageBreakBefore w:val="0"/>
        <w:widowControl w:val="0"/>
        <w:kinsoku/>
        <w:wordWrap/>
        <w:overflowPunct/>
        <w:topLinePunct w:val="0"/>
        <w:autoSpaceDE/>
        <w:autoSpaceDN/>
        <w:bidi w:val="0"/>
        <w:adjustRightInd w:val="0"/>
        <w:snapToGrid/>
        <w:spacing w:before="0" w:line="360" w:lineRule="auto"/>
        <w:jc w:val="center"/>
        <w:textAlignment w:val="baseline"/>
        <w:outlineLvl w:val="1"/>
        <w:rPr>
          <w:rFonts w:hint="eastAsia" w:ascii="宋体" w:hAnsi="宋体" w:eastAsia="宋体" w:cs="宋体"/>
          <w:kern w:val="2"/>
          <w:sz w:val="24"/>
          <w:szCs w:val="24"/>
          <w:lang w:val="en-US" w:eastAsia="zh-CN" w:bidi="ar-SA"/>
        </w:rPr>
      </w:pPr>
      <w:r>
        <w:rPr>
          <w:rFonts w:hint="eastAsia" w:ascii="Arial" w:hAnsi="Arial" w:eastAsia="黑体" w:cs="Times New Roman"/>
          <w:b/>
          <w:kern w:val="0"/>
          <w:sz w:val="30"/>
          <w:szCs w:val="28"/>
          <w:lang w:val="en-US" w:eastAsia="zh-CN" w:bidi="ar-SA"/>
        </w:rPr>
        <w:t>十二、未被列入失信记录书面声明</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480" w:firstLineChars="200"/>
        <w:jc w:val="both"/>
        <w:textAlignment w:val="auto"/>
        <w:outlineLvl w:val="9"/>
        <w:rPr>
          <w:rFonts w:hint="eastAsia" w:ascii="宋体" w:hAnsi="宋体" w:eastAsia="宋体" w:cs="宋体"/>
          <w:b w:val="0"/>
          <w:i w:val="0"/>
          <w:caps w:val="0"/>
          <w:color w:val="212121"/>
          <w:spacing w:val="0"/>
          <w:kern w:val="2"/>
          <w:sz w:val="24"/>
          <w:szCs w:val="24"/>
          <w:shd w:val="clear" w:color="auto" w:fill="FFFFFF"/>
          <w:lang w:val="en-US" w:eastAsia="zh-CN" w:bidi="ar-SA"/>
        </w:rPr>
      </w:pPr>
      <w:r>
        <w:rPr>
          <w:rFonts w:hint="eastAsia" w:ascii="宋体" w:hAnsi="宋体" w:eastAsia="宋体" w:cs="宋体"/>
          <w:kern w:val="2"/>
          <w:sz w:val="24"/>
          <w:szCs w:val="24"/>
          <w:lang w:val="en-US" w:eastAsia="zh-CN" w:bidi="ar-SA"/>
        </w:rPr>
        <w:t>本公司声明：</w:t>
      </w:r>
      <w:r>
        <w:rPr>
          <w:rFonts w:hint="eastAsia" w:ascii="宋体" w:hAnsi="宋体" w:eastAsia="宋体" w:cs="宋体"/>
          <w:b w:val="0"/>
          <w:i w:val="0"/>
          <w:caps w:val="0"/>
          <w:color w:val="212121"/>
          <w:spacing w:val="0"/>
          <w:kern w:val="2"/>
          <w:sz w:val="24"/>
          <w:szCs w:val="24"/>
          <w:shd w:val="clear" w:color="auto" w:fill="FFFFFF"/>
          <w:lang w:val="en-US" w:bidi="ar-SA"/>
        </w:rPr>
        <w:t>未被列入“信用中国”网站（</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begin"/>
      </w:r>
      <w:r>
        <w:rPr>
          <w:rFonts w:hint="eastAsia" w:ascii="宋体" w:hAnsi="宋体" w:eastAsia="宋体" w:cs="宋体"/>
          <w:b w:val="0"/>
          <w:i w:val="0"/>
          <w:caps w:val="0"/>
          <w:color w:val="000000"/>
          <w:spacing w:val="0"/>
          <w:kern w:val="2"/>
          <w:sz w:val="24"/>
          <w:szCs w:val="24"/>
          <w:u w:val="none"/>
          <w:shd w:val="clear" w:color="auto" w:fill="FFFFFF"/>
          <w:lang w:val="en-US" w:bidi="ar-SA"/>
        </w:rPr>
        <w:instrText xml:space="preserve"> HYPERLINK "http://www.creditchina.gov.cn/" </w:instrTex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separate"/>
      </w:r>
      <w:r>
        <w:rPr>
          <w:rFonts w:hint="eastAsia" w:ascii="宋体" w:hAnsi="宋体" w:eastAsia="宋体" w:cs="宋体"/>
          <w:b w:val="0"/>
          <w:i w:val="0"/>
          <w:caps w:val="0"/>
          <w:color w:val="000000"/>
          <w:spacing w:val="0"/>
          <w:kern w:val="2"/>
          <w:sz w:val="24"/>
          <w:szCs w:val="24"/>
          <w:u w:val="none"/>
          <w:shd w:val="clear" w:color="auto" w:fill="FFFFFF"/>
          <w:lang w:val="en-US" w:bidi="ar-SA"/>
        </w:rPr>
        <w:t>www.creditchina.gov.cn</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end"/>
      </w:r>
      <w:r>
        <w:rPr>
          <w:rFonts w:hint="eastAsia" w:ascii="宋体" w:hAnsi="宋体" w:eastAsia="宋体" w:cs="宋体"/>
          <w:b w:val="0"/>
          <w:i w:val="0"/>
          <w:caps w:val="0"/>
          <w:color w:val="212121"/>
          <w:spacing w:val="0"/>
          <w:kern w:val="2"/>
          <w:sz w:val="24"/>
          <w:szCs w:val="24"/>
          <w:shd w:val="clear" w:color="auto" w:fill="FFFFFF"/>
          <w:lang w:val="en-US" w:bidi="ar-SA"/>
        </w:rPr>
        <w:t>）记录“失信被执行人”或“重大税收违法案件当事人名单”或“政府采购严重违法失信行为”记录名单；不处于中国政府采购网（</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begin"/>
      </w:r>
      <w:r>
        <w:rPr>
          <w:rFonts w:hint="eastAsia" w:ascii="宋体" w:hAnsi="宋体" w:eastAsia="宋体" w:cs="宋体"/>
          <w:b w:val="0"/>
          <w:i w:val="0"/>
          <w:caps w:val="0"/>
          <w:color w:val="000000"/>
          <w:spacing w:val="0"/>
          <w:kern w:val="2"/>
          <w:sz w:val="24"/>
          <w:szCs w:val="24"/>
          <w:u w:val="none"/>
          <w:shd w:val="clear" w:color="auto" w:fill="FFFFFF"/>
          <w:lang w:val="en-US" w:bidi="ar-SA"/>
        </w:rPr>
        <w:instrText xml:space="preserve"> HYPERLINK "http://www.ccgp.gov.cn/" </w:instrTex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separate"/>
      </w:r>
      <w:r>
        <w:rPr>
          <w:rFonts w:hint="eastAsia" w:ascii="宋体" w:hAnsi="宋体" w:eastAsia="宋体" w:cs="宋体"/>
          <w:b w:val="0"/>
          <w:i w:val="0"/>
          <w:caps w:val="0"/>
          <w:color w:val="000000"/>
          <w:spacing w:val="0"/>
          <w:kern w:val="2"/>
          <w:sz w:val="24"/>
          <w:szCs w:val="24"/>
          <w:u w:val="none"/>
          <w:shd w:val="clear" w:color="auto" w:fill="FFFFFF"/>
          <w:lang w:val="en-US" w:bidi="ar-SA"/>
        </w:rPr>
        <w:t>www.ccgp.gov.cn</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end"/>
      </w:r>
      <w:r>
        <w:rPr>
          <w:rFonts w:hint="eastAsia" w:ascii="宋体" w:hAnsi="宋体" w:eastAsia="宋体" w:cs="宋体"/>
          <w:b w:val="0"/>
          <w:i w:val="0"/>
          <w:caps w:val="0"/>
          <w:color w:val="212121"/>
          <w:spacing w:val="0"/>
          <w:kern w:val="2"/>
          <w:sz w:val="24"/>
          <w:szCs w:val="24"/>
          <w:shd w:val="clear" w:color="auto" w:fill="FFFFFF"/>
          <w:lang w:val="en-US" w:bidi="ar-SA"/>
        </w:rPr>
        <w:t>）“政府采购严重违法失信行为信息记录”中的禁止参加政府采购活动期间；未被列入“信用甘肃”网站（</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begin"/>
      </w:r>
      <w:r>
        <w:rPr>
          <w:rFonts w:hint="eastAsia" w:ascii="宋体" w:hAnsi="宋体" w:eastAsia="宋体" w:cs="宋体"/>
          <w:b w:val="0"/>
          <w:i w:val="0"/>
          <w:caps w:val="0"/>
          <w:color w:val="000000"/>
          <w:spacing w:val="0"/>
          <w:kern w:val="2"/>
          <w:sz w:val="24"/>
          <w:szCs w:val="24"/>
          <w:u w:val="none"/>
          <w:shd w:val="clear" w:color="auto" w:fill="FFFFFF"/>
          <w:lang w:val="en-US" w:bidi="ar-SA"/>
        </w:rPr>
        <w:instrText xml:space="preserve"> HYPERLINK "http://www.gscredit.gov.cn/" </w:instrTex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separate"/>
      </w:r>
      <w:r>
        <w:rPr>
          <w:rFonts w:hint="eastAsia" w:ascii="宋体" w:hAnsi="宋体" w:eastAsia="宋体" w:cs="宋体"/>
          <w:b w:val="0"/>
          <w:i w:val="0"/>
          <w:caps w:val="0"/>
          <w:color w:val="000000"/>
          <w:spacing w:val="0"/>
          <w:kern w:val="2"/>
          <w:sz w:val="24"/>
          <w:szCs w:val="24"/>
          <w:u w:val="none"/>
          <w:shd w:val="clear" w:color="auto" w:fill="FFFFFF"/>
          <w:lang w:val="en-US" w:bidi="ar-SA"/>
        </w:rPr>
        <w:t>www.gscredit.gov.cn</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end"/>
      </w:r>
      <w:r>
        <w:rPr>
          <w:rFonts w:hint="eastAsia" w:ascii="宋体" w:hAnsi="宋体" w:eastAsia="宋体" w:cs="宋体"/>
          <w:b w:val="0"/>
          <w:i w:val="0"/>
          <w:caps w:val="0"/>
          <w:color w:val="212121"/>
          <w:spacing w:val="0"/>
          <w:kern w:val="2"/>
          <w:sz w:val="24"/>
          <w:szCs w:val="24"/>
          <w:shd w:val="clear" w:color="auto" w:fill="FFFFFF"/>
          <w:lang w:val="en-US" w:bidi="ar-SA"/>
        </w:rPr>
        <w:t>）记录失信被执行人或财政性资金管理使用领域相关失信责任主体、统计领域严重失信企业及其有关人员等（以投标截止日当天在“信用中国”网站[</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begin"/>
      </w:r>
      <w:r>
        <w:rPr>
          <w:rFonts w:hint="eastAsia" w:ascii="宋体" w:hAnsi="宋体" w:eastAsia="宋体" w:cs="宋体"/>
          <w:b w:val="0"/>
          <w:i w:val="0"/>
          <w:caps w:val="0"/>
          <w:color w:val="000000"/>
          <w:spacing w:val="0"/>
          <w:kern w:val="2"/>
          <w:sz w:val="24"/>
          <w:szCs w:val="24"/>
          <w:u w:val="none"/>
          <w:shd w:val="clear" w:color="auto" w:fill="FFFFFF"/>
          <w:lang w:val="en-US" w:bidi="ar-SA"/>
        </w:rPr>
        <w:instrText xml:space="preserve"> HYPERLINK "http://www.creditchina.gov.cn/" </w:instrTex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separate"/>
      </w:r>
      <w:r>
        <w:rPr>
          <w:rFonts w:hint="eastAsia" w:ascii="宋体" w:hAnsi="宋体" w:eastAsia="宋体" w:cs="宋体"/>
          <w:b w:val="0"/>
          <w:i w:val="0"/>
          <w:caps w:val="0"/>
          <w:color w:val="000000"/>
          <w:spacing w:val="0"/>
          <w:kern w:val="2"/>
          <w:sz w:val="24"/>
          <w:szCs w:val="24"/>
          <w:u w:val="none"/>
          <w:shd w:val="clear" w:color="auto" w:fill="FFFFFF"/>
          <w:lang w:val="en-US" w:bidi="ar-SA"/>
        </w:rPr>
        <w:t>www.creditchina.gov.cn</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end"/>
      </w:r>
      <w:r>
        <w:rPr>
          <w:rFonts w:hint="eastAsia" w:ascii="宋体" w:hAnsi="宋体" w:eastAsia="宋体" w:cs="宋体"/>
          <w:b w:val="0"/>
          <w:i w:val="0"/>
          <w:caps w:val="0"/>
          <w:color w:val="212121"/>
          <w:spacing w:val="0"/>
          <w:kern w:val="2"/>
          <w:sz w:val="24"/>
          <w:szCs w:val="24"/>
          <w:shd w:val="clear" w:color="auto" w:fill="FFFFFF"/>
          <w:lang w:val="en-US" w:bidi="ar-SA"/>
        </w:rPr>
        <w:t>]、中国政府采购网[</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begin"/>
      </w:r>
      <w:r>
        <w:rPr>
          <w:rFonts w:hint="eastAsia" w:ascii="宋体" w:hAnsi="宋体" w:eastAsia="宋体" w:cs="宋体"/>
          <w:b w:val="0"/>
          <w:i w:val="0"/>
          <w:caps w:val="0"/>
          <w:color w:val="000000"/>
          <w:spacing w:val="0"/>
          <w:kern w:val="2"/>
          <w:sz w:val="24"/>
          <w:szCs w:val="24"/>
          <w:u w:val="none"/>
          <w:shd w:val="clear" w:color="auto" w:fill="FFFFFF"/>
          <w:lang w:val="en-US" w:bidi="ar-SA"/>
        </w:rPr>
        <w:instrText xml:space="preserve"> HYPERLINK "http://www.ccgp.gov.cn/" </w:instrTex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separate"/>
      </w:r>
      <w:r>
        <w:rPr>
          <w:rFonts w:hint="eastAsia" w:ascii="宋体" w:hAnsi="宋体" w:eastAsia="宋体" w:cs="宋体"/>
          <w:b w:val="0"/>
          <w:i w:val="0"/>
          <w:caps w:val="0"/>
          <w:color w:val="000000"/>
          <w:spacing w:val="0"/>
          <w:kern w:val="2"/>
          <w:sz w:val="24"/>
          <w:szCs w:val="24"/>
          <w:u w:val="none"/>
          <w:shd w:val="clear" w:color="auto" w:fill="FFFFFF"/>
          <w:lang w:val="en-US" w:bidi="ar-SA"/>
        </w:rPr>
        <w:t>www.ccgp.gov.cn</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end"/>
      </w:r>
      <w:r>
        <w:rPr>
          <w:rFonts w:hint="eastAsia" w:ascii="宋体" w:hAnsi="宋体" w:eastAsia="宋体" w:cs="宋体"/>
          <w:b w:val="0"/>
          <w:i w:val="0"/>
          <w:caps w:val="0"/>
          <w:color w:val="212121"/>
          <w:spacing w:val="0"/>
          <w:kern w:val="2"/>
          <w:sz w:val="24"/>
          <w:szCs w:val="24"/>
          <w:shd w:val="clear" w:color="auto" w:fill="FFFFFF"/>
          <w:lang w:val="en-US" w:bidi="ar-SA"/>
        </w:rPr>
        <w:t>]及“信用甘肃”网站[</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begin"/>
      </w:r>
      <w:r>
        <w:rPr>
          <w:rFonts w:hint="eastAsia" w:ascii="宋体" w:hAnsi="宋体" w:eastAsia="宋体" w:cs="宋体"/>
          <w:b w:val="0"/>
          <w:i w:val="0"/>
          <w:caps w:val="0"/>
          <w:color w:val="000000"/>
          <w:spacing w:val="0"/>
          <w:kern w:val="2"/>
          <w:sz w:val="24"/>
          <w:szCs w:val="24"/>
          <w:u w:val="none"/>
          <w:shd w:val="clear" w:color="auto" w:fill="FFFFFF"/>
          <w:lang w:val="en-US" w:bidi="ar-SA"/>
        </w:rPr>
        <w:instrText xml:space="preserve"> HYPERLINK "http://www.gscredit.gov.cn/" </w:instrTex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separate"/>
      </w:r>
      <w:r>
        <w:rPr>
          <w:rFonts w:hint="eastAsia" w:ascii="宋体" w:hAnsi="宋体" w:eastAsia="宋体" w:cs="宋体"/>
          <w:b w:val="0"/>
          <w:i w:val="0"/>
          <w:caps w:val="0"/>
          <w:color w:val="000000"/>
          <w:spacing w:val="0"/>
          <w:kern w:val="2"/>
          <w:sz w:val="24"/>
          <w:szCs w:val="24"/>
          <w:u w:val="none"/>
          <w:shd w:val="clear" w:color="auto" w:fill="FFFFFF"/>
          <w:lang w:val="en-US" w:bidi="ar-SA"/>
        </w:rPr>
        <w:t>www.gscredit.gov.cn</w:t>
      </w:r>
      <w:r>
        <w:rPr>
          <w:rFonts w:hint="eastAsia" w:ascii="宋体" w:hAnsi="宋体" w:eastAsia="宋体" w:cs="宋体"/>
          <w:b w:val="0"/>
          <w:i w:val="0"/>
          <w:caps w:val="0"/>
          <w:color w:val="000000"/>
          <w:spacing w:val="0"/>
          <w:kern w:val="2"/>
          <w:sz w:val="24"/>
          <w:szCs w:val="24"/>
          <w:u w:val="none"/>
          <w:shd w:val="clear" w:color="auto" w:fill="FFFFFF"/>
          <w:lang w:val="en-US" w:bidi="ar-SA"/>
        </w:rPr>
        <w:fldChar w:fldCharType="end"/>
      </w:r>
      <w:r>
        <w:rPr>
          <w:rFonts w:hint="eastAsia" w:ascii="宋体" w:hAnsi="宋体" w:eastAsia="宋体" w:cs="宋体"/>
          <w:b w:val="0"/>
          <w:i w:val="0"/>
          <w:caps w:val="0"/>
          <w:color w:val="212121"/>
          <w:spacing w:val="0"/>
          <w:kern w:val="2"/>
          <w:sz w:val="24"/>
          <w:szCs w:val="24"/>
          <w:shd w:val="clear" w:color="auto" w:fill="FFFFFF"/>
          <w:lang w:val="en-US" w:bidi="ar-SA"/>
        </w:rPr>
        <w:t>]查询结果为准</w:t>
      </w:r>
      <w:r>
        <w:rPr>
          <w:rFonts w:hint="eastAsia" w:ascii="宋体" w:hAnsi="宋体" w:eastAsia="宋体" w:cs="宋体"/>
          <w:b w:val="0"/>
          <w:i w:val="0"/>
          <w:caps w:val="0"/>
          <w:color w:val="212121"/>
          <w:spacing w:val="0"/>
          <w:kern w:val="2"/>
          <w:sz w:val="24"/>
          <w:szCs w:val="24"/>
          <w:shd w:val="clear" w:color="auto" w:fill="FFFFFF"/>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宋体" w:hAnsi="宋体" w:eastAsia="宋体" w:cs="宋体"/>
          <w:b w:val="0"/>
          <w:i w:val="0"/>
          <w:caps w:val="0"/>
          <w:color w:val="212121"/>
          <w:spacing w:val="0"/>
          <w:kern w:val="2"/>
          <w:sz w:val="24"/>
          <w:szCs w:val="24"/>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jc w:val="both"/>
        <w:textAlignment w:val="auto"/>
        <w:outlineLvl w:val="9"/>
        <w:rPr>
          <w:rFonts w:hint="eastAsia" w:ascii="宋体" w:hAnsi="宋体" w:eastAsia="宋体" w:cs="宋体"/>
          <w:b w:val="0"/>
          <w:i w:val="0"/>
          <w:caps w:val="0"/>
          <w:color w:val="212121"/>
          <w:spacing w:val="0"/>
          <w:kern w:val="2"/>
          <w:sz w:val="24"/>
          <w:szCs w:val="24"/>
          <w:shd w:val="clear" w:color="auto" w:fill="FFFFFF"/>
          <w:lang w:val="en-US" w:eastAsia="zh-CN" w:bidi="ar-SA"/>
        </w:rPr>
      </w:pPr>
      <w:r>
        <w:rPr>
          <w:rFonts w:hint="eastAsia" w:ascii="宋体" w:hAnsi="宋体" w:eastAsia="宋体" w:cs="宋体"/>
          <w:b w:val="0"/>
          <w:i w:val="0"/>
          <w:caps w:val="0"/>
          <w:color w:val="212121"/>
          <w:spacing w:val="0"/>
          <w:kern w:val="2"/>
          <w:sz w:val="24"/>
          <w:szCs w:val="24"/>
          <w:shd w:val="clear" w:color="auto" w:fill="FFFFFF"/>
          <w:lang w:val="en-US" w:eastAsia="zh-CN" w:bidi="ar-SA"/>
        </w:rPr>
        <w:t>（注：后附查询结果）</w:t>
      </w:r>
    </w:p>
    <w:p>
      <w:pPr>
        <w:numPr>
          <w:ilvl w:val="0"/>
          <w:numId w:val="0"/>
        </w:numPr>
        <w:autoSpaceDE/>
        <w:autoSpaceDN/>
        <w:spacing w:before="0" w:after="0" w:line="240" w:lineRule="auto"/>
        <w:ind w:left="0" w:right="0"/>
        <w:jc w:val="both"/>
        <w:rPr>
          <w:rFonts w:hint="eastAsia" w:ascii="宋体" w:hAnsi="宋体" w:eastAsia="宋体" w:cs="宋体"/>
          <w:b w:val="0"/>
          <w:i w:val="0"/>
          <w:caps w:val="0"/>
          <w:color w:val="212121"/>
          <w:spacing w:val="0"/>
          <w:kern w:val="2"/>
          <w:sz w:val="28"/>
          <w:szCs w:val="28"/>
          <w:shd w:val="clear" w:color="auto" w:fill="FFFFFF"/>
          <w:lang w:val="en-US" w:eastAsia="zh-CN" w:bidi="ar-SA"/>
        </w:rPr>
      </w:pPr>
    </w:p>
    <w:p>
      <w:pPr>
        <w:numPr>
          <w:ilvl w:val="0"/>
          <w:numId w:val="0"/>
        </w:numPr>
        <w:autoSpaceDE/>
        <w:autoSpaceDN/>
        <w:spacing w:before="0" w:after="0" w:line="240" w:lineRule="auto"/>
        <w:ind w:left="0" w:right="0"/>
        <w:jc w:val="both"/>
        <w:rPr>
          <w:rFonts w:hint="eastAsia" w:ascii="宋体" w:hAnsi="宋体" w:eastAsia="宋体" w:cs="宋体"/>
          <w:b w:val="0"/>
          <w:i w:val="0"/>
          <w:caps w:val="0"/>
          <w:color w:val="212121"/>
          <w:spacing w:val="0"/>
          <w:kern w:val="2"/>
          <w:sz w:val="28"/>
          <w:szCs w:val="28"/>
          <w:shd w:val="clear" w:color="auto" w:fill="FFFFFF"/>
          <w:lang w:val="en-US" w:eastAsia="zh-CN" w:bidi="ar-SA"/>
        </w:rPr>
      </w:pPr>
    </w:p>
    <w:p>
      <w:pPr>
        <w:numPr>
          <w:ilvl w:val="0"/>
          <w:numId w:val="0"/>
        </w:numPr>
        <w:autoSpaceDE/>
        <w:autoSpaceDN/>
        <w:spacing w:before="0" w:after="0" w:line="240" w:lineRule="auto"/>
        <w:ind w:left="0" w:right="0"/>
        <w:jc w:val="both"/>
        <w:rPr>
          <w:rFonts w:hint="eastAsia" w:ascii="宋体" w:hAnsi="宋体" w:eastAsia="宋体" w:cs="宋体"/>
          <w:b w:val="0"/>
          <w:i w:val="0"/>
          <w:caps w:val="0"/>
          <w:color w:val="212121"/>
          <w:spacing w:val="0"/>
          <w:kern w:val="2"/>
          <w:sz w:val="28"/>
          <w:szCs w:val="28"/>
          <w:shd w:val="clear" w:color="auto" w:fill="FFFFFF"/>
          <w:lang w:val="en-US" w:eastAsia="zh-CN" w:bidi="ar-SA"/>
        </w:rPr>
      </w:pPr>
    </w:p>
    <w:p>
      <w:pPr>
        <w:numPr>
          <w:ilvl w:val="0"/>
          <w:numId w:val="0"/>
        </w:numPr>
        <w:autoSpaceDE/>
        <w:autoSpaceDN/>
        <w:spacing w:before="0" w:after="0" w:line="240" w:lineRule="auto"/>
        <w:ind w:left="0" w:right="0"/>
        <w:jc w:val="both"/>
        <w:rPr>
          <w:rFonts w:hint="eastAsia" w:ascii="宋体" w:hAnsi="宋体" w:eastAsia="宋体" w:cs="宋体"/>
          <w:b w:val="0"/>
          <w:i w:val="0"/>
          <w:caps w:val="0"/>
          <w:color w:val="212121"/>
          <w:spacing w:val="0"/>
          <w:kern w:val="2"/>
          <w:sz w:val="28"/>
          <w:szCs w:val="28"/>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2400" w:firstLineChars="1000"/>
        <w:jc w:val="both"/>
        <w:textAlignment w:val="auto"/>
        <w:outlineLvl w:val="9"/>
        <w:rPr>
          <w:rFonts w:hint="eastAsia" w:ascii="宋体" w:hAnsi="宋体" w:eastAsia="宋体" w:cs="宋体"/>
          <w:b w:val="0"/>
          <w:i w:val="0"/>
          <w:caps w:val="0"/>
          <w:color w:val="212121"/>
          <w:spacing w:val="0"/>
          <w:kern w:val="2"/>
          <w:sz w:val="24"/>
          <w:szCs w:val="24"/>
          <w:shd w:val="clear" w:color="auto" w:fill="FFFFFF"/>
          <w:lang w:val="en-US" w:eastAsia="zh-CN" w:bidi="ar-SA"/>
        </w:rPr>
      </w:pPr>
      <w:r>
        <w:rPr>
          <w:rFonts w:hint="eastAsia" w:ascii="宋体" w:hAnsi="宋体" w:eastAsia="宋体" w:cs="宋体"/>
          <w:b w:val="0"/>
          <w:i w:val="0"/>
          <w:caps w:val="0"/>
          <w:color w:val="212121"/>
          <w:spacing w:val="0"/>
          <w:kern w:val="2"/>
          <w:sz w:val="24"/>
          <w:szCs w:val="24"/>
          <w:shd w:val="clear" w:color="auto" w:fill="FFFFFF"/>
          <w:lang w:val="en-US" w:eastAsia="zh-CN" w:bidi="ar-SA"/>
        </w:rPr>
        <w:t>投标人名称：（单位盖章）</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2400" w:firstLineChars="1000"/>
        <w:jc w:val="both"/>
        <w:textAlignment w:val="auto"/>
        <w:outlineLvl w:val="9"/>
        <w:rPr>
          <w:rFonts w:hint="eastAsia" w:ascii="宋体" w:hAnsi="宋体" w:eastAsia="宋体" w:cs="宋体"/>
          <w:b w:val="0"/>
          <w:i w:val="0"/>
          <w:caps w:val="0"/>
          <w:color w:val="212121"/>
          <w:spacing w:val="0"/>
          <w:kern w:val="2"/>
          <w:sz w:val="24"/>
          <w:szCs w:val="24"/>
          <w:shd w:val="clear" w:color="auto" w:fill="FFFFFF"/>
          <w:lang w:val="en-US" w:eastAsia="zh-CN" w:bidi="ar-SA"/>
        </w:rPr>
      </w:pPr>
      <w:r>
        <w:rPr>
          <w:rFonts w:hint="eastAsia" w:ascii="宋体" w:hAnsi="宋体" w:eastAsia="宋体" w:cs="宋体"/>
          <w:b w:val="0"/>
          <w:i w:val="0"/>
          <w:caps w:val="0"/>
          <w:color w:val="212121"/>
          <w:spacing w:val="0"/>
          <w:kern w:val="2"/>
          <w:sz w:val="24"/>
          <w:szCs w:val="24"/>
          <w:shd w:val="clear" w:color="auto" w:fill="FFFFFF"/>
          <w:lang w:val="en-US" w:eastAsia="zh-CN" w:bidi="ar-SA"/>
        </w:rPr>
        <w:t>法定代表人或授权委托人（签字）：</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60" w:lineRule="exact"/>
        <w:ind w:left="0" w:leftChars="0" w:right="0" w:rightChars="0" w:firstLine="2400" w:firstLineChars="1000"/>
        <w:jc w:val="both"/>
        <w:textAlignment w:val="auto"/>
        <w:outlineLvl w:val="9"/>
        <w:rPr>
          <w:rFonts w:hint="eastAsia" w:ascii="宋体" w:hAnsi="宋体" w:eastAsia="宋体" w:cs="Times New Roman"/>
          <w:kern w:val="2"/>
          <w:sz w:val="24"/>
          <w:szCs w:val="24"/>
          <w:lang w:val="en-US" w:bidi="ar-SA"/>
        </w:rPr>
      </w:pPr>
      <w:r>
        <w:rPr>
          <w:rFonts w:hint="eastAsia" w:ascii="宋体" w:hAnsi="宋体" w:eastAsia="宋体" w:cs="宋体"/>
          <w:b w:val="0"/>
          <w:i w:val="0"/>
          <w:caps w:val="0"/>
          <w:color w:val="212121"/>
          <w:spacing w:val="0"/>
          <w:kern w:val="2"/>
          <w:sz w:val="24"/>
          <w:szCs w:val="24"/>
          <w:shd w:val="clear" w:color="auto" w:fill="FFFFFF"/>
          <w:lang w:val="en-US" w:eastAsia="zh-CN" w:bidi="ar-SA"/>
        </w:rPr>
        <w:t>日</w:t>
      </w:r>
      <w:r>
        <w:rPr>
          <w:rFonts w:hint="eastAsia" w:cs="宋体"/>
          <w:b w:val="0"/>
          <w:i w:val="0"/>
          <w:caps w:val="0"/>
          <w:color w:val="212121"/>
          <w:spacing w:val="0"/>
          <w:kern w:val="2"/>
          <w:sz w:val="24"/>
          <w:szCs w:val="24"/>
          <w:shd w:val="clear" w:color="auto" w:fill="FFFFFF"/>
          <w:lang w:val="en-US" w:eastAsia="zh-CN" w:bidi="ar-SA"/>
        </w:rPr>
        <w:t xml:space="preserve">    </w:t>
      </w:r>
      <w:r>
        <w:rPr>
          <w:rFonts w:hint="eastAsia" w:ascii="宋体" w:hAnsi="宋体" w:eastAsia="宋体" w:cs="宋体"/>
          <w:b w:val="0"/>
          <w:i w:val="0"/>
          <w:caps w:val="0"/>
          <w:color w:val="212121"/>
          <w:spacing w:val="0"/>
          <w:kern w:val="2"/>
          <w:sz w:val="24"/>
          <w:szCs w:val="24"/>
          <w:shd w:val="clear" w:color="auto" w:fill="FFFFFF"/>
          <w:lang w:val="en-US" w:eastAsia="zh-CN" w:bidi="ar-SA"/>
        </w:rPr>
        <w:t>期：</w:t>
      </w:r>
    </w:p>
    <w:p>
      <w:pPr>
        <w:keepNext/>
        <w:keepLines/>
        <w:widowControl w:val="0"/>
        <w:adjustRightInd w:val="0"/>
        <w:spacing w:before="240" w:line="360" w:lineRule="auto"/>
        <w:jc w:val="both"/>
        <w:textAlignment w:val="baseline"/>
        <w:outlineLvl w:val="9"/>
        <w:rPr>
          <w:rFonts w:hint="eastAsia" w:ascii="宋体" w:hAnsi="宋体" w:eastAsia="宋体" w:cs="Times New Roman"/>
          <w:b/>
          <w:kern w:val="0"/>
          <w:sz w:val="30"/>
          <w:szCs w:val="28"/>
          <w:lang w:val="en-US" w:eastAsia="zh-CN" w:bidi="ar-SA"/>
        </w:rPr>
      </w:pPr>
    </w:p>
    <w:p>
      <w:pPr>
        <w:autoSpaceDE/>
        <w:autoSpaceDN/>
        <w:spacing w:before="0" w:after="0" w:line="240" w:lineRule="auto"/>
        <w:ind w:left="0" w:right="0"/>
        <w:jc w:val="both"/>
        <w:rPr>
          <w:rFonts w:hint="eastAsia" w:ascii="宋体" w:hAnsi="宋体" w:eastAsia="宋体" w:cs="Times New Roman"/>
          <w:kern w:val="2"/>
          <w:sz w:val="21"/>
          <w:szCs w:val="28"/>
          <w:lang w:val="en-US" w:bidi="ar-SA"/>
        </w:rPr>
      </w:pPr>
    </w:p>
    <w:p>
      <w:pPr>
        <w:autoSpaceDE/>
        <w:autoSpaceDN/>
        <w:spacing w:before="0" w:after="0" w:line="240" w:lineRule="auto"/>
        <w:ind w:left="0" w:right="0"/>
        <w:jc w:val="both"/>
        <w:rPr>
          <w:rFonts w:hint="eastAsia" w:ascii="宋体" w:hAnsi="宋体" w:eastAsia="宋体" w:cs="Times New Roman"/>
          <w:kern w:val="2"/>
          <w:sz w:val="21"/>
          <w:szCs w:val="28"/>
          <w:lang w:val="en-US" w:bidi="ar-SA"/>
        </w:rPr>
      </w:pPr>
    </w:p>
    <w:bookmarkEnd w:id="81"/>
    <w:bookmarkEnd w:id="82"/>
    <w:bookmarkEnd w:id="83"/>
    <w:p>
      <w:pPr>
        <w:autoSpaceDE/>
        <w:autoSpaceDN/>
        <w:spacing w:before="0" w:after="0" w:line="588" w:lineRule="exact"/>
        <w:ind w:left="0" w:right="0" w:firstLine="504" w:firstLineChars="200"/>
        <w:jc w:val="both"/>
        <w:rPr>
          <w:rFonts w:hint="eastAsia" w:ascii="宋体" w:hAnsi="宋体" w:eastAsia="宋体" w:cs="宋体"/>
          <w:spacing w:val="6"/>
          <w:kern w:val="2"/>
          <w:sz w:val="24"/>
          <w:szCs w:val="24"/>
          <w:lang w:val="en-US" w:bidi="ar-SA"/>
        </w:rPr>
      </w:pPr>
    </w:p>
    <w:p>
      <w:pPr>
        <w:autoSpaceDE/>
        <w:autoSpaceDN/>
        <w:spacing w:before="0" w:after="0" w:line="588" w:lineRule="exact"/>
        <w:ind w:left="0" w:right="0" w:firstLine="504" w:firstLineChars="200"/>
        <w:jc w:val="both"/>
        <w:rPr>
          <w:rFonts w:hint="eastAsia" w:ascii="宋体" w:hAnsi="宋体" w:eastAsia="宋体" w:cs="宋体"/>
          <w:spacing w:val="6"/>
          <w:kern w:val="2"/>
          <w:sz w:val="24"/>
          <w:szCs w:val="24"/>
          <w:lang w:val="en-US" w:bidi="ar-SA"/>
        </w:rPr>
      </w:pPr>
    </w:p>
    <w:p>
      <w:pPr>
        <w:keepNext/>
        <w:keepLines/>
        <w:widowControl w:val="0"/>
        <w:adjustRightInd w:val="0"/>
        <w:spacing w:before="240" w:line="360" w:lineRule="auto"/>
        <w:jc w:val="center"/>
        <w:textAlignment w:val="baseline"/>
        <w:outlineLvl w:val="9"/>
        <w:rPr>
          <w:rFonts w:hint="eastAsia" w:ascii="宋体" w:hAnsi="宋体" w:eastAsia="宋体" w:cs="Times New Roman"/>
          <w:b/>
          <w:kern w:val="0"/>
          <w:sz w:val="30"/>
          <w:szCs w:val="28"/>
          <w:lang w:val="en-US" w:eastAsia="zh-CN" w:bidi="ar-SA"/>
        </w:rPr>
      </w:pPr>
      <w:bookmarkStart w:id="84" w:name="_Toc5108"/>
    </w:p>
    <w:p>
      <w:pPr>
        <w:keepNext/>
        <w:keepLines/>
        <w:widowControl w:val="0"/>
        <w:adjustRightInd w:val="0"/>
        <w:spacing w:before="240" w:line="360" w:lineRule="auto"/>
        <w:jc w:val="center"/>
        <w:textAlignment w:val="baseline"/>
        <w:outlineLvl w:val="1"/>
        <w:rPr>
          <w:rFonts w:ascii="宋体" w:hAnsi="宋体" w:eastAsia="宋体" w:cs="Times New Roman"/>
          <w:b/>
          <w:kern w:val="0"/>
          <w:sz w:val="30"/>
          <w:szCs w:val="28"/>
          <w:lang w:val="en-US" w:eastAsia="zh-CN" w:bidi="ar-SA"/>
        </w:rPr>
      </w:pPr>
      <w:r>
        <w:rPr>
          <w:rFonts w:hint="eastAsia" w:ascii="宋体" w:hAnsi="宋体" w:eastAsia="宋体" w:cs="Times New Roman"/>
          <w:b/>
          <w:kern w:val="0"/>
          <w:sz w:val="30"/>
          <w:szCs w:val="28"/>
          <w:lang w:val="en-US" w:eastAsia="zh-CN" w:bidi="ar-SA"/>
        </w:rPr>
        <w:t>十三、中小企业声明函</w:t>
      </w:r>
      <w:bookmarkEnd w:id="84"/>
    </w:p>
    <w:p>
      <w:pPr>
        <w:autoSpaceDE/>
        <w:autoSpaceDN/>
        <w:spacing w:before="0" w:after="0" w:line="588" w:lineRule="exact"/>
        <w:ind w:left="0" w:right="0" w:firstLine="504" w:firstLineChars="200"/>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本公司郑重声明，根据《政府采购促进中小企业发展暂行办法》（财库</w:t>
      </w:r>
      <w:r>
        <w:rPr>
          <w:rFonts w:ascii="宋体" w:hAnsi="宋体" w:eastAsia="宋体" w:cs="宋体"/>
          <w:spacing w:val="6"/>
          <w:kern w:val="2"/>
          <w:sz w:val="24"/>
          <w:szCs w:val="24"/>
          <w:lang w:val="en-US" w:bidi="ar-SA"/>
        </w:rPr>
        <w:t>[2011]181</w:t>
      </w:r>
      <w:r>
        <w:rPr>
          <w:rFonts w:hint="eastAsia" w:ascii="宋体" w:hAnsi="宋体" w:eastAsia="宋体" w:cs="宋体"/>
          <w:spacing w:val="6"/>
          <w:kern w:val="2"/>
          <w:sz w:val="24"/>
          <w:szCs w:val="24"/>
          <w:lang w:val="en-US" w:bidi="ar-SA"/>
        </w:rPr>
        <w:t>号）的规定，本公司为</w:t>
      </w:r>
      <w:r>
        <w:rPr>
          <w:rFonts w:hint="eastAsia" w:ascii="宋体" w:hAnsi="宋体" w:eastAsia="宋体" w:cs="宋体"/>
          <w:spacing w:val="6"/>
          <w:kern w:val="2"/>
          <w:sz w:val="24"/>
          <w:szCs w:val="24"/>
          <w:u w:val="single"/>
          <w:lang w:val="en-US" w:eastAsia="zh-CN" w:bidi="ar-SA"/>
        </w:rPr>
        <w:t xml:space="preserve">   </w:t>
      </w:r>
      <w:r>
        <w:rPr>
          <w:rFonts w:hint="eastAsia" w:ascii="宋体" w:hAnsi="宋体" w:eastAsia="宋体" w:cs="宋体"/>
          <w:spacing w:val="6"/>
          <w:kern w:val="2"/>
          <w:sz w:val="24"/>
          <w:szCs w:val="24"/>
          <w:lang w:val="en-US" w:bidi="ar-SA"/>
        </w:rPr>
        <w:t>（请填写：中型、小型、微型）企业。即，本公司同时满足以下条件：</w:t>
      </w:r>
    </w:p>
    <w:p>
      <w:pPr>
        <w:autoSpaceDE/>
        <w:autoSpaceDN/>
        <w:spacing w:before="0" w:after="0" w:line="588" w:lineRule="exact"/>
        <w:ind w:left="0" w:right="0" w:firstLine="504" w:firstLineChars="200"/>
        <w:jc w:val="both"/>
        <w:rPr>
          <w:rFonts w:ascii="宋体" w:hAnsi="Calibri" w:eastAsia="宋体" w:cs="宋体"/>
          <w:spacing w:val="6"/>
          <w:kern w:val="2"/>
          <w:sz w:val="24"/>
          <w:szCs w:val="24"/>
          <w:lang w:val="en-US" w:bidi="ar-SA"/>
        </w:rPr>
      </w:pPr>
      <w:r>
        <w:rPr>
          <w:rFonts w:ascii="宋体" w:hAnsi="宋体" w:eastAsia="宋体" w:cs="宋体"/>
          <w:spacing w:val="6"/>
          <w:kern w:val="2"/>
          <w:sz w:val="24"/>
          <w:szCs w:val="24"/>
          <w:lang w:val="en-US" w:bidi="ar-SA"/>
        </w:rPr>
        <w:t>1.</w:t>
      </w:r>
      <w:r>
        <w:rPr>
          <w:rFonts w:hint="eastAsia" w:ascii="宋体" w:hAnsi="宋体" w:eastAsia="宋体" w:cs="宋体"/>
          <w:spacing w:val="6"/>
          <w:kern w:val="2"/>
          <w:sz w:val="24"/>
          <w:szCs w:val="24"/>
          <w:lang w:val="en-US" w:bidi="ar-SA"/>
        </w:rPr>
        <w:t>根据《工业和信息化部、国家统计局、国家发展和改革委员会、财政部关于印发中小企业划型标准规定的通知》（工信部联企业</w:t>
      </w:r>
      <w:r>
        <w:rPr>
          <w:rFonts w:ascii="宋体" w:hAnsi="宋体" w:eastAsia="宋体" w:cs="宋体"/>
          <w:spacing w:val="6"/>
          <w:kern w:val="2"/>
          <w:sz w:val="24"/>
          <w:szCs w:val="24"/>
          <w:lang w:val="en-US" w:bidi="ar-SA"/>
        </w:rPr>
        <w:t>[2011]300</w:t>
      </w:r>
      <w:r>
        <w:rPr>
          <w:rFonts w:hint="eastAsia" w:ascii="宋体" w:hAnsi="宋体" w:eastAsia="宋体" w:cs="宋体"/>
          <w:spacing w:val="6"/>
          <w:kern w:val="2"/>
          <w:sz w:val="24"/>
          <w:szCs w:val="24"/>
          <w:lang w:val="en-US" w:bidi="ar-SA"/>
        </w:rPr>
        <w:t>号）规定的划分标准，本公司为</w:t>
      </w:r>
      <w:r>
        <w:rPr>
          <w:rFonts w:hint="eastAsia" w:ascii="宋体" w:hAnsi="宋体" w:eastAsia="宋体" w:cs="宋体"/>
          <w:spacing w:val="6"/>
          <w:kern w:val="2"/>
          <w:sz w:val="24"/>
          <w:szCs w:val="24"/>
          <w:u w:val="single"/>
          <w:lang w:val="en-US" w:eastAsia="zh-CN" w:bidi="ar-SA"/>
        </w:rPr>
        <w:t xml:space="preserve">   </w:t>
      </w:r>
      <w:r>
        <w:rPr>
          <w:rFonts w:hint="eastAsia" w:ascii="宋体" w:hAnsi="宋体" w:eastAsia="宋体" w:cs="宋体"/>
          <w:spacing w:val="6"/>
          <w:kern w:val="2"/>
          <w:sz w:val="24"/>
          <w:szCs w:val="24"/>
          <w:lang w:val="en-US" w:bidi="ar-SA"/>
        </w:rPr>
        <w:t>（请填写：中型、小型、微型）企业。</w:t>
      </w:r>
    </w:p>
    <w:p>
      <w:pPr>
        <w:autoSpaceDE/>
        <w:autoSpaceDN/>
        <w:spacing w:before="0" w:after="0" w:line="588" w:lineRule="exact"/>
        <w:ind w:left="0" w:right="0" w:firstLine="504" w:firstLineChars="200"/>
        <w:jc w:val="both"/>
        <w:rPr>
          <w:rFonts w:ascii="宋体" w:hAnsi="Calibri" w:eastAsia="宋体" w:cs="宋体"/>
          <w:spacing w:val="6"/>
          <w:kern w:val="2"/>
          <w:sz w:val="24"/>
          <w:szCs w:val="24"/>
          <w:lang w:val="en-US" w:bidi="ar-SA"/>
        </w:rPr>
      </w:pPr>
      <w:r>
        <w:rPr>
          <w:rFonts w:ascii="宋体" w:hAnsi="宋体" w:eastAsia="宋体" w:cs="宋体"/>
          <w:spacing w:val="6"/>
          <w:kern w:val="2"/>
          <w:sz w:val="24"/>
          <w:szCs w:val="24"/>
          <w:lang w:val="en-US" w:bidi="ar-SA"/>
        </w:rPr>
        <w:t>2.</w:t>
      </w:r>
      <w:r>
        <w:rPr>
          <w:rFonts w:hint="eastAsia" w:ascii="宋体" w:hAnsi="宋体" w:eastAsia="宋体" w:cs="宋体"/>
          <w:spacing w:val="6"/>
          <w:kern w:val="2"/>
          <w:sz w:val="24"/>
          <w:szCs w:val="24"/>
          <w:lang w:val="en-US" w:bidi="ar-SA"/>
        </w:rPr>
        <w:t>本公司参加</w:t>
      </w:r>
      <w:r>
        <w:rPr>
          <w:rFonts w:hint="eastAsia" w:ascii="宋体" w:hAnsi="宋体" w:eastAsia="宋体" w:cs="宋体"/>
          <w:spacing w:val="6"/>
          <w:kern w:val="2"/>
          <w:sz w:val="24"/>
          <w:szCs w:val="24"/>
          <w:u w:val="single"/>
          <w:lang w:val="en-US" w:eastAsia="zh-CN" w:bidi="ar-SA"/>
        </w:rPr>
        <w:t xml:space="preserve">    </w:t>
      </w:r>
      <w:r>
        <w:rPr>
          <w:rFonts w:hint="eastAsia" w:ascii="宋体" w:hAnsi="宋体" w:eastAsia="宋体" w:cs="宋体"/>
          <w:spacing w:val="6"/>
          <w:kern w:val="2"/>
          <w:sz w:val="24"/>
          <w:szCs w:val="24"/>
          <w:lang w:val="en-US" w:bidi="ar-SA"/>
        </w:rPr>
        <w:t>单位的</w:t>
      </w:r>
      <w:r>
        <w:rPr>
          <w:rFonts w:ascii="宋体" w:hAnsi="宋体" w:eastAsia="宋体" w:cs="宋体"/>
          <w:spacing w:val="6"/>
          <w:kern w:val="2"/>
          <w:sz w:val="24"/>
          <w:szCs w:val="24"/>
          <w:lang w:val="en-US" w:bidi="ar-SA"/>
        </w:rPr>
        <w:t>____</w:t>
      </w:r>
      <w:r>
        <w:rPr>
          <w:rFonts w:hint="eastAsia" w:ascii="宋体" w:hAnsi="宋体" w:eastAsia="宋体" w:cs="宋体"/>
          <w:spacing w:val="6"/>
          <w:kern w:val="2"/>
          <w:sz w:val="24"/>
          <w:szCs w:val="24"/>
          <w:lang w:val="en-US" w:bidi="ar-SA"/>
        </w:rPr>
        <w:t>项目采购活动提供本企业制造的货物，由本企业承担工程、提供服务，或者提供其他</w:t>
      </w:r>
      <w:r>
        <w:rPr>
          <w:rFonts w:hint="eastAsia" w:ascii="宋体" w:hAnsi="宋体" w:eastAsia="宋体" w:cs="宋体"/>
          <w:spacing w:val="6"/>
          <w:kern w:val="2"/>
          <w:sz w:val="24"/>
          <w:szCs w:val="24"/>
          <w:u w:val="single"/>
          <w:lang w:val="en-US" w:eastAsia="zh-CN" w:bidi="ar-SA"/>
        </w:rPr>
        <w:t xml:space="preserve">   </w:t>
      </w:r>
      <w:r>
        <w:rPr>
          <w:rFonts w:hint="eastAsia" w:ascii="宋体" w:hAnsi="宋体" w:eastAsia="宋体" w:cs="宋体"/>
          <w:spacing w:val="6"/>
          <w:kern w:val="2"/>
          <w:sz w:val="24"/>
          <w:szCs w:val="24"/>
          <w:lang w:val="en-US" w:bidi="ar-SA"/>
        </w:rPr>
        <w:t>（请填写：中型、小型、微型）企业承建的工程。</w:t>
      </w:r>
    </w:p>
    <w:p>
      <w:pPr>
        <w:autoSpaceDE/>
        <w:autoSpaceDN/>
        <w:spacing w:before="0" w:after="0" w:line="588" w:lineRule="exact"/>
        <w:ind w:left="0" w:right="0" w:firstLine="504" w:firstLineChars="200"/>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本公司对上述声明的真实性负责。如有虚假，将依法承担相应责任。</w:t>
      </w:r>
    </w:p>
    <w:p>
      <w:pPr>
        <w:tabs>
          <w:tab w:val="left" w:pos="4860"/>
          <w:tab w:val="left" w:pos="5882"/>
        </w:tabs>
        <w:autoSpaceDE/>
        <w:autoSpaceDN/>
        <w:spacing w:before="0" w:after="0" w:line="588" w:lineRule="exact"/>
        <w:ind w:left="0" w:right="1560"/>
        <w:jc w:val="left"/>
        <w:rPr>
          <w:rFonts w:ascii="宋体" w:hAnsi="Calibri" w:eastAsia="宋体" w:cs="宋体"/>
          <w:spacing w:val="6"/>
          <w:kern w:val="2"/>
          <w:sz w:val="24"/>
          <w:szCs w:val="24"/>
          <w:lang w:val="en-US" w:bidi="ar-SA"/>
        </w:rPr>
      </w:pPr>
      <w:r>
        <w:rPr>
          <w:rFonts w:ascii="宋体" w:hAnsi="Calibri" w:eastAsia="宋体" w:cs="宋体"/>
          <w:spacing w:val="6"/>
          <w:kern w:val="2"/>
          <w:sz w:val="24"/>
          <w:szCs w:val="24"/>
          <w:lang w:val="en-US" w:bidi="ar-SA"/>
        </w:rPr>
        <w:tab/>
      </w:r>
      <w:r>
        <w:rPr>
          <w:rFonts w:ascii="宋体" w:hAnsi="Calibri" w:eastAsia="宋体" w:cs="宋体"/>
          <w:spacing w:val="6"/>
          <w:kern w:val="2"/>
          <w:sz w:val="24"/>
          <w:szCs w:val="24"/>
          <w:lang w:val="en-US" w:bidi="ar-SA"/>
        </w:rPr>
        <w:tab/>
      </w:r>
    </w:p>
    <w:p>
      <w:pPr>
        <w:autoSpaceDE/>
        <w:autoSpaceDN/>
        <w:spacing w:before="0" w:after="0" w:line="588" w:lineRule="exact"/>
        <w:ind w:left="0" w:right="537"/>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企业名称（盖章）：</w:t>
      </w:r>
    </w:p>
    <w:p>
      <w:pPr>
        <w:autoSpaceDE/>
        <w:autoSpaceDN/>
        <w:spacing w:before="0" w:after="0" w:line="588" w:lineRule="exact"/>
        <w:ind w:left="0" w:right="-87"/>
        <w:jc w:val="both"/>
        <w:rPr>
          <w:rFonts w:hint="eastAsia" w:ascii="宋体" w:hAnsi="宋体" w:eastAsia="宋体" w:cs="宋体"/>
          <w:spacing w:val="6"/>
          <w:kern w:val="2"/>
          <w:sz w:val="24"/>
          <w:szCs w:val="24"/>
          <w:lang w:val="en-US" w:bidi="ar-SA"/>
        </w:rPr>
      </w:pPr>
      <w:r>
        <w:rPr>
          <w:rFonts w:hint="eastAsia" w:ascii="宋体" w:hAnsi="宋体" w:eastAsia="宋体" w:cs="宋体"/>
          <w:spacing w:val="6"/>
          <w:kern w:val="2"/>
          <w:sz w:val="24"/>
          <w:szCs w:val="24"/>
          <w:lang w:val="en-US" w:bidi="ar-SA"/>
        </w:rPr>
        <w:t>法定代表人或授权委托人（签字：</w:t>
      </w:r>
    </w:p>
    <w:p>
      <w:pPr>
        <w:autoSpaceDE/>
        <w:autoSpaceDN/>
        <w:spacing w:before="0" w:after="0" w:line="588" w:lineRule="exact"/>
        <w:ind w:left="0" w:right="-87"/>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日</w:t>
      </w:r>
      <w:r>
        <w:rPr>
          <w:rFonts w:ascii="宋体" w:hAnsi="宋体" w:eastAsia="宋体" w:cs="宋体"/>
          <w:spacing w:val="6"/>
          <w:kern w:val="2"/>
          <w:sz w:val="24"/>
          <w:szCs w:val="24"/>
          <w:lang w:val="en-US" w:bidi="ar-SA"/>
        </w:rPr>
        <w:t xml:space="preserve">    </w:t>
      </w:r>
      <w:r>
        <w:rPr>
          <w:rFonts w:hint="eastAsia" w:ascii="宋体" w:hAnsi="宋体" w:eastAsia="宋体" w:cs="宋体"/>
          <w:spacing w:val="6"/>
          <w:kern w:val="2"/>
          <w:sz w:val="24"/>
          <w:szCs w:val="24"/>
          <w:lang w:val="en-US" w:bidi="ar-SA"/>
        </w:rPr>
        <w:t>期：</w:t>
      </w:r>
    </w:p>
    <w:p>
      <w:pPr>
        <w:widowControl w:val="0"/>
        <w:autoSpaceDE w:val="0"/>
        <w:autoSpaceDN w:val="0"/>
        <w:adjustRightInd w:val="0"/>
        <w:spacing w:line="300" w:lineRule="exact"/>
        <w:rPr>
          <w:rFonts w:ascii="宋体" w:hAnsi="宋体" w:eastAsia="宋体" w:cs="宋体"/>
          <w:color w:val="000000"/>
          <w:sz w:val="21"/>
          <w:szCs w:val="21"/>
          <w:lang w:val="en-US" w:eastAsia="zh-CN" w:bidi="ar-SA"/>
        </w:rPr>
      </w:pPr>
    </w:p>
    <w:p>
      <w:pPr>
        <w:widowControl w:val="0"/>
        <w:autoSpaceDE w:val="0"/>
        <w:autoSpaceDN w:val="0"/>
        <w:adjustRightInd w:val="0"/>
        <w:spacing w:line="300" w:lineRule="exact"/>
        <w:rPr>
          <w:rFonts w:ascii="宋体" w:hAnsi="宋体" w:eastAsia="宋体" w:cs="宋体"/>
          <w:color w:val="000000"/>
          <w:sz w:val="21"/>
          <w:szCs w:val="21"/>
          <w:lang w:val="en-US" w:eastAsia="zh-CN" w:bidi="ar-SA"/>
        </w:rPr>
      </w:pPr>
    </w:p>
    <w:p>
      <w:pPr>
        <w:widowControl w:val="0"/>
        <w:autoSpaceDE w:val="0"/>
        <w:autoSpaceDN w:val="0"/>
        <w:adjustRightInd w:val="0"/>
        <w:spacing w:line="300" w:lineRule="exact"/>
        <w:rPr>
          <w:rFonts w:ascii="宋体" w:hAnsi="宋体" w:eastAsia="宋体" w:cs="宋体"/>
          <w:color w:val="000000"/>
          <w:sz w:val="21"/>
          <w:szCs w:val="21"/>
          <w:lang w:val="en-US" w:eastAsia="zh-CN" w:bidi="ar-SA"/>
        </w:rPr>
      </w:pPr>
    </w:p>
    <w:p>
      <w:pPr>
        <w:widowControl w:val="0"/>
        <w:autoSpaceDE w:val="0"/>
        <w:autoSpaceDN w:val="0"/>
        <w:adjustRightInd w:val="0"/>
        <w:spacing w:line="300" w:lineRule="exact"/>
        <w:rPr>
          <w:rFonts w:hint="eastAsia" w:ascii="宋体" w:hAnsi="宋体" w:eastAsia="宋体" w:cs="宋体"/>
          <w:color w:val="000000"/>
          <w:sz w:val="21"/>
          <w:szCs w:val="21"/>
          <w:lang w:val="en-US" w:eastAsia="zh-CN" w:bidi="ar-SA"/>
        </w:rPr>
      </w:pPr>
      <w:bookmarkStart w:id="85" w:name="_Toc453835958"/>
      <w:bookmarkStart w:id="86" w:name="_Toc453073929"/>
    </w:p>
    <w:p>
      <w:pPr>
        <w:widowControl w:val="0"/>
        <w:autoSpaceDE w:val="0"/>
        <w:autoSpaceDN w:val="0"/>
        <w:adjustRightInd w:val="0"/>
        <w:spacing w:line="300" w:lineRule="exact"/>
        <w:rPr>
          <w:rFonts w:hint="eastAsia" w:ascii="宋体" w:hAnsi="宋体" w:eastAsia="宋体" w:cs="宋体"/>
          <w:color w:val="000000"/>
          <w:sz w:val="21"/>
          <w:szCs w:val="21"/>
          <w:lang w:val="en-US" w:eastAsia="zh-CN" w:bidi="ar-SA"/>
        </w:rPr>
      </w:pPr>
    </w:p>
    <w:p>
      <w:pPr>
        <w:widowControl w:val="0"/>
        <w:autoSpaceDE w:val="0"/>
        <w:autoSpaceDN w:val="0"/>
        <w:adjustRightInd w:val="0"/>
        <w:spacing w:line="300" w:lineRule="exact"/>
        <w:rPr>
          <w:rFonts w:hint="eastAsia" w:ascii="宋体" w:hAnsi="宋体" w:eastAsia="宋体" w:cs="宋体"/>
          <w:color w:val="000000"/>
          <w:sz w:val="21"/>
          <w:szCs w:val="21"/>
          <w:lang w:val="en-US" w:eastAsia="zh-CN" w:bidi="ar-SA"/>
        </w:rPr>
      </w:pPr>
    </w:p>
    <w:p>
      <w:pPr>
        <w:widowControl w:val="0"/>
        <w:autoSpaceDE w:val="0"/>
        <w:autoSpaceDN w:val="0"/>
        <w:adjustRightInd w:val="0"/>
        <w:spacing w:line="300" w:lineRule="exact"/>
        <w:rPr>
          <w:rFonts w:hint="eastAsia" w:ascii="宋体" w:hAnsi="宋体" w:eastAsia="宋体" w:cs="宋体"/>
          <w:color w:val="000000"/>
          <w:sz w:val="21"/>
          <w:szCs w:val="21"/>
          <w:lang w:val="en-US" w:eastAsia="zh-CN" w:bidi="ar-SA"/>
        </w:rPr>
      </w:pPr>
    </w:p>
    <w:p>
      <w:pPr>
        <w:widowControl w:val="0"/>
        <w:autoSpaceDE w:val="0"/>
        <w:autoSpaceDN w:val="0"/>
        <w:adjustRightInd w:val="0"/>
        <w:spacing w:line="300" w:lineRule="exact"/>
        <w:rPr>
          <w:rFonts w:hint="eastAsia" w:ascii="宋体" w:hAnsi="宋体" w:eastAsia="宋体" w:cs="宋体"/>
          <w:color w:val="000000"/>
          <w:sz w:val="21"/>
          <w:szCs w:val="21"/>
          <w:lang w:val="en-US" w:eastAsia="zh-CN" w:bidi="ar-SA"/>
        </w:rPr>
      </w:pPr>
    </w:p>
    <w:p>
      <w:pPr>
        <w:widowControl w:val="0"/>
        <w:autoSpaceDE w:val="0"/>
        <w:autoSpaceDN w:val="0"/>
        <w:adjustRightInd w:val="0"/>
        <w:spacing w:line="300" w:lineRule="exact"/>
        <w:rPr>
          <w:rFonts w:hint="eastAsia" w:ascii="宋体" w:hAnsi="宋体" w:eastAsia="宋体" w:cs="宋体"/>
          <w:color w:val="000000"/>
          <w:sz w:val="21"/>
          <w:szCs w:val="21"/>
          <w:lang w:val="en-US" w:eastAsia="zh-CN" w:bidi="ar-SA"/>
        </w:rPr>
      </w:pPr>
    </w:p>
    <w:p>
      <w:pPr>
        <w:widowControl w:val="0"/>
        <w:autoSpaceDE w:val="0"/>
        <w:autoSpaceDN w:val="0"/>
        <w:adjustRightInd w:val="0"/>
        <w:spacing w:line="300" w:lineRule="exact"/>
        <w:rPr>
          <w:rFonts w:hint="eastAsia" w:ascii="宋体" w:hAnsi="宋体" w:eastAsia="宋体" w:cs="宋体"/>
          <w:color w:val="000000"/>
          <w:sz w:val="21"/>
          <w:szCs w:val="21"/>
          <w:lang w:val="en-US" w:eastAsia="zh-CN" w:bidi="ar-SA"/>
        </w:rPr>
      </w:pPr>
    </w:p>
    <w:p>
      <w:pPr>
        <w:widowControl w:val="0"/>
        <w:autoSpaceDE w:val="0"/>
        <w:autoSpaceDN w:val="0"/>
        <w:adjustRightInd w:val="0"/>
        <w:spacing w:line="300" w:lineRule="exact"/>
        <w:rPr>
          <w:rFonts w:hint="eastAsia" w:ascii="宋体" w:hAnsi="宋体" w:eastAsia="宋体" w:cs="宋体"/>
          <w:color w:val="000000"/>
          <w:sz w:val="21"/>
          <w:szCs w:val="21"/>
          <w:lang w:val="en-US" w:eastAsia="zh-CN" w:bidi="ar-SA"/>
        </w:rPr>
      </w:pPr>
    </w:p>
    <w:p>
      <w:pPr>
        <w:widowControl w:val="0"/>
        <w:autoSpaceDE w:val="0"/>
        <w:autoSpaceDN w:val="0"/>
        <w:adjustRightInd w:val="0"/>
        <w:spacing w:line="300" w:lineRule="exact"/>
        <w:rPr>
          <w:rFonts w:hint="eastAsia" w:ascii="宋体" w:hAnsi="宋体" w:eastAsia="宋体" w:cs="宋体"/>
          <w:color w:val="000000"/>
          <w:sz w:val="21"/>
          <w:szCs w:val="21"/>
          <w:lang w:val="en-US" w:eastAsia="zh-CN" w:bidi="ar-SA"/>
        </w:rPr>
      </w:pPr>
    </w:p>
    <w:p>
      <w:pPr>
        <w:widowControl w:val="0"/>
        <w:autoSpaceDE w:val="0"/>
        <w:autoSpaceDN w:val="0"/>
        <w:adjustRightInd w:val="0"/>
        <w:spacing w:line="300" w:lineRule="exact"/>
        <w:rPr>
          <w:rFonts w:hint="eastAsia" w:ascii="宋体" w:hAnsi="宋体" w:eastAsia="宋体" w:cs="宋体"/>
          <w:color w:val="000000"/>
          <w:sz w:val="21"/>
          <w:szCs w:val="21"/>
          <w:lang w:val="en-US" w:eastAsia="zh-CN" w:bidi="ar-SA"/>
        </w:rPr>
      </w:pPr>
    </w:p>
    <w:p>
      <w:pPr>
        <w:widowControl w:val="0"/>
        <w:autoSpaceDE w:val="0"/>
        <w:autoSpaceDN w:val="0"/>
        <w:adjustRightInd w:val="0"/>
        <w:spacing w:line="300" w:lineRule="exact"/>
        <w:rPr>
          <w:rFonts w:hint="eastAsia" w:ascii="宋体" w:hAnsi="宋体" w:eastAsia="宋体" w:cs="宋体"/>
          <w:color w:val="000000"/>
          <w:sz w:val="21"/>
          <w:szCs w:val="21"/>
          <w:lang w:val="en-US" w:eastAsia="zh-CN" w:bidi="ar-SA"/>
        </w:rPr>
      </w:pPr>
    </w:p>
    <w:p>
      <w:pPr>
        <w:keepNext/>
        <w:keepLines/>
        <w:widowControl w:val="0"/>
        <w:adjustRightInd w:val="0"/>
        <w:spacing w:before="240" w:line="360" w:lineRule="auto"/>
        <w:jc w:val="center"/>
        <w:textAlignment w:val="baseline"/>
        <w:outlineLvl w:val="1"/>
        <w:rPr>
          <w:rFonts w:ascii="Arial" w:hAnsi="Arial" w:eastAsia="黑体" w:cs="Times New Roman"/>
          <w:b/>
          <w:kern w:val="0"/>
          <w:sz w:val="30"/>
          <w:szCs w:val="28"/>
          <w:lang w:val="en-US" w:eastAsia="zh-CN" w:bidi="ar-SA"/>
        </w:rPr>
      </w:pPr>
      <w:bookmarkStart w:id="87" w:name="_Toc686"/>
      <w:r>
        <w:rPr>
          <w:rFonts w:hint="eastAsia" w:ascii="Arial" w:hAnsi="Arial" w:eastAsia="黑体" w:cs="Times New Roman"/>
          <w:b/>
          <w:kern w:val="0"/>
          <w:sz w:val="30"/>
          <w:szCs w:val="28"/>
          <w:lang w:val="en-US" w:eastAsia="zh-CN" w:bidi="ar-SA"/>
        </w:rPr>
        <w:t>十四、小微企业价格评审优惠申请及承诺函</w:t>
      </w:r>
      <w:bookmarkEnd w:id="85"/>
      <w:bookmarkEnd w:id="86"/>
      <w:bookmarkEnd w:id="87"/>
      <w:r>
        <w:rPr>
          <w:rFonts w:ascii="Arial" w:hAnsi="Arial" w:eastAsia="黑体" w:cs="Times New Roman"/>
          <w:b/>
          <w:kern w:val="0"/>
          <w:sz w:val="30"/>
          <w:szCs w:val="28"/>
          <w:lang w:val="en-US" w:eastAsia="zh-CN" w:bidi="ar-SA"/>
        </w:rPr>
        <w:t xml:space="preserve"> </w:t>
      </w:r>
    </w:p>
    <w:p>
      <w:pPr>
        <w:autoSpaceDE/>
        <w:autoSpaceDN/>
        <w:spacing w:before="0" w:after="0" w:line="588" w:lineRule="exact"/>
        <w:ind w:left="0" w:right="0"/>
        <w:jc w:val="both"/>
        <w:rPr>
          <w:rFonts w:ascii="宋体" w:hAnsi="Calibri" w:eastAsia="宋体" w:cs="宋体"/>
          <w:spacing w:val="6"/>
          <w:kern w:val="2"/>
          <w:sz w:val="24"/>
          <w:szCs w:val="24"/>
          <w:lang w:val="en-US" w:bidi="ar-SA"/>
        </w:rPr>
      </w:pPr>
      <w:bookmarkStart w:id="88" w:name="_Toc453073930"/>
      <w:bookmarkStart w:id="89" w:name="_Toc453835959"/>
      <w:r>
        <w:rPr>
          <w:rFonts w:hint="eastAsia" w:ascii="宋体" w:hAnsi="宋体" w:eastAsia="宋体" w:cs="宋体"/>
          <w:spacing w:val="6"/>
          <w:kern w:val="2"/>
          <w:sz w:val="24"/>
          <w:szCs w:val="24"/>
          <w:highlight w:val="none"/>
          <w:lang w:val="en-US" w:bidi="ar-SA"/>
        </w:rPr>
        <w:t>致：</w:t>
      </w: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甘肃金盛招标代理有限公司</w:t>
      </w:r>
      <w:r>
        <w:rPr>
          <w:rFonts w:ascii="宋体" w:hAnsi="宋体" w:eastAsia="宋体" w:cs="宋体"/>
          <w:spacing w:val="6"/>
          <w:kern w:val="2"/>
          <w:sz w:val="24"/>
          <w:szCs w:val="24"/>
          <w:lang w:val="en-US" w:bidi="ar-SA"/>
        </w:rPr>
        <w:t xml:space="preserve"> </w:t>
      </w:r>
    </w:p>
    <w:p>
      <w:pPr>
        <w:autoSpaceDE/>
        <w:autoSpaceDN/>
        <w:spacing w:before="0" w:after="0" w:line="588" w:lineRule="exact"/>
        <w:ind w:left="0" w:right="0" w:firstLine="504" w:firstLineChars="200"/>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我</w:t>
      </w:r>
      <w:r>
        <w:rPr>
          <w:rFonts w:ascii="宋体" w:hAnsi="宋体" w:eastAsia="宋体" w:cs="宋体"/>
          <w:spacing w:val="6"/>
          <w:kern w:val="2"/>
          <w:sz w:val="24"/>
          <w:szCs w:val="24"/>
          <w:u w:val="single"/>
          <w:lang w:val="en-US" w:bidi="ar-SA"/>
        </w:rPr>
        <w:t xml:space="preserve"> </w:t>
      </w:r>
      <w:r>
        <w:rPr>
          <w:rFonts w:hint="eastAsia" w:ascii="宋体" w:hAnsi="宋体" w:eastAsia="宋体" w:cs="宋体"/>
          <w:spacing w:val="6"/>
          <w:kern w:val="2"/>
          <w:sz w:val="24"/>
          <w:szCs w:val="24"/>
          <w:u w:val="single"/>
          <w:lang w:val="en-US" w:bidi="ar-SA"/>
        </w:rPr>
        <w:t>投标人名称</w:t>
      </w:r>
      <w:r>
        <w:rPr>
          <w:rFonts w:ascii="宋体" w:hAnsi="宋体" w:eastAsia="宋体" w:cs="宋体"/>
          <w:spacing w:val="6"/>
          <w:kern w:val="2"/>
          <w:sz w:val="24"/>
          <w:szCs w:val="24"/>
          <w:u w:val="single"/>
          <w:lang w:val="en-US" w:bidi="ar-SA"/>
        </w:rPr>
        <w:t xml:space="preserve"> </w:t>
      </w:r>
      <w:r>
        <w:rPr>
          <w:rFonts w:hint="eastAsia" w:ascii="宋体" w:hAnsi="宋体" w:eastAsia="宋体" w:cs="宋体"/>
          <w:spacing w:val="6"/>
          <w:kern w:val="2"/>
          <w:sz w:val="24"/>
          <w:szCs w:val="24"/>
          <w:lang w:val="en-US" w:bidi="ar-SA"/>
        </w:rPr>
        <w:t>符合（工信部联企业</w:t>
      </w:r>
      <w:r>
        <w:rPr>
          <w:rFonts w:ascii="宋体" w:hAnsi="宋体" w:eastAsia="宋体" w:cs="宋体"/>
          <w:spacing w:val="6"/>
          <w:kern w:val="2"/>
          <w:sz w:val="24"/>
          <w:szCs w:val="24"/>
          <w:lang w:val="en-US" w:bidi="ar-SA"/>
        </w:rPr>
        <w:t>[2011]300</w:t>
      </w:r>
      <w:r>
        <w:rPr>
          <w:rFonts w:hint="eastAsia" w:ascii="宋体" w:hAnsi="宋体" w:eastAsia="宋体" w:cs="宋体"/>
          <w:spacing w:val="6"/>
          <w:kern w:val="2"/>
          <w:sz w:val="24"/>
          <w:szCs w:val="24"/>
          <w:lang w:val="en-US" w:bidi="ar-SA"/>
        </w:rPr>
        <w:t>号）和《财政部工业和信息化部关于印发＜政府采购促进中小企业发展暂行办法＞的通知》</w:t>
      </w:r>
      <w:r>
        <w:rPr>
          <w:rFonts w:ascii="宋体" w:hAnsi="宋体" w:eastAsia="宋体" w:cs="宋体"/>
          <w:spacing w:val="6"/>
          <w:kern w:val="2"/>
          <w:sz w:val="24"/>
          <w:szCs w:val="24"/>
          <w:lang w:val="en-US" w:bidi="ar-SA"/>
        </w:rPr>
        <w:t>(</w:t>
      </w:r>
      <w:r>
        <w:rPr>
          <w:rFonts w:hint="eastAsia" w:ascii="宋体" w:hAnsi="宋体" w:eastAsia="宋体" w:cs="宋体"/>
          <w:spacing w:val="6"/>
          <w:kern w:val="2"/>
          <w:sz w:val="24"/>
          <w:szCs w:val="24"/>
          <w:lang w:val="en-US" w:bidi="ar-SA"/>
        </w:rPr>
        <w:t>财库</w:t>
      </w:r>
      <w:r>
        <w:rPr>
          <w:rFonts w:ascii="宋体" w:hAnsi="宋体" w:eastAsia="宋体" w:cs="宋体"/>
          <w:spacing w:val="6"/>
          <w:kern w:val="2"/>
          <w:sz w:val="24"/>
          <w:szCs w:val="24"/>
          <w:lang w:val="en-US" w:bidi="ar-SA"/>
        </w:rPr>
        <w:t>[2011]181</w:t>
      </w:r>
      <w:r>
        <w:rPr>
          <w:rFonts w:hint="eastAsia" w:ascii="宋体" w:hAnsi="宋体" w:eastAsia="宋体" w:cs="宋体"/>
          <w:spacing w:val="6"/>
          <w:kern w:val="2"/>
          <w:sz w:val="24"/>
          <w:szCs w:val="24"/>
          <w:lang w:val="en-US" w:bidi="ar-SA"/>
        </w:rPr>
        <w:t>号</w:t>
      </w:r>
      <w:r>
        <w:rPr>
          <w:rFonts w:ascii="宋体" w:hAnsi="宋体" w:eastAsia="宋体" w:cs="宋体"/>
          <w:spacing w:val="6"/>
          <w:kern w:val="2"/>
          <w:sz w:val="24"/>
          <w:szCs w:val="24"/>
          <w:lang w:val="en-US" w:bidi="ar-SA"/>
        </w:rPr>
        <w:t>)</w:t>
      </w:r>
      <w:r>
        <w:rPr>
          <w:rFonts w:hint="eastAsia" w:ascii="宋体" w:hAnsi="宋体" w:eastAsia="宋体" w:cs="宋体"/>
          <w:spacing w:val="6"/>
          <w:kern w:val="2"/>
          <w:sz w:val="24"/>
          <w:szCs w:val="24"/>
          <w:lang w:val="en-US" w:bidi="ar-SA"/>
        </w:rPr>
        <w:t>相关规定，属于小微企业，现申请在本项目投标中享受相关的评审优惠政策，我</w:t>
      </w:r>
      <w:r>
        <w:rPr>
          <w:rFonts w:ascii="宋体" w:hAnsi="宋体" w:eastAsia="宋体" w:cs="宋体"/>
          <w:spacing w:val="6"/>
          <w:kern w:val="2"/>
          <w:sz w:val="24"/>
          <w:szCs w:val="24"/>
          <w:u w:val="single"/>
          <w:lang w:val="en-US" w:bidi="ar-SA"/>
        </w:rPr>
        <w:t xml:space="preserve"> </w:t>
      </w:r>
      <w:r>
        <w:rPr>
          <w:rFonts w:hint="eastAsia" w:ascii="宋体" w:hAnsi="宋体" w:eastAsia="宋体" w:cs="宋体"/>
          <w:spacing w:val="6"/>
          <w:kern w:val="2"/>
          <w:sz w:val="24"/>
          <w:szCs w:val="24"/>
          <w:u w:val="single"/>
          <w:lang w:val="en-US" w:bidi="ar-SA"/>
        </w:rPr>
        <w:t>投标人名称</w:t>
      </w:r>
      <w:r>
        <w:rPr>
          <w:rFonts w:ascii="宋体" w:hAnsi="宋体" w:eastAsia="宋体" w:cs="宋体"/>
          <w:spacing w:val="6"/>
          <w:kern w:val="2"/>
          <w:sz w:val="24"/>
          <w:szCs w:val="24"/>
          <w:lang w:val="en-US" w:bidi="ar-SA"/>
        </w:rPr>
        <w:t xml:space="preserve"> </w:t>
      </w:r>
      <w:r>
        <w:rPr>
          <w:rFonts w:hint="eastAsia" w:ascii="宋体" w:hAnsi="宋体" w:eastAsia="宋体" w:cs="宋体"/>
          <w:spacing w:val="6"/>
          <w:kern w:val="2"/>
          <w:sz w:val="24"/>
          <w:szCs w:val="24"/>
          <w:lang w:val="en-US" w:bidi="ar-SA"/>
        </w:rPr>
        <w:t>现郑重承诺我们提交的相关证明材料情况真实，无任何虚假证明文件，若有虚假，我公司为此承担全部法律责任。</w:t>
      </w:r>
      <w:r>
        <w:rPr>
          <w:rFonts w:ascii="宋体" w:hAnsi="宋体" w:eastAsia="宋体" w:cs="宋体"/>
          <w:spacing w:val="6"/>
          <w:kern w:val="2"/>
          <w:sz w:val="24"/>
          <w:szCs w:val="24"/>
          <w:lang w:val="en-US" w:bidi="ar-SA"/>
        </w:rPr>
        <w:t xml:space="preserve"> </w:t>
      </w:r>
    </w:p>
    <w:p>
      <w:pPr>
        <w:autoSpaceDE/>
        <w:autoSpaceDN/>
        <w:spacing w:before="0" w:after="0" w:line="588" w:lineRule="exact"/>
        <w:ind w:left="0" w:right="0" w:firstLine="504" w:firstLineChars="200"/>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附件</w:t>
      </w:r>
      <w:r>
        <w:rPr>
          <w:rFonts w:ascii="宋体" w:hAnsi="宋体" w:eastAsia="宋体" w:cs="宋体"/>
          <w:spacing w:val="6"/>
          <w:kern w:val="2"/>
          <w:sz w:val="24"/>
          <w:szCs w:val="24"/>
          <w:lang w:val="en-US" w:bidi="ar-SA"/>
        </w:rPr>
        <w:t>1</w:t>
      </w:r>
      <w:r>
        <w:rPr>
          <w:rFonts w:hint="eastAsia" w:ascii="宋体" w:hAnsi="宋体" w:eastAsia="宋体" w:cs="宋体"/>
          <w:spacing w:val="6"/>
          <w:kern w:val="2"/>
          <w:sz w:val="24"/>
          <w:szCs w:val="24"/>
          <w:lang w:val="en-US" w:bidi="ar-SA"/>
        </w:rPr>
        <w:t>：若申请参加小微企业价格评审优惠，须提供相关证明材料。</w:t>
      </w:r>
    </w:p>
    <w:p>
      <w:pPr>
        <w:autoSpaceDE/>
        <w:autoSpaceDN/>
        <w:spacing w:before="0" w:after="0" w:line="588" w:lineRule="exact"/>
        <w:ind w:left="0" w:right="0"/>
        <w:jc w:val="both"/>
        <w:rPr>
          <w:rFonts w:ascii="宋体" w:hAnsi="Calibri" w:eastAsia="宋体" w:cs="宋体"/>
          <w:spacing w:val="6"/>
          <w:kern w:val="2"/>
          <w:sz w:val="24"/>
          <w:szCs w:val="24"/>
          <w:lang w:val="en-US" w:bidi="ar-SA"/>
        </w:rPr>
      </w:pPr>
      <w:r>
        <w:rPr>
          <w:rFonts w:ascii="宋体" w:hAnsi="宋体" w:eastAsia="宋体" w:cs="宋体"/>
          <w:spacing w:val="6"/>
          <w:kern w:val="2"/>
          <w:sz w:val="24"/>
          <w:szCs w:val="24"/>
          <w:lang w:val="en-US" w:bidi="ar-SA"/>
        </w:rPr>
        <w:t xml:space="preserve"> </w:t>
      </w:r>
    </w:p>
    <w:p>
      <w:pPr>
        <w:autoSpaceDE/>
        <w:autoSpaceDN/>
        <w:spacing w:before="0" w:after="0" w:line="588" w:lineRule="exact"/>
        <w:ind w:left="0" w:right="0" w:firstLine="3528" w:firstLineChars="1400"/>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申请人：（盖章）</w:t>
      </w:r>
      <w:r>
        <w:rPr>
          <w:rFonts w:ascii="宋体" w:hAnsi="宋体" w:eastAsia="宋体" w:cs="宋体"/>
          <w:spacing w:val="6"/>
          <w:kern w:val="2"/>
          <w:sz w:val="24"/>
          <w:szCs w:val="24"/>
          <w:lang w:val="en-US" w:bidi="ar-SA"/>
        </w:rPr>
        <w:t xml:space="preserve"> </w:t>
      </w:r>
    </w:p>
    <w:p>
      <w:pPr>
        <w:autoSpaceDE/>
        <w:autoSpaceDN/>
        <w:spacing w:before="0" w:after="0" w:line="588" w:lineRule="exact"/>
        <w:ind w:left="0" w:right="0" w:firstLine="3528" w:firstLineChars="1400"/>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承诺人：（法人代表签字）</w:t>
      </w:r>
      <w:r>
        <w:rPr>
          <w:rFonts w:ascii="宋体" w:hAnsi="宋体" w:eastAsia="宋体" w:cs="宋体"/>
          <w:spacing w:val="6"/>
          <w:kern w:val="2"/>
          <w:sz w:val="24"/>
          <w:szCs w:val="24"/>
          <w:lang w:val="en-US" w:bidi="ar-SA"/>
        </w:rPr>
        <w:t xml:space="preserve"> </w:t>
      </w:r>
    </w:p>
    <w:p>
      <w:pPr>
        <w:autoSpaceDE/>
        <w:autoSpaceDN/>
        <w:spacing w:before="0" w:after="0" w:line="588" w:lineRule="exact"/>
        <w:ind w:left="0" w:right="0" w:firstLine="3780" w:firstLineChars="1500"/>
        <w:jc w:val="both"/>
        <w:rPr>
          <w:rFonts w:ascii="宋体" w:hAnsi="Calibri" w:eastAsia="宋体" w:cs="宋体"/>
          <w:spacing w:val="6"/>
          <w:kern w:val="2"/>
          <w:sz w:val="24"/>
          <w:szCs w:val="24"/>
          <w:lang w:val="en-US" w:bidi="ar-SA"/>
        </w:rPr>
      </w:pPr>
      <w:r>
        <w:rPr>
          <w:rFonts w:hint="eastAsia" w:ascii="宋体" w:hAnsi="宋体" w:eastAsia="宋体" w:cs="宋体"/>
          <w:spacing w:val="6"/>
          <w:kern w:val="2"/>
          <w:sz w:val="24"/>
          <w:szCs w:val="24"/>
          <w:lang w:val="en-US" w:bidi="ar-SA"/>
        </w:rPr>
        <w:t>年</w:t>
      </w:r>
      <w:r>
        <w:rPr>
          <w:rFonts w:ascii="宋体" w:hAnsi="宋体" w:eastAsia="宋体" w:cs="宋体"/>
          <w:spacing w:val="6"/>
          <w:kern w:val="2"/>
          <w:sz w:val="24"/>
          <w:szCs w:val="24"/>
          <w:lang w:val="en-US" w:bidi="ar-SA"/>
        </w:rPr>
        <w:t xml:space="preserve"> </w:t>
      </w:r>
      <w:r>
        <w:rPr>
          <w:rFonts w:hint="eastAsia" w:ascii="宋体" w:hAnsi="宋体" w:eastAsia="宋体" w:cs="宋体"/>
          <w:spacing w:val="6"/>
          <w:kern w:val="2"/>
          <w:sz w:val="24"/>
          <w:szCs w:val="24"/>
          <w:lang w:val="en-US" w:bidi="ar-SA"/>
        </w:rPr>
        <w:t>月</w:t>
      </w:r>
      <w:r>
        <w:rPr>
          <w:rFonts w:ascii="宋体" w:hAnsi="宋体" w:eastAsia="宋体" w:cs="宋体"/>
          <w:spacing w:val="6"/>
          <w:kern w:val="2"/>
          <w:sz w:val="24"/>
          <w:szCs w:val="24"/>
          <w:lang w:val="en-US" w:bidi="ar-SA"/>
        </w:rPr>
        <w:t xml:space="preserve"> </w:t>
      </w:r>
      <w:r>
        <w:rPr>
          <w:rFonts w:hint="eastAsia" w:ascii="宋体" w:hAnsi="宋体" w:eastAsia="宋体" w:cs="宋体"/>
          <w:spacing w:val="6"/>
          <w:kern w:val="2"/>
          <w:sz w:val="24"/>
          <w:szCs w:val="24"/>
          <w:lang w:val="en-US" w:bidi="ar-SA"/>
        </w:rPr>
        <w:t>日</w:t>
      </w:r>
      <w:r>
        <w:rPr>
          <w:rFonts w:ascii="宋体" w:hAnsi="宋体" w:eastAsia="宋体" w:cs="宋体"/>
          <w:spacing w:val="6"/>
          <w:kern w:val="2"/>
          <w:sz w:val="24"/>
          <w:szCs w:val="24"/>
          <w:lang w:val="en-US" w:bidi="ar-SA"/>
        </w:rPr>
        <w:t xml:space="preserve"> </w:t>
      </w: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autoSpaceDE/>
        <w:autoSpaceDN/>
        <w:spacing w:before="0" w:after="0" w:line="500" w:lineRule="exact"/>
        <w:ind w:left="0" w:right="0"/>
        <w:jc w:val="both"/>
        <w:rPr>
          <w:rFonts w:ascii="宋体" w:hAnsi="Calibri" w:eastAsia="宋体" w:cs="宋体"/>
          <w:spacing w:val="6"/>
          <w:kern w:val="2"/>
          <w:sz w:val="21"/>
          <w:szCs w:val="21"/>
          <w:lang w:val="en-US" w:bidi="ar-SA"/>
        </w:rPr>
      </w:pPr>
    </w:p>
    <w:p>
      <w:pPr>
        <w:keepNext/>
        <w:keepLines/>
        <w:widowControl w:val="0"/>
        <w:adjustRightInd w:val="0"/>
        <w:spacing w:before="240" w:line="360" w:lineRule="auto"/>
        <w:jc w:val="center"/>
        <w:textAlignment w:val="baseline"/>
        <w:outlineLvl w:val="1"/>
        <w:rPr>
          <w:rFonts w:ascii="Arial" w:hAnsi="Arial" w:eastAsia="黑体" w:cs="Times New Roman"/>
          <w:b/>
          <w:kern w:val="0"/>
          <w:sz w:val="30"/>
          <w:szCs w:val="28"/>
          <w:lang w:val="en-US" w:eastAsia="zh-CN" w:bidi="ar-SA"/>
        </w:rPr>
      </w:pPr>
      <w:bookmarkStart w:id="90" w:name="_Toc25517"/>
      <w:r>
        <w:rPr>
          <w:rFonts w:hint="eastAsia" w:ascii="Arial" w:hAnsi="Arial" w:eastAsia="黑体" w:cs="Times New Roman"/>
          <w:b/>
          <w:kern w:val="0"/>
          <w:sz w:val="30"/>
          <w:szCs w:val="28"/>
          <w:lang w:val="en-US" w:eastAsia="zh-CN" w:bidi="ar-SA"/>
        </w:rPr>
        <w:t>十五、中小企业划型标准规定</w:t>
      </w:r>
      <w:bookmarkEnd w:id="88"/>
      <w:bookmarkEnd w:id="89"/>
      <w:bookmarkEnd w:id="90"/>
      <w:r>
        <w:rPr>
          <w:rFonts w:ascii="Arial" w:hAnsi="Arial" w:eastAsia="黑体" w:cs="Times New Roman"/>
          <w:b/>
          <w:kern w:val="0"/>
          <w:sz w:val="30"/>
          <w:szCs w:val="28"/>
          <w:lang w:val="en-US" w:eastAsia="zh-CN"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一、根据《中华人民共和国中小企业促进法》和《国务院关于进一步促进中小企业发展的若干意见》（国发〔</w:t>
      </w:r>
      <w:r>
        <w:rPr>
          <w:rFonts w:ascii="宋体" w:hAnsi="宋体" w:eastAsia="宋体" w:cs="宋体"/>
          <w:kern w:val="2"/>
          <w:sz w:val="24"/>
          <w:szCs w:val="24"/>
          <w:lang w:val="en-US" w:bidi="ar-SA"/>
        </w:rPr>
        <w:t>2009</w:t>
      </w:r>
      <w:r>
        <w:rPr>
          <w:rFonts w:hint="eastAsia" w:ascii="宋体" w:hAnsi="宋体" w:eastAsia="宋体" w:cs="宋体"/>
          <w:kern w:val="2"/>
          <w:sz w:val="24"/>
          <w:szCs w:val="24"/>
          <w:lang w:val="en-US" w:bidi="ar-SA"/>
        </w:rPr>
        <w:t>〕</w:t>
      </w:r>
      <w:r>
        <w:rPr>
          <w:rFonts w:ascii="宋体" w:hAnsi="宋体" w:eastAsia="宋体" w:cs="宋体"/>
          <w:kern w:val="2"/>
          <w:sz w:val="24"/>
          <w:szCs w:val="24"/>
          <w:lang w:val="en-US" w:bidi="ar-SA"/>
        </w:rPr>
        <w:t>36</w:t>
      </w:r>
      <w:r>
        <w:rPr>
          <w:rFonts w:hint="eastAsia" w:ascii="宋体" w:hAnsi="宋体" w:eastAsia="宋体" w:cs="宋体"/>
          <w:kern w:val="2"/>
          <w:sz w:val="24"/>
          <w:szCs w:val="24"/>
          <w:lang w:val="en-US" w:bidi="ar-SA"/>
        </w:rPr>
        <w:t>号</w:t>
      </w:r>
      <w:r>
        <w:rPr>
          <w:rFonts w:ascii="宋体" w:hAnsi="宋体" w:eastAsia="宋体" w:cs="宋体"/>
          <w:kern w:val="2"/>
          <w:sz w:val="24"/>
          <w:szCs w:val="24"/>
          <w:lang w:val="en-US" w:bidi="ar-SA"/>
        </w:rPr>
        <w:t>)</w:t>
      </w:r>
      <w:r>
        <w:rPr>
          <w:rFonts w:hint="eastAsia" w:ascii="宋体" w:hAnsi="宋体" w:eastAsia="宋体" w:cs="宋体"/>
          <w:kern w:val="2"/>
          <w:sz w:val="24"/>
          <w:szCs w:val="24"/>
          <w:lang w:val="en-US" w:bidi="ar-SA"/>
        </w:rPr>
        <w:t>，制定本规定。</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二、中小企业划分为中型、小型、微型三种类型，具体标准根据企业从业人员、营业收入、资产总额等指标，结合行业特点制定。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四、各行业划型标准为：</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（一）农、林、牧、渔业。营业收入</w:t>
      </w:r>
      <w:r>
        <w:rPr>
          <w:rFonts w:ascii="宋体" w:hAnsi="宋体" w:eastAsia="宋体" w:cs="宋体"/>
          <w:kern w:val="2"/>
          <w:sz w:val="24"/>
          <w:szCs w:val="24"/>
          <w:lang w:val="en-US" w:bidi="ar-SA"/>
        </w:rPr>
        <w:t>20000</w:t>
      </w:r>
      <w:r>
        <w:rPr>
          <w:rFonts w:hint="eastAsia" w:ascii="宋体" w:hAnsi="宋体" w:eastAsia="宋体" w:cs="宋体"/>
          <w:kern w:val="2"/>
          <w:sz w:val="24"/>
          <w:szCs w:val="24"/>
          <w:lang w:val="en-US" w:bidi="ar-SA"/>
        </w:rPr>
        <w:t>万元以下的为中小微型企业。其中，营业收入</w:t>
      </w:r>
      <w:r>
        <w:rPr>
          <w:rFonts w:ascii="宋体" w:hAnsi="宋体" w:eastAsia="宋体" w:cs="宋体"/>
          <w:kern w:val="2"/>
          <w:sz w:val="24"/>
          <w:szCs w:val="24"/>
          <w:lang w:val="en-US" w:bidi="ar-SA"/>
        </w:rPr>
        <w:t>500</w:t>
      </w:r>
      <w:r>
        <w:rPr>
          <w:rFonts w:hint="eastAsia" w:ascii="宋体" w:hAnsi="宋体" w:eastAsia="宋体" w:cs="宋体"/>
          <w:kern w:val="2"/>
          <w:sz w:val="24"/>
          <w:szCs w:val="24"/>
          <w:lang w:val="en-US" w:bidi="ar-SA"/>
        </w:rPr>
        <w:t>万元及以上的为中型企业，营业收入</w:t>
      </w:r>
      <w:r>
        <w:rPr>
          <w:rFonts w:ascii="宋体" w:hAnsi="宋体" w:eastAsia="宋体" w:cs="宋体"/>
          <w:kern w:val="2"/>
          <w:sz w:val="24"/>
          <w:szCs w:val="24"/>
          <w:lang w:val="en-US" w:bidi="ar-SA"/>
        </w:rPr>
        <w:t>50</w:t>
      </w:r>
      <w:r>
        <w:rPr>
          <w:rFonts w:hint="eastAsia" w:ascii="宋体" w:hAnsi="宋体" w:eastAsia="宋体" w:cs="宋体"/>
          <w:kern w:val="2"/>
          <w:sz w:val="24"/>
          <w:szCs w:val="24"/>
          <w:lang w:val="en-US" w:bidi="ar-SA"/>
        </w:rPr>
        <w:t>万元及以上的为小型企业，营业收入</w:t>
      </w:r>
      <w:r>
        <w:rPr>
          <w:rFonts w:ascii="宋体" w:hAnsi="宋体" w:eastAsia="宋体" w:cs="宋体"/>
          <w:kern w:val="2"/>
          <w:sz w:val="24"/>
          <w:szCs w:val="24"/>
          <w:lang w:val="en-US" w:bidi="ar-SA"/>
        </w:rPr>
        <w:t>50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72" w:firstLineChars="200"/>
        <w:jc w:val="both"/>
        <w:rPr>
          <w:rFonts w:ascii="宋体" w:hAnsi="Calibri" w:eastAsia="宋体" w:cs="宋体"/>
          <w:spacing w:val="-2"/>
          <w:kern w:val="2"/>
          <w:sz w:val="24"/>
          <w:szCs w:val="24"/>
          <w:lang w:val="en-US" w:bidi="ar-SA"/>
        </w:rPr>
      </w:pPr>
      <w:r>
        <w:rPr>
          <w:rFonts w:hint="eastAsia" w:ascii="宋体" w:hAnsi="宋体" w:eastAsia="宋体" w:cs="宋体"/>
          <w:spacing w:val="-2"/>
          <w:kern w:val="2"/>
          <w:sz w:val="24"/>
          <w:szCs w:val="24"/>
          <w:lang w:val="en-US" w:bidi="ar-SA"/>
        </w:rPr>
        <w:t>（二）工业。从业人员</w:t>
      </w:r>
      <w:r>
        <w:rPr>
          <w:rFonts w:ascii="宋体" w:hAnsi="宋体" w:eastAsia="宋体" w:cs="宋体"/>
          <w:spacing w:val="-2"/>
          <w:kern w:val="2"/>
          <w:sz w:val="24"/>
          <w:szCs w:val="24"/>
          <w:lang w:val="en-US" w:bidi="ar-SA"/>
        </w:rPr>
        <w:t>1000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40000</w:t>
      </w:r>
      <w:r>
        <w:rPr>
          <w:rFonts w:hint="eastAsia" w:ascii="宋体" w:hAnsi="宋体" w:eastAsia="宋体" w:cs="宋体"/>
          <w:spacing w:val="-2"/>
          <w:kern w:val="2"/>
          <w:sz w:val="24"/>
          <w:szCs w:val="24"/>
          <w:lang w:val="en-US" w:bidi="ar-SA"/>
        </w:rPr>
        <w:t>万元以下的为中小微型企业。其中，从业人员</w:t>
      </w:r>
      <w:r>
        <w:rPr>
          <w:rFonts w:ascii="宋体" w:hAnsi="宋体" w:eastAsia="宋体" w:cs="宋体"/>
          <w:spacing w:val="-2"/>
          <w:kern w:val="2"/>
          <w:sz w:val="24"/>
          <w:szCs w:val="24"/>
          <w:lang w:val="en-US" w:bidi="ar-SA"/>
        </w:rPr>
        <w:t>300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2000</w:t>
      </w:r>
      <w:r>
        <w:rPr>
          <w:rFonts w:hint="eastAsia" w:ascii="宋体" w:hAnsi="宋体" w:eastAsia="宋体" w:cs="宋体"/>
          <w:spacing w:val="-2"/>
          <w:kern w:val="2"/>
          <w:sz w:val="24"/>
          <w:szCs w:val="24"/>
          <w:lang w:val="en-US" w:bidi="ar-SA"/>
        </w:rPr>
        <w:t>万元及以上的为中型企业；从业人员</w:t>
      </w:r>
      <w:r>
        <w:rPr>
          <w:rFonts w:ascii="宋体" w:hAnsi="宋体" w:eastAsia="宋体" w:cs="宋体"/>
          <w:spacing w:val="-2"/>
          <w:kern w:val="2"/>
          <w:sz w:val="24"/>
          <w:szCs w:val="24"/>
          <w:lang w:val="en-US" w:bidi="ar-SA"/>
        </w:rPr>
        <w:t>20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300</w:t>
      </w:r>
      <w:r>
        <w:rPr>
          <w:rFonts w:hint="eastAsia" w:ascii="宋体" w:hAnsi="宋体" w:eastAsia="宋体" w:cs="宋体"/>
          <w:spacing w:val="-2"/>
          <w:kern w:val="2"/>
          <w:sz w:val="24"/>
          <w:szCs w:val="24"/>
          <w:lang w:val="en-US" w:bidi="ar-SA"/>
        </w:rPr>
        <w:t>万元及以上的为小型企业；从业人员</w:t>
      </w:r>
      <w:r>
        <w:rPr>
          <w:rFonts w:ascii="宋体" w:hAnsi="宋体" w:eastAsia="宋体" w:cs="宋体"/>
          <w:spacing w:val="-2"/>
          <w:kern w:val="2"/>
          <w:sz w:val="24"/>
          <w:szCs w:val="24"/>
          <w:lang w:val="en-US" w:bidi="ar-SA"/>
        </w:rPr>
        <w:t>20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300</w:t>
      </w:r>
      <w:r>
        <w:rPr>
          <w:rFonts w:hint="eastAsia" w:ascii="宋体" w:hAnsi="宋体" w:eastAsia="宋体" w:cs="宋体"/>
          <w:spacing w:val="-2"/>
          <w:kern w:val="2"/>
          <w:sz w:val="24"/>
          <w:szCs w:val="24"/>
          <w:lang w:val="en-US" w:bidi="ar-SA"/>
        </w:rPr>
        <w:t>万元以下的为微型企业。</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（三）建筑业。营业收入</w:t>
      </w:r>
      <w:r>
        <w:rPr>
          <w:rFonts w:ascii="宋体" w:hAnsi="宋体" w:eastAsia="宋体" w:cs="宋体"/>
          <w:kern w:val="2"/>
          <w:sz w:val="24"/>
          <w:szCs w:val="24"/>
          <w:lang w:val="en-US" w:bidi="ar-SA"/>
        </w:rPr>
        <w:t>80000</w:t>
      </w:r>
      <w:r>
        <w:rPr>
          <w:rFonts w:hint="eastAsia" w:ascii="宋体" w:hAnsi="宋体" w:eastAsia="宋体" w:cs="宋体"/>
          <w:kern w:val="2"/>
          <w:sz w:val="24"/>
          <w:szCs w:val="24"/>
          <w:lang w:val="en-US" w:bidi="ar-SA"/>
        </w:rPr>
        <w:t>万元以下或资产总额</w:t>
      </w:r>
      <w:r>
        <w:rPr>
          <w:rFonts w:ascii="宋体" w:hAnsi="宋体" w:eastAsia="宋体" w:cs="宋体"/>
          <w:kern w:val="2"/>
          <w:sz w:val="24"/>
          <w:szCs w:val="24"/>
          <w:lang w:val="en-US" w:bidi="ar-SA"/>
        </w:rPr>
        <w:t>80000</w:t>
      </w:r>
      <w:r>
        <w:rPr>
          <w:rFonts w:hint="eastAsia" w:ascii="宋体" w:hAnsi="宋体" w:eastAsia="宋体" w:cs="宋体"/>
          <w:kern w:val="2"/>
          <w:sz w:val="24"/>
          <w:szCs w:val="24"/>
          <w:lang w:val="en-US" w:bidi="ar-SA"/>
        </w:rPr>
        <w:t>万元以下的为中小微型企业。其中，营业收入</w:t>
      </w:r>
      <w:r>
        <w:rPr>
          <w:rFonts w:ascii="宋体" w:hAnsi="宋体" w:eastAsia="宋体" w:cs="宋体"/>
          <w:kern w:val="2"/>
          <w:sz w:val="24"/>
          <w:szCs w:val="24"/>
          <w:lang w:val="en-US" w:bidi="ar-SA"/>
        </w:rPr>
        <w:t>6000</w:t>
      </w:r>
      <w:r>
        <w:rPr>
          <w:rFonts w:hint="eastAsia" w:ascii="宋体" w:hAnsi="宋体" w:eastAsia="宋体" w:cs="宋体"/>
          <w:kern w:val="2"/>
          <w:sz w:val="24"/>
          <w:szCs w:val="24"/>
          <w:lang w:val="en-US" w:bidi="ar-SA"/>
        </w:rPr>
        <w:t>万元及以上，且资产总额</w:t>
      </w:r>
      <w:r>
        <w:rPr>
          <w:rFonts w:ascii="宋体" w:hAnsi="宋体" w:eastAsia="宋体" w:cs="宋体"/>
          <w:kern w:val="2"/>
          <w:sz w:val="24"/>
          <w:szCs w:val="24"/>
          <w:lang w:val="en-US" w:bidi="ar-SA"/>
        </w:rPr>
        <w:t>5000</w:t>
      </w:r>
      <w:r>
        <w:rPr>
          <w:rFonts w:hint="eastAsia" w:ascii="宋体" w:hAnsi="宋体" w:eastAsia="宋体" w:cs="宋体"/>
          <w:kern w:val="2"/>
          <w:sz w:val="24"/>
          <w:szCs w:val="24"/>
          <w:lang w:val="en-US" w:bidi="ar-SA"/>
        </w:rPr>
        <w:t>万元及以上的为中型企业；营业收入</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万元及以上，且资产总额</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万元及以上的为小型企业；营业收入</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万元以下或资产总额</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（四）批发业。从业人员</w:t>
      </w:r>
      <w:r>
        <w:rPr>
          <w:rFonts w:ascii="宋体" w:hAnsi="宋体" w:eastAsia="宋体" w:cs="宋体"/>
          <w:kern w:val="2"/>
          <w:sz w:val="24"/>
          <w:szCs w:val="24"/>
          <w:lang w:val="en-US" w:bidi="ar-SA"/>
        </w:rPr>
        <w:t>200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40000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20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5000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5</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5</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（五）零售业。从业人员</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20000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50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500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（六）交通运输业。从业人员</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30000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3000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20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200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20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200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72" w:firstLineChars="200"/>
        <w:jc w:val="both"/>
        <w:rPr>
          <w:rFonts w:ascii="宋体" w:hAnsi="Calibri" w:eastAsia="宋体" w:cs="宋体"/>
          <w:spacing w:val="-2"/>
          <w:kern w:val="2"/>
          <w:sz w:val="24"/>
          <w:szCs w:val="24"/>
          <w:lang w:val="en-US" w:bidi="ar-SA"/>
        </w:rPr>
      </w:pPr>
      <w:r>
        <w:rPr>
          <w:rFonts w:hint="eastAsia" w:ascii="宋体" w:hAnsi="宋体" w:eastAsia="宋体" w:cs="宋体"/>
          <w:spacing w:val="-2"/>
          <w:kern w:val="2"/>
          <w:sz w:val="24"/>
          <w:szCs w:val="24"/>
          <w:lang w:val="en-US" w:bidi="ar-SA"/>
        </w:rPr>
        <w:t>（七）仓储业。从业人员</w:t>
      </w:r>
      <w:r>
        <w:rPr>
          <w:rFonts w:ascii="宋体" w:hAnsi="宋体" w:eastAsia="宋体" w:cs="宋体"/>
          <w:spacing w:val="-2"/>
          <w:kern w:val="2"/>
          <w:sz w:val="24"/>
          <w:szCs w:val="24"/>
          <w:lang w:val="en-US" w:bidi="ar-SA"/>
        </w:rPr>
        <w:t>200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30000</w:t>
      </w:r>
      <w:r>
        <w:rPr>
          <w:rFonts w:hint="eastAsia" w:ascii="宋体" w:hAnsi="宋体" w:eastAsia="宋体" w:cs="宋体"/>
          <w:spacing w:val="-2"/>
          <w:kern w:val="2"/>
          <w:sz w:val="24"/>
          <w:szCs w:val="24"/>
          <w:lang w:val="en-US" w:bidi="ar-SA"/>
        </w:rPr>
        <w:t>万元以下的为中小微型企业。其中，从业人员</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1000</w:t>
      </w:r>
      <w:r>
        <w:rPr>
          <w:rFonts w:hint="eastAsia" w:ascii="宋体" w:hAnsi="宋体" w:eastAsia="宋体" w:cs="宋体"/>
          <w:spacing w:val="-2"/>
          <w:kern w:val="2"/>
          <w:sz w:val="24"/>
          <w:szCs w:val="24"/>
          <w:lang w:val="en-US" w:bidi="ar-SA"/>
        </w:rPr>
        <w:t>万元及以上的为中型企业；从业人员</w:t>
      </w:r>
      <w:r>
        <w:rPr>
          <w:rFonts w:ascii="宋体" w:hAnsi="宋体" w:eastAsia="宋体" w:cs="宋体"/>
          <w:spacing w:val="-2"/>
          <w:kern w:val="2"/>
          <w:sz w:val="24"/>
          <w:szCs w:val="24"/>
          <w:lang w:val="en-US" w:bidi="ar-SA"/>
        </w:rPr>
        <w:t>20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万元及以上的为小型企业；从业人员</w:t>
      </w:r>
      <w:r>
        <w:rPr>
          <w:rFonts w:ascii="宋体" w:hAnsi="宋体" w:eastAsia="宋体" w:cs="宋体"/>
          <w:spacing w:val="-2"/>
          <w:kern w:val="2"/>
          <w:sz w:val="24"/>
          <w:szCs w:val="24"/>
          <w:lang w:val="en-US" w:bidi="ar-SA"/>
        </w:rPr>
        <w:t>20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万元以下的为微型企业。</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（八）邮政业。从业人员</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30000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2000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20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20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72" w:firstLineChars="200"/>
        <w:jc w:val="both"/>
        <w:rPr>
          <w:rFonts w:ascii="宋体" w:hAnsi="Calibri" w:eastAsia="宋体" w:cs="宋体"/>
          <w:spacing w:val="-2"/>
          <w:kern w:val="2"/>
          <w:sz w:val="24"/>
          <w:szCs w:val="24"/>
          <w:lang w:val="en-US" w:bidi="ar-SA"/>
        </w:rPr>
      </w:pPr>
      <w:r>
        <w:rPr>
          <w:rFonts w:hint="eastAsia" w:ascii="宋体" w:hAnsi="宋体" w:eastAsia="宋体" w:cs="宋体"/>
          <w:spacing w:val="-2"/>
          <w:kern w:val="2"/>
          <w:sz w:val="24"/>
          <w:szCs w:val="24"/>
          <w:lang w:val="en-US" w:bidi="ar-SA"/>
        </w:rPr>
        <w:t>（九）住宿业。从业人员</w:t>
      </w:r>
      <w:r>
        <w:rPr>
          <w:rFonts w:ascii="宋体" w:hAnsi="宋体" w:eastAsia="宋体" w:cs="宋体"/>
          <w:spacing w:val="-2"/>
          <w:kern w:val="2"/>
          <w:sz w:val="24"/>
          <w:szCs w:val="24"/>
          <w:lang w:val="en-US" w:bidi="ar-SA"/>
        </w:rPr>
        <w:t>300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10000</w:t>
      </w:r>
      <w:r>
        <w:rPr>
          <w:rFonts w:hint="eastAsia" w:ascii="宋体" w:hAnsi="宋体" w:eastAsia="宋体" w:cs="宋体"/>
          <w:spacing w:val="-2"/>
          <w:kern w:val="2"/>
          <w:sz w:val="24"/>
          <w:szCs w:val="24"/>
          <w:lang w:val="en-US" w:bidi="ar-SA"/>
        </w:rPr>
        <w:t>万元以下的为中小微型企业。其中，从业人员</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2000</w:t>
      </w:r>
      <w:r>
        <w:rPr>
          <w:rFonts w:hint="eastAsia" w:ascii="宋体" w:hAnsi="宋体" w:eastAsia="宋体" w:cs="宋体"/>
          <w:spacing w:val="-2"/>
          <w:kern w:val="2"/>
          <w:sz w:val="24"/>
          <w:szCs w:val="24"/>
          <w:lang w:val="en-US" w:bidi="ar-SA"/>
        </w:rPr>
        <w:t>万元及以上的为中型企业；从业人员</w:t>
      </w:r>
      <w:r>
        <w:rPr>
          <w:rFonts w:ascii="宋体" w:hAnsi="宋体" w:eastAsia="宋体" w:cs="宋体"/>
          <w:spacing w:val="-2"/>
          <w:kern w:val="2"/>
          <w:sz w:val="24"/>
          <w:szCs w:val="24"/>
          <w:lang w:val="en-US" w:bidi="ar-SA"/>
        </w:rPr>
        <w:t>10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万元及以上的为小型企业；从业人员</w:t>
      </w:r>
      <w:r>
        <w:rPr>
          <w:rFonts w:ascii="宋体" w:hAnsi="宋体" w:eastAsia="宋体" w:cs="宋体"/>
          <w:spacing w:val="-2"/>
          <w:kern w:val="2"/>
          <w:sz w:val="24"/>
          <w:szCs w:val="24"/>
          <w:lang w:val="en-US" w:bidi="ar-SA"/>
        </w:rPr>
        <w:t>10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万元以下的为微型企业。</w:t>
      </w:r>
    </w:p>
    <w:p>
      <w:pPr>
        <w:autoSpaceDE/>
        <w:autoSpaceDN/>
        <w:spacing w:before="0" w:after="0" w:line="560" w:lineRule="exact"/>
        <w:ind w:left="0" w:right="0" w:firstLine="472" w:firstLineChars="200"/>
        <w:jc w:val="both"/>
        <w:rPr>
          <w:rFonts w:ascii="宋体" w:hAnsi="Calibri" w:eastAsia="宋体" w:cs="宋体"/>
          <w:spacing w:val="-2"/>
          <w:kern w:val="2"/>
          <w:sz w:val="24"/>
          <w:szCs w:val="24"/>
          <w:lang w:val="en-US" w:bidi="ar-SA"/>
        </w:rPr>
      </w:pPr>
      <w:r>
        <w:rPr>
          <w:rFonts w:hint="eastAsia" w:ascii="宋体" w:hAnsi="宋体" w:eastAsia="宋体" w:cs="宋体"/>
          <w:spacing w:val="-2"/>
          <w:kern w:val="2"/>
          <w:sz w:val="24"/>
          <w:szCs w:val="24"/>
          <w:lang w:val="en-US" w:bidi="ar-SA"/>
        </w:rPr>
        <w:t>（十）餐饮业。从业人员</w:t>
      </w:r>
      <w:r>
        <w:rPr>
          <w:rFonts w:ascii="宋体" w:hAnsi="宋体" w:eastAsia="宋体" w:cs="宋体"/>
          <w:spacing w:val="-2"/>
          <w:kern w:val="2"/>
          <w:sz w:val="24"/>
          <w:szCs w:val="24"/>
          <w:lang w:val="en-US" w:bidi="ar-SA"/>
        </w:rPr>
        <w:t>300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10000</w:t>
      </w:r>
      <w:r>
        <w:rPr>
          <w:rFonts w:hint="eastAsia" w:ascii="宋体" w:hAnsi="宋体" w:eastAsia="宋体" w:cs="宋体"/>
          <w:spacing w:val="-2"/>
          <w:kern w:val="2"/>
          <w:sz w:val="24"/>
          <w:szCs w:val="24"/>
          <w:lang w:val="en-US" w:bidi="ar-SA"/>
        </w:rPr>
        <w:t>万元以下的为中小微型企业。其中，从业人员</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2000</w:t>
      </w:r>
      <w:r>
        <w:rPr>
          <w:rFonts w:hint="eastAsia" w:ascii="宋体" w:hAnsi="宋体" w:eastAsia="宋体" w:cs="宋体"/>
          <w:spacing w:val="-2"/>
          <w:kern w:val="2"/>
          <w:sz w:val="24"/>
          <w:szCs w:val="24"/>
          <w:lang w:val="en-US" w:bidi="ar-SA"/>
        </w:rPr>
        <w:t>万元及以上的为中型企业；从业人员</w:t>
      </w:r>
      <w:r>
        <w:rPr>
          <w:rFonts w:ascii="宋体" w:hAnsi="宋体" w:eastAsia="宋体" w:cs="宋体"/>
          <w:spacing w:val="-2"/>
          <w:kern w:val="2"/>
          <w:sz w:val="24"/>
          <w:szCs w:val="24"/>
          <w:lang w:val="en-US" w:bidi="ar-SA"/>
        </w:rPr>
        <w:t>10</w:t>
      </w:r>
      <w:r>
        <w:rPr>
          <w:rFonts w:hint="eastAsia" w:ascii="宋体" w:hAnsi="宋体" w:eastAsia="宋体" w:cs="宋体"/>
          <w:spacing w:val="-2"/>
          <w:kern w:val="2"/>
          <w:sz w:val="24"/>
          <w:szCs w:val="24"/>
          <w:lang w:val="en-US" w:bidi="ar-SA"/>
        </w:rPr>
        <w:t>人及以上，且营业收入</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万元及以上的为小型企业；从业人员</w:t>
      </w:r>
      <w:r>
        <w:rPr>
          <w:rFonts w:ascii="宋体" w:hAnsi="宋体" w:eastAsia="宋体" w:cs="宋体"/>
          <w:spacing w:val="-2"/>
          <w:kern w:val="2"/>
          <w:sz w:val="24"/>
          <w:szCs w:val="24"/>
          <w:lang w:val="en-US" w:bidi="ar-SA"/>
        </w:rPr>
        <w:t>10</w:t>
      </w:r>
      <w:r>
        <w:rPr>
          <w:rFonts w:hint="eastAsia" w:ascii="宋体" w:hAnsi="宋体" w:eastAsia="宋体" w:cs="宋体"/>
          <w:spacing w:val="-2"/>
          <w:kern w:val="2"/>
          <w:sz w:val="24"/>
          <w:szCs w:val="24"/>
          <w:lang w:val="en-US" w:bidi="ar-SA"/>
        </w:rPr>
        <w:t>人以下或营业收入</w:t>
      </w:r>
      <w:r>
        <w:rPr>
          <w:rFonts w:ascii="宋体" w:hAnsi="宋体" w:eastAsia="宋体" w:cs="宋体"/>
          <w:spacing w:val="-2"/>
          <w:kern w:val="2"/>
          <w:sz w:val="24"/>
          <w:szCs w:val="24"/>
          <w:lang w:val="en-US" w:bidi="ar-SA"/>
        </w:rPr>
        <w:t>100</w:t>
      </w:r>
      <w:r>
        <w:rPr>
          <w:rFonts w:hint="eastAsia" w:ascii="宋体" w:hAnsi="宋体" w:eastAsia="宋体" w:cs="宋体"/>
          <w:spacing w:val="-2"/>
          <w:kern w:val="2"/>
          <w:sz w:val="24"/>
          <w:szCs w:val="24"/>
          <w:lang w:val="en-US" w:bidi="ar-SA"/>
        </w:rPr>
        <w:t>万元以下的为微型企业。</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（十一）信息传输业。从业人员</w:t>
      </w:r>
      <w:r>
        <w:rPr>
          <w:rFonts w:ascii="宋体" w:hAnsi="宋体" w:eastAsia="宋体" w:cs="宋体"/>
          <w:kern w:val="2"/>
          <w:sz w:val="24"/>
          <w:szCs w:val="24"/>
          <w:lang w:val="en-US" w:bidi="ar-SA"/>
        </w:rPr>
        <w:t>2000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100000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（十二）软件和信息技术服务业。从业人员</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10000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50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50</w:t>
      </w:r>
      <w:r>
        <w:rPr>
          <w:rFonts w:hint="eastAsia" w:ascii="宋体" w:hAnsi="宋体" w:eastAsia="宋体" w:cs="宋体"/>
          <w:kern w:val="2"/>
          <w:sz w:val="24"/>
          <w:szCs w:val="24"/>
          <w:lang w:val="en-US" w:bidi="ar-SA"/>
        </w:rPr>
        <w:t>万元以下的为微型企业。</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（十三）房地产开发经营。营业收入</w:t>
      </w:r>
      <w:r>
        <w:rPr>
          <w:rFonts w:ascii="宋体" w:hAnsi="宋体" w:eastAsia="宋体" w:cs="宋体"/>
          <w:kern w:val="2"/>
          <w:sz w:val="24"/>
          <w:szCs w:val="24"/>
          <w:lang w:val="en-US" w:bidi="ar-SA"/>
        </w:rPr>
        <w:t>200000</w:t>
      </w:r>
      <w:r>
        <w:rPr>
          <w:rFonts w:hint="eastAsia" w:ascii="宋体" w:hAnsi="宋体" w:eastAsia="宋体" w:cs="宋体"/>
          <w:kern w:val="2"/>
          <w:sz w:val="24"/>
          <w:szCs w:val="24"/>
          <w:lang w:val="en-US" w:bidi="ar-SA"/>
        </w:rPr>
        <w:t>万元以下或资产总额</w:t>
      </w:r>
      <w:r>
        <w:rPr>
          <w:rFonts w:ascii="宋体" w:hAnsi="宋体" w:eastAsia="宋体" w:cs="宋体"/>
          <w:kern w:val="2"/>
          <w:sz w:val="24"/>
          <w:szCs w:val="24"/>
          <w:lang w:val="en-US" w:bidi="ar-SA"/>
        </w:rPr>
        <w:t>10000</w:t>
      </w:r>
      <w:r>
        <w:rPr>
          <w:rFonts w:hint="eastAsia" w:ascii="宋体" w:hAnsi="宋体" w:eastAsia="宋体" w:cs="宋体"/>
          <w:kern w:val="2"/>
          <w:sz w:val="24"/>
          <w:szCs w:val="24"/>
          <w:lang w:val="en-US" w:bidi="ar-SA"/>
        </w:rPr>
        <w:t>万元以下的为中小微型企业。其中，营业收入</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万元及以上，且资产总额</w:t>
      </w:r>
      <w:r>
        <w:rPr>
          <w:rFonts w:ascii="宋体" w:hAnsi="宋体" w:eastAsia="宋体" w:cs="宋体"/>
          <w:kern w:val="2"/>
          <w:sz w:val="24"/>
          <w:szCs w:val="24"/>
          <w:lang w:val="en-US" w:bidi="ar-SA"/>
        </w:rPr>
        <w:t>5000</w:t>
      </w:r>
      <w:r>
        <w:rPr>
          <w:rFonts w:hint="eastAsia" w:ascii="宋体" w:hAnsi="宋体" w:eastAsia="宋体" w:cs="宋体"/>
          <w:kern w:val="2"/>
          <w:sz w:val="24"/>
          <w:szCs w:val="24"/>
          <w:lang w:val="en-US" w:bidi="ar-SA"/>
        </w:rPr>
        <w:t>万元及以上的为中型企业；营业收入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万元及以上，且资产总额</w:t>
      </w:r>
      <w:r>
        <w:rPr>
          <w:rFonts w:ascii="宋体" w:hAnsi="宋体" w:eastAsia="宋体" w:cs="宋体"/>
          <w:kern w:val="2"/>
          <w:sz w:val="24"/>
          <w:szCs w:val="24"/>
          <w:lang w:val="en-US" w:bidi="ar-SA"/>
        </w:rPr>
        <w:t>2000</w:t>
      </w:r>
      <w:r>
        <w:rPr>
          <w:rFonts w:hint="eastAsia" w:ascii="宋体" w:hAnsi="宋体" w:eastAsia="宋体" w:cs="宋体"/>
          <w:kern w:val="2"/>
          <w:sz w:val="24"/>
          <w:szCs w:val="24"/>
          <w:lang w:val="en-US" w:bidi="ar-SA"/>
        </w:rPr>
        <w:t>万元及以上的为小型企业；营业收入</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万元以下或资产总额</w:t>
      </w:r>
      <w:r>
        <w:rPr>
          <w:rFonts w:ascii="宋体" w:hAnsi="宋体" w:eastAsia="宋体" w:cs="宋体"/>
          <w:kern w:val="2"/>
          <w:sz w:val="24"/>
          <w:szCs w:val="24"/>
          <w:lang w:val="en-US" w:bidi="ar-SA"/>
        </w:rPr>
        <w:t>2000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（十四）物业管理。从业人员</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5000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1000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人及以上，且营业收入</w:t>
      </w:r>
      <w:r>
        <w:rPr>
          <w:rFonts w:ascii="宋体" w:hAnsi="宋体" w:eastAsia="宋体" w:cs="宋体"/>
          <w:kern w:val="2"/>
          <w:sz w:val="24"/>
          <w:szCs w:val="24"/>
          <w:lang w:val="en-US" w:bidi="ar-SA"/>
        </w:rPr>
        <w:t>500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人以下或营业收入</w:t>
      </w:r>
      <w:r>
        <w:rPr>
          <w:rFonts w:ascii="宋体" w:hAnsi="宋体" w:eastAsia="宋体" w:cs="宋体"/>
          <w:kern w:val="2"/>
          <w:sz w:val="24"/>
          <w:szCs w:val="24"/>
          <w:lang w:val="en-US" w:bidi="ar-SA"/>
        </w:rPr>
        <w:t>500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（十五）租赁和商务服务业。从业人员</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人以下或资产总额</w:t>
      </w:r>
      <w:r>
        <w:rPr>
          <w:rFonts w:ascii="宋体" w:hAnsi="宋体" w:eastAsia="宋体" w:cs="宋体"/>
          <w:kern w:val="2"/>
          <w:sz w:val="24"/>
          <w:szCs w:val="24"/>
          <w:lang w:val="en-US" w:bidi="ar-SA"/>
        </w:rPr>
        <w:t>120000</w:t>
      </w:r>
      <w:r>
        <w:rPr>
          <w:rFonts w:hint="eastAsia" w:ascii="宋体" w:hAnsi="宋体" w:eastAsia="宋体" w:cs="宋体"/>
          <w:kern w:val="2"/>
          <w:sz w:val="24"/>
          <w:szCs w:val="24"/>
          <w:lang w:val="en-US" w:bidi="ar-SA"/>
        </w:rPr>
        <w:t>万元以下的为中小微型企业。其中，从业人员</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人及以上，且资产总额</w:t>
      </w:r>
      <w:r>
        <w:rPr>
          <w:rFonts w:ascii="宋体" w:hAnsi="宋体" w:eastAsia="宋体" w:cs="宋体"/>
          <w:kern w:val="2"/>
          <w:sz w:val="24"/>
          <w:szCs w:val="24"/>
          <w:lang w:val="en-US" w:bidi="ar-SA"/>
        </w:rPr>
        <w:t>8000</w:t>
      </w:r>
      <w:r>
        <w:rPr>
          <w:rFonts w:hint="eastAsia" w:ascii="宋体" w:hAnsi="宋体" w:eastAsia="宋体" w:cs="宋体"/>
          <w:kern w:val="2"/>
          <w:sz w:val="24"/>
          <w:szCs w:val="24"/>
          <w:lang w:val="en-US" w:bidi="ar-SA"/>
        </w:rPr>
        <w:t>万元及以上的为中型企业；从业人员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人及以上，且资产总额</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万元及以上的为小型企业；从业人员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人以下或资产总额</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万元以下的为微型企业。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（十六）其他未列明行业。从业人员</w:t>
      </w:r>
      <w:r>
        <w:rPr>
          <w:rFonts w:ascii="宋体" w:hAnsi="宋体" w:eastAsia="宋体" w:cs="宋体"/>
          <w:kern w:val="2"/>
          <w:sz w:val="24"/>
          <w:szCs w:val="24"/>
          <w:lang w:val="en-US" w:bidi="ar-SA"/>
        </w:rPr>
        <w:t>300</w:t>
      </w:r>
      <w:r>
        <w:rPr>
          <w:rFonts w:hint="eastAsia" w:ascii="宋体" w:hAnsi="宋体" w:eastAsia="宋体" w:cs="宋体"/>
          <w:kern w:val="2"/>
          <w:sz w:val="24"/>
          <w:szCs w:val="24"/>
          <w:lang w:val="en-US" w:bidi="ar-SA"/>
        </w:rPr>
        <w:t>人以下的为中小微型企业。其中，从业人员</w:t>
      </w:r>
      <w:r>
        <w:rPr>
          <w:rFonts w:ascii="宋体" w:hAnsi="宋体" w:eastAsia="宋体" w:cs="宋体"/>
          <w:kern w:val="2"/>
          <w:sz w:val="24"/>
          <w:szCs w:val="24"/>
          <w:lang w:val="en-US" w:bidi="ar-SA"/>
        </w:rPr>
        <w:t>100</w:t>
      </w:r>
      <w:r>
        <w:rPr>
          <w:rFonts w:hint="eastAsia" w:ascii="宋体" w:hAnsi="宋体" w:eastAsia="宋体" w:cs="宋体"/>
          <w:kern w:val="2"/>
          <w:sz w:val="24"/>
          <w:szCs w:val="24"/>
          <w:lang w:val="en-US" w:bidi="ar-SA"/>
        </w:rPr>
        <w:t>人及以上的为中型企业；从业人员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人及以上的为小型企业；从业人员</w:t>
      </w:r>
      <w:r>
        <w:rPr>
          <w:rFonts w:ascii="宋体" w:hAnsi="宋体" w:eastAsia="宋体" w:cs="宋体"/>
          <w:kern w:val="2"/>
          <w:sz w:val="24"/>
          <w:szCs w:val="24"/>
          <w:lang w:val="en-US" w:bidi="ar-SA"/>
        </w:rPr>
        <w:t>10</w:t>
      </w:r>
      <w:r>
        <w:rPr>
          <w:rFonts w:hint="eastAsia" w:ascii="宋体" w:hAnsi="宋体" w:eastAsia="宋体" w:cs="宋体"/>
          <w:kern w:val="2"/>
          <w:sz w:val="24"/>
          <w:szCs w:val="24"/>
          <w:lang w:val="en-US" w:bidi="ar-SA"/>
        </w:rPr>
        <w:t>人以下的为微型企业。</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五、企业类型的划分以统计部门的统计数据为依据。</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64" w:firstLineChars="200"/>
        <w:jc w:val="both"/>
        <w:rPr>
          <w:rFonts w:ascii="宋体" w:hAnsi="Calibri" w:eastAsia="宋体" w:cs="宋体"/>
          <w:spacing w:val="-4"/>
          <w:kern w:val="2"/>
          <w:sz w:val="24"/>
          <w:szCs w:val="24"/>
          <w:lang w:val="en-US" w:bidi="ar-SA"/>
        </w:rPr>
      </w:pPr>
      <w:r>
        <w:rPr>
          <w:rFonts w:hint="eastAsia" w:ascii="宋体" w:hAnsi="宋体" w:eastAsia="宋体" w:cs="宋体"/>
          <w:spacing w:val="-4"/>
          <w:kern w:val="2"/>
          <w:sz w:val="24"/>
          <w:szCs w:val="24"/>
          <w:lang w:val="en-US" w:bidi="ar-SA"/>
        </w:rPr>
        <w:t>六、本规定适用于在中华人民共和国境内依法设立的各类所有制和各种组织形式的企业。个体工商户和本规定以外的行业，参照本规定进行划型。</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七、本规定的中型企业标准上限即为大型企业标准的下限，国家统计部门据此制定大中小微型企业的统计分类。国务院有关部门据此进行相关数据分析，不得制定与本规定不一致的企业划型标准。</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八、本规定由工业和信息化部、国家统计局会同有关部门根据《国民经济行业分类》修订情况和企业发展变化情况适时修订。</w:t>
      </w:r>
      <w:r>
        <w:rPr>
          <w:rFonts w:ascii="宋体" w:hAnsi="宋体" w:eastAsia="宋体" w:cs="宋体"/>
          <w:kern w:val="2"/>
          <w:sz w:val="24"/>
          <w:szCs w:val="24"/>
          <w:lang w:val="en-US" w:bidi="ar-SA"/>
        </w:rPr>
        <w:t xml:space="preserve"> </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九、本规定由工业和信息化部、国家统计局会同有关部门负责解释。</w:t>
      </w:r>
    </w:p>
    <w:p>
      <w:pPr>
        <w:autoSpaceDE/>
        <w:autoSpaceDN/>
        <w:spacing w:before="0" w:after="0" w:line="560" w:lineRule="exact"/>
        <w:ind w:left="0" w:right="0" w:firstLine="480" w:firstLineChars="200"/>
        <w:jc w:val="both"/>
        <w:rPr>
          <w:rFonts w:ascii="宋体" w:hAnsi="Calibri" w:eastAsia="宋体" w:cs="宋体"/>
          <w:kern w:val="2"/>
          <w:sz w:val="24"/>
          <w:szCs w:val="24"/>
          <w:lang w:val="en-US" w:bidi="ar-SA"/>
        </w:rPr>
      </w:pPr>
      <w:r>
        <w:rPr>
          <w:rFonts w:hint="eastAsia" w:ascii="宋体" w:hAnsi="宋体" w:eastAsia="宋体" w:cs="宋体"/>
          <w:kern w:val="2"/>
          <w:sz w:val="24"/>
          <w:szCs w:val="24"/>
          <w:lang w:val="en-US" w:bidi="ar-SA"/>
        </w:rPr>
        <w:t>十、本规定自发布之日起执行，原国家经贸委、原国家计委、财政部和国家统计局</w:t>
      </w:r>
      <w:r>
        <w:rPr>
          <w:rFonts w:ascii="宋体" w:hAnsi="宋体" w:eastAsia="宋体" w:cs="宋体"/>
          <w:kern w:val="2"/>
          <w:sz w:val="24"/>
          <w:szCs w:val="24"/>
          <w:lang w:val="en-US" w:bidi="ar-SA"/>
        </w:rPr>
        <w:t>2003</w:t>
      </w:r>
      <w:r>
        <w:rPr>
          <w:rFonts w:hint="eastAsia" w:ascii="宋体" w:hAnsi="宋体" w:eastAsia="宋体" w:cs="宋体"/>
          <w:kern w:val="2"/>
          <w:sz w:val="24"/>
          <w:szCs w:val="24"/>
          <w:lang w:val="en-US" w:bidi="ar-SA"/>
        </w:rPr>
        <w:t>年颁布的《中小企业标准暂行规定》国经贸中小企〔</w:t>
      </w:r>
      <w:r>
        <w:rPr>
          <w:rFonts w:ascii="宋体" w:hAnsi="宋体" w:eastAsia="宋体" w:cs="宋体"/>
          <w:kern w:val="2"/>
          <w:sz w:val="24"/>
          <w:szCs w:val="24"/>
          <w:lang w:val="en-US" w:bidi="ar-SA"/>
        </w:rPr>
        <w:t>2003</w:t>
      </w:r>
      <w:r>
        <w:rPr>
          <w:rFonts w:hint="eastAsia" w:ascii="宋体" w:hAnsi="宋体" w:eastAsia="宋体" w:cs="宋体"/>
          <w:kern w:val="2"/>
          <w:sz w:val="24"/>
          <w:szCs w:val="24"/>
          <w:lang w:val="en-US" w:bidi="ar-SA"/>
        </w:rPr>
        <w:t>〕</w:t>
      </w:r>
      <w:r>
        <w:rPr>
          <w:rFonts w:ascii="宋体" w:hAnsi="宋体" w:eastAsia="宋体" w:cs="宋体"/>
          <w:kern w:val="2"/>
          <w:sz w:val="24"/>
          <w:szCs w:val="24"/>
          <w:lang w:val="en-US" w:bidi="ar-SA"/>
        </w:rPr>
        <w:t>143</w:t>
      </w:r>
      <w:r>
        <w:rPr>
          <w:rFonts w:hint="eastAsia" w:ascii="宋体" w:hAnsi="宋体" w:eastAsia="宋体" w:cs="宋体"/>
          <w:kern w:val="2"/>
          <w:sz w:val="24"/>
          <w:szCs w:val="24"/>
          <w:lang w:val="en-US" w:bidi="ar-SA"/>
        </w:rPr>
        <w:t>号同时废止。</w:t>
      </w:r>
    </w:p>
    <w:p>
      <w:pPr>
        <w:autoSpaceDE/>
        <w:autoSpaceDN/>
        <w:spacing w:before="0" w:after="0" w:line="588" w:lineRule="exact"/>
        <w:ind w:left="0" w:right="0"/>
        <w:jc w:val="both"/>
        <w:rPr>
          <w:rFonts w:ascii="宋体" w:hAnsi="Calibri" w:eastAsia="宋体" w:cs="宋体"/>
          <w:spacing w:val="6"/>
          <w:kern w:val="2"/>
          <w:sz w:val="30"/>
          <w:szCs w:val="30"/>
          <w:lang w:val="en-US" w:bidi="ar-SA"/>
        </w:rPr>
      </w:pPr>
    </w:p>
    <w:p>
      <w:pPr>
        <w:autoSpaceDE/>
        <w:autoSpaceDN/>
        <w:spacing w:before="0" w:after="0" w:line="588" w:lineRule="exact"/>
        <w:ind w:left="0" w:right="0"/>
        <w:jc w:val="both"/>
        <w:rPr>
          <w:rFonts w:ascii="宋体" w:hAnsi="Calibri" w:eastAsia="宋体" w:cs="宋体"/>
          <w:spacing w:val="6"/>
          <w:kern w:val="2"/>
          <w:sz w:val="30"/>
          <w:szCs w:val="30"/>
          <w:lang w:val="en-US" w:bidi="ar-SA"/>
        </w:rPr>
      </w:pPr>
    </w:p>
    <w:p>
      <w:pPr>
        <w:pStyle w:val="4"/>
        <w:rPr>
          <w:rFonts w:hint="eastAsia"/>
          <w:szCs w:val="28"/>
        </w:rPr>
      </w:pPr>
    </w:p>
    <w:p>
      <w:pPr>
        <w:pStyle w:val="4"/>
        <w:rPr>
          <w:rFonts w:hint="eastAsia"/>
          <w:szCs w:val="28"/>
        </w:rPr>
      </w:pPr>
    </w:p>
    <w:p>
      <w:pPr>
        <w:pStyle w:val="4"/>
        <w:rPr>
          <w:rFonts w:hint="eastAsia"/>
          <w:szCs w:val="28"/>
        </w:rPr>
      </w:pPr>
    </w:p>
    <w:p>
      <w:pPr>
        <w:pStyle w:val="4"/>
        <w:rPr>
          <w:rFonts w:hint="eastAsia"/>
          <w:szCs w:val="28"/>
        </w:rPr>
      </w:pPr>
    </w:p>
    <w:bookmarkEnd w:id="63"/>
    <w:bookmarkEnd w:id="64"/>
    <w:bookmarkEnd w:id="65"/>
    <w:bookmarkEnd w:id="66"/>
    <w:bookmarkEnd w:id="67"/>
    <w:p>
      <w:pPr>
        <w:adjustRightInd w:val="0"/>
        <w:rPr>
          <w:rFonts w:ascii="宋体" w:hAnsi="宋体"/>
          <w:b/>
          <w:sz w:val="32"/>
          <w:szCs w:val="32"/>
        </w:rPr>
      </w:pPr>
    </w:p>
    <w:p>
      <w:pPr>
        <w:pStyle w:val="2"/>
        <w:rPr>
          <w:rFonts w:ascii="宋体" w:hAnsi="宋体"/>
          <w:b/>
          <w:sz w:val="32"/>
          <w:szCs w:val="32"/>
        </w:rPr>
      </w:pPr>
    </w:p>
    <w:p>
      <w:pPr>
        <w:pStyle w:val="2"/>
        <w:rPr>
          <w:rFonts w:ascii="宋体" w:hAnsi="宋体"/>
          <w:b/>
          <w:sz w:val="32"/>
          <w:szCs w:val="32"/>
        </w:rPr>
      </w:pPr>
    </w:p>
    <w:p>
      <w:pPr>
        <w:pStyle w:val="4"/>
        <w:jc w:val="center"/>
        <w:rPr>
          <w:szCs w:val="28"/>
        </w:rPr>
      </w:pPr>
      <w:r>
        <w:rPr>
          <w:rFonts w:hint="eastAsia"/>
          <w:szCs w:val="28"/>
        </w:rPr>
        <w:t>十</w:t>
      </w:r>
      <w:r>
        <w:rPr>
          <w:rFonts w:hint="eastAsia"/>
          <w:szCs w:val="28"/>
          <w:lang w:eastAsia="zh-CN"/>
        </w:rPr>
        <w:t>六</w:t>
      </w:r>
      <w:r>
        <w:rPr>
          <w:rFonts w:hint="eastAsia"/>
          <w:szCs w:val="28"/>
        </w:rPr>
        <w:t>、附件</w:t>
      </w:r>
    </w:p>
    <w:p>
      <w:pPr>
        <w:adjustRightInd w:val="0"/>
        <w:rPr>
          <w:rFonts w:ascii="宋体"/>
          <w:b/>
          <w:sz w:val="32"/>
          <w:szCs w:val="32"/>
        </w:rPr>
      </w:pPr>
      <w:r>
        <w:rPr>
          <w:rFonts w:ascii="宋体" w:hAnsi="宋体"/>
          <w:b/>
          <w:sz w:val="32"/>
          <w:szCs w:val="32"/>
        </w:rPr>
        <w:t>1</w:t>
      </w:r>
      <w:r>
        <w:rPr>
          <w:rFonts w:hint="eastAsia" w:ascii="宋体" w:hAnsi="宋体"/>
          <w:b/>
          <w:sz w:val="32"/>
          <w:szCs w:val="32"/>
        </w:rPr>
        <w:t>、《投标文件》密封格式</w:t>
      </w:r>
    </w:p>
    <w:p>
      <w:pPr>
        <w:jc w:val="center"/>
        <w:rPr>
          <w:rFonts w:ascii="宋体"/>
          <w:b/>
          <w:sz w:val="36"/>
          <w:szCs w:val="36"/>
        </w:rPr>
      </w:pPr>
    </w:p>
    <w:p>
      <w:pPr>
        <w:jc w:val="left"/>
        <w:rPr>
          <w:b/>
          <w:sz w:val="72"/>
          <w:szCs w:val="72"/>
        </w:rPr>
      </w:pPr>
      <w:r>
        <w:rPr>
          <w:rFonts w:hint="eastAsia" w:ascii="宋体" w:hAnsi="宋体"/>
          <w:b/>
          <w:sz w:val="36"/>
          <w:szCs w:val="36"/>
        </w:rPr>
        <w:t>项目名称：×××××××</w:t>
      </w:r>
    </w:p>
    <w:p>
      <w:pPr>
        <w:spacing w:line="560" w:lineRule="exact"/>
        <w:rPr>
          <w:rFonts w:ascii="宋体"/>
          <w:sz w:val="28"/>
          <w:szCs w:val="28"/>
        </w:rPr>
      </w:pPr>
      <w:r>
        <w:rPr>
          <w:rFonts w:hint="eastAsia" w:ascii="宋体" w:hAnsi="宋体"/>
          <w:b/>
          <w:sz w:val="36"/>
          <w:szCs w:val="36"/>
        </w:rPr>
        <w:t>交易编号：××××××</w:t>
      </w:r>
    </w:p>
    <w:p>
      <w:pPr>
        <w:adjustRightInd w:val="0"/>
        <w:rPr>
          <w:rFonts w:ascii="宋体"/>
          <w:sz w:val="24"/>
        </w:rPr>
      </w:pPr>
    </w:p>
    <w:p>
      <w:pPr>
        <w:adjustRightInd w:val="0"/>
        <w:rPr>
          <w:rFonts w:ascii="宋体"/>
          <w:sz w:val="24"/>
        </w:rPr>
      </w:pPr>
    </w:p>
    <w:p>
      <w:pPr>
        <w:adjustRightInd w:val="0"/>
        <w:rPr>
          <w:rFonts w:ascii="宋体"/>
          <w:sz w:val="24"/>
        </w:rPr>
      </w:pPr>
    </w:p>
    <w:p>
      <w:pPr>
        <w:adjustRightInd w:val="0"/>
        <w:rPr>
          <w:rFonts w:ascii="宋体"/>
          <w:sz w:val="24"/>
        </w:rPr>
      </w:pPr>
    </w:p>
    <w:p>
      <w:pPr>
        <w:adjustRightInd w:val="0"/>
        <w:rPr>
          <w:rFonts w:ascii="宋体"/>
          <w:sz w:val="24"/>
        </w:rPr>
      </w:pPr>
    </w:p>
    <w:p>
      <w:pPr>
        <w:adjustRightInd w:val="0"/>
        <w:rPr>
          <w:rFonts w:ascii="宋体"/>
          <w:sz w:val="24"/>
        </w:rPr>
      </w:pPr>
    </w:p>
    <w:p>
      <w:pPr>
        <w:adjustRightInd w:val="0"/>
        <w:rPr>
          <w:rFonts w:ascii="宋体"/>
          <w:sz w:val="24"/>
        </w:rPr>
      </w:pPr>
    </w:p>
    <w:p>
      <w:pPr>
        <w:adjustRightInd w:val="0"/>
        <w:jc w:val="center"/>
        <w:rPr>
          <w:rFonts w:ascii="宋体"/>
          <w:b/>
          <w:sz w:val="72"/>
          <w:szCs w:val="72"/>
        </w:rPr>
      </w:pPr>
      <w:r>
        <w:rPr>
          <w:rFonts w:hint="eastAsia" w:ascii="宋体" w:hAnsi="宋体"/>
          <w:b/>
          <w:spacing w:val="20"/>
          <w:sz w:val="72"/>
          <w:szCs w:val="72"/>
        </w:rPr>
        <w:t>投 标 文 件</w:t>
      </w:r>
    </w:p>
    <w:p>
      <w:pPr>
        <w:adjustRightInd w:val="0"/>
        <w:jc w:val="center"/>
        <w:rPr>
          <w:rFonts w:ascii="宋体"/>
          <w:sz w:val="30"/>
        </w:rPr>
      </w:pPr>
    </w:p>
    <w:p>
      <w:pPr>
        <w:adjustRightInd w:val="0"/>
        <w:jc w:val="center"/>
        <w:rPr>
          <w:rFonts w:ascii="宋体"/>
          <w:sz w:val="30"/>
        </w:rPr>
      </w:pPr>
      <w:r>
        <w:rPr>
          <w:rFonts w:hint="eastAsia" w:ascii="宋体" w:hAnsi="宋体"/>
          <w:sz w:val="30"/>
        </w:rPr>
        <w:t>（请于××年×月×日×时×分前不得启封）</w:t>
      </w:r>
    </w:p>
    <w:p>
      <w:pPr>
        <w:adjustRightInd w:val="0"/>
        <w:rPr>
          <w:rFonts w:ascii="宋体"/>
          <w:sz w:val="30"/>
        </w:rPr>
      </w:pPr>
    </w:p>
    <w:p>
      <w:pPr>
        <w:adjustRightInd w:val="0"/>
        <w:rPr>
          <w:rFonts w:ascii="宋体"/>
          <w:sz w:val="32"/>
        </w:rPr>
      </w:pPr>
    </w:p>
    <w:p>
      <w:pPr>
        <w:adjustRightInd w:val="0"/>
        <w:rPr>
          <w:rFonts w:ascii="宋体"/>
          <w:sz w:val="32"/>
        </w:rPr>
      </w:pPr>
    </w:p>
    <w:p>
      <w:pPr>
        <w:adjustRightInd w:val="0"/>
        <w:rPr>
          <w:rFonts w:ascii="宋体"/>
          <w:sz w:val="32"/>
        </w:rPr>
      </w:pPr>
    </w:p>
    <w:p>
      <w:pPr>
        <w:adjustRightInd w:val="0"/>
        <w:rPr>
          <w:rFonts w:ascii="宋体"/>
          <w:sz w:val="32"/>
        </w:rPr>
      </w:pPr>
    </w:p>
    <w:p>
      <w:pPr>
        <w:adjustRightInd w:val="0"/>
        <w:jc w:val="center"/>
        <w:rPr>
          <w:rFonts w:ascii="宋体"/>
          <w:sz w:val="32"/>
        </w:rPr>
      </w:pPr>
      <w:r>
        <w:rPr>
          <w:rFonts w:hint="eastAsia" w:ascii="宋体" w:hAnsi="宋体"/>
          <w:sz w:val="32"/>
        </w:rPr>
        <w:t>单位名称：×××××××（加盖公章）</w:t>
      </w:r>
    </w:p>
    <w:p>
      <w:pPr>
        <w:rPr>
          <w:sz w:val="30"/>
          <w:szCs w:val="30"/>
        </w:rPr>
      </w:pPr>
    </w:p>
    <w:p>
      <w:pPr>
        <w:jc w:val="center"/>
        <w:rPr>
          <w:sz w:val="30"/>
          <w:szCs w:val="30"/>
        </w:rPr>
      </w:pPr>
      <w:r>
        <w:rPr>
          <w:rFonts w:hint="eastAsia"/>
          <w:sz w:val="30"/>
          <w:szCs w:val="30"/>
        </w:rPr>
        <w:t>投标日期：二〇一</w:t>
      </w:r>
      <w:r>
        <w:rPr>
          <w:sz w:val="30"/>
          <w:szCs w:val="30"/>
        </w:rPr>
        <w:t>X</w:t>
      </w:r>
      <w:r>
        <w:rPr>
          <w:rFonts w:hint="eastAsia"/>
          <w:sz w:val="30"/>
          <w:szCs w:val="30"/>
        </w:rPr>
        <w:t>年</w:t>
      </w:r>
      <w:r>
        <w:rPr>
          <w:sz w:val="30"/>
          <w:szCs w:val="30"/>
        </w:rPr>
        <w:t>X</w:t>
      </w:r>
      <w:r>
        <w:rPr>
          <w:rFonts w:hint="eastAsia"/>
          <w:sz w:val="30"/>
          <w:szCs w:val="30"/>
        </w:rPr>
        <w:t>月</w:t>
      </w:r>
      <w:r>
        <w:rPr>
          <w:sz w:val="30"/>
          <w:szCs w:val="30"/>
        </w:rPr>
        <w:t>XX</w:t>
      </w:r>
      <w:r>
        <w:rPr>
          <w:rFonts w:hint="eastAsia"/>
          <w:sz w:val="30"/>
          <w:szCs w:val="30"/>
        </w:rPr>
        <w:t>日</w:t>
      </w:r>
    </w:p>
    <w:p>
      <w:pPr>
        <w:jc w:val="center"/>
        <w:rPr>
          <w:sz w:val="30"/>
          <w:szCs w:val="30"/>
        </w:rPr>
      </w:pPr>
    </w:p>
    <w:p>
      <w:pPr>
        <w:rPr>
          <w:b/>
          <w:bCs/>
          <w:sz w:val="32"/>
          <w:szCs w:val="32"/>
        </w:rPr>
      </w:pPr>
    </w:p>
    <w:p>
      <w:pPr>
        <w:rPr>
          <w:b/>
          <w:bCs/>
          <w:sz w:val="32"/>
          <w:szCs w:val="32"/>
        </w:rPr>
      </w:pPr>
      <w:r>
        <w:rPr>
          <w:b/>
          <w:bCs/>
          <w:sz w:val="32"/>
          <w:szCs w:val="32"/>
        </w:rPr>
        <w:t>2</w:t>
      </w:r>
      <w:r>
        <w:rPr>
          <w:rFonts w:hint="eastAsia"/>
          <w:b/>
          <w:bCs/>
          <w:sz w:val="32"/>
          <w:szCs w:val="32"/>
        </w:rPr>
        <w:t>、《投标文件》封面格式</w:t>
      </w:r>
    </w:p>
    <w:p>
      <w:pPr>
        <w:adjustRightInd w:val="0"/>
        <w:rPr>
          <w:rFonts w:ascii="宋体"/>
          <w:b/>
          <w:sz w:val="36"/>
        </w:rPr>
      </w:pPr>
      <w:r>
        <mc:AlternateContent>
          <mc:Choice Requires="wps">
            <w:drawing>
              <wp:anchor distT="0" distB="0" distL="0" distR="0" simplePos="0" relativeHeight="1024" behindDoc="0" locked="0" layoutInCell="1" allowOverlap="1">
                <wp:simplePos x="0" y="0"/>
                <wp:positionH relativeFrom="column">
                  <wp:posOffset>3627120</wp:posOffset>
                </wp:positionH>
                <wp:positionV relativeFrom="paragraph">
                  <wp:posOffset>17145</wp:posOffset>
                </wp:positionV>
                <wp:extent cx="1819275" cy="762000"/>
                <wp:effectExtent l="7620" t="7620" r="20955" b="11430"/>
                <wp:wrapNone/>
                <wp:docPr id="1030" name="自选图形 19"/>
                <wp:cNvGraphicFramePr/>
                <a:graphic xmlns:a="http://schemas.openxmlformats.org/drawingml/2006/main">
                  <a:graphicData uri="http://schemas.microsoft.com/office/word/2010/wordprocessingShape">
                    <wps:wsp>
                      <wps:cNvSpPr/>
                      <wps:spPr>
                        <a:xfrm>
                          <a:off x="0" y="0"/>
                          <a:ext cx="1819275" cy="762000"/>
                        </a:xfrm>
                        <a:prstGeom prst="flowChartProcess">
                          <a:avLst/>
                        </a:prstGeom>
                        <a:gradFill flip="none" rotWithShape="0">
                          <a:gsLst>
                            <a:gs pos="0">
                              <a:srgbClr val="FFFFFF"/>
                            </a:gs>
                            <a:gs pos="100000">
                              <a:srgbClr val="FFFFFF"/>
                            </a:gs>
                          </a:gsLst>
                          <a:lin ang="0" scaled="0"/>
                        </a:gradFill>
                        <a:ln w="15875" cap="flat" cmpd="sng">
                          <a:solidFill>
                            <a:srgbClr val="739CC3"/>
                          </a:solidFill>
                          <a:prstDash val="solid"/>
                          <a:miter/>
                          <a:headEnd type="none" w="med" len="med"/>
                          <a:tailEnd type="none" w="med" len="med"/>
                        </a:ln>
                      </wps:spPr>
                      <wps:txbx>
                        <w:txbxContent>
                          <w:p>
                            <w:pPr>
                              <w:jc w:val="center"/>
                              <w:rPr>
                                <w:b/>
                                <w:sz w:val="72"/>
                                <w:szCs w:val="72"/>
                              </w:rPr>
                            </w:pPr>
                            <w:r>
                              <w:rPr>
                                <w:rFonts w:hint="eastAsia"/>
                                <w:b/>
                                <w:sz w:val="72"/>
                                <w:szCs w:val="72"/>
                              </w:rPr>
                              <w:t>正</w:t>
                            </w:r>
                            <w:r>
                              <w:rPr>
                                <w:b/>
                                <w:sz w:val="72"/>
                                <w:szCs w:val="72"/>
                              </w:rPr>
                              <w:t>/</w:t>
                            </w:r>
                            <w:r>
                              <w:rPr>
                                <w:rFonts w:hint="eastAsia"/>
                                <w:b/>
                                <w:sz w:val="72"/>
                                <w:szCs w:val="72"/>
                              </w:rPr>
                              <w:t>副本</w:t>
                            </w:r>
                          </w:p>
                          <w:p>
                            <w:pPr>
                              <w:rPr>
                                <w:sz w:val="36"/>
                                <w:szCs w:val="36"/>
                              </w:rPr>
                            </w:pPr>
                          </w:p>
                        </w:txbxContent>
                      </wps:txbx>
                      <wps:bodyPr upright="1"/>
                    </wps:wsp>
                  </a:graphicData>
                </a:graphic>
              </wp:anchor>
            </w:drawing>
          </mc:Choice>
          <mc:Fallback>
            <w:pict>
              <v:shape id="自选图形 19" o:spid="_x0000_s1026" o:spt="109" type="#_x0000_t109" style="position:absolute;left:0pt;margin-left:285.6pt;margin-top:1.35pt;height:60pt;width:143.25pt;z-index:1024;mso-width-relative:page;mso-height-relative:page;" fillcolor="#FFFFFF" filled="t" stroked="t" coordsize="21600,21600" o:gfxdata="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VRnrNkAAAAJAQAADwAAAAAAAAABACAAAAAiAAAA&#10;ZHJzL2Rvd25yZXYueG1sUEsBAhQAFAAAAAgAh07iQJ1kGhg/AgAAgwQAAA4AAAAAAAAAAQAgAAAA&#10;KAEAAGRycy9lMm9Eb2MueG1sUEsFBgAAAAAGAAYAWQEAANkFAAAAAA==&#10;">
                <v:fill type="gradient" on="t" color2="#FFFFFF" angle="90" focus="100%" focussize="0,0">
                  <o:fill type="gradientUnscaled" v:ext="backwardCompatible"/>
                </v:fill>
                <v:stroke weight="1.25pt" color="#739CC3" joinstyle="miter"/>
                <v:imagedata o:title=""/>
                <o:lock v:ext="edit" aspectratio="f"/>
                <v:textbox>
                  <w:txbxContent>
                    <w:p>
                      <w:pPr>
                        <w:jc w:val="center"/>
                        <w:rPr>
                          <w:b/>
                          <w:sz w:val="72"/>
                          <w:szCs w:val="72"/>
                        </w:rPr>
                      </w:pPr>
                      <w:r>
                        <w:rPr>
                          <w:rFonts w:hint="eastAsia"/>
                          <w:b/>
                          <w:sz w:val="72"/>
                          <w:szCs w:val="72"/>
                        </w:rPr>
                        <w:t>正</w:t>
                      </w:r>
                      <w:r>
                        <w:rPr>
                          <w:b/>
                          <w:sz w:val="72"/>
                          <w:szCs w:val="72"/>
                        </w:rPr>
                        <w:t>/</w:t>
                      </w:r>
                      <w:r>
                        <w:rPr>
                          <w:rFonts w:hint="eastAsia"/>
                          <w:b/>
                          <w:sz w:val="72"/>
                          <w:szCs w:val="72"/>
                        </w:rPr>
                        <w:t>副本</w:t>
                      </w:r>
                    </w:p>
                    <w:p>
                      <w:pPr>
                        <w:rPr>
                          <w:sz w:val="36"/>
                          <w:szCs w:val="36"/>
                        </w:rPr>
                      </w:pPr>
                    </w:p>
                  </w:txbxContent>
                </v:textbox>
              </v:shape>
            </w:pict>
          </mc:Fallback>
        </mc:AlternateContent>
      </w:r>
    </w:p>
    <w:p>
      <w:pPr>
        <w:adjustRightInd w:val="0"/>
        <w:rPr>
          <w:rFonts w:ascii="宋体"/>
          <w:b/>
          <w:sz w:val="36"/>
        </w:rPr>
      </w:pPr>
    </w:p>
    <w:p>
      <w:pPr>
        <w:adjustRightInd w:val="0"/>
        <w:rPr>
          <w:rFonts w:ascii="宋体"/>
          <w:b/>
          <w:sz w:val="36"/>
        </w:rPr>
      </w:pPr>
    </w:p>
    <w:p>
      <w:pPr>
        <w:adjustRightInd w:val="0"/>
        <w:rPr>
          <w:rFonts w:ascii="宋体" w:hAnsi="宋体"/>
          <w:b/>
          <w:sz w:val="36"/>
          <w:szCs w:val="36"/>
        </w:rPr>
      </w:pPr>
      <w:r>
        <w:rPr>
          <w:rFonts w:hint="eastAsia" w:ascii="宋体" w:hAnsi="宋体"/>
          <w:b/>
          <w:sz w:val="36"/>
          <w:szCs w:val="36"/>
        </w:rPr>
        <w:t>项目名称：×××××××</w:t>
      </w:r>
    </w:p>
    <w:p>
      <w:pPr>
        <w:adjustRightInd w:val="0"/>
        <w:rPr>
          <w:rFonts w:ascii="宋体"/>
          <w:sz w:val="24"/>
        </w:rPr>
      </w:pPr>
      <w:r>
        <w:rPr>
          <w:rFonts w:hint="eastAsia" w:ascii="宋体" w:hAnsi="宋体"/>
          <w:b/>
          <w:sz w:val="36"/>
          <w:szCs w:val="36"/>
        </w:rPr>
        <w:t>交易编号：××××××</w:t>
      </w:r>
    </w:p>
    <w:p>
      <w:pPr>
        <w:adjustRightInd w:val="0"/>
        <w:rPr>
          <w:rFonts w:ascii="宋体"/>
          <w:sz w:val="24"/>
        </w:rPr>
      </w:pPr>
    </w:p>
    <w:p>
      <w:pPr>
        <w:adjustRightInd w:val="0"/>
        <w:rPr>
          <w:rFonts w:ascii="宋体"/>
          <w:sz w:val="24"/>
        </w:rPr>
      </w:pPr>
    </w:p>
    <w:p>
      <w:pPr>
        <w:adjustRightInd w:val="0"/>
        <w:rPr>
          <w:rFonts w:ascii="宋体"/>
          <w:sz w:val="24"/>
        </w:rPr>
      </w:pPr>
    </w:p>
    <w:p>
      <w:pPr>
        <w:adjustRightInd w:val="0"/>
        <w:rPr>
          <w:rFonts w:ascii="宋体"/>
          <w:sz w:val="24"/>
        </w:rPr>
      </w:pPr>
    </w:p>
    <w:p>
      <w:pPr>
        <w:adjustRightInd w:val="0"/>
        <w:rPr>
          <w:rFonts w:ascii="宋体"/>
          <w:sz w:val="24"/>
        </w:rPr>
      </w:pPr>
    </w:p>
    <w:p>
      <w:pPr>
        <w:adjustRightInd w:val="0"/>
        <w:jc w:val="center"/>
        <w:rPr>
          <w:rFonts w:ascii="宋体"/>
          <w:b/>
          <w:sz w:val="72"/>
          <w:szCs w:val="72"/>
        </w:rPr>
      </w:pPr>
      <w:r>
        <w:rPr>
          <w:rFonts w:hint="eastAsia" w:ascii="宋体" w:hAnsi="宋体"/>
          <w:b/>
          <w:spacing w:val="20"/>
          <w:sz w:val="72"/>
          <w:szCs w:val="72"/>
        </w:rPr>
        <w:t>投 标 文 件</w:t>
      </w:r>
    </w:p>
    <w:p>
      <w:pPr>
        <w:adjustRightInd w:val="0"/>
        <w:jc w:val="center"/>
        <w:rPr>
          <w:rFonts w:ascii="宋体"/>
          <w:b/>
          <w:sz w:val="72"/>
          <w:szCs w:val="72"/>
        </w:rPr>
      </w:pPr>
      <w:r>
        <w:rPr>
          <w:rFonts w:hint="eastAsia" w:ascii="宋体" w:hAnsi="宋体"/>
          <w:sz w:val="32"/>
        </w:rPr>
        <w:t>（商务标和技术标）</w:t>
      </w:r>
    </w:p>
    <w:p>
      <w:pPr>
        <w:adjustRightInd w:val="0"/>
        <w:rPr>
          <w:rFonts w:ascii="宋体"/>
          <w:sz w:val="32"/>
        </w:rPr>
      </w:pPr>
    </w:p>
    <w:p>
      <w:pPr>
        <w:adjustRightInd w:val="0"/>
        <w:rPr>
          <w:rFonts w:ascii="宋体"/>
          <w:sz w:val="32"/>
        </w:rPr>
      </w:pPr>
    </w:p>
    <w:p>
      <w:pPr>
        <w:adjustRightInd w:val="0"/>
        <w:rPr>
          <w:rFonts w:ascii="宋体"/>
          <w:sz w:val="32"/>
        </w:rPr>
      </w:pPr>
    </w:p>
    <w:p>
      <w:pPr>
        <w:adjustRightInd w:val="0"/>
        <w:rPr>
          <w:rFonts w:ascii="宋体"/>
          <w:sz w:val="32"/>
        </w:rPr>
      </w:pPr>
    </w:p>
    <w:p>
      <w:pPr>
        <w:adjustRightInd w:val="0"/>
        <w:rPr>
          <w:rFonts w:ascii="宋体"/>
          <w:sz w:val="32"/>
        </w:rPr>
      </w:pPr>
      <w:r>
        <w:rPr>
          <w:rFonts w:ascii="宋体" w:hAnsi="宋体"/>
          <w:sz w:val="32"/>
        </w:rPr>
        <w:t xml:space="preserve">        </w:t>
      </w:r>
      <w:r>
        <w:rPr>
          <w:rFonts w:hint="eastAsia" w:ascii="宋体" w:hAnsi="宋体"/>
          <w:sz w:val="32"/>
        </w:rPr>
        <w:t>单位名称：×××××××（加盖公章）</w:t>
      </w:r>
    </w:p>
    <w:p>
      <w:pPr>
        <w:adjustRightInd w:val="0"/>
        <w:rPr>
          <w:rFonts w:ascii="宋体"/>
          <w:sz w:val="32"/>
        </w:rPr>
      </w:pPr>
      <w:r>
        <w:rPr>
          <w:rFonts w:ascii="宋体" w:hAnsi="宋体"/>
          <w:sz w:val="32"/>
        </w:rPr>
        <w:t xml:space="preserve">        </w:t>
      </w:r>
      <w:r>
        <w:rPr>
          <w:rFonts w:hint="eastAsia" w:ascii="宋体" w:hAnsi="宋体"/>
          <w:sz w:val="32"/>
        </w:rPr>
        <w:t>法人代表或被授权人代表：×××（签字</w:t>
      </w:r>
      <w:r>
        <w:rPr>
          <w:rFonts w:ascii="宋体" w:hAnsi="宋体"/>
          <w:sz w:val="32"/>
        </w:rPr>
        <w:t>)</w:t>
      </w:r>
    </w:p>
    <w:p>
      <w:pPr>
        <w:rPr>
          <w:sz w:val="30"/>
          <w:szCs w:val="30"/>
        </w:rPr>
      </w:pPr>
      <w:r>
        <w:rPr>
          <w:sz w:val="30"/>
          <w:szCs w:val="30"/>
        </w:rPr>
        <w:t xml:space="preserve">             </w:t>
      </w:r>
      <w:r>
        <w:rPr>
          <w:rFonts w:hint="eastAsia"/>
          <w:sz w:val="30"/>
          <w:szCs w:val="30"/>
        </w:rPr>
        <w:t>投标日期：二〇一</w:t>
      </w:r>
      <w:r>
        <w:rPr>
          <w:sz w:val="30"/>
          <w:szCs w:val="30"/>
        </w:rPr>
        <w:t>X</w:t>
      </w:r>
      <w:r>
        <w:rPr>
          <w:rFonts w:hint="eastAsia"/>
          <w:sz w:val="30"/>
          <w:szCs w:val="30"/>
        </w:rPr>
        <w:t>年</w:t>
      </w:r>
      <w:r>
        <w:rPr>
          <w:sz w:val="30"/>
          <w:szCs w:val="30"/>
        </w:rPr>
        <w:t>X</w:t>
      </w:r>
      <w:r>
        <w:rPr>
          <w:rFonts w:hint="eastAsia"/>
          <w:sz w:val="30"/>
          <w:szCs w:val="30"/>
        </w:rPr>
        <w:t>月</w:t>
      </w:r>
      <w:r>
        <w:rPr>
          <w:sz w:val="30"/>
          <w:szCs w:val="30"/>
        </w:rPr>
        <w:t>XX</w:t>
      </w:r>
      <w:r>
        <w:rPr>
          <w:rFonts w:hint="eastAsia"/>
          <w:sz w:val="30"/>
          <w:szCs w:val="30"/>
        </w:rPr>
        <w:t>日</w:t>
      </w:r>
    </w:p>
    <w:p>
      <w:pPr>
        <w:rPr>
          <w:rFonts w:hint="eastAsia" w:eastAsia="宋体"/>
          <w:sz w:val="30"/>
          <w:szCs w:val="30"/>
          <w:lang w:eastAsia="zh-CN"/>
        </w:rPr>
      </w:pPr>
    </w:p>
    <w:p>
      <w:pPr>
        <w:pStyle w:val="2"/>
        <w:rPr>
          <w:rFonts w:hint="eastAsia" w:eastAsia="宋体"/>
          <w:sz w:val="30"/>
          <w:szCs w:val="30"/>
          <w:lang w:eastAsia="zh-CN"/>
        </w:rPr>
      </w:pPr>
    </w:p>
    <w:p>
      <w:pPr>
        <w:pStyle w:val="2"/>
        <w:rPr>
          <w:rFonts w:hint="eastAsia" w:eastAsia="宋体"/>
          <w:sz w:val="30"/>
          <w:szCs w:val="30"/>
          <w:lang w:eastAsia="zh-CN"/>
        </w:rPr>
      </w:pPr>
    </w:p>
    <w:p>
      <w:pPr>
        <w:pStyle w:val="2"/>
        <w:rPr>
          <w:rFonts w:hint="eastAsia" w:eastAsia="宋体"/>
          <w:sz w:val="30"/>
          <w:szCs w:val="30"/>
          <w:lang w:eastAsia="zh-CN"/>
        </w:rPr>
      </w:pPr>
    </w:p>
    <w:p>
      <w:pPr>
        <w:rPr>
          <w:rFonts w:ascii="新宋体" w:hAnsi="新宋体" w:eastAsia="新宋体" w:cs="新宋体"/>
          <w:b/>
          <w:bCs/>
          <w:sz w:val="32"/>
          <w:szCs w:val="32"/>
        </w:rPr>
      </w:pPr>
      <w:bookmarkStart w:id="91" w:name="_Toc4591"/>
      <w:r>
        <w:rPr>
          <w:rFonts w:ascii="新宋体" w:hAnsi="新宋体" w:eastAsia="新宋体" w:cs="新宋体"/>
          <w:b/>
          <w:bCs/>
          <w:sz w:val="32"/>
          <w:szCs w:val="32"/>
        </w:rPr>
        <w:t>3</w:t>
      </w:r>
      <w:r>
        <w:rPr>
          <w:rFonts w:hint="eastAsia" w:ascii="新宋体" w:hAnsi="新宋体" w:eastAsia="新宋体" w:cs="新宋体"/>
          <w:b/>
          <w:bCs/>
          <w:sz w:val="32"/>
          <w:szCs w:val="32"/>
        </w:rPr>
        <w:t>、</w:t>
      </w:r>
      <w:bookmarkEnd w:id="91"/>
      <w:r>
        <w:rPr>
          <w:rFonts w:hint="eastAsia" w:ascii="新宋体" w:hAnsi="新宋体" w:eastAsia="新宋体" w:cs="新宋体"/>
          <w:b/>
          <w:bCs/>
          <w:sz w:val="32"/>
          <w:szCs w:val="32"/>
        </w:rPr>
        <w:t>资质证件原件档案袋封面样式：</w:t>
      </w:r>
    </w:p>
    <w:p>
      <w:pPr>
        <w:widowControl/>
        <w:spacing w:line="276" w:lineRule="auto"/>
        <w:jc w:val="center"/>
        <w:rPr>
          <w:rFonts w:ascii="宋体"/>
          <w:b/>
          <w:sz w:val="28"/>
          <w:szCs w:val="28"/>
        </w:rPr>
      </w:pPr>
      <w:bookmarkStart w:id="92" w:name="_Toc10888_WPSOffice_Level2"/>
      <w:bookmarkStart w:id="93" w:name="_Toc4878_WPSOffice_Level2"/>
      <w:bookmarkStart w:id="94" w:name="_Toc15901"/>
      <w:r>
        <w:rPr>
          <w:rFonts w:hint="eastAsia" w:ascii="宋体" w:hAnsi="宋体"/>
          <w:b/>
          <w:sz w:val="28"/>
          <w:szCs w:val="28"/>
        </w:rPr>
        <w:t>供应商资质证件原件递交单</w:t>
      </w:r>
      <w:bookmarkEnd w:id="92"/>
      <w:bookmarkEnd w:id="93"/>
    </w:p>
    <w:tbl>
      <w:tblPr>
        <w:tblStyle w:val="12"/>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1832"/>
        <w:gridCol w:w="1306"/>
        <w:gridCol w:w="1984"/>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890" w:type="dxa"/>
            <w:vAlign w:val="center"/>
          </w:tcPr>
          <w:p>
            <w:pPr>
              <w:spacing w:line="360" w:lineRule="auto"/>
              <w:jc w:val="center"/>
              <w:rPr>
                <w:rFonts w:ascii="宋体"/>
                <w:sz w:val="24"/>
              </w:rPr>
            </w:pPr>
            <w:r>
              <w:rPr>
                <w:rFonts w:hint="eastAsia" w:ascii="宋体" w:hAnsi="宋体"/>
                <w:sz w:val="24"/>
              </w:rPr>
              <w:t>供应商名称</w:t>
            </w:r>
          </w:p>
          <w:p>
            <w:pPr>
              <w:spacing w:line="360" w:lineRule="auto"/>
              <w:jc w:val="center"/>
              <w:rPr>
                <w:rFonts w:ascii="宋体"/>
                <w:sz w:val="24"/>
              </w:rPr>
            </w:pPr>
            <w:r>
              <w:rPr>
                <w:rFonts w:hint="eastAsia" w:ascii="宋体" w:hAnsi="宋体"/>
                <w:sz w:val="24"/>
              </w:rPr>
              <w:t>（字体加大以方便辨认）</w:t>
            </w:r>
          </w:p>
        </w:tc>
        <w:tc>
          <w:tcPr>
            <w:tcW w:w="7026" w:type="dxa"/>
            <w:gridSpan w:val="4"/>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90" w:type="dxa"/>
            <w:vAlign w:val="center"/>
          </w:tcPr>
          <w:p>
            <w:pPr>
              <w:spacing w:line="360" w:lineRule="auto"/>
              <w:jc w:val="center"/>
              <w:rPr>
                <w:rFonts w:ascii="宋体"/>
                <w:sz w:val="24"/>
              </w:rPr>
            </w:pPr>
            <w:r>
              <w:rPr>
                <w:rFonts w:hint="eastAsia" w:ascii="宋体" w:hAnsi="宋体"/>
                <w:sz w:val="24"/>
              </w:rPr>
              <w:t>联系人</w:t>
            </w:r>
          </w:p>
        </w:tc>
        <w:tc>
          <w:tcPr>
            <w:tcW w:w="3138" w:type="dxa"/>
            <w:gridSpan w:val="2"/>
            <w:vAlign w:val="center"/>
          </w:tcPr>
          <w:p>
            <w:pPr>
              <w:spacing w:line="360" w:lineRule="auto"/>
              <w:jc w:val="center"/>
              <w:rPr>
                <w:rFonts w:ascii="宋体"/>
                <w:sz w:val="24"/>
              </w:rPr>
            </w:pPr>
          </w:p>
        </w:tc>
        <w:tc>
          <w:tcPr>
            <w:tcW w:w="1984" w:type="dxa"/>
            <w:vAlign w:val="center"/>
          </w:tcPr>
          <w:p>
            <w:pPr>
              <w:spacing w:line="360" w:lineRule="auto"/>
              <w:jc w:val="center"/>
              <w:rPr>
                <w:rFonts w:ascii="宋体"/>
                <w:sz w:val="24"/>
              </w:rPr>
            </w:pPr>
            <w:r>
              <w:rPr>
                <w:rFonts w:hint="eastAsia" w:ascii="宋体" w:hAnsi="宋体"/>
                <w:sz w:val="24"/>
              </w:rPr>
              <w:t>电　话</w:t>
            </w:r>
          </w:p>
        </w:tc>
        <w:tc>
          <w:tcPr>
            <w:tcW w:w="1904"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90" w:type="dxa"/>
            <w:vAlign w:val="center"/>
          </w:tcPr>
          <w:p>
            <w:pPr>
              <w:spacing w:line="360" w:lineRule="auto"/>
              <w:jc w:val="center"/>
              <w:rPr>
                <w:rFonts w:ascii="宋体"/>
                <w:sz w:val="24"/>
              </w:rPr>
            </w:pPr>
            <w:r>
              <w:rPr>
                <w:rFonts w:hint="eastAsia" w:ascii="宋体" w:hAnsi="宋体"/>
                <w:sz w:val="24"/>
              </w:rPr>
              <w:t>企业资质</w:t>
            </w:r>
          </w:p>
        </w:tc>
        <w:tc>
          <w:tcPr>
            <w:tcW w:w="1832" w:type="dxa"/>
            <w:vAlign w:val="center"/>
          </w:tcPr>
          <w:p>
            <w:pPr>
              <w:spacing w:line="360" w:lineRule="auto"/>
              <w:jc w:val="center"/>
              <w:rPr>
                <w:rFonts w:ascii="宋体"/>
                <w:sz w:val="24"/>
              </w:rPr>
            </w:pPr>
          </w:p>
        </w:tc>
        <w:tc>
          <w:tcPr>
            <w:tcW w:w="1306" w:type="dxa"/>
            <w:vMerge w:val="restart"/>
            <w:vAlign w:val="center"/>
          </w:tcPr>
          <w:p>
            <w:pPr>
              <w:spacing w:line="360" w:lineRule="auto"/>
              <w:rPr>
                <w:rFonts w:ascii="宋体"/>
                <w:sz w:val="24"/>
              </w:rPr>
            </w:pPr>
            <w:r>
              <w:rPr>
                <w:rFonts w:hint="eastAsia" w:ascii="宋体" w:hAnsi="宋体"/>
                <w:sz w:val="24"/>
              </w:rPr>
              <w:t>其他证件</w:t>
            </w:r>
          </w:p>
        </w:tc>
        <w:tc>
          <w:tcPr>
            <w:tcW w:w="1984" w:type="dxa"/>
            <w:vAlign w:val="center"/>
          </w:tcPr>
          <w:p>
            <w:pPr>
              <w:spacing w:line="360" w:lineRule="auto"/>
              <w:jc w:val="center"/>
              <w:rPr>
                <w:rFonts w:ascii="宋体"/>
                <w:sz w:val="24"/>
              </w:rPr>
            </w:pPr>
          </w:p>
        </w:tc>
        <w:tc>
          <w:tcPr>
            <w:tcW w:w="1904"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890" w:type="dxa"/>
            <w:vAlign w:val="center"/>
          </w:tcPr>
          <w:p>
            <w:pPr>
              <w:spacing w:line="360" w:lineRule="auto"/>
              <w:jc w:val="center"/>
              <w:rPr>
                <w:rFonts w:ascii="宋体"/>
                <w:sz w:val="24"/>
              </w:rPr>
            </w:pPr>
            <w:r>
              <w:rPr>
                <w:rFonts w:hint="eastAsia" w:ascii="宋体" w:hAnsi="宋体"/>
                <w:sz w:val="24"/>
              </w:rPr>
              <w:t>营业执照</w:t>
            </w:r>
          </w:p>
        </w:tc>
        <w:tc>
          <w:tcPr>
            <w:tcW w:w="1832" w:type="dxa"/>
            <w:vAlign w:val="center"/>
          </w:tcPr>
          <w:p>
            <w:pPr>
              <w:spacing w:line="360" w:lineRule="auto"/>
              <w:jc w:val="center"/>
              <w:rPr>
                <w:rFonts w:ascii="宋体"/>
                <w:sz w:val="24"/>
              </w:rPr>
            </w:pPr>
          </w:p>
        </w:tc>
        <w:tc>
          <w:tcPr>
            <w:tcW w:w="1306" w:type="dxa"/>
            <w:vMerge w:val="continue"/>
            <w:vAlign w:val="center"/>
          </w:tcPr>
          <w:p>
            <w:pPr>
              <w:widowControl/>
              <w:jc w:val="center"/>
              <w:rPr>
                <w:rFonts w:ascii="宋体"/>
                <w:sz w:val="24"/>
              </w:rPr>
            </w:pPr>
          </w:p>
        </w:tc>
        <w:tc>
          <w:tcPr>
            <w:tcW w:w="1984" w:type="dxa"/>
            <w:vAlign w:val="center"/>
          </w:tcPr>
          <w:p>
            <w:pPr>
              <w:spacing w:line="360" w:lineRule="auto"/>
              <w:jc w:val="center"/>
              <w:rPr>
                <w:rFonts w:ascii="宋体"/>
                <w:sz w:val="24"/>
              </w:rPr>
            </w:pPr>
          </w:p>
        </w:tc>
        <w:tc>
          <w:tcPr>
            <w:tcW w:w="1904"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890" w:type="dxa"/>
            <w:vAlign w:val="center"/>
          </w:tcPr>
          <w:p>
            <w:pPr>
              <w:spacing w:line="360" w:lineRule="auto"/>
              <w:jc w:val="center"/>
              <w:rPr>
                <w:rFonts w:ascii="宋体"/>
                <w:sz w:val="24"/>
              </w:rPr>
            </w:pPr>
            <w:r>
              <w:rPr>
                <w:rFonts w:hint="eastAsia" w:ascii="宋体" w:hAnsi="宋体"/>
                <w:sz w:val="24"/>
              </w:rPr>
              <w:t>税务登记证</w:t>
            </w:r>
          </w:p>
        </w:tc>
        <w:tc>
          <w:tcPr>
            <w:tcW w:w="1832" w:type="dxa"/>
            <w:vAlign w:val="center"/>
          </w:tcPr>
          <w:p>
            <w:pPr>
              <w:spacing w:line="360" w:lineRule="auto"/>
              <w:jc w:val="center"/>
              <w:rPr>
                <w:rFonts w:ascii="宋体"/>
                <w:sz w:val="24"/>
              </w:rPr>
            </w:pPr>
          </w:p>
        </w:tc>
        <w:tc>
          <w:tcPr>
            <w:tcW w:w="1306" w:type="dxa"/>
            <w:vMerge w:val="continue"/>
            <w:vAlign w:val="center"/>
          </w:tcPr>
          <w:p>
            <w:pPr>
              <w:widowControl/>
              <w:jc w:val="center"/>
              <w:rPr>
                <w:rFonts w:ascii="宋体"/>
                <w:sz w:val="24"/>
              </w:rPr>
            </w:pPr>
          </w:p>
        </w:tc>
        <w:tc>
          <w:tcPr>
            <w:tcW w:w="1984" w:type="dxa"/>
            <w:vAlign w:val="center"/>
          </w:tcPr>
          <w:p>
            <w:pPr>
              <w:spacing w:line="360" w:lineRule="auto"/>
              <w:jc w:val="center"/>
              <w:rPr>
                <w:rFonts w:ascii="宋体"/>
                <w:sz w:val="24"/>
              </w:rPr>
            </w:pPr>
          </w:p>
        </w:tc>
        <w:tc>
          <w:tcPr>
            <w:tcW w:w="1904"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890" w:type="dxa"/>
            <w:vAlign w:val="center"/>
          </w:tcPr>
          <w:p>
            <w:pPr>
              <w:spacing w:line="360" w:lineRule="auto"/>
              <w:jc w:val="center"/>
              <w:rPr>
                <w:rFonts w:ascii="宋体"/>
                <w:spacing w:val="-4"/>
                <w:sz w:val="24"/>
              </w:rPr>
            </w:pPr>
            <w:r>
              <w:rPr>
                <w:rFonts w:hint="eastAsia" w:ascii="宋体" w:hAnsi="宋体"/>
                <w:spacing w:val="-4"/>
                <w:sz w:val="24"/>
              </w:rPr>
              <w:t>组织机构代码证</w:t>
            </w:r>
          </w:p>
        </w:tc>
        <w:tc>
          <w:tcPr>
            <w:tcW w:w="1832" w:type="dxa"/>
            <w:vAlign w:val="center"/>
          </w:tcPr>
          <w:p>
            <w:pPr>
              <w:spacing w:line="360" w:lineRule="auto"/>
              <w:jc w:val="center"/>
              <w:rPr>
                <w:rFonts w:ascii="宋体"/>
                <w:sz w:val="24"/>
              </w:rPr>
            </w:pPr>
          </w:p>
        </w:tc>
        <w:tc>
          <w:tcPr>
            <w:tcW w:w="1306" w:type="dxa"/>
            <w:vMerge w:val="continue"/>
            <w:vAlign w:val="center"/>
          </w:tcPr>
          <w:p>
            <w:pPr>
              <w:widowControl/>
              <w:jc w:val="center"/>
              <w:rPr>
                <w:rFonts w:ascii="宋体"/>
                <w:sz w:val="24"/>
              </w:rPr>
            </w:pPr>
          </w:p>
        </w:tc>
        <w:tc>
          <w:tcPr>
            <w:tcW w:w="1984" w:type="dxa"/>
            <w:vAlign w:val="center"/>
          </w:tcPr>
          <w:p>
            <w:pPr>
              <w:spacing w:line="360" w:lineRule="auto"/>
              <w:jc w:val="center"/>
              <w:rPr>
                <w:rFonts w:ascii="宋体"/>
                <w:sz w:val="24"/>
              </w:rPr>
            </w:pPr>
          </w:p>
        </w:tc>
        <w:tc>
          <w:tcPr>
            <w:tcW w:w="1904"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890" w:type="dxa"/>
            <w:vAlign w:val="center"/>
          </w:tcPr>
          <w:p>
            <w:pPr>
              <w:spacing w:line="360" w:lineRule="auto"/>
              <w:jc w:val="center"/>
              <w:rPr>
                <w:rFonts w:ascii="宋体"/>
                <w:sz w:val="24"/>
              </w:rPr>
            </w:pPr>
            <w:r>
              <w:rPr>
                <w:rFonts w:hint="eastAsia" w:ascii="宋体" w:hAnsi="宋体"/>
                <w:sz w:val="24"/>
              </w:rPr>
              <w:t>原件数量</w:t>
            </w:r>
          </w:p>
        </w:tc>
        <w:tc>
          <w:tcPr>
            <w:tcW w:w="7026" w:type="dxa"/>
            <w:gridSpan w:val="4"/>
            <w:vAlign w:val="center"/>
          </w:tcPr>
          <w:p>
            <w:pPr>
              <w:spacing w:line="360" w:lineRule="auto"/>
              <w:jc w:val="center"/>
              <w:rPr>
                <w:rFonts w:ascii="宋体"/>
                <w:sz w:val="24"/>
              </w:rPr>
            </w:pPr>
          </w:p>
        </w:tc>
      </w:tr>
    </w:tbl>
    <w:p>
      <w:pPr>
        <w:widowControl/>
        <w:spacing w:line="560" w:lineRule="exact"/>
        <w:jc w:val="left"/>
        <w:rPr>
          <w:rFonts w:ascii="宋体"/>
          <w:sz w:val="28"/>
          <w:szCs w:val="28"/>
        </w:rPr>
      </w:pPr>
    </w:p>
    <w:p>
      <w:pPr>
        <w:widowControl/>
        <w:spacing w:line="560" w:lineRule="exact"/>
        <w:jc w:val="left"/>
        <w:rPr>
          <w:rFonts w:ascii="宋体"/>
          <w:sz w:val="28"/>
          <w:szCs w:val="28"/>
        </w:rPr>
      </w:pPr>
      <w:bookmarkStart w:id="95" w:name="_Toc18780_WPSOffice_Level2"/>
      <w:bookmarkStart w:id="96" w:name="_Toc26397_WPSOffice_Level2"/>
      <w:bookmarkStart w:id="97" w:name="_Toc18347_WPSOffice_Level2"/>
      <w:bookmarkStart w:id="98" w:name="_Toc15984_WPSOffice_Level2"/>
      <w:r>
        <w:rPr>
          <w:rFonts w:hint="eastAsia" w:ascii="宋体" w:hAnsi="宋体"/>
          <w:sz w:val="28"/>
          <w:szCs w:val="28"/>
        </w:rPr>
        <w:t>说明：</w:t>
      </w:r>
      <w:bookmarkEnd w:id="95"/>
      <w:bookmarkEnd w:id="96"/>
      <w:bookmarkEnd w:id="97"/>
      <w:bookmarkEnd w:id="98"/>
    </w:p>
    <w:p>
      <w:pPr>
        <w:rPr>
          <w:rFonts w:ascii="宋体"/>
          <w:sz w:val="28"/>
          <w:szCs w:val="28"/>
        </w:rPr>
      </w:pPr>
      <w:bookmarkStart w:id="99" w:name="_Toc5006_WPSOffice_Level2"/>
      <w:bookmarkStart w:id="100" w:name="_Toc22408_WPSOffice_Level2"/>
      <w:bookmarkStart w:id="101" w:name="_Toc20930_WPSOffice_Level2"/>
      <w:bookmarkStart w:id="102" w:name="_Toc19866_WPSOffice_Level2"/>
      <w:r>
        <w:rPr>
          <w:rFonts w:hint="eastAsia" w:ascii="宋体" w:hAnsi="宋体"/>
          <w:sz w:val="28"/>
          <w:szCs w:val="28"/>
        </w:rPr>
        <w:t>如供应商认为表格内容不够完善时可自行添加；</w:t>
      </w:r>
      <w:bookmarkEnd w:id="99"/>
      <w:bookmarkEnd w:id="100"/>
      <w:bookmarkEnd w:id="101"/>
      <w:bookmarkEnd w:id="102"/>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pPr>
    </w:p>
    <w:p>
      <w:pPr>
        <w:rPr>
          <w:rFonts w:ascii="宋体"/>
          <w:sz w:val="28"/>
          <w:szCs w:val="28"/>
        </w:rPr>
        <w:sectPr>
          <w:pgSz w:w="11906" w:h="16838"/>
          <w:pgMar w:top="1440" w:right="1080" w:bottom="1440" w:left="1080" w:header="851" w:footer="1021" w:gutter="0"/>
          <w:pgNumType w:fmt="decimal"/>
          <w:cols w:space="720" w:num="1"/>
          <w:docGrid w:type="lines" w:linePitch="312" w:charSpace="0"/>
        </w:sectPr>
      </w:pPr>
    </w:p>
    <w:p>
      <w:pPr>
        <w:ind w:leftChars="-1" w:hanging="2"/>
        <w:jc w:val="center"/>
        <w:rPr>
          <w:b/>
          <w:sz w:val="32"/>
          <w:szCs w:val="32"/>
        </w:rPr>
      </w:pPr>
      <w:r>
        <w:rPr>
          <w:rFonts w:ascii="新宋体" w:hAnsi="新宋体" w:eastAsia="新宋体" w:cs="新宋体"/>
          <w:b/>
          <w:bCs/>
          <w:sz w:val="32"/>
          <w:szCs w:val="32"/>
        </w:rPr>
        <w:t>4</w:t>
      </w:r>
      <w:r>
        <w:rPr>
          <w:rFonts w:hint="eastAsia" w:ascii="新宋体" w:hAnsi="新宋体" w:eastAsia="新宋体" w:cs="新宋体"/>
          <w:b/>
          <w:bCs/>
          <w:sz w:val="32"/>
          <w:szCs w:val="32"/>
        </w:rPr>
        <w:t>、</w:t>
      </w:r>
      <w:bookmarkEnd w:id="94"/>
      <w:r>
        <w:rPr>
          <w:rFonts w:hint="eastAsia"/>
          <w:b/>
          <w:sz w:val="32"/>
          <w:szCs w:val="32"/>
        </w:rPr>
        <w:t>政府采购竣工验收单</w:t>
      </w:r>
    </w:p>
    <w:p>
      <w:pPr>
        <w:ind w:leftChars="-1" w:hanging="2"/>
        <w:jc w:val="center"/>
        <w:rPr>
          <w:b/>
          <w:sz w:val="36"/>
        </w:rPr>
      </w:pPr>
    </w:p>
    <w:p>
      <w:pPr>
        <w:spacing w:after="156" w:afterLines="50"/>
        <w:rPr>
          <w:sz w:val="24"/>
        </w:rPr>
      </w:pPr>
      <w:r>
        <w:rPr>
          <w:rFonts w:hint="eastAsia"/>
          <w:sz w:val="24"/>
        </w:rPr>
        <w:t>合同编号：</w:t>
      </w:r>
      <w:r>
        <w:rPr>
          <w:sz w:val="24"/>
        </w:rPr>
        <w:t xml:space="preserve">                                              </w:t>
      </w:r>
      <w:r>
        <w:rPr>
          <w:rFonts w:hint="eastAsia"/>
          <w:sz w:val="24"/>
        </w:rPr>
        <w:t>合同备案号：</w:t>
      </w:r>
      <w:r>
        <w:rPr>
          <w:sz w:val="24"/>
        </w:rPr>
        <w:t xml:space="preserve">                         </w:t>
      </w:r>
      <w:r>
        <w:rPr>
          <w:rFonts w:hint="eastAsia"/>
          <w:sz w:val="24"/>
        </w:rPr>
        <w:t>单位：台、套、万元</w:t>
      </w:r>
    </w:p>
    <w:tbl>
      <w:tblPr>
        <w:tblStyle w:val="12"/>
        <w:tblW w:w="13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1108"/>
        <w:gridCol w:w="1108"/>
        <w:gridCol w:w="3424"/>
        <w:gridCol w:w="697"/>
        <w:gridCol w:w="137"/>
        <w:gridCol w:w="972"/>
        <w:gridCol w:w="280"/>
        <w:gridCol w:w="555"/>
        <w:gridCol w:w="971"/>
        <w:gridCol w:w="1108"/>
        <w:gridCol w:w="1244"/>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04" w:type="dxa"/>
            <w:vAlign w:val="center"/>
          </w:tcPr>
          <w:p>
            <w:pPr>
              <w:jc w:val="center"/>
              <w:rPr>
                <w:sz w:val="24"/>
              </w:rPr>
            </w:pPr>
            <w:r>
              <w:rPr>
                <w:rFonts w:hint="eastAsia"/>
                <w:sz w:val="24"/>
              </w:rPr>
              <w:t>序号</w:t>
            </w:r>
          </w:p>
        </w:tc>
        <w:tc>
          <w:tcPr>
            <w:tcW w:w="1108" w:type="dxa"/>
            <w:vAlign w:val="center"/>
          </w:tcPr>
          <w:p>
            <w:pPr>
              <w:jc w:val="center"/>
              <w:rPr>
                <w:sz w:val="24"/>
              </w:rPr>
            </w:pPr>
            <w:r>
              <w:rPr>
                <w:rFonts w:hint="eastAsia"/>
                <w:sz w:val="24"/>
              </w:rPr>
              <w:t>品目</w:t>
            </w:r>
          </w:p>
        </w:tc>
        <w:tc>
          <w:tcPr>
            <w:tcW w:w="1108" w:type="dxa"/>
            <w:vAlign w:val="center"/>
          </w:tcPr>
          <w:p>
            <w:pPr>
              <w:jc w:val="center"/>
              <w:rPr>
                <w:sz w:val="24"/>
              </w:rPr>
            </w:pPr>
            <w:r>
              <w:rPr>
                <w:rFonts w:hint="eastAsia"/>
                <w:sz w:val="24"/>
              </w:rPr>
              <w:t>商标</w:t>
            </w:r>
          </w:p>
        </w:tc>
        <w:tc>
          <w:tcPr>
            <w:tcW w:w="3424" w:type="dxa"/>
            <w:vAlign w:val="center"/>
          </w:tcPr>
          <w:p>
            <w:pPr>
              <w:jc w:val="center"/>
              <w:rPr>
                <w:sz w:val="24"/>
              </w:rPr>
            </w:pPr>
            <w:r>
              <w:rPr>
                <w:rFonts w:hint="eastAsia"/>
                <w:sz w:val="24"/>
              </w:rPr>
              <w:t>规</w:t>
            </w:r>
            <w:r>
              <w:rPr>
                <w:sz w:val="24"/>
              </w:rPr>
              <w:t xml:space="preserve"> </w:t>
            </w:r>
            <w:r>
              <w:rPr>
                <w:rFonts w:hint="eastAsia"/>
                <w:sz w:val="24"/>
              </w:rPr>
              <w:t>格</w:t>
            </w:r>
            <w:r>
              <w:rPr>
                <w:sz w:val="24"/>
              </w:rPr>
              <w:t xml:space="preserve"> </w:t>
            </w:r>
            <w:r>
              <w:rPr>
                <w:rFonts w:hint="eastAsia"/>
                <w:sz w:val="24"/>
              </w:rPr>
              <w:t>型</w:t>
            </w:r>
            <w:r>
              <w:rPr>
                <w:sz w:val="24"/>
              </w:rPr>
              <w:t xml:space="preserve"> </w:t>
            </w:r>
            <w:r>
              <w:rPr>
                <w:rFonts w:hint="eastAsia"/>
                <w:sz w:val="24"/>
              </w:rPr>
              <w:t>号</w:t>
            </w:r>
          </w:p>
        </w:tc>
        <w:tc>
          <w:tcPr>
            <w:tcW w:w="834" w:type="dxa"/>
            <w:gridSpan w:val="2"/>
            <w:vAlign w:val="center"/>
          </w:tcPr>
          <w:p>
            <w:pPr>
              <w:jc w:val="center"/>
              <w:rPr>
                <w:sz w:val="24"/>
              </w:rPr>
            </w:pPr>
            <w:r>
              <w:rPr>
                <w:rFonts w:hint="eastAsia"/>
                <w:sz w:val="24"/>
              </w:rPr>
              <w:t>单</w:t>
            </w:r>
            <w:r>
              <w:rPr>
                <w:sz w:val="24"/>
              </w:rPr>
              <w:t xml:space="preserve"> </w:t>
            </w:r>
            <w:r>
              <w:rPr>
                <w:rFonts w:hint="eastAsia"/>
                <w:sz w:val="24"/>
              </w:rPr>
              <w:t>价</w:t>
            </w:r>
          </w:p>
        </w:tc>
        <w:tc>
          <w:tcPr>
            <w:tcW w:w="972" w:type="dxa"/>
            <w:vAlign w:val="center"/>
          </w:tcPr>
          <w:p>
            <w:pPr>
              <w:jc w:val="center"/>
              <w:rPr>
                <w:sz w:val="24"/>
              </w:rPr>
            </w:pPr>
            <w:r>
              <w:rPr>
                <w:rFonts w:hint="eastAsia"/>
                <w:sz w:val="24"/>
              </w:rPr>
              <w:t>数</w:t>
            </w:r>
            <w:r>
              <w:rPr>
                <w:sz w:val="24"/>
              </w:rPr>
              <w:t xml:space="preserve"> </w:t>
            </w:r>
            <w:r>
              <w:rPr>
                <w:rFonts w:hint="eastAsia"/>
                <w:sz w:val="24"/>
              </w:rPr>
              <w:t>量</w:t>
            </w:r>
          </w:p>
        </w:tc>
        <w:tc>
          <w:tcPr>
            <w:tcW w:w="835" w:type="dxa"/>
            <w:gridSpan w:val="2"/>
            <w:vAlign w:val="center"/>
          </w:tcPr>
          <w:p>
            <w:pPr>
              <w:jc w:val="center"/>
              <w:rPr>
                <w:sz w:val="24"/>
              </w:rPr>
            </w:pPr>
            <w:r>
              <w:rPr>
                <w:rFonts w:hint="eastAsia"/>
                <w:sz w:val="24"/>
              </w:rPr>
              <w:t>金</w:t>
            </w:r>
            <w:r>
              <w:rPr>
                <w:sz w:val="24"/>
              </w:rPr>
              <w:t xml:space="preserve"> </w:t>
            </w:r>
            <w:r>
              <w:rPr>
                <w:rFonts w:hint="eastAsia"/>
                <w:sz w:val="24"/>
              </w:rPr>
              <w:t>额</w:t>
            </w:r>
          </w:p>
        </w:tc>
        <w:tc>
          <w:tcPr>
            <w:tcW w:w="971" w:type="dxa"/>
            <w:vAlign w:val="center"/>
          </w:tcPr>
          <w:p>
            <w:pPr>
              <w:jc w:val="center"/>
              <w:rPr>
                <w:sz w:val="24"/>
              </w:rPr>
            </w:pPr>
            <w:r>
              <w:rPr>
                <w:rFonts w:hint="eastAsia"/>
                <w:sz w:val="24"/>
              </w:rPr>
              <w:t>到货数</w:t>
            </w:r>
          </w:p>
        </w:tc>
        <w:tc>
          <w:tcPr>
            <w:tcW w:w="1108" w:type="dxa"/>
            <w:vAlign w:val="center"/>
          </w:tcPr>
          <w:p>
            <w:pPr>
              <w:jc w:val="center"/>
              <w:rPr>
                <w:sz w:val="24"/>
              </w:rPr>
            </w:pPr>
            <w:r>
              <w:rPr>
                <w:rFonts w:hint="eastAsia"/>
                <w:sz w:val="24"/>
              </w:rPr>
              <w:t>抽检数</w:t>
            </w:r>
          </w:p>
        </w:tc>
        <w:tc>
          <w:tcPr>
            <w:tcW w:w="1244" w:type="dxa"/>
            <w:vAlign w:val="center"/>
          </w:tcPr>
          <w:p>
            <w:pPr>
              <w:jc w:val="center"/>
              <w:rPr>
                <w:sz w:val="24"/>
              </w:rPr>
            </w:pPr>
            <w:r>
              <w:rPr>
                <w:rFonts w:hint="eastAsia"/>
                <w:sz w:val="24"/>
              </w:rPr>
              <w:t>质量状况</w:t>
            </w:r>
          </w:p>
        </w:tc>
        <w:tc>
          <w:tcPr>
            <w:tcW w:w="1244" w:type="dxa"/>
            <w:vAlign w:val="center"/>
          </w:tcPr>
          <w:p>
            <w:pPr>
              <w:jc w:val="center"/>
              <w:rPr>
                <w:sz w:val="24"/>
              </w:rPr>
            </w:pPr>
            <w:r>
              <w:rPr>
                <w:rFonts w:hint="eastAsia"/>
                <w:sz w:val="24"/>
              </w:rPr>
              <w:t>合格数量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04" w:type="dxa"/>
          </w:tcPr>
          <w:p>
            <w:pPr>
              <w:jc w:val="center"/>
              <w:rPr>
                <w:sz w:val="24"/>
              </w:rPr>
            </w:pPr>
          </w:p>
        </w:tc>
        <w:tc>
          <w:tcPr>
            <w:tcW w:w="1108" w:type="dxa"/>
          </w:tcPr>
          <w:p>
            <w:pPr>
              <w:jc w:val="center"/>
              <w:rPr>
                <w:sz w:val="24"/>
              </w:rPr>
            </w:pPr>
          </w:p>
        </w:tc>
        <w:tc>
          <w:tcPr>
            <w:tcW w:w="1108" w:type="dxa"/>
          </w:tcPr>
          <w:p>
            <w:pPr>
              <w:jc w:val="center"/>
              <w:rPr>
                <w:sz w:val="24"/>
              </w:rPr>
            </w:pPr>
          </w:p>
        </w:tc>
        <w:tc>
          <w:tcPr>
            <w:tcW w:w="3424" w:type="dxa"/>
          </w:tcPr>
          <w:p>
            <w:pPr>
              <w:jc w:val="center"/>
              <w:rPr>
                <w:sz w:val="24"/>
              </w:rPr>
            </w:pPr>
          </w:p>
        </w:tc>
        <w:tc>
          <w:tcPr>
            <w:tcW w:w="834" w:type="dxa"/>
            <w:gridSpan w:val="2"/>
          </w:tcPr>
          <w:p>
            <w:pPr>
              <w:jc w:val="center"/>
              <w:rPr>
                <w:sz w:val="24"/>
              </w:rPr>
            </w:pPr>
          </w:p>
        </w:tc>
        <w:tc>
          <w:tcPr>
            <w:tcW w:w="972" w:type="dxa"/>
          </w:tcPr>
          <w:p>
            <w:pPr>
              <w:jc w:val="center"/>
              <w:rPr>
                <w:sz w:val="24"/>
              </w:rPr>
            </w:pPr>
          </w:p>
        </w:tc>
        <w:tc>
          <w:tcPr>
            <w:tcW w:w="835" w:type="dxa"/>
            <w:gridSpan w:val="2"/>
          </w:tcPr>
          <w:p>
            <w:pPr>
              <w:jc w:val="center"/>
              <w:rPr>
                <w:sz w:val="24"/>
              </w:rPr>
            </w:pPr>
          </w:p>
        </w:tc>
        <w:tc>
          <w:tcPr>
            <w:tcW w:w="971" w:type="dxa"/>
          </w:tcPr>
          <w:p>
            <w:pPr>
              <w:jc w:val="center"/>
              <w:rPr>
                <w:sz w:val="24"/>
              </w:rPr>
            </w:pPr>
          </w:p>
        </w:tc>
        <w:tc>
          <w:tcPr>
            <w:tcW w:w="1108" w:type="dxa"/>
          </w:tcPr>
          <w:p>
            <w:pPr>
              <w:jc w:val="center"/>
              <w:rPr>
                <w:sz w:val="24"/>
              </w:rPr>
            </w:pPr>
          </w:p>
        </w:tc>
        <w:tc>
          <w:tcPr>
            <w:tcW w:w="1244" w:type="dxa"/>
          </w:tcPr>
          <w:p>
            <w:pPr>
              <w:jc w:val="center"/>
              <w:rPr>
                <w:sz w:val="24"/>
              </w:rPr>
            </w:pPr>
          </w:p>
        </w:tc>
        <w:tc>
          <w:tcPr>
            <w:tcW w:w="1244"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04" w:type="dxa"/>
          </w:tcPr>
          <w:p>
            <w:pPr>
              <w:jc w:val="center"/>
              <w:rPr>
                <w:sz w:val="24"/>
              </w:rPr>
            </w:pPr>
          </w:p>
        </w:tc>
        <w:tc>
          <w:tcPr>
            <w:tcW w:w="1108" w:type="dxa"/>
          </w:tcPr>
          <w:p>
            <w:pPr>
              <w:jc w:val="center"/>
              <w:rPr>
                <w:sz w:val="24"/>
              </w:rPr>
            </w:pPr>
          </w:p>
        </w:tc>
        <w:tc>
          <w:tcPr>
            <w:tcW w:w="1108" w:type="dxa"/>
          </w:tcPr>
          <w:p>
            <w:pPr>
              <w:jc w:val="center"/>
              <w:rPr>
                <w:sz w:val="24"/>
              </w:rPr>
            </w:pPr>
          </w:p>
        </w:tc>
        <w:tc>
          <w:tcPr>
            <w:tcW w:w="3424" w:type="dxa"/>
          </w:tcPr>
          <w:p>
            <w:pPr>
              <w:jc w:val="center"/>
              <w:rPr>
                <w:sz w:val="24"/>
              </w:rPr>
            </w:pPr>
          </w:p>
        </w:tc>
        <w:tc>
          <w:tcPr>
            <w:tcW w:w="834" w:type="dxa"/>
            <w:gridSpan w:val="2"/>
          </w:tcPr>
          <w:p>
            <w:pPr>
              <w:jc w:val="center"/>
              <w:rPr>
                <w:sz w:val="24"/>
              </w:rPr>
            </w:pPr>
          </w:p>
        </w:tc>
        <w:tc>
          <w:tcPr>
            <w:tcW w:w="972" w:type="dxa"/>
          </w:tcPr>
          <w:p>
            <w:pPr>
              <w:jc w:val="center"/>
              <w:rPr>
                <w:sz w:val="24"/>
              </w:rPr>
            </w:pPr>
          </w:p>
        </w:tc>
        <w:tc>
          <w:tcPr>
            <w:tcW w:w="835" w:type="dxa"/>
            <w:gridSpan w:val="2"/>
          </w:tcPr>
          <w:p>
            <w:pPr>
              <w:jc w:val="center"/>
              <w:rPr>
                <w:sz w:val="24"/>
              </w:rPr>
            </w:pPr>
          </w:p>
        </w:tc>
        <w:tc>
          <w:tcPr>
            <w:tcW w:w="971" w:type="dxa"/>
          </w:tcPr>
          <w:p>
            <w:pPr>
              <w:jc w:val="center"/>
              <w:rPr>
                <w:sz w:val="24"/>
              </w:rPr>
            </w:pPr>
          </w:p>
        </w:tc>
        <w:tc>
          <w:tcPr>
            <w:tcW w:w="1108" w:type="dxa"/>
          </w:tcPr>
          <w:p>
            <w:pPr>
              <w:jc w:val="center"/>
              <w:rPr>
                <w:sz w:val="24"/>
              </w:rPr>
            </w:pPr>
          </w:p>
        </w:tc>
        <w:tc>
          <w:tcPr>
            <w:tcW w:w="1244" w:type="dxa"/>
          </w:tcPr>
          <w:p>
            <w:pPr>
              <w:jc w:val="center"/>
              <w:rPr>
                <w:sz w:val="24"/>
              </w:rPr>
            </w:pPr>
          </w:p>
        </w:tc>
        <w:tc>
          <w:tcPr>
            <w:tcW w:w="1244"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04" w:type="dxa"/>
          </w:tcPr>
          <w:p>
            <w:pPr>
              <w:jc w:val="center"/>
              <w:rPr>
                <w:sz w:val="24"/>
              </w:rPr>
            </w:pPr>
          </w:p>
        </w:tc>
        <w:tc>
          <w:tcPr>
            <w:tcW w:w="1108" w:type="dxa"/>
          </w:tcPr>
          <w:p>
            <w:pPr>
              <w:jc w:val="center"/>
              <w:rPr>
                <w:sz w:val="24"/>
              </w:rPr>
            </w:pPr>
          </w:p>
        </w:tc>
        <w:tc>
          <w:tcPr>
            <w:tcW w:w="1108" w:type="dxa"/>
          </w:tcPr>
          <w:p>
            <w:pPr>
              <w:jc w:val="center"/>
              <w:rPr>
                <w:sz w:val="24"/>
              </w:rPr>
            </w:pPr>
          </w:p>
        </w:tc>
        <w:tc>
          <w:tcPr>
            <w:tcW w:w="3424" w:type="dxa"/>
          </w:tcPr>
          <w:p>
            <w:pPr>
              <w:jc w:val="center"/>
              <w:rPr>
                <w:sz w:val="24"/>
              </w:rPr>
            </w:pPr>
          </w:p>
        </w:tc>
        <w:tc>
          <w:tcPr>
            <w:tcW w:w="834" w:type="dxa"/>
            <w:gridSpan w:val="2"/>
          </w:tcPr>
          <w:p>
            <w:pPr>
              <w:jc w:val="center"/>
              <w:rPr>
                <w:sz w:val="24"/>
              </w:rPr>
            </w:pPr>
          </w:p>
        </w:tc>
        <w:tc>
          <w:tcPr>
            <w:tcW w:w="972" w:type="dxa"/>
          </w:tcPr>
          <w:p>
            <w:pPr>
              <w:jc w:val="center"/>
              <w:rPr>
                <w:sz w:val="24"/>
              </w:rPr>
            </w:pPr>
          </w:p>
        </w:tc>
        <w:tc>
          <w:tcPr>
            <w:tcW w:w="835" w:type="dxa"/>
            <w:gridSpan w:val="2"/>
          </w:tcPr>
          <w:p>
            <w:pPr>
              <w:jc w:val="center"/>
              <w:rPr>
                <w:sz w:val="24"/>
              </w:rPr>
            </w:pPr>
          </w:p>
        </w:tc>
        <w:tc>
          <w:tcPr>
            <w:tcW w:w="971" w:type="dxa"/>
          </w:tcPr>
          <w:p>
            <w:pPr>
              <w:jc w:val="center"/>
              <w:rPr>
                <w:sz w:val="24"/>
              </w:rPr>
            </w:pPr>
          </w:p>
        </w:tc>
        <w:tc>
          <w:tcPr>
            <w:tcW w:w="1108" w:type="dxa"/>
          </w:tcPr>
          <w:p>
            <w:pPr>
              <w:jc w:val="center"/>
              <w:rPr>
                <w:sz w:val="24"/>
              </w:rPr>
            </w:pPr>
          </w:p>
        </w:tc>
        <w:tc>
          <w:tcPr>
            <w:tcW w:w="1244" w:type="dxa"/>
          </w:tcPr>
          <w:p>
            <w:pPr>
              <w:jc w:val="center"/>
              <w:rPr>
                <w:sz w:val="24"/>
              </w:rPr>
            </w:pPr>
          </w:p>
        </w:tc>
        <w:tc>
          <w:tcPr>
            <w:tcW w:w="1244"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jc w:val="center"/>
        </w:trPr>
        <w:tc>
          <w:tcPr>
            <w:tcW w:w="804" w:type="dxa"/>
          </w:tcPr>
          <w:p>
            <w:pPr>
              <w:jc w:val="center"/>
              <w:rPr>
                <w:sz w:val="24"/>
              </w:rPr>
            </w:pPr>
          </w:p>
        </w:tc>
        <w:tc>
          <w:tcPr>
            <w:tcW w:w="1108" w:type="dxa"/>
          </w:tcPr>
          <w:p>
            <w:pPr>
              <w:jc w:val="center"/>
              <w:rPr>
                <w:sz w:val="24"/>
              </w:rPr>
            </w:pPr>
          </w:p>
        </w:tc>
        <w:tc>
          <w:tcPr>
            <w:tcW w:w="1108" w:type="dxa"/>
          </w:tcPr>
          <w:p>
            <w:pPr>
              <w:jc w:val="center"/>
              <w:rPr>
                <w:sz w:val="24"/>
              </w:rPr>
            </w:pPr>
          </w:p>
        </w:tc>
        <w:tc>
          <w:tcPr>
            <w:tcW w:w="3424" w:type="dxa"/>
          </w:tcPr>
          <w:p>
            <w:pPr>
              <w:jc w:val="center"/>
              <w:rPr>
                <w:sz w:val="24"/>
              </w:rPr>
            </w:pPr>
          </w:p>
        </w:tc>
        <w:tc>
          <w:tcPr>
            <w:tcW w:w="834" w:type="dxa"/>
            <w:gridSpan w:val="2"/>
          </w:tcPr>
          <w:p>
            <w:pPr>
              <w:jc w:val="center"/>
              <w:rPr>
                <w:sz w:val="24"/>
              </w:rPr>
            </w:pPr>
          </w:p>
        </w:tc>
        <w:tc>
          <w:tcPr>
            <w:tcW w:w="972" w:type="dxa"/>
          </w:tcPr>
          <w:p>
            <w:pPr>
              <w:jc w:val="center"/>
              <w:rPr>
                <w:sz w:val="24"/>
              </w:rPr>
            </w:pPr>
          </w:p>
        </w:tc>
        <w:tc>
          <w:tcPr>
            <w:tcW w:w="835" w:type="dxa"/>
            <w:gridSpan w:val="2"/>
          </w:tcPr>
          <w:p>
            <w:pPr>
              <w:jc w:val="center"/>
              <w:rPr>
                <w:sz w:val="24"/>
              </w:rPr>
            </w:pPr>
          </w:p>
        </w:tc>
        <w:tc>
          <w:tcPr>
            <w:tcW w:w="971" w:type="dxa"/>
          </w:tcPr>
          <w:p>
            <w:pPr>
              <w:jc w:val="center"/>
              <w:rPr>
                <w:sz w:val="24"/>
              </w:rPr>
            </w:pPr>
          </w:p>
        </w:tc>
        <w:tc>
          <w:tcPr>
            <w:tcW w:w="1108" w:type="dxa"/>
          </w:tcPr>
          <w:p>
            <w:pPr>
              <w:jc w:val="center"/>
              <w:rPr>
                <w:sz w:val="24"/>
              </w:rPr>
            </w:pPr>
          </w:p>
        </w:tc>
        <w:tc>
          <w:tcPr>
            <w:tcW w:w="1244" w:type="dxa"/>
          </w:tcPr>
          <w:p>
            <w:pPr>
              <w:jc w:val="center"/>
              <w:rPr>
                <w:sz w:val="24"/>
              </w:rPr>
            </w:pPr>
          </w:p>
        </w:tc>
        <w:tc>
          <w:tcPr>
            <w:tcW w:w="1244" w:type="dxa"/>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exact"/>
          <w:jc w:val="center"/>
        </w:trPr>
        <w:tc>
          <w:tcPr>
            <w:tcW w:w="804" w:type="dxa"/>
            <w:vAlign w:val="center"/>
          </w:tcPr>
          <w:p>
            <w:pPr>
              <w:rPr>
                <w:sz w:val="24"/>
              </w:rPr>
            </w:pPr>
            <w:r>
              <w:rPr>
                <w:rFonts w:hint="eastAsia"/>
                <w:sz w:val="24"/>
              </w:rPr>
              <w:t>验收</w:t>
            </w:r>
          </w:p>
          <w:p>
            <w:pPr>
              <w:rPr>
                <w:sz w:val="24"/>
              </w:rPr>
            </w:pPr>
            <w:r>
              <w:rPr>
                <w:rFonts w:hint="eastAsia"/>
                <w:sz w:val="24"/>
              </w:rPr>
              <w:t>结论</w:t>
            </w:r>
          </w:p>
        </w:tc>
        <w:tc>
          <w:tcPr>
            <w:tcW w:w="12848" w:type="dxa"/>
            <w:gridSpan w:val="12"/>
            <w:vAlign w:val="center"/>
          </w:tcPr>
          <w:p>
            <w:pPr>
              <w:rPr>
                <w:sz w:val="24"/>
              </w:rPr>
            </w:pPr>
            <w:r>
              <w:rPr>
                <w:sz w:val="24"/>
              </w:rPr>
              <w:t>1</w:t>
            </w:r>
            <w:r>
              <w:rPr>
                <w:rFonts w:hint="eastAsia"/>
                <w:sz w:val="24"/>
              </w:rPr>
              <w:t>、规格型号是否与合同一致（</w:t>
            </w:r>
            <w:r>
              <w:rPr>
                <w:sz w:val="24"/>
              </w:rPr>
              <w:t xml:space="preserve">            </w:t>
            </w:r>
            <w:r>
              <w:rPr>
                <w:rFonts w:hint="eastAsia"/>
                <w:sz w:val="24"/>
              </w:rPr>
              <w:t>）</w:t>
            </w:r>
            <w:r>
              <w:rPr>
                <w:sz w:val="24"/>
              </w:rPr>
              <w:t xml:space="preserve">              </w:t>
            </w:r>
            <w:r>
              <w:rPr>
                <w:rFonts w:hint="eastAsia"/>
                <w:sz w:val="24"/>
              </w:rPr>
              <w:t>　　　</w:t>
            </w:r>
            <w:r>
              <w:rPr>
                <w:sz w:val="24"/>
              </w:rPr>
              <w:t xml:space="preserve">   </w:t>
            </w:r>
          </w:p>
          <w:p>
            <w:pPr>
              <w:rPr>
                <w:sz w:val="24"/>
              </w:rPr>
            </w:pPr>
            <w:r>
              <w:rPr>
                <w:sz w:val="24"/>
              </w:rPr>
              <w:t>2</w:t>
            </w:r>
            <w:r>
              <w:rPr>
                <w:rFonts w:hint="eastAsia"/>
                <w:sz w:val="24"/>
              </w:rPr>
              <w:t>、配置是否与合同一致（</w:t>
            </w:r>
            <w:r>
              <w:rPr>
                <w:sz w:val="24"/>
              </w:rPr>
              <w:t xml:space="preserve">       </w:t>
            </w:r>
            <w:r>
              <w:rPr>
                <w:rFonts w:hint="eastAsia"/>
                <w:sz w:val="24"/>
              </w:rPr>
              <w:t>）</w:t>
            </w:r>
            <w:r>
              <w:rPr>
                <w:sz w:val="24"/>
              </w:rPr>
              <w:t xml:space="preserve">  </w:t>
            </w:r>
          </w:p>
          <w:p>
            <w:pPr>
              <w:rPr>
                <w:sz w:val="24"/>
              </w:rPr>
            </w:pPr>
            <w:r>
              <w:rPr>
                <w:sz w:val="24"/>
              </w:rPr>
              <w:t>3</w:t>
            </w:r>
            <w:r>
              <w:rPr>
                <w:rFonts w:hint="eastAsia"/>
                <w:sz w:val="24"/>
              </w:rPr>
              <w:t>、合格证、说明书、附件等是否齐全（</w:t>
            </w:r>
            <w:r>
              <w:rPr>
                <w:sz w:val="24"/>
              </w:rPr>
              <w:t xml:space="preserve">        </w:t>
            </w:r>
            <w:r>
              <w:rPr>
                <w:rFonts w:hint="eastAsia"/>
                <w:sz w:val="24"/>
              </w:rPr>
              <w:t>）</w:t>
            </w:r>
          </w:p>
          <w:p>
            <w:pPr>
              <w:tabs>
                <w:tab w:val="left" w:pos="7140"/>
              </w:tabs>
              <w:rPr>
                <w:sz w:val="24"/>
              </w:rPr>
            </w:pPr>
            <w:r>
              <w:rPr>
                <w:sz w:val="24"/>
              </w:rPr>
              <w:t>4</w:t>
            </w:r>
            <w:r>
              <w:rPr>
                <w:rFonts w:hint="eastAsia"/>
                <w:sz w:val="24"/>
              </w:rPr>
              <w:t>、发票原件是否收妥（</w:t>
            </w:r>
            <w:r>
              <w:rPr>
                <w:sz w:val="24"/>
              </w:rPr>
              <w:t xml:space="preserve">         </w:t>
            </w:r>
            <w:r>
              <w:rPr>
                <w:rFonts w:hint="eastAsia"/>
                <w:sz w:val="24"/>
              </w:rPr>
              <w:t>）</w:t>
            </w:r>
            <w:r>
              <w:rPr>
                <w:sz w:val="24"/>
              </w:rPr>
              <w:tab/>
            </w:r>
          </w:p>
          <w:p>
            <w:pPr>
              <w:rPr>
                <w:sz w:val="24"/>
              </w:rPr>
            </w:pPr>
            <w:r>
              <w:rPr>
                <w:sz w:val="24"/>
              </w:rPr>
              <w:t>5</w:t>
            </w:r>
            <w:r>
              <w:rPr>
                <w:rFonts w:hint="eastAsia"/>
                <w:sz w:val="24"/>
              </w:rPr>
              <w:t>、其他验收意见：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7141" w:type="dxa"/>
            <w:gridSpan w:val="5"/>
          </w:tcPr>
          <w:p>
            <w:pPr>
              <w:spacing w:before="78" w:beforeLines="25"/>
              <w:jc w:val="left"/>
              <w:rPr>
                <w:sz w:val="24"/>
              </w:rPr>
            </w:pPr>
            <w:r>
              <w:rPr>
                <w:rFonts w:hint="eastAsia"/>
                <w:sz w:val="24"/>
              </w:rPr>
              <w:t>验收人：</w:t>
            </w:r>
            <w:r>
              <w:rPr>
                <w:sz w:val="24"/>
              </w:rPr>
              <w:t xml:space="preserve">             </w:t>
            </w:r>
            <w:r>
              <w:rPr>
                <w:rFonts w:hint="eastAsia"/>
                <w:sz w:val="24"/>
              </w:rPr>
              <w:t>负责人</w:t>
            </w:r>
            <w:r>
              <w:rPr>
                <w:sz w:val="24"/>
              </w:rPr>
              <w:t xml:space="preserve">:               </w:t>
            </w:r>
            <w:r>
              <w:rPr>
                <w:rFonts w:hint="eastAsia"/>
                <w:sz w:val="24"/>
              </w:rPr>
              <w:t>验收单位（盖章）</w:t>
            </w:r>
          </w:p>
          <w:p>
            <w:pPr>
              <w:jc w:val="left"/>
              <w:rPr>
                <w:sz w:val="24"/>
              </w:rPr>
            </w:pPr>
          </w:p>
          <w:p>
            <w:pPr>
              <w:jc w:val="left"/>
              <w:rPr>
                <w:sz w:val="24"/>
              </w:rPr>
            </w:pPr>
          </w:p>
          <w:p>
            <w:pPr>
              <w:jc w:val="left"/>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c>
          <w:tcPr>
            <w:tcW w:w="1389" w:type="dxa"/>
            <w:gridSpan w:val="3"/>
            <w:vAlign w:val="center"/>
          </w:tcPr>
          <w:p>
            <w:pPr>
              <w:jc w:val="center"/>
              <w:rPr>
                <w:sz w:val="24"/>
              </w:rPr>
            </w:pPr>
            <w:r>
              <w:rPr>
                <w:rFonts w:hint="eastAsia"/>
                <w:sz w:val="24"/>
              </w:rPr>
              <w:t>供应商</w:t>
            </w:r>
          </w:p>
          <w:p>
            <w:pPr>
              <w:jc w:val="center"/>
              <w:rPr>
                <w:sz w:val="24"/>
              </w:rPr>
            </w:pPr>
            <w:r>
              <w:rPr>
                <w:rFonts w:hint="eastAsia"/>
                <w:sz w:val="24"/>
              </w:rPr>
              <w:t>意</w:t>
            </w:r>
            <w:r>
              <w:rPr>
                <w:sz w:val="24"/>
              </w:rPr>
              <w:t xml:space="preserve"> </w:t>
            </w:r>
            <w:r>
              <w:rPr>
                <w:rFonts w:hint="eastAsia"/>
                <w:sz w:val="24"/>
              </w:rPr>
              <w:t>见</w:t>
            </w:r>
          </w:p>
          <w:p>
            <w:pPr>
              <w:jc w:val="center"/>
              <w:rPr>
                <w:sz w:val="24"/>
              </w:rPr>
            </w:pPr>
            <w:r>
              <w:rPr>
                <w:sz w:val="24"/>
              </w:rPr>
              <w:t>(</w:t>
            </w:r>
            <w:r>
              <w:rPr>
                <w:rFonts w:hint="eastAsia"/>
                <w:sz w:val="24"/>
              </w:rPr>
              <w:t>盖章</w:t>
            </w:r>
            <w:r>
              <w:rPr>
                <w:sz w:val="24"/>
              </w:rPr>
              <w:t>)</w:t>
            </w:r>
          </w:p>
        </w:tc>
        <w:tc>
          <w:tcPr>
            <w:tcW w:w="5122" w:type="dxa"/>
            <w:gridSpan w:val="5"/>
          </w:tcPr>
          <w:p>
            <w:pPr>
              <w:spacing w:before="78" w:beforeLines="25"/>
              <w:rPr>
                <w:sz w:val="24"/>
              </w:rPr>
            </w:pPr>
          </w:p>
          <w:p>
            <w:pPr>
              <w:rPr>
                <w:sz w:val="24"/>
              </w:rPr>
            </w:pPr>
          </w:p>
          <w:p>
            <w:pPr>
              <w:rPr>
                <w:sz w:val="24"/>
              </w:rPr>
            </w:pPr>
          </w:p>
          <w:p>
            <w:pPr>
              <w:ind w:firstLine="1800" w:firstLineChars="75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sectPr>
          <w:pgSz w:w="16838" w:h="11906" w:orient="landscape"/>
          <w:pgMar w:top="1440" w:right="1080" w:bottom="1440" w:left="1080" w:header="851" w:footer="1021" w:gutter="0"/>
          <w:pgNumType w:fmt="decimal"/>
          <w:cols w:space="720" w:num="1"/>
          <w:docGrid w:type="lines" w:linePitch="312" w:charSpace="0"/>
        </w:sectPr>
      </w:pPr>
    </w:p>
    <w:p/>
    <w:p/>
    <w:p/>
    <w:p/>
    <w:p/>
    <w:p/>
    <w:p/>
    <w:p/>
    <w:p/>
    <w:p/>
    <w:p/>
    <w:p/>
    <w:p/>
    <w:p/>
    <w:p/>
    <w:p/>
    <w:p/>
    <w:p>
      <w:pPr>
        <w:pStyle w:val="3"/>
        <w:jc w:val="center"/>
      </w:pPr>
      <w:bookmarkStart w:id="103" w:name="_Toc2543_WPSOffice_Level1"/>
      <w:bookmarkStart w:id="104" w:name="_Toc24455"/>
      <w:r>
        <w:rPr>
          <w:rFonts w:hint="eastAsia"/>
        </w:rPr>
        <w:t>第五部分</w:t>
      </w:r>
      <w:r>
        <w:t xml:space="preserve">  </w:t>
      </w:r>
      <w:r>
        <w:rPr>
          <w:rFonts w:hint="eastAsia"/>
        </w:rPr>
        <w:t>合同文件</w:t>
      </w:r>
      <w:bookmarkEnd w:id="103"/>
      <w:bookmarkEnd w:id="104"/>
    </w:p>
    <w:p>
      <w:pPr>
        <w:adjustRightInd w:val="0"/>
        <w:spacing w:line="560" w:lineRule="exact"/>
        <w:ind w:firstLine="560" w:firstLineChars="200"/>
        <w:rPr>
          <w:rFonts w:ascii="宋体"/>
          <w:b/>
          <w:bCs/>
          <w:sz w:val="28"/>
          <w:szCs w:val="28"/>
        </w:rPr>
      </w:pPr>
      <w:r>
        <w:rPr>
          <w:rFonts w:hint="eastAsia" w:ascii="宋体" w:hAnsi="宋体"/>
          <w:b/>
          <w:bCs/>
          <w:sz w:val="28"/>
          <w:szCs w:val="28"/>
        </w:rPr>
        <w:t>（说明：本合同作为合同的基本格式，不作为最终合同，甲乙双方有权在签订合同时对合同的相关条款及内容作进一步的细化和修改。）</w:t>
      </w:r>
    </w:p>
    <w:p>
      <w:pPr>
        <w:adjustRightInd w:val="0"/>
        <w:spacing w:line="560" w:lineRule="exact"/>
        <w:ind w:firstLine="880" w:firstLineChars="200"/>
        <w:jc w:val="center"/>
        <w:rPr>
          <w:rFonts w:ascii="宋体" w:cs="宋体"/>
          <w:b/>
          <w:sz w:val="44"/>
          <w:szCs w:val="44"/>
        </w:rPr>
      </w:pPr>
    </w:p>
    <w:p>
      <w:pPr>
        <w:adjustRightInd w:val="0"/>
        <w:spacing w:line="560" w:lineRule="exact"/>
        <w:ind w:firstLine="880" w:firstLineChars="200"/>
        <w:jc w:val="center"/>
        <w:rPr>
          <w:rFonts w:ascii="宋体" w:cs="宋体"/>
          <w:b/>
          <w:sz w:val="44"/>
          <w:szCs w:val="44"/>
        </w:rPr>
      </w:pPr>
    </w:p>
    <w:p>
      <w:pPr>
        <w:adjustRightInd w:val="0"/>
        <w:spacing w:line="560" w:lineRule="exact"/>
        <w:ind w:firstLine="880" w:firstLineChars="200"/>
        <w:jc w:val="center"/>
        <w:rPr>
          <w:rFonts w:ascii="宋体" w:cs="宋体"/>
          <w:b/>
          <w:sz w:val="44"/>
          <w:szCs w:val="44"/>
        </w:rPr>
      </w:pPr>
    </w:p>
    <w:p>
      <w:pPr>
        <w:adjustRightInd w:val="0"/>
        <w:spacing w:line="560" w:lineRule="exact"/>
        <w:ind w:firstLine="880" w:firstLineChars="200"/>
        <w:jc w:val="center"/>
        <w:rPr>
          <w:rFonts w:ascii="宋体" w:cs="宋体"/>
          <w:b/>
          <w:sz w:val="44"/>
          <w:szCs w:val="44"/>
        </w:rPr>
      </w:pPr>
    </w:p>
    <w:p>
      <w:pPr>
        <w:adjustRightInd w:val="0"/>
        <w:spacing w:line="560" w:lineRule="exact"/>
        <w:ind w:firstLine="880" w:firstLineChars="200"/>
        <w:jc w:val="center"/>
        <w:rPr>
          <w:rFonts w:ascii="宋体" w:cs="宋体"/>
          <w:b/>
          <w:sz w:val="44"/>
          <w:szCs w:val="44"/>
        </w:rPr>
      </w:pPr>
    </w:p>
    <w:p>
      <w:pPr>
        <w:adjustRightInd w:val="0"/>
        <w:spacing w:line="560" w:lineRule="exact"/>
        <w:rPr>
          <w:rFonts w:ascii="宋体" w:cs="宋体"/>
          <w:b/>
          <w:sz w:val="44"/>
          <w:szCs w:val="44"/>
        </w:rPr>
      </w:pPr>
    </w:p>
    <w:p>
      <w:pPr>
        <w:adjustRightInd w:val="0"/>
        <w:spacing w:line="560" w:lineRule="exact"/>
        <w:rPr>
          <w:rFonts w:ascii="宋体" w:cs="宋体"/>
          <w:b/>
          <w:sz w:val="44"/>
          <w:szCs w:val="44"/>
        </w:rPr>
      </w:pPr>
    </w:p>
    <w:p>
      <w:pPr>
        <w:adjustRightInd w:val="0"/>
        <w:spacing w:line="560" w:lineRule="exact"/>
        <w:rPr>
          <w:rFonts w:ascii="宋体" w:cs="宋体"/>
          <w:b/>
          <w:sz w:val="44"/>
          <w:szCs w:val="44"/>
        </w:rPr>
      </w:pPr>
    </w:p>
    <w:p>
      <w:pPr>
        <w:adjustRightInd w:val="0"/>
        <w:spacing w:line="560" w:lineRule="exact"/>
        <w:rPr>
          <w:rFonts w:ascii="宋体" w:cs="宋体"/>
          <w:b/>
          <w:sz w:val="44"/>
          <w:szCs w:val="44"/>
        </w:rPr>
      </w:pPr>
    </w:p>
    <w:p>
      <w:pPr>
        <w:adjustRightInd w:val="0"/>
        <w:spacing w:line="560" w:lineRule="exact"/>
        <w:rPr>
          <w:rFonts w:ascii="宋体" w:cs="宋体"/>
          <w:b/>
          <w:sz w:val="44"/>
          <w:szCs w:val="44"/>
        </w:rPr>
      </w:pPr>
    </w:p>
    <w:p>
      <w:pPr>
        <w:rPr>
          <w:rFonts w:ascii="宋体" w:hAnsi="宋体"/>
          <w:b/>
          <w:sz w:val="48"/>
          <w:szCs w:val="48"/>
        </w:rPr>
      </w:pPr>
      <w:bookmarkStart w:id="105" w:name="_Toc424032380"/>
      <w:bookmarkStart w:id="106" w:name="_Toc420001858"/>
    </w:p>
    <w:bookmarkEnd w:id="105"/>
    <w:bookmarkEnd w:id="106"/>
    <w:p>
      <w:pPr>
        <w:spacing w:line="360" w:lineRule="auto"/>
        <w:jc w:val="center"/>
        <w:rPr>
          <w:rFonts w:ascii="宋体"/>
          <w:sz w:val="48"/>
          <w:szCs w:val="44"/>
        </w:rPr>
      </w:pPr>
      <w:r>
        <w:rPr>
          <w:rFonts w:hint="eastAsia" w:ascii="宋体" w:hAnsi="宋体" w:cs="宋体"/>
          <w:b/>
          <w:color w:val="212121"/>
          <w:kern w:val="0"/>
          <w:sz w:val="44"/>
          <w:szCs w:val="44"/>
          <w:shd w:val="clear" w:color="auto" w:fill="FFFFFF"/>
          <w:lang w:val="en-US" w:eastAsia="zh-CN"/>
        </w:rPr>
        <w:t>民乐县人民法院数据机房及办公楼安防监控改造项目</w:t>
      </w:r>
      <w:r>
        <w:rPr>
          <w:rFonts w:hint="eastAsia" w:ascii="宋体" w:hAnsi="宋体" w:cs="宋体"/>
          <w:b/>
          <w:color w:val="212121"/>
          <w:kern w:val="0"/>
          <w:sz w:val="44"/>
          <w:szCs w:val="44"/>
          <w:shd w:val="clear" w:color="auto" w:fill="FFFFFF"/>
        </w:rPr>
        <w:t xml:space="preserve">      </w:t>
      </w:r>
    </w:p>
    <w:p>
      <w:pPr>
        <w:spacing w:line="360" w:lineRule="auto"/>
        <w:rPr>
          <w:rFonts w:ascii="宋体"/>
          <w:sz w:val="48"/>
          <w:szCs w:val="44"/>
        </w:rPr>
      </w:pPr>
    </w:p>
    <w:p>
      <w:pPr>
        <w:spacing w:line="360" w:lineRule="auto"/>
        <w:rPr>
          <w:rFonts w:ascii="宋体"/>
          <w:sz w:val="48"/>
          <w:szCs w:val="44"/>
        </w:rPr>
      </w:pPr>
    </w:p>
    <w:p>
      <w:pPr>
        <w:spacing w:line="360" w:lineRule="auto"/>
        <w:jc w:val="center"/>
        <w:rPr>
          <w:rFonts w:ascii="宋体"/>
          <w:sz w:val="48"/>
          <w:szCs w:val="44"/>
        </w:rPr>
      </w:pPr>
    </w:p>
    <w:p>
      <w:pPr>
        <w:spacing w:line="360" w:lineRule="auto"/>
        <w:jc w:val="center"/>
        <w:rPr>
          <w:rFonts w:ascii="宋体"/>
          <w:b/>
          <w:bCs/>
          <w:sz w:val="52"/>
          <w:szCs w:val="52"/>
        </w:rPr>
      </w:pPr>
      <w:bookmarkStart w:id="107" w:name="_Toc17365_WPSOffice_Level2"/>
      <w:bookmarkStart w:id="108" w:name="_Toc29870_WPSOffice_Level2"/>
      <w:bookmarkStart w:id="109" w:name="_Toc11906_WPSOffice_Level2"/>
      <w:bookmarkStart w:id="110" w:name="_Toc7875_WPSOffice_Level2"/>
      <w:r>
        <w:rPr>
          <w:rFonts w:hint="eastAsia" w:ascii="宋体" w:hAnsi="宋体"/>
          <w:b/>
          <w:bCs/>
          <w:sz w:val="52"/>
          <w:szCs w:val="52"/>
        </w:rPr>
        <w:t>采购合同</w:t>
      </w:r>
      <w:bookmarkEnd w:id="107"/>
      <w:bookmarkEnd w:id="108"/>
      <w:bookmarkEnd w:id="109"/>
      <w:bookmarkEnd w:id="110"/>
    </w:p>
    <w:p>
      <w:pPr>
        <w:spacing w:line="360" w:lineRule="auto"/>
        <w:rPr>
          <w:rFonts w:ascii="宋体"/>
          <w:sz w:val="28"/>
        </w:rPr>
      </w:pPr>
      <w:r>
        <w:rPr>
          <w:rFonts w:ascii="宋体" w:hAnsi="宋体"/>
          <w:sz w:val="28"/>
        </w:rPr>
        <w:t xml:space="preserve">        </w:t>
      </w:r>
    </w:p>
    <w:p>
      <w:pPr>
        <w:spacing w:line="360" w:lineRule="auto"/>
        <w:rPr>
          <w:rFonts w:ascii="宋体"/>
          <w:sz w:val="36"/>
          <w:szCs w:val="36"/>
        </w:rPr>
      </w:pPr>
    </w:p>
    <w:p>
      <w:pPr>
        <w:spacing w:line="360" w:lineRule="auto"/>
        <w:rPr>
          <w:rFonts w:ascii="宋体"/>
          <w:sz w:val="36"/>
          <w:szCs w:val="36"/>
        </w:rPr>
      </w:pPr>
    </w:p>
    <w:p>
      <w:pPr>
        <w:jc w:val="center"/>
        <w:rPr>
          <w:rFonts w:ascii="宋体"/>
          <w:b/>
          <w:sz w:val="36"/>
          <w:szCs w:val="36"/>
        </w:rPr>
      </w:pPr>
    </w:p>
    <w:p>
      <w:pPr>
        <w:tabs>
          <w:tab w:val="left" w:pos="720"/>
        </w:tabs>
        <w:spacing w:line="480" w:lineRule="auto"/>
        <w:ind w:firstLine="1280" w:firstLineChars="400"/>
        <w:rPr>
          <w:rFonts w:ascii="宋体" w:hAnsi="宋体"/>
          <w:b/>
          <w:sz w:val="32"/>
          <w:szCs w:val="36"/>
        </w:rPr>
      </w:pPr>
      <w:bookmarkStart w:id="111" w:name="_Toc12744_WPSOffice_Level2"/>
      <w:bookmarkStart w:id="112" w:name="_Toc4310_WPSOffice_Level2"/>
      <w:bookmarkStart w:id="113" w:name="_Toc26640_WPSOffice_Level2"/>
      <w:bookmarkStart w:id="114" w:name="_Toc15197_WPSOffice_Level2"/>
      <w:bookmarkStart w:id="115" w:name="_Toc440387938"/>
      <w:r>
        <w:rPr>
          <w:rFonts w:hint="eastAsia" w:ascii="宋体" w:hAnsi="宋体"/>
          <w:b/>
          <w:sz w:val="32"/>
          <w:szCs w:val="36"/>
        </w:rPr>
        <w:t>交易编号：XXXXXXXXXXXXXXXXX</w:t>
      </w:r>
      <w:bookmarkEnd w:id="111"/>
      <w:bookmarkEnd w:id="112"/>
      <w:bookmarkEnd w:id="113"/>
      <w:bookmarkEnd w:id="114"/>
    </w:p>
    <w:p>
      <w:pPr>
        <w:spacing w:line="360" w:lineRule="auto"/>
        <w:ind w:firstLine="1280" w:firstLineChars="400"/>
        <w:jc w:val="left"/>
        <w:rPr>
          <w:rFonts w:ascii="宋体"/>
          <w:b/>
          <w:sz w:val="32"/>
          <w:szCs w:val="36"/>
        </w:rPr>
      </w:pPr>
      <w:bookmarkStart w:id="116" w:name="_Toc27082_WPSOffice_Level2"/>
      <w:bookmarkStart w:id="117" w:name="_Toc16229_WPSOffice_Level2"/>
      <w:bookmarkStart w:id="118" w:name="_Toc8084_WPSOffice_Level2"/>
      <w:bookmarkStart w:id="119" w:name="_Toc8650_WPSOffice_Level2"/>
      <w:r>
        <w:rPr>
          <w:rFonts w:hint="eastAsia" w:ascii="宋体" w:hAnsi="宋体"/>
          <w:b/>
          <w:sz w:val="32"/>
          <w:szCs w:val="36"/>
        </w:rPr>
        <w:t>采购单位：</w:t>
      </w:r>
      <w:bookmarkEnd w:id="116"/>
      <w:bookmarkEnd w:id="117"/>
      <w:bookmarkEnd w:id="118"/>
      <w:r>
        <w:rPr>
          <w:rFonts w:hint="eastAsia" w:ascii="宋体" w:hAnsi="宋体"/>
          <w:b/>
          <w:sz w:val="32"/>
          <w:szCs w:val="36"/>
        </w:rPr>
        <w:t>民乐县</w:t>
      </w:r>
      <w:r>
        <w:rPr>
          <w:rFonts w:hint="eastAsia"/>
          <w:b/>
          <w:sz w:val="32"/>
          <w:szCs w:val="36"/>
          <w:lang w:eastAsia="zh-CN"/>
        </w:rPr>
        <w:t>人民法</w:t>
      </w:r>
      <w:r>
        <w:rPr>
          <w:rFonts w:hint="eastAsia" w:ascii="宋体" w:hAnsi="宋体"/>
          <w:b/>
          <w:sz w:val="32"/>
          <w:szCs w:val="36"/>
        </w:rPr>
        <w:t>院</w:t>
      </w:r>
      <w:bookmarkEnd w:id="119"/>
    </w:p>
    <w:p>
      <w:pPr>
        <w:spacing w:line="360" w:lineRule="auto"/>
        <w:ind w:firstLine="1280" w:firstLineChars="400"/>
        <w:rPr>
          <w:rFonts w:ascii="宋体" w:hAnsi="宋体"/>
          <w:b/>
          <w:sz w:val="32"/>
          <w:szCs w:val="36"/>
        </w:rPr>
      </w:pPr>
      <w:bookmarkStart w:id="120" w:name="_Toc3344_WPSOffice_Level2"/>
      <w:bookmarkStart w:id="121" w:name="_Toc310_WPSOffice_Level2"/>
      <w:bookmarkStart w:id="122" w:name="_Toc26558_WPSOffice_Level2"/>
      <w:bookmarkStart w:id="123" w:name="_Toc1259_WPSOffice_Level2"/>
      <w:r>
        <w:rPr>
          <w:rFonts w:hint="eastAsia" w:ascii="宋体" w:hAnsi="宋体"/>
          <w:b/>
          <w:sz w:val="32"/>
          <w:szCs w:val="36"/>
        </w:rPr>
        <w:t>供应商：</w:t>
      </w:r>
      <w:r>
        <w:rPr>
          <w:rFonts w:ascii="宋体" w:hAnsi="宋体"/>
          <w:b/>
          <w:sz w:val="32"/>
          <w:szCs w:val="36"/>
        </w:rPr>
        <w:t>XXXXXXXXXXXXXXXXXXXXXX</w:t>
      </w:r>
      <w:bookmarkEnd w:id="120"/>
      <w:bookmarkEnd w:id="121"/>
      <w:bookmarkEnd w:id="122"/>
      <w:bookmarkEnd w:id="123"/>
    </w:p>
    <w:p>
      <w:pPr>
        <w:tabs>
          <w:tab w:val="left" w:pos="720"/>
        </w:tabs>
        <w:spacing w:line="480" w:lineRule="auto"/>
        <w:ind w:firstLine="1280" w:firstLineChars="400"/>
        <w:rPr>
          <w:rFonts w:ascii="宋体" w:hAnsi="宋体" w:eastAsia="宋体" w:cs="宋体"/>
          <w:sz w:val="24"/>
        </w:rPr>
      </w:pPr>
      <w:bookmarkStart w:id="124" w:name="_Toc28710_WPSOffice_Level2"/>
      <w:bookmarkStart w:id="125" w:name="_Toc3793_WPSOffice_Level2"/>
      <w:bookmarkStart w:id="126" w:name="_Toc10488_WPSOffice_Level2"/>
      <w:bookmarkStart w:id="127" w:name="_Toc7908_WPSOffice_Level2"/>
      <w:r>
        <w:rPr>
          <w:rFonts w:hint="eastAsia" w:ascii="宋体" w:hAnsi="宋体"/>
          <w:b/>
          <w:sz w:val="32"/>
          <w:szCs w:val="36"/>
        </w:rPr>
        <w:t>招标代理机构：</w:t>
      </w:r>
      <w:bookmarkEnd w:id="115"/>
      <w:bookmarkEnd w:id="124"/>
      <w:bookmarkEnd w:id="125"/>
      <w:bookmarkEnd w:id="126"/>
      <w:bookmarkEnd w:id="127"/>
      <w:r>
        <w:rPr>
          <w:rFonts w:hint="eastAsia" w:ascii="宋体" w:hAnsi="宋体" w:eastAsia="宋体" w:cs="宋体"/>
          <w:b/>
          <w:sz w:val="32"/>
          <w:szCs w:val="36"/>
          <w:lang w:eastAsia="zh-CN"/>
        </w:rPr>
        <w:t>甘肃金盛招标代理有限公司</w:t>
      </w:r>
      <w:r>
        <w:rPr>
          <w:rFonts w:hint="eastAsia" w:ascii="宋体" w:hAnsi="宋体" w:eastAsia="宋体" w:cs="宋体"/>
          <w:sz w:val="24"/>
        </w:rPr>
        <w:t xml:space="preserve">    </w:t>
      </w:r>
    </w:p>
    <w:p>
      <w:pPr>
        <w:tabs>
          <w:tab w:val="left" w:pos="720"/>
        </w:tabs>
        <w:spacing w:line="480" w:lineRule="auto"/>
        <w:ind w:firstLine="960" w:firstLineChars="400"/>
        <w:rPr>
          <w:rFonts w:ascii="宋体" w:hAnsi="宋体" w:eastAsia="宋体" w:cs="宋体"/>
          <w:sz w:val="24"/>
        </w:rPr>
      </w:pPr>
    </w:p>
    <w:p>
      <w:pPr>
        <w:tabs>
          <w:tab w:val="left" w:pos="720"/>
        </w:tabs>
        <w:spacing w:line="480" w:lineRule="auto"/>
        <w:ind w:firstLine="960" w:firstLineChars="400"/>
        <w:rPr>
          <w:rFonts w:ascii="宋体" w:hAnsi="宋体" w:eastAsia="宋体" w:cs="宋体"/>
          <w:sz w:val="24"/>
        </w:rPr>
      </w:pPr>
    </w:p>
    <w:p>
      <w:pPr>
        <w:pStyle w:val="2"/>
      </w:pPr>
    </w:p>
    <w:p>
      <w:pPr>
        <w:tabs>
          <w:tab w:val="left" w:pos="720"/>
        </w:tabs>
        <w:spacing w:line="480" w:lineRule="auto"/>
        <w:rPr>
          <w:rFonts w:ascii="宋体" w:hAnsi="宋体"/>
          <w:sz w:val="22"/>
          <w:szCs w:val="22"/>
        </w:rPr>
      </w:pPr>
      <w:r>
        <w:rPr>
          <w:rFonts w:hint="eastAsia" w:ascii="宋体" w:hAnsi="宋体" w:eastAsia="宋体" w:cs="宋体"/>
          <w:sz w:val="24"/>
        </w:rPr>
        <w:t xml:space="preserve">                    </w:t>
      </w:r>
    </w:p>
    <w:p>
      <w:pPr>
        <w:spacing w:line="360" w:lineRule="auto"/>
        <w:rPr>
          <w:rFonts w:hint="eastAsia" w:ascii="宋体" w:hAnsi="宋体"/>
          <w:sz w:val="22"/>
          <w:szCs w:val="22"/>
        </w:rPr>
      </w:pPr>
      <w:bookmarkStart w:id="128" w:name="_Toc9537_WPSOffice_Level2"/>
      <w:bookmarkStart w:id="129" w:name="_Toc14056_WPSOffice_Level2"/>
      <w:bookmarkStart w:id="130" w:name="_Toc22534_WPSOffice_Level2"/>
      <w:bookmarkStart w:id="131" w:name="_Toc13203_WPSOffice_Level2"/>
    </w:p>
    <w:p>
      <w:pPr>
        <w:spacing w:line="360" w:lineRule="auto"/>
        <w:rPr>
          <w:rFonts w:hint="eastAsia" w:ascii="宋体" w:hAnsi="宋体"/>
          <w:sz w:val="22"/>
          <w:szCs w:val="22"/>
        </w:rPr>
      </w:pPr>
    </w:p>
    <w:p>
      <w:pPr>
        <w:spacing w:line="360" w:lineRule="auto"/>
        <w:rPr>
          <w:rFonts w:hint="eastAsia" w:ascii="宋体" w:hAnsi="宋体"/>
          <w:sz w:val="22"/>
          <w:szCs w:val="22"/>
        </w:rPr>
      </w:pPr>
    </w:p>
    <w:p>
      <w:pPr>
        <w:spacing w:line="360" w:lineRule="auto"/>
        <w:rPr>
          <w:rFonts w:ascii="宋体" w:hAnsi="宋体"/>
          <w:sz w:val="22"/>
          <w:szCs w:val="22"/>
        </w:rPr>
      </w:pPr>
      <w:r>
        <w:rPr>
          <w:rFonts w:hint="eastAsia" w:ascii="宋体" w:hAnsi="宋体"/>
          <w:sz w:val="22"/>
          <w:szCs w:val="22"/>
        </w:rPr>
        <w:t>甲方（采购人）</w:t>
      </w:r>
      <w:bookmarkEnd w:id="128"/>
      <w:bookmarkEnd w:id="129"/>
      <w:bookmarkEnd w:id="130"/>
      <w:bookmarkEnd w:id="131"/>
      <w:r>
        <w:rPr>
          <w:rFonts w:hint="eastAsia" w:ascii="宋体" w:hAnsi="宋体"/>
          <w:sz w:val="22"/>
          <w:szCs w:val="22"/>
          <w:u w:val="single"/>
        </w:rPr>
        <w:t xml:space="preserve">                         </w:t>
      </w:r>
    </w:p>
    <w:p>
      <w:pPr>
        <w:spacing w:line="360" w:lineRule="auto"/>
        <w:rPr>
          <w:rFonts w:ascii="宋体" w:hAnsi="宋体"/>
          <w:sz w:val="22"/>
          <w:szCs w:val="22"/>
        </w:rPr>
      </w:pPr>
      <w:bookmarkStart w:id="132" w:name="_Toc20753_WPSOffice_Level2"/>
      <w:bookmarkStart w:id="133" w:name="_Toc12607_WPSOffice_Level2"/>
      <w:bookmarkStart w:id="134" w:name="_Toc25636_WPSOffice_Level2"/>
      <w:bookmarkStart w:id="135" w:name="_Toc7534_WPSOffice_Level2"/>
      <w:r>
        <w:rPr>
          <w:rFonts w:hint="eastAsia" w:ascii="宋体" w:hAnsi="宋体"/>
          <w:sz w:val="22"/>
          <w:szCs w:val="22"/>
        </w:rPr>
        <w:t>乙方（供应商）</w:t>
      </w:r>
      <w:bookmarkEnd w:id="132"/>
      <w:bookmarkEnd w:id="133"/>
      <w:bookmarkEnd w:id="134"/>
      <w:bookmarkEnd w:id="135"/>
      <w:r>
        <w:rPr>
          <w:rFonts w:hint="eastAsia" w:ascii="宋体" w:hAnsi="宋体"/>
          <w:sz w:val="22"/>
          <w:szCs w:val="22"/>
          <w:u w:val="single"/>
        </w:rPr>
        <w:t xml:space="preserve">                         </w:t>
      </w:r>
    </w:p>
    <w:p>
      <w:r>
        <w:rPr>
          <w:rFonts w:hint="eastAsia" w:ascii="宋体" w:hAnsi="宋体"/>
          <w:sz w:val="22"/>
          <w:szCs w:val="22"/>
        </w:rPr>
        <w:t xml:space="preserve">    根据“民乐县人民法院数据机房</w:t>
      </w:r>
      <w:r>
        <w:rPr>
          <w:rFonts w:hint="eastAsia" w:ascii="宋体" w:hAnsi="宋体"/>
          <w:sz w:val="22"/>
          <w:szCs w:val="22"/>
          <w:lang w:eastAsia="zh-CN"/>
        </w:rPr>
        <w:t>及办公楼安防监控改造项目</w:t>
      </w:r>
      <w:r>
        <w:rPr>
          <w:rFonts w:hint="eastAsia" w:ascii="宋体" w:hAnsi="宋体"/>
          <w:b/>
          <w:sz w:val="22"/>
          <w:szCs w:val="22"/>
        </w:rPr>
        <w:t>”</w:t>
      </w:r>
      <w:r>
        <w:rPr>
          <w:rFonts w:hint="eastAsia" w:ascii="宋体" w:hAnsi="宋体"/>
          <w:sz w:val="22"/>
          <w:szCs w:val="22"/>
        </w:rPr>
        <w:t>的采购结果，按照《中华人民共和国政府采购法》、《中华人民共和国合同法》的规定，</w:t>
      </w:r>
      <w:r>
        <w:rPr>
          <w:rFonts w:hint="eastAsia" w:ascii="宋体" w:hAnsi="宋体"/>
          <w:kern w:val="28"/>
          <w:sz w:val="22"/>
          <w:szCs w:val="22"/>
        </w:rPr>
        <w:t>经双方协商，</w:t>
      </w:r>
      <w:r>
        <w:rPr>
          <w:rFonts w:hint="eastAsia" w:ascii="宋体" w:hAnsi="宋体"/>
          <w:sz w:val="22"/>
          <w:szCs w:val="22"/>
        </w:rPr>
        <w:t>本着平等互利和诚实信用的原则，</w:t>
      </w:r>
      <w:r>
        <w:rPr>
          <w:rFonts w:hint="eastAsia" w:ascii="宋体" w:hAnsi="宋体"/>
          <w:kern w:val="28"/>
          <w:sz w:val="22"/>
          <w:szCs w:val="22"/>
        </w:rPr>
        <w:t>一致同意签订本合同如下。</w:t>
      </w:r>
    </w:p>
    <w:p>
      <w:pPr>
        <w:adjustRightInd w:val="0"/>
        <w:snapToGrid w:val="0"/>
        <w:spacing w:line="360" w:lineRule="auto"/>
        <w:rPr>
          <w:rFonts w:ascii="宋体" w:hAnsi="宋体"/>
          <w:b/>
          <w:sz w:val="24"/>
        </w:rPr>
      </w:pPr>
      <w:bookmarkStart w:id="136" w:name="_Toc8437_WPSOffice_Level2"/>
      <w:bookmarkStart w:id="137" w:name="_Toc2103_WPSOffice_Level2"/>
      <w:bookmarkStart w:id="138" w:name="_Toc1232_WPSOffice_Level2"/>
      <w:bookmarkStart w:id="139" w:name="_Toc24195_WPSOffice_Level2"/>
      <w:r>
        <w:rPr>
          <w:rFonts w:hint="eastAsia" w:ascii="宋体" w:hAnsi="宋体"/>
          <w:b/>
          <w:sz w:val="24"/>
        </w:rPr>
        <w:t>一、货物内容：</w:t>
      </w:r>
      <w:bookmarkEnd w:id="136"/>
      <w:bookmarkEnd w:id="137"/>
      <w:bookmarkEnd w:id="138"/>
      <w:bookmarkEnd w:id="139"/>
    </w:p>
    <w:tbl>
      <w:tblPr>
        <w:tblStyle w:val="12"/>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1559"/>
        <w:gridCol w:w="2977"/>
        <w:gridCol w:w="992"/>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853" w:type="dxa"/>
            <w:tcBorders>
              <w:left w:val="single" w:color="auto" w:sz="8"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序号</w:t>
            </w:r>
          </w:p>
        </w:tc>
        <w:tc>
          <w:tcPr>
            <w:tcW w:w="1559" w:type="dxa"/>
            <w:tcBorders>
              <w:left w:val="single" w:color="auto" w:sz="8"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货物名称</w:t>
            </w:r>
          </w:p>
        </w:tc>
        <w:tc>
          <w:tcPr>
            <w:tcW w:w="2977" w:type="dxa"/>
            <w:tcBorders>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品牌、规格型号、配置</w:t>
            </w:r>
          </w:p>
          <w:p>
            <w:pPr>
              <w:adjustRightInd w:val="0"/>
              <w:snapToGrid w:val="0"/>
              <w:jc w:val="center"/>
              <w:rPr>
                <w:rFonts w:ascii="宋体" w:hAnsi="宋体"/>
                <w:sz w:val="24"/>
              </w:rPr>
            </w:pPr>
            <w:r>
              <w:rPr>
                <w:rFonts w:hint="eastAsia" w:ascii="宋体" w:hAnsi="宋体"/>
                <w:sz w:val="24"/>
              </w:rPr>
              <w:t>（性能参数）</w:t>
            </w:r>
          </w:p>
        </w:tc>
        <w:tc>
          <w:tcPr>
            <w:tcW w:w="992" w:type="dxa"/>
            <w:tcBorders>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产地</w:t>
            </w:r>
          </w:p>
        </w:tc>
        <w:tc>
          <w:tcPr>
            <w:tcW w:w="992" w:type="dxa"/>
            <w:tcBorders>
              <w:left w:val="single" w:color="auto" w:sz="4" w:space="0"/>
              <w:bottom w:val="single" w:color="auto" w:sz="4"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数量</w:t>
            </w:r>
          </w:p>
        </w:tc>
        <w:tc>
          <w:tcPr>
            <w:tcW w:w="993" w:type="dxa"/>
            <w:tcBorders>
              <w:left w:val="single" w:color="auto" w:sz="4" w:space="0"/>
              <w:bottom w:val="single" w:color="auto" w:sz="4" w:space="0"/>
              <w:right w:val="single" w:color="auto" w:sz="8" w:space="0"/>
            </w:tcBorders>
            <w:vAlign w:val="center"/>
          </w:tcPr>
          <w:p>
            <w:pPr>
              <w:adjustRightInd w:val="0"/>
              <w:snapToGrid w:val="0"/>
              <w:jc w:val="center"/>
              <w:rPr>
                <w:rFonts w:ascii="宋体" w:hAnsi="宋体"/>
                <w:sz w:val="24"/>
              </w:rPr>
            </w:pPr>
            <w:r>
              <w:rPr>
                <w:rFonts w:hint="eastAsia" w:ascii="宋体" w:hAnsi="宋体"/>
                <w:sz w:val="24"/>
              </w:rPr>
              <w:t>单价</w:t>
            </w:r>
          </w:p>
          <w:p>
            <w:pPr>
              <w:adjustRightInd w:val="0"/>
              <w:snapToGrid w:val="0"/>
              <w:jc w:val="center"/>
              <w:rPr>
                <w:rFonts w:ascii="宋体" w:hAnsi="宋体"/>
                <w:sz w:val="24"/>
              </w:rPr>
            </w:pPr>
            <w:r>
              <w:rPr>
                <w:rFonts w:hint="eastAsia" w:ascii="宋体" w:hAnsi="宋体"/>
                <w:sz w:val="24"/>
              </w:rPr>
              <w:t>(元)</w:t>
            </w:r>
          </w:p>
        </w:tc>
        <w:tc>
          <w:tcPr>
            <w:tcW w:w="992" w:type="dxa"/>
            <w:tcBorders>
              <w:left w:val="single" w:color="auto" w:sz="4" w:space="0"/>
              <w:bottom w:val="single" w:color="auto" w:sz="4" w:space="0"/>
              <w:right w:val="single" w:color="auto" w:sz="8" w:space="0"/>
            </w:tcBorders>
            <w:vAlign w:val="center"/>
          </w:tcPr>
          <w:p>
            <w:pPr>
              <w:adjustRightInd w:val="0"/>
              <w:snapToGrid w:val="0"/>
              <w:jc w:val="center"/>
              <w:rPr>
                <w:rFonts w:ascii="宋体" w:hAnsi="宋体"/>
                <w:sz w:val="24"/>
              </w:rPr>
            </w:pPr>
            <w:r>
              <w:rPr>
                <w:rFonts w:hint="eastAsia" w:ascii="宋体" w:hAnsi="宋体"/>
                <w:sz w:val="24"/>
              </w:rPr>
              <w:t>总额</w:t>
            </w:r>
          </w:p>
          <w:p>
            <w:pPr>
              <w:adjustRightInd w:val="0"/>
              <w:snapToGrid w:val="0"/>
              <w:jc w:val="center"/>
              <w:rPr>
                <w:rFonts w:ascii="宋体" w:hAnsi="宋体"/>
                <w:sz w:val="24"/>
              </w:rPr>
            </w:pP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853" w:type="dxa"/>
            <w:tcBorders>
              <w:left w:val="single" w:color="auto" w:sz="8"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1</w:t>
            </w:r>
          </w:p>
        </w:tc>
        <w:tc>
          <w:tcPr>
            <w:tcW w:w="1559" w:type="dxa"/>
            <w:tcBorders>
              <w:left w:val="single" w:color="auto" w:sz="4" w:space="0"/>
              <w:bottom w:val="single" w:color="auto" w:sz="4" w:space="0"/>
              <w:right w:val="single" w:color="auto" w:sz="4" w:space="0"/>
            </w:tcBorders>
            <w:vAlign w:val="center"/>
          </w:tcPr>
          <w:p>
            <w:pPr>
              <w:adjustRightInd w:val="0"/>
              <w:snapToGrid w:val="0"/>
              <w:rPr>
                <w:rFonts w:ascii="宋体" w:hAnsi="宋体"/>
                <w:sz w:val="24"/>
              </w:rPr>
            </w:pPr>
          </w:p>
        </w:tc>
        <w:tc>
          <w:tcPr>
            <w:tcW w:w="2977" w:type="dxa"/>
            <w:tcBorders>
              <w:left w:val="single" w:color="auto" w:sz="4" w:space="0"/>
              <w:bottom w:val="single" w:color="auto" w:sz="4" w:space="0"/>
              <w:right w:val="single" w:color="auto" w:sz="4" w:space="0"/>
            </w:tcBorders>
            <w:vAlign w:val="center"/>
          </w:tcPr>
          <w:p>
            <w:pPr>
              <w:adjustRightInd w:val="0"/>
              <w:snapToGrid w:val="0"/>
              <w:rPr>
                <w:rFonts w:ascii="宋体" w:hAnsi="宋体"/>
                <w:sz w:val="24"/>
              </w:rPr>
            </w:pPr>
          </w:p>
        </w:tc>
        <w:tc>
          <w:tcPr>
            <w:tcW w:w="992" w:type="dxa"/>
            <w:tcBorders>
              <w:left w:val="single" w:color="auto" w:sz="4" w:space="0"/>
              <w:bottom w:val="single" w:color="auto" w:sz="4" w:space="0"/>
              <w:right w:val="single" w:color="auto" w:sz="4" w:space="0"/>
            </w:tcBorders>
            <w:vAlign w:val="center"/>
          </w:tcPr>
          <w:p>
            <w:pPr>
              <w:adjustRightInd w:val="0"/>
              <w:snapToGrid w:val="0"/>
              <w:rPr>
                <w:rFonts w:ascii="宋体" w:hAnsi="宋体"/>
                <w:sz w:val="24"/>
              </w:rPr>
            </w:pPr>
          </w:p>
        </w:tc>
        <w:tc>
          <w:tcPr>
            <w:tcW w:w="992" w:type="dxa"/>
            <w:tcBorders>
              <w:left w:val="single" w:color="auto" w:sz="4" w:space="0"/>
              <w:bottom w:val="single" w:color="auto" w:sz="4" w:space="0"/>
              <w:right w:val="single" w:color="auto" w:sz="4" w:space="0"/>
            </w:tcBorders>
            <w:vAlign w:val="center"/>
          </w:tcPr>
          <w:p>
            <w:pPr>
              <w:adjustRightInd w:val="0"/>
              <w:snapToGrid w:val="0"/>
              <w:rPr>
                <w:rFonts w:ascii="宋体" w:hAnsi="宋体"/>
                <w:sz w:val="24"/>
              </w:rPr>
            </w:pPr>
          </w:p>
        </w:tc>
        <w:tc>
          <w:tcPr>
            <w:tcW w:w="993" w:type="dxa"/>
            <w:tcBorders>
              <w:left w:val="single" w:color="auto" w:sz="4" w:space="0"/>
              <w:bottom w:val="single" w:color="auto" w:sz="4" w:space="0"/>
              <w:right w:val="single" w:color="auto" w:sz="4" w:space="0"/>
            </w:tcBorders>
            <w:vAlign w:val="center"/>
          </w:tcPr>
          <w:p>
            <w:pPr>
              <w:adjustRightInd w:val="0"/>
              <w:snapToGrid w:val="0"/>
              <w:rPr>
                <w:rFonts w:ascii="宋体" w:hAnsi="宋体"/>
                <w:sz w:val="24"/>
              </w:rPr>
            </w:pPr>
          </w:p>
        </w:tc>
        <w:tc>
          <w:tcPr>
            <w:tcW w:w="992" w:type="dxa"/>
            <w:tcBorders>
              <w:left w:val="single" w:color="auto" w:sz="4" w:space="0"/>
              <w:bottom w:val="single" w:color="auto" w:sz="4" w:space="0"/>
              <w:right w:val="single" w:color="auto" w:sz="4" w:space="0"/>
            </w:tcBorders>
            <w:vAlign w:val="center"/>
          </w:tcPr>
          <w:p>
            <w:pPr>
              <w:adjustRightInd w:val="0"/>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853" w:type="dxa"/>
            <w:tcBorders>
              <w:left w:val="single" w:color="auto" w:sz="8"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2</w:t>
            </w:r>
          </w:p>
        </w:tc>
        <w:tc>
          <w:tcPr>
            <w:tcW w:w="1559" w:type="dxa"/>
            <w:tcBorders>
              <w:left w:val="single" w:color="auto" w:sz="4" w:space="0"/>
              <w:right w:val="single" w:color="auto" w:sz="4" w:space="0"/>
            </w:tcBorders>
            <w:vAlign w:val="center"/>
          </w:tcPr>
          <w:p>
            <w:pPr>
              <w:adjustRightInd w:val="0"/>
              <w:snapToGrid w:val="0"/>
              <w:rPr>
                <w:rFonts w:ascii="宋体" w:hAnsi="宋体"/>
                <w:sz w:val="24"/>
              </w:rPr>
            </w:pPr>
          </w:p>
        </w:tc>
        <w:tc>
          <w:tcPr>
            <w:tcW w:w="2977" w:type="dxa"/>
            <w:tcBorders>
              <w:left w:val="single" w:color="auto" w:sz="4" w:space="0"/>
              <w:right w:val="single" w:color="auto" w:sz="4" w:space="0"/>
            </w:tcBorders>
            <w:vAlign w:val="center"/>
          </w:tcPr>
          <w:p>
            <w:pPr>
              <w:adjustRightInd w:val="0"/>
              <w:snapToGrid w:val="0"/>
              <w:rPr>
                <w:rFonts w:ascii="宋体" w:hAnsi="宋体"/>
                <w:sz w:val="24"/>
              </w:rPr>
            </w:pPr>
          </w:p>
        </w:tc>
        <w:tc>
          <w:tcPr>
            <w:tcW w:w="992" w:type="dxa"/>
            <w:tcBorders>
              <w:left w:val="single" w:color="auto" w:sz="4" w:space="0"/>
              <w:right w:val="single" w:color="auto" w:sz="4" w:space="0"/>
            </w:tcBorders>
            <w:vAlign w:val="center"/>
          </w:tcPr>
          <w:p>
            <w:pPr>
              <w:adjustRightInd w:val="0"/>
              <w:snapToGrid w:val="0"/>
              <w:rPr>
                <w:rFonts w:ascii="宋体" w:hAnsi="宋体"/>
                <w:sz w:val="24"/>
              </w:rPr>
            </w:pPr>
          </w:p>
        </w:tc>
        <w:tc>
          <w:tcPr>
            <w:tcW w:w="992" w:type="dxa"/>
            <w:tcBorders>
              <w:left w:val="single" w:color="auto" w:sz="4" w:space="0"/>
              <w:right w:val="single" w:color="auto" w:sz="4" w:space="0"/>
            </w:tcBorders>
            <w:vAlign w:val="center"/>
          </w:tcPr>
          <w:p>
            <w:pPr>
              <w:adjustRightInd w:val="0"/>
              <w:snapToGrid w:val="0"/>
              <w:rPr>
                <w:rFonts w:ascii="宋体" w:hAnsi="宋体"/>
                <w:sz w:val="24"/>
              </w:rPr>
            </w:pPr>
          </w:p>
        </w:tc>
        <w:tc>
          <w:tcPr>
            <w:tcW w:w="993" w:type="dxa"/>
            <w:tcBorders>
              <w:left w:val="single" w:color="auto" w:sz="4" w:space="0"/>
              <w:right w:val="single" w:color="auto" w:sz="4" w:space="0"/>
            </w:tcBorders>
            <w:vAlign w:val="center"/>
          </w:tcPr>
          <w:p>
            <w:pPr>
              <w:adjustRightInd w:val="0"/>
              <w:snapToGrid w:val="0"/>
              <w:rPr>
                <w:rFonts w:ascii="宋体" w:hAnsi="宋体"/>
                <w:sz w:val="24"/>
              </w:rPr>
            </w:pPr>
          </w:p>
        </w:tc>
        <w:tc>
          <w:tcPr>
            <w:tcW w:w="992" w:type="dxa"/>
            <w:tcBorders>
              <w:left w:val="single" w:color="auto" w:sz="4" w:space="0"/>
              <w:right w:val="single" w:color="auto" w:sz="4" w:space="0"/>
            </w:tcBorders>
            <w:vAlign w:val="center"/>
          </w:tcPr>
          <w:p>
            <w:pPr>
              <w:adjustRightInd w:val="0"/>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853" w:type="dxa"/>
            <w:tcBorders>
              <w:left w:val="single" w:color="auto" w:sz="8" w:space="0"/>
              <w:right w:val="single" w:color="auto" w:sz="4" w:space="0"/>
            </w:tcBorders>
            <w:vAlign w:val="center"/>
          </w:tcPr>
          <w:p>
            <w:pPr>
              <w:adjustRightInd w:val="0"/>
              <w:snapToGrid w:val="0"/>
              <w:jc w:val="center"/>
              <w:rPr>
                <w:rFonts w:ascii="宋体" w:hAnsi="宋体"/>
                <w:sz w:val="24"/>
              </w:rPr>
            </w:pPr>
            <w:r>
              <w:rPr>
                <w:rFonts w:hint="eastAsia" w:ascii="宋体" w:hAnsi="宋体"/>
                <w:sz w:val="24"/>
              </w:rPr>
              <w:t>3</w:t>
            </w:r>
          </w:p>
        </w:tc>
        <w:tc>
          <w:tcPr>
            <w:tcW w:w="1559" w:type="dxa"/>
            <w:tcBorders>
              <w:left w:val="single" w:color="auto" w:sz="4" w:space="0"/>
              <w:right w:val="single" w:color="auto" w:sz="4" w:space="0"/>
            </w:tcBorders>
            <w:vAlign w:val="center"/>
          </w:tcPr>
          <w:p>
            <w:pPr>
              <w:adjustRightInd w:val="0"/>
              <w:snapToGrid w:val="0"/>
              <w:rPr>
                <w:rFonts w:ascii="宋体" w:hAnsi="宋体"/>
                <w:sz w:val="24"/>
              </w:rPr>
            </w:pPr>
          </w:p>
        </w:tc>
        <w:tc>
          <w:tcPr>
            <w:tcW w:w="2977" w:type="dxa"/>
            <w:tcBorders>
              <w:left w:val="single" w:color="auto" w:sz="4" w:space="0"/>
              <w:right w:val="single" w:color="auto" w:sz="4" w:space="0"/>
            </w:tcBorders>
            <w:vAlign w:val="center"/>
          </w:tcPr>
          <w:p>
            <w:pPr>
              <w:adjustRightInd w:val="0"/>
              <w:snapToGrid w:val="0"/>
              <w:rPr>
                <w:rFonts w:ascii="宋体" w:hAnsi="宋体"/>
                <w:sz w:val="24"/>
              </w:rPr>
            </w:pPr>
          </w:p>
        </w:tc>
        <w:tc>
          <w:tcPr>
            <w:tcW w:w="992" w:type="dxa"/>
            <w:tcBorders>
              <w:left w:val="single" w:color="auto" w:sz="4" w:space="0"/>
              <w:right w:val="single" w:color="auto" w:sz="4" w:space="0"/>
            </w:tcBorders>
            <w:vAlign w:val="center"/>
          </w:tcPr>
          <w:p>
            <w:pPr>
              <w:adjustRightInd w:val="0"/>
              <w:snapToGrid w:val="0"/>
              <w:rPr>
                <w:rFonts w:ascii="宋体" w:hAnsi="宋体"/>
                <w:sz w:val="24"/>
              </w:rPr>
            </w:pPr>
          </w:p>
        </w:tc>
        <w:tc>
          <w:tcPr>
            <w:tcW w:w="992" w:type="dxa"/>
            <w:tcBorders>
              <w:left w:val="single" w:color="auto" w:sz="4" w:space="0"/>
              <w:right w:val="single" w:color="auto" w:sz="4" w:space="0"/>
            </w:tcBorders>
            <w:vAlign w:val="center"/>
          </w:tcPr>
          <w:p>
            <w:pPr>
              <w:adjustRightInd w:val="0"/>
              <w:snapToGrid w:val="0"/>
              <w:rPr>
                <w:rFonts w:ascii="宋体" w:hAnsi="宋体"/>
                <w:sz w:val="24"/>
              </w:rPr>
            </w:pPr>
          </w:p>
        </w:tc>
        <w:tc>
          <w:tcPr>
            <w:tcW w:w="993" w:type="dxa"/>
            <w:tcBorders>
              <w:left w:val="single" w:color="auto" w:sz="4" w:space="0"/>
              <w:right w:val="single" w:color="auto" w:sz="4" w:space="0"/>
            </w:tcBorders>
            <w:vAlign w:val="center"/>
          </w:tcPr>
          <w:p>
            <w:pPr>
              <w:adjustRightInd w:val="0"/>
              <w:snapToGrid w:val="0"/>
              <w:rPr>
                <w:rFonts w:ascii="宋体" w:hAnsi="宋体"/>
                <w:sz w:val="24"/>
              </w:rPr>
            </w:pPr>
          </w:p>
        </w:tc>
        <w:tc>
          <w:tcPr>
            <w:tcW w:w="992" w:type="dxa"/>
            <w:tcBorders>
              <w:left w:val="single" w:color="auto" w:sz="4" w:space="0"/>
              <w:right w:val="single" w:color="auto" w:sz="4" w:space="0"/>
            </w:tcBorders>
            <w:vAlign w:val="center"/>
          </w:tcPr>
          <w:p>
            <w:pPr>
              <w:adjustRightInd w:val="0"/>
              <w:snapToGrid w:val="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jc w:val="center"/>
        </w:trPr>
        <w:tc>
          <w:tcPr>
            <w:tcW w:w="853" w:type="dxa"/>
            <w:tcBorders>
              <w:left w:val="single" w:color="auto" w:sz="8" w:space="0"/>
              <w:right w:val="single" w:color="auto" w:sz="4" w:space="0"/>
            </w:tcBorders>
            <w:vAlign w:val="center"/>
          </w:tcPr>
          <w:p>
            <w:pPr>
              <w:adjustRightInd w:val="0"/>
              <w:snapToGrid w:val="0"/>
              <w:jc w:val="center"/>
              <w:rPr>
                <w:rFonts w:ascii="宋体" w:hAnsi="宋体"/>
                <w:sz w:val="24"/>
              </w:rPr>
            </w:pPr>
            <w:r>
              <w:rPr>
                <w:rFonts w:ascii="宋体" w:hAnsi="宋体"/>
                <w:sz w:val="24"/>
              </w:rPr>
              <w:t>…</w:t>
            </w:r>
          </w:p>
        </w:tc>
        <w:tc>
          <w:tcPr>
            <w:tcW w:w="1559" w:type="dxa"/>
            <w:tcBorders>
              <w:left w:val="single" w:color="auto" w:sz="4" w:space="0"/>
              <w:bottom w:val="single" w:color="auto" w:sz="4" w:space="0"/>
              <w:right w:val="single" w:color="auto" w:sz="4" w:space="0"/>
            </w:tcBorders>
            <w:vAlign w:val="center"/>
          </w:tcPr>
          <w:p>
            <w:pPr>
              <w:adjustRightInd w:val="0"/>
              <w:snapToGrid w:val="0"/>
              <w:rPr>
                <w:rFonts w:ascii="宋体" w:hAnsi="宋体"/>
                <w:sz w:val="24"/>
              </w:rPr>
            </w:pPr>
          </w:p>
        </w:tc>
        <w:tc>
          <w:tcPr>
            <w:tcW w:w="2977" w:type="dxa"/>
            <w:tcBorders>
              <w:left w:val="single" w:color="auto" w:sz="4" w:space="0"/>
              <w:bottom w:val="single" w:color="auto" w:sz="4" w:space="0"/>
              <w:right w:val="single" w:color="auto" w:sz="4" w:space="0"/>
            </w:tcBorders>
            <w:vAlign w:val="center"/>
          </w:tcPr>
          <w:p>
            <w:pPr>
              <w:adjustRightInd w:val="0"/>
              <w:snapToGrid w:val="0"/>
              <w:rPr>
                <w:rFonts w:ascii="宋体" w:hAnsi="宋体"/>
                <w:sz w:val="24"/>
              </w:rPr>
            </w:pPr>
          </w:p>
        </w:tc>
        <w:tc>
          <w:tcPr>
            <w:tcW w:w="992" w:type="dxa"/>
            <w:tcBorders>
              <w:left w:val="single" w:color="auto" w:sz="4" w:space="0"/>
              <w:bottom w:val="single" w:color="auto" w:sz="4" w:space="0"/>
              <w:right w:val="single" w:color="auto" w:sz="4" w:space="0"/>
            </w:tcBorders>
            <w:vAlign w:val="center"/>
          </w:tcPr>
          <w:p>
            <w:pPr>
              <w:adjustRightInd w:val="0"/>
              <w:snapToGrid w:val="0"/>
              <w:rPr>
                <w:rFonts w:ascii="宋体" w:hAnsi="宋体"/>
                <w:sz w:val="24"/>
              </w:rPr>
            </w:pPr>
          </w:p>
        </w:tc>
        <w:tc>
          <w:tcPr>
            <w:tcW w:w="992" w:type="dxa"/>
            <w:tcBorders>
              <w:left w:val="single" w:color="auto" w:sz="4" w:space="0"/>
              <w:bottom w:val="single" w:color="auto" w:sz="4" w:space="0"/>
              <w:right w:val="single" w:color="auto" w:sz="4" w:space="0"/>
            </w:tcBorders>
            <w:vAlign w:val="center"/>
          </w:tcPr>
          <w:p>
            <w:pPr>
              <w:adjustRightInd w:val="0"/>
              <w:snapToGrid w:val="0"/>
              <w:rPr>
                <w:rFonts w:ascii="宋体" w:hAnsi="宋体"/>
                <w:sz w:val="24"/>
              </w:rPr>
            </w:pPr>
          </w:p>
        </w:tc>
        <w:tc>
          <w:tcPr>
            <w:tcW w:w="993" w:type="dxa"/>
            <w:tcBorders>
              <w:left w:val="single" w:color="auto" w:sz="4" w:space="0"/>
              <w:bottom w:val="single" w:color="auto" w:sz="4" w:space="0"/>
              <w:right w:val="single" w:color="auto" w:sz="4" w:space="0"/>
            </w:tcBorders>
            <w:vAlign w:val="center"/>
          </w:tcPr>
          <w:p>
            <w:pPr>
              <w:adjustRightInd w:val="0"/>
              <w:snapToGrid w:val="0"/>
              <w:rPr>
                <w:rFonts w:ascii="宋体" w:hAnsi="宋体"/>
                <w:sz w:val="24"/>
              </w:rPr>
            </w:pPr>
          </w:p>
        </w:tc>
        <w:tc>
          <w:tcPr>
            <w:tcW w:w="992" w:type="dxa"/>
            <w:tcBorders>
              <w:left w:val="single" w:color="auto" w:sz="4" w:space="0"/>
              <w:bottom w:val="single" w:color="auto" w:sz="4" w:space="0"/>
              <w:right w:val="single" w:color="auto" w:sz="4" w:space="0"/>
            </w:tcBorders>
            <w:vAlign w:val="center"/>
          </w:tcPr>
          <w:p>
            <w:pPr>
              <w:adjustRightInd w:val="0"/>
              <w:snapToGrid w:val="0"/>
              <w:rPr>
                <w:rFonts w:ascii="宋体" w:hAnsi="宋体"/>
                <w:sz w:val="24"/>
              </w:rPr>
            </w:pPr>
          </w:p>
        </w:tc>
      </w:tr>
    </w:tbl>
    <w:p>
      <w:pPr>
        <w:adjustRightInd w:val="0"/>
        <w:snapToGrid w:val="0"/>
        <w:spacing w:line="360" w:lineRule="auto"/>
        <w:rPr>
          <w:rFonts w:ascii="宋体" w:hAnsi="宋体"/>
          <w:spacing w:val="-4"/>
          <w:sz w:val="24"/>
        </w:rPr>
      </w:pPr>
      <w:r>
        <w:rPr>
          <w:rFonts w:hint="eastAsia" w:ascii="宋体" w:hAnsi="宋体"/>
          <w:spacing w:val="-4"/>
          <w:sz w:val="24"/>
        </w:rPr>
        <w:t>合同总额包括完成采购范围内全部货物采购及相关伴随服务等全过程的费用等。</w:t>
      </w:r>
    </w:p>
    <w:p>
      <w:pPr>
        <w:adjustRightInd w:val="0"/>
        <w:snapToGrid w:val="0"/>
        <w:spacing w:line="360" w:lineRule="auto"/>
        <w:ind w:firstLine="480" w:firstLineChars="200"/>
        <w:rPr>
          <w:rFonts w:ascii="宋体" w:hAnsi="宋体"/>
          <w:spacing w:val="-4"/>
          <w:sz w:val="24"/>
        </w:rPr>
      </w:pPr>
      <w:r>
        <w:rPr>
          <w:rFonts w:hint="eastAsia" w:ascii="宋体" w:hAnsi="宋体"/>
          <w:sz w:val="24"/>
        </w:rPr>
        <w:t>注：货物名称内容必须与《招标文件》中货物名称内容一致。</w:t>
      </w:r>
    </w:p>
    <w:p>
      <w:pPr>
        <w:adjustRightInd w:val="0"/>
        <w:snapToGrid w:val="0"/>
        <w:spacing w:line="360" w:lineRule="auto"/>
        <w:rPr>
          <w:rFonts w:ascii="宋体" w:hAnsi="宋体"/>
          <w:spacing w:val="-4"/>
          <w:sz w:val="24"/>
        </w:rPr>
      </w:pPr>
      <w:bookmarkStart w:id="140" w:name="_Toc6088_WPSOffice_Level2"/>
      <w:bookmarkStart w:id="141" w:name="_Toc10_WPSOffice_Level2"/>
      <w:bookmarkStart w:id="142" w:name="_Toc6027_WPSOffice_Level2"/>
      <w:bookmarkStart w:id="143" w:name="_Toc7955_WPSOffice_Level2"/>
      <w:r>
        <w:rPr>
          <w:rFonts w:hint="eastAsia" w:ascii="宋体" w:hAnsi="宋体"/>
          <w:b/>
          <w:sz w:val="24"/>
        </w:rPr>
        <w:t>二、合同金额：</w:t>
      </w:r>
      <w:bookmarkEnd w:id="140"/>
      <w:bookmarkEnd w:id="141"/>
      <w:bookmarkEnd w:id="142"/>
      <w:bookmarkEnd w:id="143"/>
    </w:p>
    <w:p>
      <w:pPr>
        <w:pStyle w:val="5"/>
        <w:adjustRightInd w:val="0"/>
        <w:snapToGrid w:val="0"/>
        <w:spacing w:line="360" w:lineRule="auto"/>
        <w:ind w:firstLine="480" w:firstLineChars="200"/>
        <w:rPr>
          <w:rFonts w:hAnsi="宋体"/>
          <w:sz w:val="24"/>
        </w:rPr>
      </w:pPr>
      <w:r>
        <w:rPr>
          <w:rFonts w:hint="eastAsia" w:hAnsi="宋体"/>
          <w:sz w:val="24"/>
        </w:rPr>
        <w:t>合同金额为人民币</w:t>
      </w:r>
      <w:r>
        <w:rPr>
          <w:rFonts w:hint="eastAsia" w:hAnsi="宋体"/>
          <w:sz w:val="24"/>
          <w:u w:val="single"/>
        </w:rPr>
        <w:t xml:space="preserve">               </w:t>
      </w:r>
      <w:r>
        <w:rPr>
          <w:rFonts w:hint="eastAsia" w:hAnsi="宋体"/>
          <w:sz w:val="24"/>
        </w:rPr>
        <w:t>元，</w:t>
      </w:r>
      <w:r>
        <w:rPr>
          <w:rFonts w:hAnsi="宋体"/>
          <w:sz w:val="24"/>
        </w:rPr>
        <w:t>¥</w:t>
      </w:r>
      <w:r>
        <w:rPr>
          <w:rFonts w:hint="eastAsia" w:hAnsi="宋体"/>
          <w:sz w:val="24"/>
          <w:u w:val="single"/>
        </w:rPr>
        <w:t xml:space="preserve">               </w:t>
      </w:r>
      <w:r>
        <w:rPr>
          <w:rFonts w:hint="eastAsia" w:hAnsi="宋体"/>
          <w:sz w:val="24"/>
        </w:rPr>
        <w:t>。</w:t>
      </w:r>
    </w:p>
    <w:p>
      <w:pPr>
        <w:adjustRightInd w:val="0"/>
        <w:snapToGrid w:val="0"/>
        <w:spacing w:line="360" w:lineRule="auto"/>
        <w:rPr>
          <w:rFonts w:ascii="宋体" w:hAnsi="宋体"/>
          <w:b/>
          <w:sz w:val="24"/>
        </w:rPr>
      </w:pPr>
      <w:bookmarkStart w:id="144" w:name="_Toc9224_WPSOffice_Level2"/>
      <w:bookmarkStart w:id="145" w:name="_Toc23649_WPSOffice_Level2"/>
      <w:bookmarkStart w:id="146" w:name="_Toc29622_WPSOffice_Level2"/>
      <w:bookmarkStart w:id="147" w:name="_Toc10475_WPSOffice_Level2"/>
      <w:r>
        <w:rPr>
          <w:rFonts w:hint="eastAsia" w:ascii="宋体" w:hAnsi="宋体"/>
          <w:b/>
          <w:sz w:val="24"/>
        </w:rPr>
        <w:t>三、货物要求：</w:t>
      </w:r>
      <w:bookmarkEnd w:id="144"/>
      <w:bookmarkEnd w:id="145"/>
      <w:bookmarkEnd w:id="146"/>
      <w:bookmarkEnd w:id="147"/>
    </w:p>
    <w:p>
      <w:pPr>
        <w:adjustRightInd w:val="0"/>
        <w:snapToGrid w:val="0"/>
        <w:spacing w:line="360" w:lineRule="auto"/>
        <w:ind w:firstLine="480" w:firstLineChars="200"/>
        <w:rPr>
          <w:rFonts w:ascii="宋体" w:hAnsi="宋体"/>
          <w:sz w:val="24"/>
        </w:rPr>
      </w:pPr>
      <w:r>
        <w:rPr>
          <w:rFonts w:hint="eastAsia" w:ascii="宋体" w:hAnsi="宋体"/>
          <w:sz w:val="24"/>
        </w:rPr>
        <w:t>货物为原制造商制造的全新产品，无污染，无侵权行为、表面无划损、无任何缺陷隐患，在中国境内可依常规安全合法使用。</w:t>
      </w:r>
    </w:p>
    <w:p>
      <w:pPr>
        <w:adjustRightInd w:val="0"/>
        <w:snapToGrid w:val="0"/>
        <w:spacing w:line="360" w:lineRule="auto"/>
        <w:ind w:firstLine="480" w:firstLineChars="200"/>
        <w:rPr>
          <w:rFonts w:ascii="宋体" w:hAnsi="宋体"/>
          <w:sz w:val="24"/>
        </w:rPr>
      </w:pPr>
      <w:r>
        <w:rPr>
          <w:rFonts w:hint="eastAsia" w:ascii="宋体" w:hAnsi="宋体"/>
          <w:sz w:val="24"/>
        </w:rPr>
        <w:t>乙方保证其提供的产品不存在有造成人身、财产损害的现实或潜在的危险以及不存在任何权利上的瑕疵。</w:t>
      </w:r>
    </w:p>
    <w:p>
      <w:pPr>
        <w:adjustRightInd w:val="0"/>
        <w:snapToGrid w:val="0"/>
        <w:spacing w:line="360" w:lineRule="auto"/>
        <w:ind w:firstLine="480" w:firstLineChars="200"/>
        <w:rPr>
          <w:rFonts w:ascii="宋体" w:hAnsi="宋体"/>
          <w:sz w:val="24"/>
        </w:rPr>
      </w:pPr>
      <w:r>
        <w:rPr>
          <w:rFonts w:hint="eastAsia" w:ascii="宋体" w:hAnsi="宋体"/>
          <w:sz w:val="24"/>
        </w:rPr>
        <w:t>乙方须提供产品检验报告、产品合格证书、质量保证书、产品说明书等资料。</w:t>
      </w:r>
    </w:p>
    <w:p>
      <w:pPr>
        <w:adjustRightInd w:val="0"/>
        <w:snapToGrid w:val="0"/>
        <w:spacing w:line="360" w:lineRule="auto"/>
        <w:ind w:firstLine="480" w:firstLineChars="200"/>
        <w:rPr>
          <w:rFonts w:ascii="宋体" w:hAnsi="宋体"/>
          <w:sz w:val="24"/>
        </w:rPr>
      </w:pPr>
      <w:r>
        <w:rPr>
          <w:rFonts w:hint="eastAsia" w:ascii="宋体" w:hAnsi="宋体"/>
          <w:sz w:val="24"/>
        </w:rPr>
        <w:t>交付验收标准依次序对照适用标准为：</w:t>
      </w:r>
    </w:p>
    <w:p>
      <w:pPr>
        <w:adjustRightInd w:val="0"/>
        <w:snapToGrid w:val="0"/>
        <w:spacing w:line="360" w:lineRule="auto"/>
        <w:ind w:firstLine="480" w:firstLineChars="200"/>
        <w:rPr>
          <w:rFonts w:ascii="宋体" w:hAnsi="宋体"/>
          <w:sz w:val="24"/>
        </w:rPr>
      </w:pPr>
      <w:r>
        <w:rPr>
          <w:rFonts w:hint="eastAsia" w:ascii="宋体" w:hAnsi="宋体"/>
          <w:sz w:val="24"/>
        </w:rPr>
        <w:t>①符合中华人民共和国国家安全质量标准、环保标准或行业标准；</w:t>
      </w:r>
    </w:p>
    <w:p>
      <w:pPr>
        <w:adjustRightInd w:val="0"/>
        <w:snapToGrid w:val="0"/>
        <w:spacing w:line="360" w:lineRule="auto"/>
        <w:ind w:firstLine="480" w:firstLineChars="200"/>
        <w:rPr>
          <w:rFonts w:ascii="宋体" w:hAnsi="宋体"/>
          <w:sz w:val="24"/>
        </w:rPr>
      </w:pPr>
      <w:r>
        <w:rPr>
          <w:rFonts w:hint="eastAsia" w:ascii="宋体" w:hAnsi="宋体"/>
          <w:sz w:val="24"/>
        </w:rPr>
        <w:t>②符合《招标文件》和《招标文件》中甲方认可的合理最佳配置、参数及各项要求；</w:t>
      </w:r>
    </w:p>
    <w:p>
      <w:pPr>
        <w:adjustRightInd w:val="0"/>
        <w:snapToGrid w:val="0"/>
        <w:spacing w:line="360" w:lineRule="auto"/>
        <w:ind w:firstLine="480" w:firstLineChars="200"/>
        <w:rPr>
          <w:rFonts w:ascii="宋体" w:hAnsi="宋体"/>
          <w:sz w:val="24"/>
        </w:rPr>
      </w:pPr>
      <w:r>
        <w:rPr>
          <w:rFonts w:hint="eastAsia" w:ascii="宋体" w:hAnsi="宋体"/>
          <w:sz w:val="24"/>
        </w:rPr>
        <w:t>③货物来源符合国家标准。</w:t>
      </w:r>
    </w:p>
    <w:p>
      <w:pPr>
        <w:adjustRightInd w:val="0"/>
        <w:snapToGrid w:val="0"/>
        <w:spacing w:line="360" w:lineRule="auto"/>
        <w:rPr>
          <w:rFonts w:ascii="宋体" w:hAnsi="宋体"/>
          <w:b/>
          <w:sz w:val="24"/>
        </w:rPr>
      </w:pPr>
      <w:bookmarkStart w:id="148" w:name="_Toc32060_WPSOffice_Level2"/>
      <w:bookmarkStart w:id="149" w:name="_Toc662_WPSOffice_Level2"/>
      <w:bookmarkStart w:id="150" w:name="_Toc4316_WPSOffice_Level2"/>
      <w:bookmarkStart w:id="151" w:name="_Toc27659_WPSOffice_Level2"/>
      <w:r>
        <w:rPr>
          <w:rFonts w:hint="eastAsia" w:ascii="宋体" w:hAnsi="宋体"/>
          <w:b/>
          <w:sz w:val="24"/>
        </w:rPr>
        <w:t>四、交货期、交货方式及交货地点：</w:t>
      </w:r>
      <w:bookmarkEnd w:id="148"/>
      <w:bookmarkEnd w:id="149"/>
      <w:bookmarkEnd w:id="150"/>
      <w:bookmarkEnd w:id="151"/>
    </w:p>
    <w:p>
      <w:pPr>
        <w:adjustRightInd w:val="0"/>
        <w:snapToGrid w:val="0"/>
        <w:spacing w:line="360" w:lineRule="auto"/>
        <w:ind w:firstLine="480" w:firstLineChars="200"/>
        <w:rPr>
          <w:rFonts w:ascii="宋体" w:hAnsi="宋体"/>
          <w:sz w:val="24"/>
        </w:rPr>
      </w:pPr>
      <w:r>
        <w:rPr>
          <w:rFonts w:hint="eastAsia" w:ascii="宋体" w:hAnsi="宋体"/>
          <w:sz w:val="24"/>
        </w:rPr>
        <w:t>交货期：合同生效后</w:t>
      </w:r>
      <w:r>
        <w:rPr>
          <w:rFonts w:hint="eastAsia" w:ascii="宋体" w:hAnsi="宋体"/>
          <w:sz w:val="24"/>
          <w:u w:val="single"/>
        </w:rPr>
        <w:t xml:space="preserve">     </w:t>
      </w:r>
      <w:r>
        <w:rPr>
          <w:rFonts w:hint="eastAsia" w:ascii="宋体" w:hAnsi="宋体"/>
          <w:sz w:val="24"/>
        </w:rPr>
        <w:t>天内完成供货以及验收。</w:t>
      </w:r>
    </w:p>
    <w:p>
      <w:pPr>
        <w:adjustRightInd w:val="0"/>
        <w:snapToGrid w:val="0"/>
        <w:spacing w:line="360" w:lineRule="auto"/>
        <w:ind w:firstLine="480" w:firstLineChars="200"/>
        <w:rPr>
          <w:rFonts w:ascii="宋体" w:hAnsi="宋体"/>
          <w:sz w:val="24"/>
        </w:rPr>
      </w:pPr>
      <w:r>
        <w:rPr>
          <w:rFonts w:hint="eastAsia" w:ascii="宋体" w:hAnsi="宋体"/>
          <w:sz w:val="24"/>
        </w:rPr>
        <w:t>交货方式：</w:t>
      </w:r>
      <w:r>
        <w:rPr>
          <w:rFonts w:hint="eastAsia" w:ascii="宋体" w:hAnsi="宋体"/>
          <w:sz w:val="24"/>
          <w:u w:val="single"/>
        </w:rPr>
        <w:t>合同货物到达甲方指定交货地点时，甲乙双方现场确认货物。</w:t>
      </w:r>
    </w:p>
    <w:p>
      <w:pPr>
        <w:adjustRightInd w:val="0"/>
        <w:snapToGrid w:val="0"/>
        <w:spacing w:line="360" w:lineRule="auto"/>
        <w:ind w:firstLine="480" w:firstLineChars="200"/>
        <w:rPr>
          <w:rFonts w:ascii="宋体" w:hAnsi="宋体"/>
          <w:sz w:val="24"/>
        </w:rPr>
      </w:pPr>
      <w:r>
        <w:rPr>
          <w:rFonts w:hint="eastAsia" w:ascii="宋体" w:hAnsi="宋体"/>
          <w:sz w:val="24"/>
        </w:rPr>
        <w:t>交货地点：</w:t>
      </w:r>
      <w:r>
        <w:rPr>
          <w:rFonts w:hint="eastAsia" w:ascii="宋体" w:hAnsi="宋体"/>
          <w:sz w:val="24"/>
          <w:u w:val="single"/>
        </w:rPr>
        <w:t>甲方指定交货地点。</w:t>
      </w:r>
    </w:p>
    <w:p>
      <w:pPr>
        <w:adjustRightInd w:val="0"/>
        <w:snapToGrid w:val="0"/>
        <w:spacing w:line="360" w:lineRule="auto"/>
        <w:rPr>
          <w:rFonts w:ascii="宋体" w:hAnsi="宋体"/>
          <w:b/>
          <w:sz w:val="24"/>
        </w:rPr>
      </w:pPr>
      <w:bookmarkStart w:id="152" w:name="_Toc23216_WPSOffice_Level2"/>
      <w:bookmarkStart w:id="153" w:name="_Toc17060_WPSOffice_Level2"/>
      <w:bookmarkStart w:id="154" w:name="_Toc11092_WPSOffice_Level2"/>
      <w:bookmarkStart w:id="155" w:name="_Toc6217_WPSOffice_Level2"/>
      <w:r>
        <w:rPr>
          <w:rFonts w:hint="eastAsia" w:ascii="宋体" w:hAnsi="宋体"/>
          <w:b/>
          <w:sz w:val="24"/>
        </w:rPr>
        <w:t>五、付款方式：</w:t>
      </w:r>
      <w:bookmarkEnd w:id="152"/>
      <w:bookmarkEnd w:id="153"/>
      <w:bookmarkEnd w:id="154"/>
      <w:bookmarkEnd w:id="155"/>
    </w:p>
    <w:p>
      <w:pPr>
        <w:adjustRightInd w:val="0"/>
        <w:snapToGrid w:val="0"/>
        <w:spacing w:line="360" w:lineRule="auto"/>
        <w:ind w:firstLine="480" w:firstLineChars="200"/>
        <w:rPr>
          <w:rFonts w:ascii="宋体" w:hAnsi="宋体"/>
          <w:sz w:val="24"/>
        </w:rPr>
      </w:pPr>
      <w:r>
        <w:rPr>
          <w:rFonts w:hint="eastAsia" w:ascii="宋体" w:hAnsi="宋体"/>
          <w:sz w:val="24"/>
        </w:rPr>
        <w:t>全部货物交付到甲方指定地点完成供货及验收合格（签发《验收合格报告》）后甲方支付成交金额的</w:t>
      </w:r>
      <w:r>
        <w:rPr>
          <w:rFonts w:hint="eastAsia" w:ascii="宋体" w:hAnsi="宋体"/>
          <w:sz w:val="24"/>
          <w:u w:val="single"/>
        </w:rPr>
        <w:t xml:space="preserve">     </w:t>
      </w:r>
      <w:r>
        <w:rPr>
          <w:rFonts w:hint="eastAsia" w:ascii="宋体" w:hAnsi="宋体"/>
          <w:sz w:val="24"/>
        </w:rPr>
        <w:t>%；合同价款的</w:t>
      </w:r>
      <w:r>
        <w:rPr>
          <w:rFonts w:hint="eastAsia" w:ascii="宋体" w:hAnsi="宋体"/>
          <w:sz w:val="24"/>
          <w:u w:val="single"/>
        </w:rPr>
        <w:t xml:space="preserve">     </w:t>
      </w:r>
      <w:r>
        <w:rPr>
          <w:rFonts w:hint="eastAsia" w:ascii="宋体" w:hAnsi="宋体"/>
          <w:sz w:val="24"/>
        </w:rPr>
        <w:t>%于保修期内如能履行投标承诺及合同约定，质保期满一次性付清。</w:t>
      </w:r>
    </w:p>
    <w:p>
      <w:pPr>
        <w:adjustRightInd w:val="0"/>
        <w:snapToGrid w:val="0"/>
        <w:spacing w:line="360" w:lineRule="auto"/>
        <w:ind w:firstLine="480" w:firstLineChars="200"/>
        <w:rPr>
          <w:rFonts w:ascii="宋体" w:hAnsi="宋体"/>
          <w:sz w:val="24"/>
        </w:rPr>
      </w:pPr>
      <w:r>
        <w:rPr>
          <w:rFonts w:hint="eastAsia" w:ascii="宋体" w:hAnsi="宋体"/>
          <w:sz w:val="24"/>
        </w:rPr>
        <w:t>甲方仅负责在上述约定时间内完成申报手续，实际付款到账时间及金额以支付单位支付时间及金额为准。甲方不承担逾期付款的违约责任，并且此情况不能成为供货商逾期交货的理由；</w:t>
      </w:r>
    </w:p>
    <w:p>
      <w:pPr>
        <w:adjustRightInd w:val="0"/>
        <w:snapToGrid w:val="0"/>
        <w:spacing w:line="360" w:lineRule="auto"/>
        <w:ind w:firstLine="480" w:firstLineChars="200"/>
        <w:rPr>
          <w:rFonts w:ascii="宋体" w:hAnsi="宋体"/>
          <w:sz w:val="24"/>
        </w:rPr>
      </w:pPr>
      <w:r>
        <w:rPr>
          <w:rFonts w:hint="eastAsia" w:ascii="宋体" w:hAnsi="宋体"/>
          <w:sz w:val="24"/>
        </w:rPr>
        <w:t>乙方向甲方开具的正式发票，方可办理相关申报支付手续。</w:t>
      </w:r>
    </w:p>
    <w:p>
      <w:pPr>
        <w:adjustRightInd w:val="0"/>
        <w:snapToGrid w:val="0"/>
        <w:spacing w:line="360" w:lineRule="auto"/>
        <w:rPr>
          <w:rFonts w:ascii="宋体" w:hAnsi="宋体"/>
          <w:b/>
          <w:sz w:val="24"/>
        </w:rPr>
      </w:pPr>
      <w:bookmarkStart w:id="156" w:name="_Toc30716_WPSOffice_Level2"/>
      <w:bookmarkStart w:id="157" w:name="_Toc24095_WPSOffice_Level2"/>
      <w:bookmarkStart w:id="158" w:name="_Toc21192_WPSOffice_Level2"/>
      <w:bookmarkStart w:id="159" w:name="_Toc20569_WPSOffice_Level2"/>
      <w:r>
        <w:rPr>
          <w:rFonts w:hint="eastAsia" w:ascii="宋体" w:hAnsi="宋体"/>
          <w:b/>
          <w:sz w:val="24"/>
        </w:rPr>
        <w:t>六、质保期及售后服务要求：</w:t>
      </w:r>
      <w:bookmarkEnd w:id="156"/>
      <w:bookmarkEnd w:id="157"/>
      <w:bookmarkEnd w:id="158"/>
      <w:bookmarkEnd w:id="159"/>
    </w:p>
    <w:p>
      <w:pPr>
        <w:adjustRightInd w:val="0"/>
        <w:snapToGrid w:val="0"/>
        <w:spacing w:line="360" w:lineRule="auto"/>
        <w:ind w:firstLine="480" w:firstLineChars="200"/>
        <w:rPr>
          <w:rFonts w:ascii="宋体"/>
          <w:sz w:val="24"/>
        </w:rPr>
      </w:pPr>
      <w:r>
        <w:rPr>
          <w:rFonts w:hint="eastAsia" w:ascii="宋体" w:hAnsi="宋体"/>
          <w:sz w:val="24"/>
        </w:rPr>
        <w:t>本合同的质量保证期（简称“质保期”）为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年，质保期内乙方对所供货物实行包修、包换、包退、包维护保养。</w:t>
      </w:r>
    </w:p>
    <w:p>
      <w:pPr>
        <w:adjustRightInd w:val="0"/>
        <w:snapToGrid w:val="0"/>
        <w:spacing w:line="360" w:lineRule="auto"/>
        <w:ind w:firstLine="480" w:firstLineChars="200"/>
        <w:rPr>
          <w:rFonts w:ascii="宋体"/>
          <w:sz w:val="24"/>
        </w:rPr>
      </w:pPr>
      <w:r>
        <w:rPr>
          <w:rFonts w:hint="eastAsia" w:ascii="宋体" w:hAnsi="宋体"/>
          <w:sz w:val="24"/>
        </w:rPr>
        <w:t>质保期内，如因非人为因素发现产品质量问题供货商应无条件退换。质保期和免费维修期相应顺延。如停用时间累计超过天则质保期重新计算。</w:t>
      </w:r>
    </w:p>
    <w:p>
      <w:pPr>
        <w:adjustRightInd w:val="0"/>
        <w:snapToGrid w:val="0"/>
        <w:spacing w:line="360" w:lineRule="auto"/>
        <w:ind w:firstLine="480" w:firstLineChars="200"/>
        <w:rPr>
          <w:rFonts w:ascii="宋体"/>
          <w:sz w:val="24"/>
        </w:rPr>
      </w:pPr>
      <w:r>
        <w:rPr>
          <w:rFonts w:hint="eastAsia" w:ascii="宋体" w:hAnsi="宋体"/>
          <w:sz w:val="24"/>
        </w:rPr>
        <w:t>乙方在</w:t>
      </w:r>
      <w:r>
        <w:rPr>
          <w:rFonts w:hint="eastAsia" w:ascii="宋体" w:hAnsi="宋体"/>
          <w:sz w:val="24"/>
          <w:u w:val="single"/>
        </w:rPr>
        <w:t xml:space="preserve">                         </w:t>
      </w:r>
      <w:r>
        <w:rPr>
          <w:rFonts w:hint="eastAsia" w:ascii="宋体" w:hAnsi="宋体"/>
          <w:sz w:val="24"/>
        </w:rPr>
        <w:t>设有售后服务点，对甲方的服务通知，乙方在接报后</w:t>
      </w:r>
      <w:r>
        <w:rPr>
          <w:rFonts w:hint="eastAsia" w:ascii="宋体" w:hAnsi="宋体"/>
          <w:sz w:val="24"/>
          <w:u w:val="single"/>
        </w:rPr>
        <w:t xml:space="preserve">     </w:t>
      </w:r>
      <w:r>
        <w:rPr>
          <w:rFonts w:hint="eastAsia" w:ascii="宋体" w:hAnsi="宋体"/>
          <w:sz w:val="24"/>
        </w:rPr>
        <w:t>小时内响应，</w:t>
      </w:r>
      <w:r>
        <w:rPr>
          <w:rFonts w:hint="eastAsia" w:ascii="宋体" w:hAnsi="宋体"/>
          <w:sz w:val="24"/>
          <w:u w:val="single"/>
        </w:rPr>
        <w:t xml:space="preserve">     </w:t>
      </w:r>
      <w:r>
        <w:rPr>
          <w:rFonts w:hint="eastAsia" w:ascii="宋体" w:hAnsi="宋体"/>
          <w:sz w:val="24"/>
        </w:rPr>
        <w:t>小时内到达现场，</w:t>
      </w:r>
      <w:r>
        <w:rPr>
          <w:rFonts w:hint="eastAsia" w:ascii="宋体" w:hAnsi="宋体"/>
          <w:sz w:val="24"/>
          <w:u w:val="single"/>
        </w:rPr>
        <w:t xml:space="preserve">     </w:t>
      </w:r>
      <w:r>
        <w:rPr>
          <w:rFonts w:hint="eastAsia" w:ascii="宋体" w:hAnsi="宋体"/>
          <w:sz w:val="24"/>
        </w:rPr>
        <w:t>小时内处理完毕。若在</w:t>
      </w:r>
      <w:r>
        <w:rPr>
          <w:rFonts w:hint="eastAsia" w:ascii="宋体" w:hAnsi="宋体"/>
          <w:sz w:val="24"/>
          <w:u w:val="single"/>
        </w:rPr>
        <w:t xml:space="preserve">     </w:t>
      </w:r>
      <w:r>
        <w:rPr>
          <w:rFonts w:hint="eastAsia" w:ascii="宋体" w:hAnsi="宋体"/>
          <w:sz w:val="24"/>
        </w:rPr>
        <w:t>小时内仍未能有效解决，乙方须免费提供同档次的设备予甲方临时使用。</w:t>
      </w:r>
    </w:p>
    <w:p>
      <w:pPr>
        <w:adjustRightInd w:val="0"/>
        <w:snapToGrid w:val="0"/>
        <w:spacing w:line="360" w:lineRule="auto"/>
        <w:ind w:firstLine="480" w:firstLineChars="200"/>
        <w:rPr>
          <w:rFonts w:ascii="宋体" w:hAnsi="宋体"/>
          <w:sz w:val="24"/>
          <w:u w:val="single"/>
        </w:rPr>
      </w:pPr>
      <w:r>
        <w:rPr>
          <w:rFonts w:hint="eastAsia" w:ascii="宋体" w:hAnsi="宋体"/>
          <w:sz w:val="24"/>
        </w:rPr>
        <w:t>售后联系人：                  联系电话：</w:t>
      </w:r>
    </w:p>
    <w:p>
      <w:pPr>
        <w:adjustRightInd w:val="0"/>
        <w:snapToGrid w:val="0"/>
        <w:spacing w:line="360" w:lineRule="auto"/>
        <w:rPr>
          <w:rFonts w:ascii="宋体" w:hAnsi="宋体"/>
          <w:b/>
          <w:sz w:val="24"/>
        </w:rPr>
      </w:pPr>
      <w:bookmarkStart w:id="160" w:name="_Toc8541_WPSOffice_Level2"/>
      <w:bookmarkStart w:id="161" w:name="_Toc15446_WPSOffice_Level2"/>
      <w:bookmarkStart w:id="162" w:name="_Toc1942_WPSOffice_Level2"/>
      <w:bookmarkStart w:id="163" w:name="_Toc4089_WPSOffice_Level2"/>
      <w:r>
        <w:rPr>
          <w:rFonts w:hint="eastAsia" w:ascii="宋体" w:hAnsi="宋体"/>
          <w:b/>
          <w:sz w:val="24"/>
        </w:rPr>
        <w:t>七、验收：</w:t>
      </w:r>
      <w:bookmarkEnd w:id="160"/>
      <w:bookmarkEnd w:id="161"/>
      <w:bookmarkEnd w:id="162"/>
      <w:bookmarkEnd w:id="163"/>
    </w:p>
    <w:p>
      <w:pPr>
        <w:adjustRightInd w:val="0"/>
        <w:snapToGrid w:val="0"/>
        <w:spacing w:line="360" w:lineRule="auto"/>
        <w:ind w:firstLine="480" w:firstLineChars="200"/>
        <w:rPr>
          <w:rFonts w:ascii="宋体"/>
          <w:sz w:val="24"/>
        </w:rPr>
      </w:pPr>
      <w:r>
        <w:rPr>
          <w:rFonts w:hint="eastAsia" w:ascii="宋体" w:hAnsi="宋体"/>
          <w:sz w:val="24"/>
        </w:rPr>
        <w:t>货物若有国家标准按照国家标准验收，若无国家标准按行业标准验收，为原制造商制造的全新产品，整机无污染，无侵权行为、表面无划损、无任何缺陷隐患，在中国境内可依常规安全合法使用。</w:t>
      </w:r>
    </w:p>
    <w:p>
      <w:pPr>
        <w:adjustRightInd w:val="0"/>
        <w:snapToGrid w:val="0"/>
        <w:spacing w:line="360" w:lineRule="auto"/>
        <w:ind w:firstLine="480" w:firstLineChars="200"/>
        <w:rPr>
          <w:rFonts w:ascii="宋体"/>
          <w:sz w:val="24"/>
        </w:rPr>
      </w:pPr>
      <w:r>
        <w:rPr>
          <w:rFonts w:hint="eastAsia" w:ascii="宋体" w:hAnsi="宋体"/>
          <w:sz w:val="24"/>
        </w:rPr>
        <w:t>货物为原厂商未启封全新包装，出厂合格证，序列号、包装箱号与出厂批号一致，并可追索查阅，所有随设备的附件必须齐全。</w:t>
      </w:r>
    </w:p>
    <w:p>
      <w:pPr>
        <w:adjustRightInd w:val="0"/>
        <w:snapToGrid w:val="0"/>
        <w:spacing w:line="360" w:lineRule="auto"/>
        <w:ind w:firstLine="480" w:firstLineChars="200"/>
        <w:rPr>
          <w:rFonts w:ascii="宋体"/>
          <w:sz w:val="24"/>
        </w:rPr>
      </w:pPr>
      <w:r>
        <w:rPr>
          <w:rFonts w:hint="eastAsia" w:ascii="宋体" w:hAnsi="宋体"/>
          <w:sz w:val="24"/>
        </w:rPr>
        <w:t>甲方组成验收小组按国家有关规定及规范进行验收，必要时邀请相关的专业人员或机构参与验收。因货物质量问题发生争议时，由本地质量技术监督部门鉴定。货物符合质量技术标准的，鉴定费由甲方承担，否则鉴定费由乙方承担。</w:t>
      </w:r>
    </w:p>
    <w:p>
      <w:pPr>
        <w:adjustRightInd w:val="0"/>
        <w:snapToGrid w:val="0"/>
        <w:spacing w:line="360" w:lineRule="auto"/>
        <w:rPr>
          <w:rFonts w:ascii="宋体" w:hAnsi="宋体"/>
          <w:b/>
          <w:sz w:val="24"/>
        </w:rPr>
      </w:pPr>
      <w:bookmarkStart w:id="164" w:name="_Toc2860_WPSOffice_Level2"/>
      <w:bookmarkStart w:id="165" w:name="_Toc32324_WPSOffice_Level2"/>
      <w:bookmarkStart w:id="166" w:name="_Toc22378_WPSOffice_Level2"/>
      <w:bookmarkStart w:id="167" w:name="_Toc5722_WPSOffice_Level2"/>
      <w:r>
        <w:rPr>
          <w:rFonts w:hint="eastAsia" w:ascii="宋体" w:hAnsi="宋体"/>
          <w:b/>
          <w:sz w:val="24"/>
        </w:rPr>
        <w:t>八、违约责任与赔偿损失：</w:t>
      </w:r>
      <w:bookmarkEnd w:id="164"/>
      <w:bookmarkEnd w:id="165"/>
      <w:bookmarkEnd w:id="166"/>
      <w:bookmarkEnd w:id="167"/>
    </w:p>
    <w:p>
      <w:pPr>
        <w:tabs>
          <w:tab w:val="left" w:pos="824"/>
        </w:tabs>
        <w:adjustRightInd w:val="0"/>
        <w:snapToGrid w:val="0"/>
        <w:spacing w:line="360" w:lineRule="auto"/>
        <w:ind w:firstLine="480" w:firstLineChars="200"/>
        <w:rPr>
          <w:rFonts w:ascii="宋体"/>
          <w:sz w:val="24"/>
        </w:rPr>
      </w:pPr>
      <w:r>
        <w:rPr>
          <w:rFonts w:hint="eastAsia" w:ascii="宋体" w:hAnsi="宋体"/>
          <w:sz w:val="24"/>
        </w:rPr>
        <w:t>乙方交付的货物不符合《招标文件》、《招标文件》或本合同规定的，甲方有权拒收，并且乙方须向甲方支付本合同总价</w:t>
      </w:r>
      <w:r>
        <w:rPr>
          <w:rFonts w:hint="eastAsia" w:ascii="宋体" w:hAnsi="宋体"/>
          <w:sz w:val="24"/>
          <w:u w:val="single"/>
        </w:rPr>
        <w:t xml:space="preserve">     </w:t>
      </w:r>
      <w:r>
        <w:rPr>
          <w:rFonts w:ascii="宋体" w:hAnsi="宋体"/>
          <w:sz w:val="24"/>
        </w:rPr>
        <w:t>%</w:t>
      </w:r>
      <w:r>
        <w:rPr>
          <w:rFonts w:hint="eastAsia" w:ascii="宋体" w:hAnsi="宋体"/>
          <w:sz w:val="24"/>
        </w:rPr>
        <w:t>的违约金。</w:t>
      </w:r>
    </w:p>
    <w:p>
      <w:pPr>
        <w:tabs>
          <w:tab w:val="left" w:pos="824"/>
        </w:tabs>
        <w:adjustRightInd w:val="0"/>
        <w:snapToGrid w:val="0"/>
        <w:spacing w:line="360" w:lineRule="auto"/>
        <w:ind w:firstLine="480" w:firstLineChars="200"/>
        <w:rPr>
          <w:rFonts w:ascii="宋体"/>
          <w:sz w:val="24"/>
        </w:rPr>
      </w:pPr>
      <w:r>
        <w:rPr>
          <w:rFonts w:hint="eastAsia" w:ascii="宋体" w:hAnsi="宋体"/>
          <w:sz w:val="24"/>
        </w:rPr>
        <w:t>乙方未能按本合同规定的交货时间交付货物或提供服务的，从逾期之日起每日按本合同总价</w:t>
      </w:r>
      <w:r>
        <w:rPr>
          <w:rFonts w:hint="eastAsia" w:ascii="宋体" w:hAnsi="宋体"/>
          <w:sz w:val="24"/>
          <w:u w:val="single"/>
        </w:rPr>
        <w:t xml:space="preserve">     </w:t>
      </w:r>
      <w:r>
        <w:rPr>
          <w:rFonts w:hint="eastAsia" w:ascii="宋体" w:hAnsi="宋体"/>
          <w:sz w:val="24"/>
        </w:rPr>
        <w:t>‰的数额向甲方支付违约金；逾期半个月以上的，甲方有权终止合同，由此造成的甲方经济损失由乙方承担。</w:t>
      </w:r>
    </w:p>
    <w:p>
      <w:pPr>
        <w:tabs>
          <w:tab w:val="left" w:pos="824"/>
        </w:tabs>
        <w:adjustRightInd w:val="0"/>
        <w:snapToGrid w:val="0"/>
        <w:spacing w:line="360" w:lineRule="auto"/>
        <w:ind w:firstLine="480" w:firstLineChars="200"/>
        <w:rPr>
          <w:rFonts w:ascii="宋体"/>
          <w:sz w:val="24"/>
        </w:rPr>
      </w:pPr>
      <w:r>
        <w:rPr>
          <w:rFonts w:hint="eastAsia" w:ascii="宋体" w:hAnsi="宋体"/>
          <w:sz w:val="24"/>
        </w:rPr>
        <w:t>甲方无正当理由拒收货物或服务，到期拒付货物或服务款项的，甲方向乙方偿付本合同总价</w:t>
      </w:r>
      <w:r>
        <w:rPr>
          <w:rFonts w:hint="eastAsia" w:ascii="宋体" w:hAnsi="宋体"/>
          <w:sz w:val="24"/>
          <w:u w:val="single"/>
        </w:rPr>
        <w:t xml:space="preserve">     </w:t>
      </w:r>
      <w:r>
        <w:rPr>
          <w:rFonts w:ascii="宋体" w:hAnsi="宋体"/>
          <w:sz w:val="24"/>
        </w:rPr>
        <w:t>%</w:t>
      </w:r>
      <w:r>
        <w:rPr>
          <w:rFonts w:hint="eastAsia" w:ascii="宋体" w:hAnsi="宋体"/>
          <w:sz w:val="24"/>
        </w:rPr>
        <w:t>的违约金。甲方如逾期付款，则每日按本合同总价的</w:t>
      </w:r>
      <w:r>
        <w:rPr>
          <w:rFonts w:hint="eastAsia" w:ascii="宋体" w:hAnsi="宋体"/>
          <w:sz w:val="24"/>
          <w:u w:val="single"/>
        </w:rPr>
        <w:t xml:space="preserve">     </w:t>
      </w:r>
      <w:r>
        <w:rPr>
          <w:rFonts w:hint="eastAsia" w:ascii="宋体" w:hAnsi="宋体"/>
          <w:sz w:val="24"/>
        </w:rPr>
        <w:t>‰向乙方偿付违约金。</w:t>
      </w:r>
    </w:p>
    <w:p>
      <w:pPr>
        <w:tabs>
          <w:tab w:val="left" w:pos="824"/>
        </w:tabs>
        <w:adjustRightInd w:val="0"/>
        <w:snapToGrid w:val="0"/>
        <w:spacing w:line="360" w:lineRule="auto"/>
        <w:ind w:firstLine="480" w:firstLineChars="200"/>
        <w:rPr>
          <w:rFonts w:ascii="宋体"/>
          <w:sz w:val="24"/>
        </w:rPr>
      </w:pPr>
      <w:r>
        <w:rPr>
          <w:rFonts w:hint="eastAsia" w:ascii="宋体" w:hAnsi="宋体"/>
          <w:sz w:val="24"/>
        </w:rPr>
        <w:t>其它违约责任按《中华人民共和国合同法》处理。</w:t>
      </w:r>
    </w:p>
    <w:p>
      <w:pPr>
        <w:adjustRightInd w:val="0"/>
        <w:snapToGrid w:val="0"/>
        <w:spacing w:line="360" w:lineRule="auto"/>
        <w:rPr>
          <w:rFonts w:ascii="宋体" w:hAnsi="宋体"/>
          <w:b/>
          <w:sz w:val="24"/>
        </w:rPr>
      </w:pPr>
      <w:bookmarkStart w:id="168" w:name="_Toc30476_WPSOffice_Level2"/>
      <w:bookmarkStart w:id="169" w:name="_Toc5431_WPSOffice_Level2"/>
      <w:bookmarkStart w:id="170" w:name="_Toc8055_WPSOffice_Level2"/>
      <w:bookmarkStart w:id="171" w:name="_Toc5471_WPSOffice_Level2"/>
      <w:r>
        <w:rPr>
          <w:rFonts w:hint="eastAsia" w:ascii="宋体" w:hAnsi="宋体"/>
          <w:b/>
          <w:sz w:val="24"/>
        </w:rPr>
        <w:t>九、争议的解决:</w:t>
      </w:r>
      <w:bookmarkEnd w:id="168"/>
      <w:bookmarkEnd w:id="169"/>
      <w:bookmarkEnd w:id="170"/>
      <w:bookmarkEnd w:id="171"/>
    </w:p>
    <w:p>
      <w:pPr>
        <w:tabs>
          <w:tab w:val="left" w:pos="824"/>
        </w:tabs>
        <w:adjustRightInd w:val="0"/>
        <w:snapToGrid w:val="0"/>
        <w:spacing w:line="360" w:lineRule="auto"/>
        <w:ind w:firstLine="480" w:firstLineChars="200"/>
        <w:rPr>
          <w:rFonts w:ascii="宋体" w:hAnsi="宋体"/>
          <w:sz w:val="24"/>
        </w:rPr>
      </w:pPr>
      <w:r>
        <w:rPr>
          <w:rFonts w:hint="eastAsia" w:ascii="宋体" w:hAnsi="宋体"/>
          <w:sz w:val="24"/>
        </w:rPr>
        <w:t>合同执行过程中发生的任何争议，如双方不能通过友好协商解决，按相关法律法规处理。</w:t>
      </w:r>
    </w:p>
    <w:p>
      <w:pPr>
        <w:adjustRightInd w:val="0"/>
        <w:snapToGrid w:val="0"/>
        <w:spacing w:line="360" w:lineRule="auto"/>
        <w:rPr>
          <w:rFonts w:ascii="宋体" w:hAnsi="宋体"/>
          <w:b/>
          <w:sz w:val="24"/>
        </w:rPr>
      </w:pPr>
      <w:bookmarkStart w:id="172" w:name="_Toc29585_WPSOffice_Level2"/>
      <w:bookmarkStart w:id="173" w:name="_Toc23767_WPSOffice_Level2"/>
      <w:bookmarkStart w:id="174" w:name="_Toc20345_WPSOffice_Level2"/>
      <w:bookmarkStart w:id="175" w:name="_Toc16147_WPSOffice_Level2"/>
      <w:r>
        <w:rPr>
          <w:rFonts w:hint="eastAsia" w:ascii="宋体" w:hAnsi="宋体"/>
          <w:b/>
          <w:sz w:val="24"/>
        </w:rPr>
        <w:t>十、不可抗力：</w:t>
      </w:r>
      <w:bookmarkEnd w:id="172"/>
      <w:bookmarkEnd w:id="173"/>
      <w:bookmarkEnd w:id="174"/>
      <w:bookmarkEnd w:id="175"/>
    </w:p>
    <w:p>
      <w:pPr>
        <w:adjustRightInd w:val="0"/>
        <w:snapToGrid w:val="0"/>
        <w:spacing w:line="360" w:lineRule="auto"/>
        <w:ind w:firstLine="480" w:firstLineChars="200"/>
        <w:rPr>
          <w:rFonts w:ascii="宋体" w:hAnsi="宋体"/>
          <w:sz w:val="24"/>
        </w:rPr>
      </w:pPr>
      <w:r>
        <w:rPr>
          <w:rFonts w:hint="eastAsia" w:ascii="宋体" w:hAnsi="宋体"/>
          <w:sz w:val="24"/>
        </w:rPr>
        <w:t>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adjustRightInd w:val="0"/>
        <w:snapToGrid w:val="0"/>
        <w:spacing w:line="360" w:lineRule="auto"/>
        <w:ind w:firstLine="480" w:firstLineChars="200"/>
        <w:rPr>
          <w:rFonts w:ascii="宋体" w:hAnsi="宋体"/>
          <w:sz w:val="24"/>
        </w:rPr>
      </w:pPr>
      <w:r>
        <w:rPr>
          <w:rFonts w:hint="eastAsia" w:ascii="宋体" w:hAnsi="宋体"/>
          <w:sz w:val="24"/>
        </w:rPr>
        <w:t>因合同一方迟延履行合同后发生不可抗力的，不能免除迟延履行方的相应责任。</w:t>
      </w:r>
    </w:p>
    <w:p>
      <w:pPr>
        <w:adjustRightInd w:val="0"/>
        <w:snapToGrid w:val="0"/>
        <w:spacing w:line="360" w:lineRule="auto"/>
        <w:rPr>
          <w:rFonts w:ascii="宋体" w:hAnsi="宋体"/>
          <w:b/>
          <w:sz w:val="24"/>
        </w:rPr>
      </w:pPr>
      <w:bookmarkStart w:id="176" w:name="_Toc10117_WPSOffice_Level2"/>
      <w:bookmarkStart w:id="177" w:name="_Toc5289_WPSOffice_Level2"/>
      <w:bookmarkStart w:id="178" w:name="_Toc32763_WPSOffice_Level2"/>
      <w:bookmarkStart w:id="179" w:name="_Toc5715_WPSOffice_Level2"/>
      <w:r>
        <w:rPr>
          <w:rFonts w:hint="eastAsia" w:ascii="宋体" w:hAnsi="宋体"/>
          <w:b/>
          <w:sz w:val="24"/>
        </w:rPr>
        <w:t>十一、税费：</w:t>
      </w:r>
      <w:bookmarkEnd w:id="176"/>
      <w:bookmarkEnd w:id="177"/>
      <w:bookmarkEnd w:id="178"/>
      <w:bookmarkEnd w:id="179"/>
    </w:p>
    <w:p>
      <w:pPr>
        <w:adjustRightInd w:val="0"/>
        <w:snapToGrid w:val="0"/>
        <w:spacing w:line="360" w:lineRule="auto"/>
        <w:ind w:firstLine="480" w:firstLineChars="200"/>
        <w:rPr>
          <w:rFonts w:ascii="宋体" w:hAnsi="宋体"/>
          <w:sz w:val="24"/>
        </w:rPr>
      </w:pPr>
      <w:r>
        <w:rPr>
          <w:rFonts w:hint="eastAsia" w:ascii="宋体" w:hAnsi="宋体"/>
          <w:sz w:val="24"/>
        </w:rPr>
        <w:t>在中国境内、外发生的与本合同执行有关的一切税费均由乙方负担。</w:t>
      </w:r>
    </w:p>
    <w:p>
      <w:pPr>
        <w:adjustRightInd w:val="0"/>
        <w:snapToGrid w:val="0"/>
        <w:spacing w:line="360" w:lineRule="auto"/>
        <w:rPr>
          <w:rFonts w:ascii="宋体" w:hAnsi="宋体"/>
          <w:b/>
          <w:sz w:val="24"/>
        </w:rPr>
      </w:pPr>
      <w:bookmarkStart w:id="180" w:name="_Toc4410_WPSOffice_Level2"/>
      <w:bookmarkStart w:id="181" w:name="_Toc15454_WPSOffice_Level2"/>
      <w:bookmarkStart w:id="182" w:name="_Toc31112_WPSOffice_Level2"/>
      <w:bookmarkStart w:id="183" w:name="_Toc2614_WPSOffice_Level2"/>
      <w:r>
        <w:rPr>
          <w:rFonts w:hint="eastAsia" w:ascii="宋体" w:hAnsi="宋体"/>
          <w:b/>
          <w:sz w:val="24"/>
        </w:rPr>
        <w:t>十二、其它:</w:t>
      </w:r>
      <w:bookmarkEnd w:id="180"/>
      <w:bookmarkEnd w:id="181"/>
      <w:bookmarkEnd w:id="182"/>
      <w:bookmarkEnd w:id="183"/>
    </w:p>
    <w:p>
      <w:pPr>
        <w:adjustRightInd w:val="0"/>
        <w:snapToGrid w:val="0"/>
        <w:spacing w:line="360" w:lineRule="auto"/>
        <w:ind w:firstLine="480" w:firstLineChars="200"/>
        <w:rPr>
          <w:rFonts w:ascii="宋体" w:hAnsi="宋体"/>
          <w:sz w:val="24"/>
        </w:rPr>
      </w:pPr>
      <w:r>
        <w:rPr>
          <w:rFonts w:hint="eastAsia" w:ascii="宋体" w:hAnsi="宋体"/>
          <w:sz w:val="24"/>
        </w:rPr>
        <w:t>本合同所有附件、《投标文件》（含补充通知、澄清、答疑会议纪要等）、投标文件（含澄清等）、《成交通知书》均为合同的有效组成部分，与本合同具有同等法律效力。</w:t>
      </w:r>
    </w:p>
    <w:p>
      <w:pPr>
        <w:adjustRightInd w:val="0"/>
        <w:snapToGrid w:val="0"/>
        <w:spacing w:line="360" w:lineRule="auto"/>
        <w:ind w:firstLine="480" w:firstLineChars="200"/>
        <w:rPr>
          <w:rFonts w:ascii="宋体" w:hAnsi="宋体"/>
          <w:sz w:val="24"/>
        </w:rPr>
      </w:pPr>
      <w:r>
        <w:rPr>
          <w:rFonts w:hint="eastAsia" w:ascii="宋体" w:hAnsi="宋体"/>
          <w:sz w:val="24"/>
        </w:rPr>
        <w:t>在执行本合同的过程中，所有经双方签署确认的文件（包括会议纪要、补充协议、往来信函）即成为本合同的有效组成部分。</w:t>
      </w:r>
    </w:p>
    <w:p>
      <w:pPr>
        <w:adjustRightInd w:val="0"/>
        <w:snapToGrid w:val="0"/>
        <w:spacing w:line="360" w:lineRule="auto"/>
        <w:ind w:firstLine="480" w:firstLineChars="200"/>
        <w:rPr>
          <w:rFonts w:ascii="宋体" w:hAnsi="宋体"/>
          <w:sz w:val="24"/>
        </w:rPr>
      </w:pPr>
      <w:r>
        <w:rPr>
          <w:rFonts w:hint="eastAsia" w:ascii="宋体" w:hAnsi="宋体"/>
          <w:sz w:val="24"/>
        </w:rPr>
        <w:t xml:space="preserve">如一方地址、电话、传真号码有变更，应在变更当日内书面通知对方，否则，应承担相应责任。 </w:t>
      </w:r>
    </w:p>
    <w:p>
      <w:pPr>
        <w:adjustRightInd w:val="0"/>
        <w:snapToGrid w:val="0"/>
        <w:spacing w:line="360" w:lineRule="auto"/>
        <w:ind w:firstLine="480" w:firstLineChars="200"/>
        <w:rPr>
          <w:rFonts w:ascii="宋体" w:hAnsi="宋体"/>
          <w:sz w:val="24"/>
        </w:rPr>
      </w:pPr>
      <w:r>
        <w:rPr>
          <w:rFonts w:hint="eastAsia" w:ascii="宋体" w:hAnsi="宋体"/>
          <w:sz w:val="24"/>
        </w:rPr>
        <w:t>除甲方事先书面同意外，乙方不得部分或全部转让其应履行的合同项下的任何责任和义务。</w:t>
      </w:r>
    </w:p>
    <w:p>
      <w:pPr>
        <w:adjustRightInd w:val="0"/>
        <w:snapToGrid w:val="0"/>
        <w:spacing w:line="360" w:lineRule="auto"/>
        <w:rPr>
          <w:rFonts w:ascii="宋体" w:hAnsi="宋体"/>
          <w:b/>
          <w:sz w:val="24"/>
        </w:rPr>
      </w:pPr>
      <w:bookmarkStart w:id="184" w:name="_Toc12252_WPSOffice_Level2"/>
      <w:bookmarkStart w:id="185" w:name="_Toc30560_WPSOffice_Level2"/>
      <w:bookmarkStart w:id="186" w:name="_Toc16446_WPSOffice_Level2"/>
      <w:bookmarkStart w:id="187" w:name="_Toc7862_WPSOffice_Level2"/>
      <w:r>
        <w:rPr>
          <w:rFonts w:hint="eastAsia" w:ascii="宋体" w:hAnsi="宋体"/>
          <w:b/>
          <w:sz w:val="24"/>
        </w:rPr>
        <w:t>十三、合同生效及其他：</w:t>
      </w:r>
      <w:bookmarkEnd w:id="184"/>
      <w:bookmarkEnd w:id="185"/>
      <w:bookmarkEnd w:id="186"/>
      <w:bookmarkEnd w:id="187"/>
    </w:p>
    <w:p>
      <w:pPr>
        <w:adjustRightInd w:val="0"/>
        <w:snapToGrid w:val="0"/>
        <w:spacing w:line="360" w:lineRule="auto"/>
        <w:ind w:firstLine="480" w:firstLineChars="200"/>
        <w:rPr>
          <w:rFonts w:ascii="宋体" w:hAnsi="宋体"/>
          <w:sz w:val="24"/>
        </w:rPr>
      </w:pPr>
      <w:r>
        <w:rPr>
          <w:rFonts w:hint="eastAsia" w:ascii="宋体" w:hAnsi="宋体"/>
          <w:sz w:val="24"/>
        </w:rPr>
        <w:t>本合同在甲乙双方授权代表签字盖章后生效。</w:t>
      </w:r>
    </w:p>
    <w:p>
      <w:pPr>
        <w:adjustRightInd w:val="0"/>
        <w:snapToGrid w:val="0"/>
        <w:spacing w:line="360" w:lineRule="auto"/>
        <w:ind w:firstLine="480" w:firstLineChars="200"/>
        <w:rPr>
          <w:rFonts w:ascii="宋体" w:hAnsi="宋体"/>
          <w:sz w:val="24"/>
        </w:rPr>
      </w:pPr>
      <w:r>
        <w:rPr>
          <w:rFonts w:hint="eastAsia" w:ascii="宋体" w:hAnsi="宋体"/>
          <w:sz w:val="24"/>
        </w:rPr>
        <w:t>如需修改合同内容，双方应签署书面修改或补充协议，该修改或补充协议作为本合同的一个组成部分。</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本合同一式</w:t>
      </w:r>
      <w:r>
        <w:rPr>
          <w:rFonts w:hint="eastAsia" w:ascii="宋体" w:hAnsi="宋体" w:cs="宋体"/>
          <w:sz w:val="24"/>
          <w:u w:val="single"/>
        </w:rPr>
        <w:t xml:space="preserve">  </w:t>
      </w:r>
      <w:r>
        <w:rPr>
          <w:rFonts w:hint="eastAsia" w:ascii="宋体" w:hAnsi="宋体" w:cs="宋体"/>
          <w:sz w:val="24"/>
          <w:u w:val="single"/>
          <w:lang w:eastAsia="zh-CN"/>
        </w:rPr>
        <w:t>伍</w:t>
      </w:r>
      <w:r>
        <w:rPr>
          <w:rFonts w:hint="eastAsia" w:ascii="宋体" w:hAnsi="宋体" w:cs="宋体"/>
          <w:sz w:val="24"/>
          <w:u w:val="single"/>
        </w:rPr>
        <w:t xml:space="preserve">  </w:t>
      </w:r>
      <w:r>
        <w:rPr>
          <w:rFonts w:hint="eastAsia" w:ascii="宋体" w:hAnsi="宋体" w:cs="宋体"/>
          <w:sz w:val="24"/>
        </w:rPr>
        <w:t>份，具有同等法律效力。甲、乙双方各执</w:t>
      </w:r>
      <w:r>
        <w:rPr>
          <w:rFonts w:hint="eastAsia" w:ascii="宋体" w:hAnsi="宋体" w:cs="宋体"/>
          <w:sz w:val="24"/>
          <w:u w:val="single"/>
        </w:rPr>
        <w:t xml:space="preserve"> 贰 </w:t>
      </w:r>
      <w:r>
        <w:rPr>
          <w:rFonts w:hint="eastAsia" w:ascii="宋体" w:hAnsi="宋体" w:cs="宋体"/>
          <w:sz w:val="24"/>
        </w:rPr>
        <w:t>份，招标代理机构</w:t>
      </w:r>
      <w:r>
        <w:rPr>
          <w:rFonts w:hint="eastAsia" w:ascii="宋体" w:hAnsi="宋体" w:cs="宋体"/>
          <w:sz w:val="24"/>
          <w:u w:val="single"/>
        </w:rPr>
        <w:t xml:space="preserve"> 壹 </w:t>
      </w:r>
      <w:r>
        <w:rPr>
          <w:rFonts w:hint="eastAsia" w:ascii="宋体" w:hAnsi="宋体" w:cs="宋体"/>
          <w:sz w:val="24"/>
        </w:rPr>
        <w:t>份。</w:t>
      </w:r>
    </w:p>
    <w:p>
      <w:pPr>
        <w:tabs>
          <w:tab w:val="left" w:pos="720"/>
        </w:tabs>
        <w:spacing w:line="480" w:lineRule="auto"/>
        <w:rPr>
          <w:rFonts w:ascii="宋体" w:hAnsi="宋体"/>
          <w:b/>
          <w:sz w:val="32"/>
          <w:szCs w:val="36"/>
        </w:rPr>
      </w:pPr>
      <w:r>
        <w:rPr>
          <w:rFonts w:hint="eastAsia" w:ascii="宋体" w:hAnsi="宋体"/>
          <w:b/>
          <w:sz w:val="22"/>
          <w:szCs w:val="22"/>
        </w:rPr>
        <w:t>注：本合同中主要条款必须全部响应，但格式仅作为参考文本，合同签订双方可根据项目的具体要求进行修订。</w:t>
      </w:r>
    </w:p>
    <w:tbl>
      <w:tblPr>
        <w:tblStyle w:val="12"/>
        <w:tblpPr w:leftFromText="180" w:rightFromText="180" w:vertAnchor="text" w:horzAnchor="page" w:tblpX="1797" w:tblpY="108"/>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91" w:hRule="atLeast"/>
        </w:trPr>
        <w:tc>
          <w:tcPr>
            <w:tcW w:w="4261" w:type="dxa"/>
          </w:tcPr>
          <w:p>
            <w:pPr>
              <w:pStyle w:val="28"/>
              <w:spacing w:before="7"/>
              <w:rPr>
                <w:sz w:val="24"/>
              </w:rPr>
            </w:pPr>
          </w:p>
          <w:p>
            <w:pPr>
              <w:pStyle w:val="28"/>
              <w:spacing w:line="487" w:lineRule="auto"/>
              <w:ind w:left="107" w:right="2221"/>
              <w:rPr>
                <w:sz w:val="24"/>
              </w:rPr>
            </w:pPr>
            <w:r>
              <w:rPr>
                <w:sz w:val="24"/>
              </w:rPr>
              <w:t>甲方（采购人</w:t>
            </w:r>
            <w:r>
              <w:rPr>
                <w:spacing w:val="-9"/>
                <w:sz w:val="24"/>
              </w:rPr>
              <w:t xml:space="preserve">）： </w:t>
            </w:r>
            <w:r>
              <w:rPr>
                <w:sz w:val="24"/>
              </w:rPr>
              <w:t>盖章：</w:t>
            </w:r>
          </w:p>
          <w:p>
            <w:pPr>
              <w:pStyle w:val="28"/>
              <w:spacing w:before="120" w:line="580" w:lineRule="auto"/>
              <w:ind w:left="107" w:right="3421"/>
              <w:rPr>
                <w:sz w:val="24"/>
              </w:rPr>
            </w:pPr>
            <w:r>
              <w:rPr>
                <w:spacing w:val="-6"/>
                <w:sz w:val="24"/>
              </w:rPr>
              <w:t>地址： 电话：</w:t>
            </w:r>
          </w:p>
          <w:p>
            <w:pPr>
              <w:pStyle w:val="28"/>
              <w:spacing w:line="307" w:lineRule="exact"/>
              <w:ind w:left="107"/>
              <w:rPr>
                <w:sz w:val="24"/>
              </w:rPr>
            </w:pPr>
            <w:r>
              <w:rPr>
                <w:sz w:val="24"/>
              </w:rPr>
              <w:t>传真：</w:t>
            </w:r>
          </w:p>
        </w:tc>
        <w:tc>
          <w:tcPr>
            <w:tcW w:w="4261" w:type="dxa"/>
          </w:tcPr>
          <w:p>
            <w:pPr>
              <w:pStyle w:val="28"/>
              <w:spacing w:before="7"/>
              <w:rPr>
                <w:sz w:val="24"/>
              </w:rPr>
            </w:pPr>
          </w:p>
          <w:p>
            <w:pPr>
              <w:pStyle w:val="28"/>
              <w:ind w:left="106"/>
              <w:rPr>
                <w:sz w:val="24"/>
              </w:rPr>
            </w:pPr>
            <w:r>
              <w:rPr>
                <w:sz w:val="24"/>
              </w:rPr>
              <w:t>乙方（成交人）：</w:t>
            </w:r>
          </w:p>
          <w:p>
            <w:pPr>
              <w:pStyle w:val="28"/>
              <w:spacing w:before="1"/>
              <w:rPr>
                <w:sz w:val="34"/>
              </w:rPr>
            </w:pPr>
          </w:p>
          <w:p>
            <w:pPr>
              <w:pStyle w:val="28"/>
              <w:spacing w:line="487" w:lineRule="auto"/>
              <w:ind w:left="106" w:right="3422"/>
              <w:rPr>
                <w:sz w:val="24"/>
              </w:rPr>
            </w:pPr>
            <w:r>
              <w:rPr>
                <w:spacing w:val="-6"/>
                <w:sz w:val="24"/>
              </w:rPr>
              <w:t>盖章： 地址：</w:t>
            </w:r>
          </w:p>
          <w:p>
            <w:pPr>
              <w:pStyle w:val="28"/>
              <w:spacing w:before="120"/>
              <w:ind w:left="106"/>
              <w:rPr>
                <w:sz w:val="24"/>
              </w:rPr>
            </w:pPr>
            <w:r>
              <w:rPr>
                <w:sz w:val="24"/>
              </w:rPr>
              <w:t>电话：</w:t>
            </w:r>
          </w:p>
          <w:p>
            <w:pPr>
              <w:pStyle w:val="28"/>
              <w:spacing w:before="1"/>
              <w:rPr>
                <w:sz w:val="34"/>
              </w:rPr>
            </w:pPr>
          </w:p>
          <w:p>
            <w:pPr>
              <w:pStyle w:val="28"/>
              <w:ind w:left="106"/>
              <w:rPr>
                <w:sz w:val="24"/>
              </w:rPr>
            </w:pPr>
            <w:r>
              <w:rPr>
                <w:sz w:val="24"/>
              </w:rPr>
              <w:t>传真：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4" w:hRule="atLeast"/>
        </w:trPr>
        <w:tc>
          <w:tcPr>
            <w:tcW w:w="4261" w:type="dxa"/>
          </w:tcPr>
          <w:p>
            <w:pPr>
              <w:pStyle w:val="28"/>
              <w:spacing w:before="7"/>
              <w:rPr>
                <w:sz w:val="24"/>
              </w:rPr>
            </w:pPr>
          </w:p>
          <w:p>
            <w:pPr>
              <w:pStyle w:val="28"/>
              <w:spacing w:line="580" w:lineRule="auto"/>
              <w:ind w:left="107" w:right="2701"/>
              <w:rPr>
                <w:sz w:val="24"/>
              </w:rPr>
            </w:pPr>
            <w:r>
              <w:rPr>
                <w:sz w:val="24"/>
              </w:rPr>
              <w:t>法定代表人： 被授权人：</w:t>
            </w:r>
          </w:p>
          <w:p>
            <w:pPr>
              <w:pStyle w:val="28"/>
              <w:spacing w:line="307" w:lineRule="exact"/>
              <w:ind w:left="107"/>
              <w:rPr>
                <w:sz w:val="24"/>
              </w:rPr>
            </w:pPr>
            <w:r>
              <w:rPr>
                <w:sz w:val="24"/>
              </w:rPr>
              <w:t>日 期：</w:t>
            </w:r>
          </w:p>
        </w:tc>
        <w:tc>
          <w:tcPr>
            <w:tcW w:w="4261" w:type="dxa"/>
          </w:tcPr>
          <w:p>
            <w:pPr>
              <w:pStyle w:val="28"/>
              <w:spacing w:before="7"/>
              <w:rPr>
                <w:sz w:val="24"/>
              </w:rPr>
            </w:pPr>
          </w:p>
          <w:p>
            <w:pPr>
              <w:pStyle w:val="28"/>
              <w:ind w:left="106"/>
              <w:rPr>
                <w:sz w:val="24"/>
              </w:rPr>
            </w:pPr>
            <w:r>
              <w:rPr>
                <w:sz w:val="24"/>
              </w:rPr>
              <w:t>法定代表人：</w:t>
            </w:r>
          </w:p>
          <w:p>
            <w:pPr>
              <w:pStyle w:val="28"/>
              <w:spacing w:before="1"/>
              <w:rPr>
                <w:sz w:val="34"/>
              </w:rPr>
            </w:pPr>
          </w:p>
          <w:p>
            <w:pPr>
              <w:pStyle w:val="28"/>
              <w:spacing w:line="487" w:lineRule="auto"/>
              <w:ind w:left="106" w:right="2942"/>
              <w:rPr>
                <w:sz w:val="24"/>
              </w:rPr>
            </w:pPr>
            <w:r>
              <w:rPr>
                <w:sz w:val="24"/>
              </w:rPr>
              <w:t>被授权人： 日 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8" w:hRule="atLeast"/>
        </w:trPr>
        <w:tc>
          <w:tcPr>
            <w:tcW w:w="4261" w:type="dxa"/>
          </w:tcPr>
          <w:p>
            <w:pPr>
              <w:pStyle w:val="28"/>
              <w:spacing w:before="6"/>
              <w:rPr>
                <w:sz w:val="24"/>
              </w:rPr>
            </w:pPr>
          </w:p>
          <w:p>
            <w:pPr>
              <w:pStyle w:val="28"/>
              <w:spacing w:before="1"/>
              <w:ind w:left="107"/>
              <w:rPr>
                <w:sz w:val="24"/>
              </w:rPr>
            </w:pPr>
            <w:r>
              <w:rPr>
                <w:sz w:val="24"/>
              </w:rPr>
              <w:t>账 号：</w:t>
            </w:r>
          </w:p>
          <w:p>
            <w:pPr>
              <w:pStyle w:val="28"/>
              <w:rPr>
                <w:sz w:val="34"/>
              </w:rPr>
            </w:pPr>
          </w:p>
          <w:p>
            <w:pPr>
              <w:pStyle w:val="28"/>
              <w:spacing w:line="290" w:lineRule="exact"/>
              <w:ind w:left="107"/>
              <w:rPr>
                <w:sz w:val="24"/>
              </w:rPr>
            </w:pPr>
            <w:r>
              <w:rPr>
                <w:sz w:val="24"/>
              </w:rPr>
              <w:t>开户行：</w:t>
            </w:r>
          </w:p>
        </w:tc>
        <w:tc>
          <w:tcPr>
            <w:tcW w:w="4261" w:type="dxa"/>
          </w:tcPr>
          <w:p>
            <w:pPr>
              <w:pStyle w:val="28"/>
              <w:spacing w:before="6"/>
              <w:rPr>
                <w:sz w:val="24"/>
              </w:rPr>
            </w:pPr>
          </w:p>
          <w:p>
            <w:pPr>
              <w:pStyle w:val="28"/>
              <w:spacing w:before="1"/>
              <w:ind w:left="106"/>
              <w:rPr>
                <w:sz w:val="24"/>
              </w:rPr>
            </w:pPr>
            <w:r>
              <w:rPr>
                <w:sz w:val="24"/>
              </w:rPr>
              <w:t>账 号：</w:t>
            </w:r>
          </w:p>
          <w:p>
            <w:pPr>
              <w:pStyle w:val="28"/>
              <w:rPr>
                <w:sz w:val="34"/>
              </w:rPr>
            </w:pPr>
          </w:p>
          <w:p>
            <w:pPr>
              <w:pStyle w:val="28"/>
              <w:spacing w:line="290" w:lineRule="exact"/>
              <w:ind w:left="106"/>
              <w:rPr>
                <w:sz w:val="24"/>
              </w:rPr>
            </w:pPr>
            <w:r>
              <w:rPr>
                <w:sz w:val="24"/>
              </w:rPr>
              <w:t>开户行：</w:t>
            </w:r>
          </w:p>
        </w:tc>
      </w:tr>
    </w:tbl>
    <w:p/>
    <w:p>
      <w:pPr>
        <w:pStyle w:val="3"/>
        <w:spacing w:line="560" w:lineRule="exact"/>
        <w:jc w:val="center"/>
      </w:pPr>
      <w:r>
        <w:rPr>
          <w:rFonts w:hint="eastAsia"/>
        </w:rPr>
        <w:t>第六部分</w:t>
      </w:r>
      <w:r>
        <w:t xml:space="preserve">  </w:t>
      </w:r>
      <w:r>
        <w:rPr>
          <w:rFonts w:hint="eastAsia"/>
        </w:rPr>
        <w:t>评标办法</w:t>
      </w:r>
    </w:p>
    <w:p>
      <w:pPr>
        <w:spacing w:line="560" w:lineRule="exact"/>
        <w:ind w:firstLine="480" w:firstLineChars="200"/>
        <w:rPr>
          <w:rFonts w:ascii="宋体" w:hAnsi="宋体"/>
          <w:sz w:val="24"/>
        </w:rPr>
      </w:pPr>
      <w:r>
        <w:rPr>
          <w:rFonts w:hint="eastAsia" w:ascii="宋体" w:hAnsi="宋体"/>
          <w:sz w:val="24"/>
        </w:rPr>
        <w:t>为使此次评标工作顺利进行，确保评标活动客观、公正，根据《中华人民共和国政府采购法》的有关规定，制定评标办法如下：</w:t>
      </w:r>
    </w:p>
    <w:p>
      <w:pPr>
        <w:spacing w:line="560" w:lineRule="exact"/>
        <w:rPr>
          <w:rFonts w:ascii="宋体" w:hAnsi="宋体"/>
          <w:b/>
          <w:sz w:val="24"/>
        </w:rPr>
      </w:pPr>
      <w:bookmarkStart w:id="188" w:name="_Toc15208_WPSOffice_Level2"/>
      <w:bookmarkStart w:id="189" w:name="_Toc20719_WPSOffice_Level2"/>
      <w:bookmarkStart w:id="190" w:name="_Toc10280_WPSOffice_Level2"/>
      <w:bookmarkStart w:id="191" w:name="_Toc26042_WPSOffice_Level2"/>
      <w:r>
        <w:rPr>
          <w:rFonts w:hint="eastAsia" w:ascii="宋体" w:hAnsi="宋体"/>
          <w:b/>
          <w:sz w:val="24"/>
        </w:rPr>
        <w:t>一、评标组织机构及职责</w:t>
      </w:r>
      <w:bookmarkEnd w:id="188"/>
      <w:bookmarkEnd w:id="189"/>
      <w:bookmarkEnd w:id="190"/>
      <w:bookmarkEnd w:id="191"/>
    </w:p>
    <w:p>
      <w:pPr>
        <w:adjustRightInd w:val="0"/>
        <w:snapToGrid w:val="0"/>
        <w:spacing w:line="560" w:lineRule="exact"/>
        <w:ind w:firstLine="480" w:firstLineChars="200"/>
        <w:rPr>
          <w:rFonts w:ascii="宋体" w:hAnsi="宋体"/>
          <w:b/>
          <w:sz w:val="24"/>
        </w:rPr>
      </w:pPr>
      <w:r>
        <w:rPr>
          <w:rFonts w:hint="eastAsia" w:ascii="宋体" w:hAnsi="宋体"/>
          <w:b/>
          <w:sz w:val="24"/>
        </w:rPr>
        <w:t>1.采购人</w:t>
      </w:r>
    </w:p>
    <w:p>
      <w:pPr>
        <w:adjustRightInd w:val="0"/>
        <w:snapToGrid w:val="0"/>
        <w:spacing w:line="560" w:lineRule="exact"/>
        <w:ind w:firstLine="480" w:firstLineChars="200"/>
        <w:rPr>
          <w:rFonts w:ascii="宋体" w:hAnsi="宋体"/>
          <w:sz w:val="24"/>
        </w:rPr>
      </w:pPr>
      <w:r>
        <w:rPr>
          <w:rFonts w:hint="eastAsia" w:ascii="宋体" w:hAnsi="宋体"/>
          <w:sz w:val="24"/>
        </w:rPr>
        <w:t>在监督部门监督下，根据《中华人民共和国政府采购法》规定构成评标小组成员之一。</w:t>
      </w:r>
    </w:p>
    <w:p>
      <w:pPr>
        <w:spacing w:line="560" w:lineRule="exact"/>
        <w:ind w:firstLine="480" w:firstLineChars="200"/>
        <w:rPr>
          <w:rFonts w:ascii="宋体" w:hAnsi="宋体"/>
          <w:b/>
          <w:sz w:val="24"/>
        </w:rPr>
      </w:pPr>
      <w:r>
        <w:rPr>
          <w:rFonts w:hint="eastAsia" w:ascii="宋体" w:hAnsi="宋体"/>
          <w:b/>
          <w:sz w:val="24"/>
        </w:rPr>
        <w:t>2.评标委员会</w:t>
      </w:r>
    </w:p>
    <w:p>
      <w:pPr>
        <w:spacing w:line="560" w:lineRule="exact"/>
        <w:ind w:firstLine="456" w:firstLineChars="200"/>
        <w:rPr>
          <w:rFonts w:ascii="宋体" w:hAnsi="宋体"/>
          <w:spacing w:val="-6"/>
          <w:sz w:val="24"/>
        </w:rPr>
      </w:pPr>
      <w:r>
        <w:rPr>
          <w:rFonts w:hint="eastAsia" w:ascii="宋体" w:hAnsi="宋体"/>
          <w:spacing w:val="-6"/>
          <w:sz w:val="24"/>
        </w:rPr>
        <w:t>评标委员会由技术、经济等专家组成，成员为五人及五人以上单数组成。</w:t>
      </w:r>
    </w:p>
    <w:p>
      <w:pPr>
        <w:adjustRightInd w:val="0"/>
        <w:snapToGrid w:val="0"/>
        <w:spacing w:line="560" w:lineRule="exact"/>
        <w:ind w:firstLine="480" w:firstLineChars="200"/>
        <w:rPr>
          <w:rFonts w:ascii="宋体" w:hAnsi="宋体"/>
          <w:b/>
          <w:sz w:val="24"/>
        </w:rPr>
      </w:pPr>
      <w:r>
        <w:rPr>
          <w:rFonts w:hint="eastAsia" w:ascii="宋体" w:hAnsi="宋体"/>
          <w:b/>
          <w:sz w:val="24"/>
        </w:rPr>
        <w:t>3.招标代理机构</w:t>
      </w:r>
    </w:p>
    <w:p>
      <w:pPr>
        <w:adjustRightInd w:val="0"/>
        <w:snapToGrid w:val="0"/>
        <w:spacing w:line="560" w:lineRule="exact"/>
        <w:ind w:firstLine="480" w:firstLineChars="200"/>
        <w:rPr>
          <w:rFonts w:ascii="宋体" w:hAnsi="宋体"/>
          <w:sz w:val="24"/>
        </w:rPr>
      </w:pPr>
      <w:r>
        <w:rPr>
          <w:rFonts w:hint="eastAsia" w:ascii="宋体" w:hAnsi="宋体"/>
          <w:sz w:val="24"/>
        </w:rPr>
        <w:t>依据《中国人民共和国采购法》《中华人民共和国政府采购法实施条例》及“财政部2012-69”号文件之规定，由</w:t>
      </w: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甘肃金盛招标代理有限公司</w:t>
      </w:r>
      <w:r>
        <w:rPr>
          <w:rFonts w:hint="eastAsia" w:ascii="宋体" w:hAnsi="宋体"/>
          <w:sz w:val="24"/>
        </w:rPr>
        <w:t>工作人员组成，负责《</w:t>
      </w:r>
      <w:r>
        <w:rPr>
          <w:rFonts w:hint="eastAsia" w:ascii="宋体" w:hAnsi="宋体" w:cs="Arial"/>
          <w:kern w:val="0"/>
          <w:sz w:val="24"/>
        </w:rPr>
        <w:t>招标文件</w:t>
      </w:r>
      <w:r>
        <w:rPr>
          <w:rFonts w:hint="eastAsia" w:ascii="宋体" w:hAnsi="宋体"/>
          <w:sz w:val="24"/>
        </w:rPr>
        <w:t>》的制作，对外联系，招标、评标的会务工作,整理并向评标委员会成员分发招标资料和《</w:t>
      </w:r>
      <w:r>
        <w:rPr>
          <w:rFonts w:hint="eastAsia" w:ascii="宋体" w:hAnsi="宋体" w:cs="Arial"/>
          <w:kern w:val="0"/>
          <w:sz w:val="24"/>
        </w:rPr>
        <w:t>招标文件</w:t>
      </w:r>
      <w:r>
        <w:rPr>
          <w:rFonts w:hint="eastAsia" w:ascii="宋体" w:hAnsi="宋体"/>
          <w:sz w:val="24"/>
        </w:rPr>
        <w:t>》；做好招标和评标会议记录；对评标过程中的原始文件进行归档；随时印发需要的文件资料,对各种咨询函件及档案文件的统收统发。</w:t>
      </w:r>
    </w:p>
    <w:p>
      <w:pPr>
        <w:adjustRightInd w:val="0"/>
        <w:snapToGrid w:val="0"/>
        <w:spacing w:line="560" w:lineRule="exact"/>
        <w:ind w:firstLine="480" w:firstLineChars="200"/>
        <w:rPr>
          <w:rFonts w:ascii="宋体" w:hAnsi="宋体"/>
          <w:b/>
          <w:sz w:val="24"/>
        </w:rPr>
      </w:pPr>
      <w:r>
        <w:rPr>
          <w:rFonts w:hint="eastAsia" w:ascii="宋体" w:hAnsi="宋体"/>
          <w:b/>
          <w:sz w:val="24"/>
        </w:rPr>
        <w:t>4.监督部门</w:t>
      </w:r>
    </w:p>
    <w:p>
      <w:pPr>
        <w:adjustRightInd w:val="0"/>
        <w:snapToGrid w:val="0"/>
        <w:spacing w:line="560" w:lineRule="exact"/>
        <w:ind w:firstLine="480" w:firstLineChars="200"/>
        <w:rPr>
          <w:rFonts w:ascii="宋体" w:hAnsi="宋体"/>
          <w:sz w:val="24"/>
        </w:rPr>
      </w:pPr>
      <w:r>
        <w:rPr>
          <w:rFonts w:hint="eastAsia" w:ascii="宋体" w:hAnsi="宋体"/>
          <w:sz w:val="24"/>
        </w:rPr>
        <w:t>根据国家有关法律、法规规定由行业监管部门对整个招标评标过程进行监督,其他任何单位和个人不得参与或非法干预正常的评审工作和评审结果，保证评标的公正性,防止违法行为的产生。</w:t>
      </w:r>
    </w:p>
    <w:p>
      <w:pPr>
        <w:spacing w:line="560" w:lineRule="exact"/>
        <w:ind w:firstLine="480" w:firstLineChars="200"/>
        <w:rPr>
          <w:rFonts w:ascii="宋体" w:hAnsi="宋体"/>
          <w:b/>
          <w:sz w:val="24"/>
        </w:rPr>
      </w:pPr>
      <w:r>
        <w:rPr>
          <w:rFonts w:hint="eastAsia" w:ascii="宋体" w:hAnsi="宋体"/>
          <w:b/>
          <w:sz w:val="24"/>
        </w:rPr>
        <w:t>5.审核小组</w:t>
      </w:r>
    </w:p>
    <w:p>
      <w:pPr>
        <w:spacing w:line="560" w:lineRule="exact"/>
        <w:ind w:firstLine="480" w:firstLineChars="200"/>
        <w:rPr>
          <w:rFonts w:ascii="宋体" w:hAnsi="宋体"/>
          <w:sz w:val="24"/>
        </w:rPr>
      </w:pPr>
      <w:r>
        <w:rPr>
          <w:rFonts w:hint="eastAsia" w:ascii="宋体" w:hAnsi="宋体"/>
          <w:sz w:val="24"/>
        </w:rPr>
        <w:t>由监督部门和</w:t>
      </w:r>
      <w:r>
        <w:rPr>
          <w:rFonts w:hint="eastAsia" w:asciiTheme="majorEastAsia" w:hAnsiTheme="majorEastAsia" w:eastAsiaTheme="majorEastAsia" w:cstheme="majorEastAsia"/>
          <w:b w:val="0"/>
          <w:bCs w:val="0"/>
          <w:color w:val="000000" w:themeColor="text1"/>
          <w:sz w:val="24"/>
          <w:szCs w:val="24"/>
          <w:highlight w:val="none"/>
          <w:lang w:eastAsia="zh-CN"/>
          <w14:textFill>
            <w14:solidFill>
              <w14:schemeClr w14:val="tx1"/>
            </w14:solidFill>
          </w14:textFill>
        </w:rPr>
        <w:t>甘肃金盛招标代理有限公司</w:t>
      </w:r>
      <w:r>
        <w:rPr>
          <w:rFonts w:hint="eastAsia" w:ascii="宋体" w:hAnsi="宋体"/>
          <w:sz w:val="24"/>
        </w:rPr>
        <w:t>项目主持人、项目负责人共同组成，负责对评标委员会填写的商务打分表和技术打分表最终统计结果进行审核，审核无误后由评标委员会签字确认。</w:t>
      </w:r>
    </w:p>
    <w:p>
      <w:pPr>
        <w:spacing w:line="560" w:lineRule="exact"/>
        <w:rPr>
          <w:rFonts w:ascii="宋体" w:hAnsi="宋体"/>
          <w:b/>
          <w:sz w:val="24"/>
        </w:rPr>
      </w:pPr>
      <w:bookmarkStart w:id="192" w:name="_Toc18388_WPSOffice_Level2"/>
      <w:bookmarkStart w:id="193" w:name="_Toc12890_WPSOffice_Level2"/>
      <w:bookmarkStart w:id="194" w:name="_Toc13231_WPSOffice_Level2"/>
      <w:bookmarkStart w:id="195" w:name="_Toc17465_WPSOffice_Level2"/>
      <w:r>
        <w:rPr>
          <w:rFonts w:hint="eastAsia" w:ascii="宋体" w:hAnsi="宋体"/>
          <w:b/>
          <w:sz w:val="24"/>
        </w:rPr>
        <w:t>二、评标原则、方法和程序</w:t>
      </w:r>
      <w:bookmarkEnd w:id="192"/>
      <w:bookmarkEnd w:id="193"/>
      <w:bookmarkEnd w:id="194"/>
      <w:bookmarkEnd w:id="195"/>
    </w:p>
    <w:p>
      <w:pPr>
        <w:spacing w:line="560" w:lineRule="exact"/>
        <w:ind w:firstLine="480" w:firstLineChars="200"/>
        <w:rPr>
          <w:rFonts w:ascii="宋体" w:hAnsi="宋体"/>
          <w:b/>
          <w:sz w:val="24"/>
        </w:rPr>
      </w:pPr>
      <w:r>
        <w:rPr>
          <w:rFonts w:hint="eastAsia" w:ascii="宋体" w:hAnsi="宋体"/>
          <w:b/>
          <w:sz w:val="24"/>
        </w:rPr>
        <w:t>1.评标原则</w:t>
      </w:r>
    </w:p>
    <w:p>
      <w:pPr>
        <w:spacing w:line="560" w:lineRule="exact"/>
        <w:ind w:firstLine="480" w:firstLineChars="200"/>
        <w:rPr>
          <w:rFonts w:ascii="宋体" w:hAnsi="宋体"/>
          <w:sz w:val="24"/>
        </w:rPr>
      </w:pPr>
      <w:r>
        <w:rPr>
          <w:rFonts w:hint="eastAsia" w:ascii="宋体" w:hAnsi="宋体"/>
          <w:sz w:val="24"/>
        </w:rPr>
        <w:t>坚持公平、公正、科学、择优和保密的原则。评标人员不能对任何供应商带有倾向性。任何单位和个人不得非法干预、影响评标过程及结果。</w:t>
      </w:r>
    </w:p>
    <w:p>
      <w:pPr>
        <w:spacing w:line="560" w:lineRule="exact"/>
        <w:ind w:firstLine="480" w:firstLineChars="200"/>
        <w:rPr>
          <w:rFonts w:ascii="宋体" w:hAnsi="宋体"/>
          <w:b/>
          <w:sz w:val="24"/>
        </w:rPr>
      </w:pPr>
      <w:r>
        <w:rPr>
          <w:rFonts w:hint="eastAsia" w:ascii="宋体" w:hAnsi="宋体"/>
          <w:b/>
          <w:sz w:val="24"/>
        </w:rPr>
        <w:t>2.评标办法</w:t>
      </w:r>
    </w:p>
    <w:p>
      <w:pPr>
        <w:widowControl/>
        <w:spacing w:line="560" w:lineRule="exact"/>
        <w:ind w:firstLine="480" w:firstLineChars="200"/>
        <w:rPr>
          <w:rFonts w:ascii="宋体" w:hAnsi="宋体"/>
          <w:sz w:val="24"/>
        </w:rPr>
      </w:pPr>
      <w:r>
        <w:rPr>
          <w:rFonts w:hint="eastAsia" w:ascii="宋体" w:hAnsi="宋体"/>
          <w:sz w:val="24"/>
        </w:rPr>
        <w:t>本次评标采用百分制综合计分评标办法。“综合评分法”是指在最大限度地满足</w:t>
      </w:r>
      <w:r>
        <w:rPr>
          <w:rFonts w:hint="eastAsia" w:ascii="宋体" w:hAnsi="宋体" w:cs="Arial"/>
          <w:kern w:val="0"/>
          <w:sz w:val="24"/>
        </w:rPr>
        <w:t>投标文件</w:t>
      </w:r>
      <w:r>
        <w:rPr>
          <w:rFonts w:hint="eastAsia" w:ascii="宋体" w:hAnsi="宋体"/>
          <w:sz w:val="24"/>
        </w:rPr>
        <w:t>实质性要求前提下，以投标报价、技术响应程度、商务响应程度、质量保证措施等综合实力多个因素作为评审指标，全面比较各投标文件，使评审的结果能准确地反映供应商的实际情况，并将各指标量化计分，按总得分排列顺序，确定成交人的方法。总得分最高的供应商作为拟成交人。</w:t>
      </w:r>
    </w:p>
    <w:p>
      <w:pPr>
        <w:widowControl/>
        <w:spacing w:line="560" w:lineRule="exact"/>
        <w:ind w:firstLine="480" w:firstLineChars="200"/>
        <w:rPr>
          <w:rFonts w:ascii="宋体" w:hAnsi="宋体"/>
          <w:b/>
          <w:sz w:val="24"/>
        </w:rPr>
      </w:pPr>
      <w:r>
        <w:rPr>
          <w:rFonts w:hint="eastAsia" w:ascii="宋体" w:hAnsi="宋体"/>
          <w:sz w:val="24"/>
        </w:rPr>
        <w:t>采购人、评标委员会不向投标商承诺最低价成交，对未成交的投标商不作任何解释说明。</w:t>
      </w:r>
    </w:p>
    <w:p>
      <w:pPr>
        <w:spacing w:line="560" w:lineRule="exact"/>
        <w:ind w:firstLine="480" w:firstLineChars="200"/>
        <w:rPr>
          <w:rFonts w:ascii="宋体" w:hAnsi="宋体"/>
          <w:b/>
          <w:sz w:val="24"/>
        </w:rPr>
      </w:pPr>
      <w:r>
        <w:rPr>
          <w:rFonts w:hint="eastAsia" w:ascii="宋体" w:hAnsi="宋体"/>
          <w:b/>
          <w:sz w:val="24"/>
        </w:rPr>
        <w:t>3.评标程序</w:t>
      </w:r>
    </w:p>
    <w:p>
      <w:pPr>
        <w:widowControl/>
        <w:spacing w:line="560" w:lineRule="exact"/>
        <w:ind w:firstLine="480" w:firstLineChars="200"/>
        <w:rPr>
          <w:rFonts w:ascii="宋体" w:hAnsi="宋体" w:cs="Arial"/>
          <w:b/>
          <w:kern w:val="0"/>
          <w:sz w:val="24"/>
        </w:rPr>
      </w:pPr>
      <w:r>
        <w:rPr>
          <w:rFonts w:hint="eastAsia" w:ascii="宋体" w:hAnsi="宋体" w:cs="Arial"/>
          <w:b/>
          <w:kern w:val="0"/>
          <w:sz w:val="24"/>
        </w:rPr>
        <w:t>3.1 开标前，投标文件有下列情形之一的，采购人不予受理</w:t>
      </w:r>
    </w:p>
    <w:p>
      <w:pPr>
        <w:widowControl/>
        <w:spacing w:line="560" w:lineRule="exact"/>
        <w:ind w:firstLine="360" w:firstLineChars="150"/>
        <w:rPr>
          <w:rFonts w:ascii="宋体" w:hAnsi="宋体" w:cs="Arial"/>
          <w:kern w:val="0"/>
          <w:sz w:val="24"/>
        </w:rPr>
      </w:pPr>
      <w:r>
        <w:rPr>
          <w:rFonts w:hint="eastAsia" w:ascii="宋体" w:hAnsi="宋体" w:cs="Arial"/>
          <w:kern w:val="0"/>
          <w:sz w:val="24"/>
        </w:rPr>
        <w:t>（1）逾期送达的或者未送达指定地点的；</w:t>
      </w:r>
    </w:p>
    <w:p>
      <w:pPr>
        <w:widowControl/>
        <w:spacing w:line="560" w:lineRule="exact"/>
        <w:ind w:firstLine="360" w:firstLineChars="150"/>
        <w:rPr>
          <w:rFonts w:ascii="宋体" w:hAnsi="宋体" w:cs="Arial"/>
          <w:kern w:val="0"/>
          <w:sz w:val="24"/>
        </w:rPr>
      </w:pPr>
      <w:r>
        <w:rPr>
          <w:rFonts w:hint="eastAsia" w:ascii="宋体" w:hAnsi="宋体" w:cs="Arial"/>
          <w:kern w:val="0"/>
          <w:sz w:val="24"/>
        </w:rPr>
        <w:t>（2）未按招标文件要求密封的；</w:t>
      </w:r>
    </w:p>
    <w:p>
      <w:pPr>
        <w:widowControl/>
        <w:spacing w:line="560" w:lineRule="exact"/>
        <w:ind w:firstLine="360" w:firstLineChars="150"/>
        <w:rPr>
          <w:rFonts w:ascii="宋体" w:hAnsi="宋体" w:cs="Arial"/>
          <w:kern w:val="0"/>
          <w:sz w:val="24"/>
        </w:rPr>
      </w:pPr>
      <w:r>
        <w:rPr>
          <w:rFonts w:hint="eastAsia" w:ascii="宋体" w:hAnsi="宋体" w:cs="Arial"/>
          <w:kern w:val="0"/>
          <w:sz w:val="24"/>
        </w:rPr>
        <w:t>（3）供应商法定代表人或者授权的委托代理人未参加开标会议的或者授权的委托代理人不能出示授权委托书和居民身份证的。</w:t>
      </w:r>
    </w:p>
    <w:p>
      <w:pPr>
        <w:widowControl/>
        <w:spacing w:line="560" w:lineRule="exact"/>
        <w:ind w:firstLine="480" w:firstLineChars="200"/>
        <w:rPr>
          <w:rFonts w:ascii="宋体" w:hAnsi="宋体" w:cs="Arial"/>
          <w:b/>
          <w:kern w:val="0"/>
          <w:sz w:val="24"/>
        </w:rPr>
      </w:pPr>
      <w:r>
        <w:rPr>
          <w:rFonts w:hint="eastAsia" w:ascii="宋体" w:hAnsi="宋体" w:cs="Arial"/>
          <w:b/>
          <w:kern w:val="0"/>
          <w:sz w:val="24"/>
        </w:rPr>
        <w:t>3.2 投标文件有下列情形之一的，由评标委员会初审后按废标处理</w:t>
      </w:r>
    </w:p>
    <w:p>
      <w:pPr>
        <w:spacing w:line="560" w:lineRule="exact"/>
        <w:ind w:firstLine="480" w:firstLineChars="200"/>
        <w:rPr>
          <w:rFonts w:ascii="宋体" w:hAnsi="宋体" w:cs="Arial"/>
          <w:kern w:val="0"/>
          <w:sz w:val="24"/>
        </w:rPr>
      </w:pPr>
      <w:r>
        <w:rPr>
          <w:rFonts w:hint="eastAsia" w:ascii="宋体" w:hAnsi="宋体" w:cs="Arial"/>
          <w:kern w:val="0"/>
          <w:sz w:val="24"/>
        </w:rPr>
        <w:t>（1）</w:t>
      </w:r>
      <w:r>
        <w:rPr>
          <w:rFonts w:hint="eastAsia" w:ascii="宋体" w:hAnsi="宋体" w:cs="Arial"/>
          <w:spacing w:val="4"/>
          <w:kern w:val="0"/>
          <w:sz w:val="24"/>
        </w:rPr>
        <w:t>无单位盖章并无法定代表人或者法定代表人授权的代理人签字或者盖章的；出现两个以上法人公章不一致或者法定代表人印章</w:t>
      </w:r>
      <w:r>
        <w:rPr>
          <w:rFonts w:hint="eastAsia" w:ascii="宋体" w:hAnsi="宋体" w:cs="Arial"/>
          <w:kern w:val="0"/>
          <w:sz w:val="24"/>
        </w:rPr>
        <w:t>不一致的；</w:t>
      </w:r>
    </w:p>
    <w:p>
      <w:pPr>
        <w:tabs>
          <w:tab w:val="right" w:pos="8463"/>
        </w:tabs>
        <w:spacing w:line="560" w:lineRule="exact"/>
        <w:ind w:firstLine="480" w:firstLineChars="200"/>
        <w:rPr>
          <w:rFonts w:ascii="宋体" w:hAnsi="宋体" w:cs="Arial"/>
          <w:kern w:val="0"/>
          <w:sz w:val="24"/>
        </w:rPr>
      </w:pPr>
      <w:r>
        <w:rPr>
          <w:rFonts w:hint="eastAsia" w:ascii="宋体" w:hAnsi="宋体" w:cs="Arial"/>
          <w:kern w:val="0"/>
          <w:sz w:val="24"/>
        </w:rPr>
        <w:t>（2）企业法定代表人委托的代理人未参加招标会议的；</w:t>
      </w:r>
      <w:r>
        <w:rPr>
          <w:rFonts w:ascii="宋体" w:hAnsi="宋体" w:cs="Arial"/>
          <w:kern w:val="0"/>
          <w:sz w:val="24"/>
        </w:rPr>
        <w:tab/>
      </w:r>
    </w:p>
    <w:p>
      <w:pPr>
        <w:spacing w:line="560" w:lineRule="exact"/>
        <w:ind w:firstLine="480" w:firstLineChars="200"/>
        <w:rPr>
          <w:rFonts w:ascii="宋体" w:hAnsi="宋体" w:cs="Arial"/>
          <w:spacing w:val="-6"/>
          <w:kern w:val="0"/>
          <w:sz w:val="24"/>
        </w:rPr>
      </w:pPr>
      <w:r>
        <w:rPr>
          <w:rFonts w:hint="eastAsia" w:ascii="宋体" w:hAnsi="宋体" w:cs="Arial"/>
          <w:kern w:val="0"/>
          <w:sz w:val="24"/>
        </w:rPr>
        <w:t>（3）</w:t>
      </w:r>
      <w:r>
        <w:rPr>
          <w:rFonts w:hint="eastAsia" w:ascii="宋体" w:hAnsi="宋体" w:cs="Arial"/>
          <w:spacing w:val="-6"/>
          <w:kern w:val="0"/>
          <w:sz w:val="24"/>
        </w:rPr>
        <w:t>未按规定的格式填写，内容不全或者关键字迹模糊、无法辨认的；</w:t>
      </w:r>
    </w:p>
    <w:p>
      <w:pPr>
        <w:spacing w:line="560" w:lineRule="exact"/>
        <w:ind w:firstLine="480" w:firstLineChars="200"/>
        <w:rPr>
          <w:rFonts w:ascii="宋体" w:hAnsi="宋体" w:cs="Arial"/>
          <w:spacing w:val="4"/>
          <w:kern w:val="0"/>
          <w:sz w:val="24"/>
        </w:rPr>
      </w:pPr>
      <w:r>
        <w:rPr>
          <w:rFonts w:hint="eastAsia" w:ascii="宋体" w:hAnsi="宋体" w:cs="Arial"/>
          <w:kern w:val="0"/>
          <w:sz w:val="24"/>
        </w:rPr>
        <w:t>（4）</w:t>
      </w:r>
      <w:r>
        <w:rPr>
          <w:rFonts w:hint="eastAsia" w:ascii="宋体" w:hAnsi="宋体" w:cs="Arial"/>
          <w:spacing w:val="4"/>
          <w:kern w:val="0"/>
          <w:sz w:val="24"/>
        </w:rPr>
        <w:t>供应商递交两份或者多份内容不同的</w:t>
      </w:r>
      <w:r>
        <w:rPr>
          <w:rFonts w:hint="eastAsia" w:ascii="宋体" w:hAnsi="宋体" w:cs="Arial"/>
          <w:kern w:val="0"/>
          <w:sz w:val="24"/>
        </w:rPr>
        <w:t>投标文件</w:t>
      </w:r>
      <w:r>
        <w:rPr>
          <w:rFonts w:hint="eastAsia" w:ascii="宋体" w:hAnsi="宋体" w:cs="Arial"/>
          <w:spacing w:val="4"/>
          <w:kern w:val="0"/>
          <w:sz w:val="24"/>
        </w:rPr>
        <w:t>，或者在一份</w:t>
      </w:r>
      <w:r>
        <w:rPr>
          <w:rFonts w:hint="eastAsia" w:ascii="宋体" w:hAnsi="宋体" w:cs="Arial"/>
          <w:kern w:val="0"/>
          <w:sz w:val="24"/>
        </w:rPr>
        <w:t>投标文件</w:t>
      </w:r>
      <w:r>
        <w:rPr>
          <w:rFonts w:hint="eastAsia" w:ascii="宋体" w:hAnsi="宋体" w:cs="Arial"/>
          <w:spacing w:val="4"/>
          <w:kern w:val="0"/>
          <w:sz w:val="24"/>
        </w:rPr>
        <w:t>中对同一招标项目报有两个或者多个报价，且未声明哪一个有效的。</w:t>
      </w:r>
    </w:p>
    <w:p>
      <w:pPr>
        <w:spacing w:line="560" w:lineRule="exact"/>
        <w:ind w:firstLine="480" w:firstLineChars="200"/>
        <w:rPr>
          <w:rFonts w:ascii="宋体" w:hAnsi="宋体" w:cs="Arial"/>
          <w:kern w:val="0"/>
          <w:sz w:val="24"/>
        </w:rPr>
      </w:pPr>
      <w:r>
        <w:rPr>
          <w:rFonts w:hint="eastAsia" w:ascii="宋体" w:hAnsi="宋体" w:cs="Arial"/>
          <w:kern w:val="0"/>
          <w:sz w:val="24"/>
        </w:rPr>
        <w:t>（5）供应商未提交完整的报价文件的；</w:t>
      </w:r>
    </w:p>
    <w:p>
      <w:pPr>
        <w:spacing w:line="560" w:lineRule="exact"/>
        <w:ind w:firstLine="480" w:firstLineChars="200"/>
        <w:rPr>
          <w:rFonts w:ascii="宋体" w:hAnsi="宋体" w:cs="Arial"/>
          <w:kern w:val="0"/>
          <w:sz w:val="24"/>
        </w:rPr>
      </w:pPr>
      <w:r>
        <w:rPr>
          <w:rFonts w:hint="eastAsia" w:ascii="宋体" w:hAnsi="宋体" w:cs="Arial"/>
          <w:kern w:val="0"/>
          <w:sz w:val="24"/>
        </w:rPr>
        <w:t>（6）投标报价被认定为以低于企业成本价竞争的；</w:t>
      </w:r>
    </w:p>
    <w:p>
      <w:pPr>
        <w:spacing w:line="560" w:lineRule="exact"/>
        <w:ind w:firstLine="480" w:firstLineChars="200"/>
        <w:rPr>
          <w:rFonts w:ascii="宋体" w:hAnsi="宋体" w:cs="Arial"/>
          <w:b/>
          <w:kern w:val="0"/>
          <w:sz w:val="24"/>
        </w:rPr>
      </w:pPr>
      <w:r>
        <w:rPr>
          <w:rFonts w:hint="eastAsia" w:ascii="宋体" w:hAnsi="宋体" w:cs="Arial"/>
          <w:kern w:val="0"/>
          <w:sz w:val="24"/>
        </w:rPr>
        <w:t>（7）法律、法规规定的其他条件。</w:t>
      </w:r>
    </w:p>
    <w:p>
      <w:pPr>
        <w:spacing w:line="560" w:lineRule="exact"/>
        <w:ind w:firstLine="480" w:firstLineChars="200"/>
        <w:rPr>
          <w:rFonts w:ascii="宋体" w:hAnsi="宋体" w:cs="Arial"/>
          <w:b/>
          <w:kern w:val="0"/>
          <w:sz w:val="24"/>
        </w:rPr>
      </w:pPr>
      <w:r>
        <w:rPr>
          <w:rFonts w:hint="eastAsia" w:ascii="宋体" w:hAnsi="宋体" w:cs="Arial"/>
          <w:b/>
          <w:kern w:val="0"/>
          <w:sz w:val="24"/>
        </w:rPr>
        <w:t>3.3 投标报价计算正确性检查</w:t>
      </w:r>
    </w:p>
    <w:p>
      <w:pPr>
        <w:spacing w:line="560" w:lineRule="exact"/>
        <w:ind w:firstLine="480" w:firstLineChars="200"/>
        <w:rPr>
          <w:rFonts w:ascii="宋体" w:hAnsi="宋体" w:cs="Arial"/>
          <w:kern w:val="0"/>
          <w:sz w:val="24"/>
        </w:rPr>
      </w:pPr>
      <w:r>
        <w:rPr>
          <w:rFonts w:hint="eastAsia" w:ascii="宋体" w:hAnsi="宋体" w:cs="Arial"/>
          <w:kern w:val="0"/>
          <w:sz w:val="24"/>
        </w:rPr>
        <w:t>初评阶段应对各项目报价计算的正确性进行检查。对出现的算术错误，由评标委员会予以改正，并让供应商澄清确认。改正后的投标价对供应商起约束作用。如果供应商不接受改正后的投标报价，其投标将被拒绝，其投标保证金将被没收，修正计算错误按如下原则进行：</w:t>
      </w:r>
    </w:p>
    <w:p>
      <w:pPr>
        <w:spacing w:line="560" w:lineRule="exact"/>
        <w:ind w:firstLine="480" w:firstLineChars="200"/>
        <w:rPr>
          <w:rFonts w:ascii="宋体" w:hAnsi="宋体" w:cs="Arial"/>
          <w:kern w:val="0"/>
          <w:sz w:val="24"/>
        </w:rPr>
      </w:pPr>
      <w:r>
        <w:rPr>
          <w:rFonts w:hint="eastAsia" w:ascii="宋体" w:hAnsi="宋体" w:cs="Arial"/>
          <w:kern w:val="0"/>
          <w:sz w:val="24"/>
        </w:rPr>
        <w:t>投标文件的大写金额和小写金额不一致的，以大写金额为准；总价金额与单项单价汇总金额不一致的，以单价金额计算结果为准；单价金额小数点有明显错位的，应以总价为准，并修改单价；对不同文字文本投标文件的解释发生异议的，以中文文本为准。</w:t>
      </w:r>
    </w:p>
    <w:p>
      <w:pPr>
        <w:tabs>
          <w:tab w:val="left" w:pos="2070"/>
        </w:tabs>
        <w:spacing w:line="560" w:lineRule="exact"/>
        <w:ind w:firstLine="480" w:firstLineChars="200"/>
        <w:rPr>
          <w:rFonts w:ascii="宋体" w:hAnsi="宋体" w:cs="Arial"/>
          <w:b/>
          <w:kern w:val="0"/>
          <w:sz w:val="24"/>
        </w:rPr>
      </w:pPr>
      <w:r>
        <w:rPr>
          <w:rFonts w:hint="eastAsia" w:ascii="宋体" w:hAnsi="宋体" w:cs="Arial"/>
          <w:b/>
          <w:kern w:val="0"/>
          <w:sz w:val="24"/>
        </w:rPr>
        <w:t>3.4 澄清</w:t>
      </w:r>
      <w:r>
        <w:rPr>
          <w:rFonts w:ascii="宋体" w:hAnsi="宋体" w:cs="Arial"/>
          <w:b/>
          <w:kern w:val="0"/>
          <w:sz w:val="24"/>
        </w:rPr>
        <w:tab/>
      </w:r>
    </w:p>
    <w:p>
      <w:pPr>
        <w:spacing w:line="560" w:lineRule="exact"/>
        <w:ind w:firstLine="496" w:firstLineChars="200"/>
        <w:rPr>
          <w:rFonts w:ascii="宋体" w:hAnsi="宋体" w:cs="Arial"/>
          <w:spacing w:val="4"/>
          <w:kern w:val="0"/>
          <w:sz w:val="24"/>
        </w:rPr>
      </w:pPr>
      <w:r>
        <w:rPr>
          <w:rFonts w:hint="eastAsia" w:ascii="宋体" w:hAnsi="宋体" w:cs="Arial"/>
          <w:spacing w:val="4"/>
          <w:kern w:val="0"/>
          <w:sz w:val="24"/>
        </w:rPr>
        <w:t>对</w:t>
      </w:r>
      <w:r>
        <w:rPr>
          <w:rFonts w:hint="eastAsia" w:ascii="宋体" w:hAnsi="宋体" w:cs="Arial"/>
          <w:kern w:val="0"/>
          <w:sz w:val="24"/>
        </w:rPr>
        <w:t>投标文件</w:t>
      </w:r>
      <w:r>
        <w:rPr>
          <w:rFonts w:hint="eastAsia" w:ascii="宋体" w:hAnsi="宋体" w:cs="Arial"/>
          <w:spacing w:val="4"/>
          <w:kern w:val="0"/>
          <w:sz w:val="24"/>
        </w:rPr>
        <w:t>中的细微偏差经评标委员会讨论，并得到三分之二以上委员同意后，可以要求供应商以书面形式予以澄清和说明，以确认正确的内容。</w:t>
      </w:r>
    </w:p>
    <w:p>
      <w:pPr>
        <w:spacing w:line="560" w:lineRule="exact"/>
        <w:ind w:firstLine="480" w:firstLineChars="200"/>
        <w:rPr>
          <w:rFonts w:ascii="宋体" w:hAnsi="宋体" w:cs="Arial"/>
          <w:kern w:val="0"/>
          <w:sz w:val="24"/>
        </w:rPr>
      </w:pPr>
      <w:r>
        <w:rPr>
          <w:rFonts w:hint="eastAsia" w:ascii="宋体" w:hAnsi="宋体" w:cs="Arial"/>
          <w:kern w:val="0"/>
          <w:sz w:val="24"/>
        </w:rPr>
        <w:t>细微偏差是指投标文件在实质上响应招标文件的要求，不影响投标文件的有效性，但在个别地方存在漏项或者不完整内容不会对其他供应商造成不公平结果。</w:t>
      </w:r>
    </w:p>
    <w:p>
      <w:pPr>
        <w:spacing w:line="560" w:lineRule="exact"/>
        <w:ind w:firstLine="480" w:firstLineChars="200"/>
        <w:rPr>
          <w:rFonts w:ascii="宋体" w:hAnsi="宋体" w:cs="Arial"/>
          <w:kern w:val="0"/>
          <w:sz w:val="24"/>
        </w:rPr>
      </w:pPr>
      <w:r>
        <w:rPr>
          <w:rFonts w:hint="eastAsia" w:ascii="宋体" w:hAnsi="宋体" w:cs="Arial"/>
          <w:kern w:val="0"/>
          <w:sz w:val="24"/>
        </w:rPr>
        <w:t>供应商对需要澄清和确认的问题应以书面形式回答，要由法定代表人或授权代理人签字，在规定时间内递交评标委员会。澄清问题的答复函应作为投标文件的组成部分。但在澄清或说明问题时不允许更改投标文件中任何实质性内容。</w:t>
      </w:r>
    </w:p>
    <w:p>
      <w:pPr>
        <w:spacing w:line="560" w:lineRule="exact"/>
        <w:ind w:firstLine="480" w:firstLineChars="200"/>
        <w:rPr>
          <w:rFonts w:ascii="宋体" w:hAnsi="宋体" w:cs="Arial"/>
          <w:b/>
          <w:kern w:val="0"/>
          <w:sz w:val="24"/>
        </w:rPr>
      </w:pPr>
      <w:r>
        <w:rPr>
          <w:rFonts w:hint="eastAsia" w:ascii="宋体" w:hAnsi="宋体" w:cs="Arial"/>
          <w:b/>
          <w:kern w:val="0"/>
          <w:sz w:val="24"/>
        </w:rPr>
        <w:t>3.5 详评</w:t>
      </w:r>
    </w:p>
    <w:p>
      <w:pPr>
        <w:spacing w:line="560" w:lineRule="exact"/>
        <w:ind w:firstLine="464" w:firstLineChars="200"/>
        <w:rPr>
          <w:rFonts w:ascii="宋体" w:hAnsi="宋体" w:cs="Arial"/>
          <w:bCs/>
          <w:spacing w:val="-4"/>
          <w:kern w:val="0"/>
          <w:sz w:val="24"/>
        </w:rPr>
      </w:pPr>
      <w:r>
        <w:rPr>
          <w:rFonts w:hint="eastAsia" w:ascii="宋体" w:hAnsi="宋体" w:cs="Arial"/>
          <w:bCs/>
          <w:spacing w:val="-4"/>
          <w:kern w:val="0"/>
          <w:sz w:val="24"/>
        </w:rPr>
        <w:t>开标后，对各供应商的</w:t>
      </w:r>
      <w:r>
        <w:rPr>
          <w:rFonts w:hint="eastAsia" w:ascii="宋体" w:hAnsi="宋体" w:cs="Arial"/>
          <w:spacing w:val="-4"/>
          <w:kern w:val="0"/>
          <w:sz w:val="24"/>
        </w:rPr>
        <w:t>投标文件</w:t>
      </w:r>
      <w:r>
        <w:rPr>
          <w:rFonts w:hint="eastAsia" w:ascii="宋体" w:hAnsi="宋体" w:cs="Arial"/>
          <w:bCs/>
          <w:spacing w:val="-4"/>
          <w:kern w:val="0"/>
          <w:sz w:val="24"/>
        </w:rPr>
        <w:t>按照投标报价、售后服务、质量保证承诺、供应商业绩和信誉等四个方面采取科学的方法，按平等竞争、公平合理的原则综合评定打分。</w:t>
      </w:r>
    </w:p>
    <w:p>
      <w:pPr>
        <w:spacing w:line="560" w:lineRule="exact"/>
        <w:ind w:firstLine="480" w:firstLineChars="200"/>
        <w:rPr>
          <w:rFonts w:ascii="宋体" w:hAnsi="宋体" w:cs="Arial"/>
          <w:b/>
          <w:kern w:val="0"/>
          <w:sz w:val="24"/>
        </w:rPr>
      </w:pPr>
      <w:r>
        <w:rPr>
          <w:rFonts w:hint="eastAsia" w:ascii="宋体" w:hAnsi="宋体" w:cs="Arial"/>
          <w:b/>
          <w:kern w:val="0"/>
          <w:sz w:val="24"/>
        </w:rPr>
        <w:t>3.6关于中小企业及节能环保</w:t>
      </w:r>
    </w:p>
    <w:p>
      <w:pPr>
        <w:spacing w:line="560" w:lineRule="exact"/>
        <w:ind w:firstLine="480" w:firstLineChars="200"/>
        <w:rPr>
          <w:rFonts w:ascii="宋体" w:hAnsi="宋体" w:cs="Arial"/>
          <w:bCs/>
          <w:kern w:val="0"/>
          <w:sz w:val="24"/>
        </w:rPr>
      </w:pPr>
      <w:r>
        <w:rPr>
          <w:rFonts w:hint="eastAsia" w:ascii="宋体" w:hAnsi="宋体" w:cs="Arial"/>
          <w:bCs/>
          <w:kern w:val="0"/>
          <w:sz w:val="24"/>
        </w:rPr>
        <w:t>本项目非专门面向中小企业。根据财库【2011】181号文件规定，对于非专门面向中小型企业的采购项目，对小型和微型企业产品的价格给予6%-10%的扣除，本项目确定价格扣除为6%，用扣除后的价格参与评审（其投标报价不变）。参加政府采购活动的中小企业应当提供《小微企业声明函》（见第六部分第十八条）。中小企业划型标准（见第二部分第四条）。</w:t>
      </w:r>
    </w:p>
    <w:p>
      <w:pPr>
        <w:spacing w:line="560" w:lineRule="exact"/>
        <w:ind w:firstLine="480" w:firstLineChars="200"/>
        <w:rPr>
          <w:rFonts w:ascii="宋体" w:hAnsi="宋体" w:cs="Arial"/>
          <w:bCs/>
          <w:kern w:val="0"/>
          <w:sz w:val="24"/>
        </w:rPr>
      </w:pPr>
      <w:r>
        <w:rPr>
          <w:rFonts w:hint="eastAsia" w:ascii="宋体" w:hAnsi="宋体" w:cs="Arial"/>
          <w:bCs/>
          <w:kern w:val="0"/>
          <w:sz w:val="24"/>
        </w:rPr>
        <w:t>凡是参与小微企业价格评审扣除的投标人，必须证明是否为小微企业，不提供者不得享受小微企业价格扣除的优惠政策，提供虚假财务审计报告或开户银行证明的按照无效投标处理。</w:t>
      </w:r>
    </w:p>
    <w:p>
      <w:pPr>
        <w:spacing w:line="560" w:lineRule="exact"/>
        <w:ind w:firstLine="480" w:firstLineChars="200"/>
        <w:rPr>
          <w:rFonts w:ascii="宋体" w:hAnsi="宋体" w:cs="Arial"/>
          <w:bCs/>
          <w:kern w:val="0"/>
          <w:sz w:val="24"/>
        </w:rPr>
      </w:pPr>
      <w:r>
        <w:rPr>
          <w:rFonts w:hint="eastAsia" w:ascii="宋体" w:hAnsi="宋体" w:cs="Arial"/>
          <w:bCs/>
          <w:kern w:val="0"/>
          <w:sz w:val="24"/>
        </w:rPr>
        <w:t>根据《甘肃财政厅关于政府强制采购节能产品优先采购环保和自主创新产品的实施意见》(甘财采〔2009〕17号)，在满足采购需求、质量和服务相等的情况下，节能环保或自主创新产品报价不高于一般产品当次报价的最低报价6%的，确定节能环保或自主创新产品投标人为中标投标人。</w:t>
      </w:r>
    </w:p>
    <w:p>
      <w:pPr>
        <w:spacing w:line="560" w:lineRule="exact"/>
        <w:ind w:firstLine="480" w:firstLineChars="200"/>
        <w:rPr>
          <w:rFonts w:ascii="宋体" w:hAnsi="宋体" w:cs="Arial"/>
          <w:b/>
          <w:bCs/>
          <w:kern w:val="0"/>
          <w:sz w:val="24"/>
        </w:rPr>
      </w:pPr>
      <w:r>
        <w:rPr>
          <w:rFonts w:hint="eastAsia" w:ascii="宋体" w:hAnsi="宋体" w:cs="Arial"/>
          <w:bCs/>
          <w:kern w:val="0"/>
          <w:sz w:val="24"/>
        </w:rPr>
        <w:t>投标人所投产品如被列入财政部与国家主管部门颁发的节能产品目录或环境标志产品目录或无线局域网产品目录，应提供相关证明，在评标时予以优先采购，具体优先采购办法见评标方法和标准。</w:t>
      </w:r>
    </w:p>
    <w:p>
      <w:pPr>
        <w:widowControl/>
        <w:spacing w:line="560" w:lineRule="exact"/>
        <w:ind w:left="478" w:leftChars="228"/>
        <w:jc w:val="left"/>
        <w:rPr>
          <w:rFonts w:ascii="宋体" w:hAnsi="宋体" w:eastAsia="宋体" w:cs="宋体"/>
          <w:bCs/>
          <w:kern w:val="0"/>
          <w:sz w:val="24"/>
        </w:rPr>
      </w:pPr>
      <w:r>
        <w:rPr>
          <w:rFonts w:hint="eastAsia" w:ascii="宋体" w:hAnsi="宋体" w:eastAsia="宋体" w:cs="宋体"/>
          <w:b/>
          <w:kern w:val="0"/>
          <w:sz w:val="24"/>
        </w:rPr>
        <w:t>3.7政府采购活动中查询及使用信用记录的有关问题</w:t>
      </w:r>
      <w:r>
        <w:rPr>
          <w:rFonts w:hint="eastAsia" w:ascii="宋体" w:hAnsi="宋体" w:eastAsia="宋体" w:cs="宋体"/>
          <w:kern w:val="0"/>
          <w:sz w:val="24"/>
        </w:rPr>
        <w:br w:type="textWrapping"/>
      </w:r>
      <w:r>
        <w:rPr>
          <w:rFonts w:hint="eastAsia" w:ascii="宋体" w:hAnsi="宋体" w:eastAsia="宋体" w:cs="宋体"/>
          <w:bCs/>
          <w:kern w:val="0"/>
          <w:sz w:val="24"/>
        </w:rPr>
        <w:t>申请人信用信息查询渠道及截止时间、信用信息查询记录和证据留存的具体方式、信用信息的使用规则等内容要求如下:</w:t>
      </w:r>
    </w:p>
    <w:p>
      <w:pPr>
        <w:widowControl/>
        <w:spacing w:line="560" w:lineRule="exact"/>
        <w:ind w:firstLine="480" w:firstLineChars="200"/>
        <w:jc w:val="left"/>
        <w:rPr>
          <w:rFonts w:ascii="宋体" w:hAnsi="宋体" w:eastAsia="宋体" w:cs="宋体"/>
          <w:bCs/>
          <w:kern w:val="0"/>
          <w:sz w:val="24"/>
        </w:rPr>
      </w:pPr>
      <w:r>
        <w:rPr>
          <w:rFonts w:hint="eastAsia" w:ascii="宋体" w:hAnsi="宋体" w:eastAsia="宋体" w:cs="宋体"/>
          <w:bCs/>
          <w:kern w:val="0"/>
          <w:sz w:val="24"/>
        </w:rPr>
        <w:t>1.报据《关于在行政管理事項中使用信用记录和信用报告的若干意见的通知》(发改财金[2013]920号)、《国务院关于印发社会信用体系建设规划纲要(2014-2020年)的通知》国发[2014]21号、《国务院办公厅关于运用大数据加强对市场主体服务和监管的若干意见》（国办发[2015]51号）、《关于在政府采购活动中查询及使用信用记录有关问题的通知》财库[2016]125号及《中华入民共和国财政部令第87号一政府采购货物和服务招标投标管理办法》等文件规定要求, 供应商必须提供由第三方社会征信机构出具的信用记录或信用报告, 并须由其信用机构的信用管理师签字盖章生效,否则视为无效信用报告；</w:t>
      </w:r>
      <w:r>
        <w:rPr>
          <w:rFonts w:hint="eastAsia" w:ascii="宋体" w:hAnsi="宋体" w:eastAsia="宋体" w:cs="宋体"/>
          <w:bCs/>
          <w:kern w:val="0"/>
          <w:sz w:val="24"/>
        </w:rPr>
        <w:br w:type="textWrapping"/>
      </w:r>
      <w:r>
        <w:rPr>
          <w:rFonts w:hint="eastAsia" w:ascii="宋体" w:hAnsi="宋体" w:eastAsia="宋体" w:cs="宋体"/>
          <w:bCs/>
          <w:kern w:val="0"/>
          <w:sz w:val="24"/>
        </w:rPr>
        <w:t xml:space="preserve"> </w:t>
      </w:r>
      <w:r>
        <w:rPr>
          <w:rFonts w:ascii="宋体" w:hAnsi="宋体" w:eastAsia="宋体" w:cs="宋体"/>
          <w:bCs/>
          <w:kern w:val="0"/>
          <w:sz w:val="24"/>
        </w:rPr>
        <w:t xml:space="preserve">  </w:t>
      </w:r>
      <w:r>
        <w:rPr>
          <w:rFonts w:hint="eastAsia" w:ascii="宋体" w:hAnsi="宋体" w:eastAsia="宋体" w:cs="宋体"/>
          <w:bCs/>
          <w:kern w:val="0"/>
          <w:sz w:val="24"/>
        </w:rPr>
        <w:t>2.根据《征信业管理条例》十一条:“国务院征信业监督管理部门应当向社会公告经营个人征信业务和企业征信业务的征信机构名单”规定,出具信用报告的第三方征信机构必须持有《企业征信业务经营备集证》，未在国务院征信业监督管理部门取得《企业征信业务经营备案证》的信用公司出具的信用报告无效；</w:t>
      </w:r>
      <w:r>
        <w:rPr>
          <w:rFonts w:hint="eastAsia" w:ascii="宋体" w:hAnsi="宋体" w:eastAsia="宋体" w:cs="宋体"/>
          <w:bCs/>
          <w:kern w:val="0"/>
          <w:sz w:val="24"/>
        </w:rPr>
        <w:br w:type="textWrapping"/>
      </w:r>
      <w:r>
        <w:rPr>
          <w:rFonts w:ascii="宋体" w:hAnsi="宋体" w:eastAsia="宋体" w:cs="宋体"/>
          <w:bCs/>
          <w:kern w:val="0"/>
          <w:sz w:val="24"/>
        </w:rPr>
        <w:t xml:space="preserve">  </w:t>
      </w:r>
      <w:r>
        <w:rPr>
          <w:rFonts w:hint="eastAsia" w:ascii="宋体" w:hAnsi="宋体" w:eastAsia="宋体" w:cs="宋体"/>
          <w:bCs/>
          <w:kern w:val="0"/>
          <w:sz w:val="24"/>
        </w:rPr>
        <w:t xml:space="preserve"> 3.参与本项目的信用报告及查询渠道必须出自同一具各«企业征信业务经营备案证»第三方信用机构查询平台,并注明项目名称及招标编号等；</w:t>
      </w:r>
      <w:r>
        <w:rPr>
          <w:rFonts w:hint="eastAsia" w:ascii="宋体" w:hAnsi="宋体" w:eastAsia="宋体" w:cs="宋体"/>
          <w:bCs/>
          <w:kern w:val="0"/>
          <w:sz w:val="24"/>
        </w:rPr>
        <w:br w:type="textWrapping"/>
      </w:r>
      <w:r>
        <w:rPr>
          <w:rFonts w:hint="eastAsia" w:ascii="宋体" w:hAnsi="宋体" w:eastAsia="宋体" w:cs="宋体"/>
          <w:bCs/>
          <w:kern w:val="0"/>
          <w:sz w:val="24"/>
        </w:rPr>
        <w:t xml:space="preserve">   4.参与本项目的供应商信用报告截止时间及信用等级要求为:至递交投标文件截止时间前3天内,企业信用等级为3B以上的企业；</w:t>
      </w:r>
      <w:r>
        <w:rPr>
          <w:rFonts w:hint="eastAsia" w:ascii="宋体" w:hAnsi="宋体" w:eastAsia="宋体" w:cs="宋体"/>
          <w:bCs/>
          <w:kern w:val="0"/>
          <w:sz w:val="24"/>
        </w:rPr>
        <w:br w:type="textWrapping"/>
      </w:r>
      <w:r>
        <w:rPr>
          <w:rFonts w:ascii="宋体" w:hAnsi="宋体" w:eastAsia="宋体" w:cs="宋体"/>
          <w:bCs/>
          <w:kern w:val="0"/>
          <w:sz w:val="24"/>
        </w:rPr>
        <w:t xml:space="preserve">  </w:t>
      </w:r>
      <w:r>
        <w:rPr>
          <w:rFonts w:hint="eastAsia" w:ascii="宋体" w:hAnsi="宋体" w:eastAsia="宋体" w:cs="宋体"/>
          <w:bCs/>
          <w:kern w:val="0"/>
          <w:sz w:val="24"/>
        </w:rPr>
        <w:t xml:space="preserve"> 5.对在“信用中国”网站(www.creditchina.gov.cn</w:t>
      </w:r>
      <w:r>
        <w:rPr>
          <w:rFonts w:hint="eastAsia" w:ascii="宋体" w:hAnsi="宋体" w:eastAsia="宋体" w:cs="宋体"/>
          <w:kern w:val="0"/>
          <w:sz w:val="24"/>
        </w:rPr>
        <w:t>)及中国政府采购网(www.ccgp.gov.cn）被列入失信被执行人的不得参与本项目招投标。</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宋体" w:hAnsi="宋体" w:eastAsia="宋体" w:cs="宋体"/>
          <w:b/>
          <w:bCs/>
          <w:kern w:val="0"/>
          <w:sz w:val="24"/>
        </w:rPr>
      </w:pPr>
      <w:bookmarkStart w:id="196" w:name="_Toc3191_WPSOffice_Level2"/>
      <w:bookmarkStart w:id="197" w:name="_Toc18569_WPSOffice_Level2"/>
      <w:bookmarkStart w:id="198" w:name="_Toc1380_WPSOffice_Level2"/>
      <w:bookmarkStart w:id="199" w:name="_Toc20720_WPSOffice_Level2"/>
      <w:r>
        <w:rPr>
          <w:rFonts w:hint="eastAsia" w:ascii="宋体" w:hAnsi="宋体" w:eastAsia="宋体" w:cs="宋体"/>
          <w:b/>
          <w:bCs/>
          <w:kern w:val="0"/>
          <w:sz w:val="24"/>
        </w:rPr>
        <w:t>三、评分办法和评分标准</w:t>
      </w:r>
      <w:bookmarkEnd w:id="196"/>
      <w:bookmarkEnd w:id="197"/>
      <w:bookmarkEnd w:id="198"/>
      <w:bookmarkEnd w:id="199"/>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宋体"/>
          <w:b/>
          <w:bCs/>
          <w:kern w:val="0"/>
          <w:sz w:val="24"/>
        </w:rPr>
      </w:pPr>
      <w:r>
        <w:rPr>
          <w:rFonts w:hint="eastAsia" w:ascii="宋体" w:hAnsi="宋体" w:eastAsia="宋体" w:cs="宋体"/>
          <w:b/>
          <w:bCs/>
          <w:kern w:val="0"/>
          <w:sz w:val="24"/>
        </w:rPr>
        <w:t>1.评分办法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宋体" w:hAnsi="宋体" w:eastAsia="宋体" w:cs="宋体"/>
          <w:kern w:val="0"/>
          <w:sz w:val="24"/>
        </w:rPr>
      </w:pPr>
      <w:r>
        <w:rPr>
          <w:rFonts w:hint="eastAsia" w:ascii="宋体" w:hAnsi="宋体" w:eastAsia="宋体" w:cs="宋体"/>
          <w:kern w:val="0"/>
          <w:sz w:val="24"/>
        </w:rPr>
        <w:t>实行综合评分办法</w:t>
      </w:r>
    </w:p>
    <w:p>
      <w:pPr>
        <w:keepNext w:val="0"/>
        <w:keepLines w:val="0"/>
        <w:pageBreakBefore w:val="0"/>
        <w:widowControl w:val="0"/>
        <w:numPr>
          <w:ilvl w:val="0"/>
          <w:numId w:val="6"/>
        </w:numPr>
        <w:kinsoku/>
        <w:wordWrap/>
        <w:overflowPunct/>
        <w:topLinePunct w:val="0"/>
        <w:autoSpaceDE/>
        <w:autoSpaceDN/>
        <w:bidi w:val="0"/>
        <w:adjustRightInd/>
        <w:snapToGrid/>
        <w:spacing w:line="500" w:lineRule="exact"/>
        <w:ind w:firstLine="480" w:firstLineChars="200"/>
        <w:textAlignment w:val="auto"/>
        <w:rPr>
          <w:rFonts w:hint="eastAsia"/>
          <w:lang w:eastAsia="zh-CN"/>
        </w:rPr>
      </w:pPr>
      <w:r>
        <w:rPr>
          <w:rFonts w:hint="eastAsia" w:ascii="宋体" w:hAnsi="宋体" w:cs="Arial"/>
          <w:b/>
          <w:kern w:val="0"/>
          <w:sz w:val="24"/>
          <w:lang w:eastAsia="zh-CN"/>
        </w:rPr>
        <w:t>初步评审表</w:t>
      </w:r>
    </w:p>
    <w:p>
      <w:pPr>
        <w:pStyle w:val="2"/>
        <w:rPr>
          <w:rFonts w:hint="eastAsia"/>
          <w:lang w:eastAsia="zh-CN"/>
        </w:rPr>
      </w:pPr>
    </w:p>
    <w:tbl>
      <w:tblPr>
        <w:tblStyle w:val="12"/>
        <w:tblpPr w:leftFromText="180" w:rightFromText="180" w:vertAnchor="text" w:horzAnchor="page" w:tblpX="1572" w:tblpY="61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31"/>
        <w:gridCol w:w="2267"/>
        <w:gridCol w:w="48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2" w:hRule="atLeast"/>
        </w:trPr>
        <w:tc>
          <w:tcPr>
            <w:tcW w:w="1731" w:type="dxa"/>
          </w:tcPr>
          <w:p>
            <w:pPr>
              <w:pStyle w:val="28"/>
              <w:spacing w:before="2"/>
              <w:ind w:left="503"/>
              <w:rPr>
                <w:sz w:val="24"/>
              </w:rPr>
            </w:pPr>
            <w:r>
              <w:rPr>
                <w:sz w:val="24"/>
              </w:rPr>
              <w:t>条款号</w:t>
            </w:r>
          </w:p>
        </w:tc>
        <w:tc>
          <w:tcPr>
            <w:tcW w:w="2267" w:type="dxa"/>
          </w:tcPr>
          <w:p>
            <w:pPr>
              <w:pStyle w:val="28"/>
              <w:spacing w:before="62"/>
              <w:ind w:left="151" w:right="145"/>
              <w:jc w:val="center"/>
              <w:rPr>
                <w:sz w:val="24"/>
              </w:rPr>
            </w:pPr>
            <w:r>
              <w:rPr>
                <w:sz w:val="24"/>
              </w:rPr>
              <w:t>评审因素</w:t>
            </w:r>
          </w:p>
        </w:tc>
        <w:tc>
          <w:tcPr>
            <w:tcW w:w="4883" w:type="dxa"/>
          </w:tcPr>
          <w:p>
            <w:pPr>
              <w:pStyle w:val="28"/>
              <w:spacing w:before="62"/>
              <w:ind w:left="140" w:right="132"/>
              <w:jc w:val="center"/>
              <w:rPr>
                <w:sz w:val="24"/>
              </w:rPr>
            </w:pPr>
            <w:r>
              <w:rPr>
                <w:sz w:val="24"/>
              </w:rPr>
              <w:t>评审因素评审标准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5" w:hRule="atLeast"/>
        </w:trPr>
        <w:tc>
          <w:tcPr>
            <w:tcW w:w="1731" w:type="dxa"/>
            <w:vMerge w:val="restart"/>
          </w:tcPr>
          <w:p>
            <w:pPr>
              <w:pStyle w:val="28"/>
              <w:rPr>
                <w:b/>
                <w:sz w:val="24"/>
              </w:rPr>
            </w:pPr>
          </w:p>
          <w:p>
            <w:pPr>
              <w:pStyle w:val="28"/>
              <w:rPr>
                <w:b/>
                <w:sz w:val="24"/>
              </w:rPr>
            </w:pPr>
          </w:p>
          <w:p>
            <w:pPr>
              <w:pStyle w:val="28"/>
              <w:rPr>
                <w:b/>
                <w:sz w:val="24"/>
              </w:rPr>
            </w:pPr>
          </w:p>
          <w:p>
            <w:pPr>
              <w:pStyle w:val="28"/>
              <w:rPr>
                <w:b/>
                <w:sz w:val="24"/>
              </w:rPr>
            </w:pPr>
          </w:p>
          <w:p>
            <w:pPr>
              <w:pStyle w:val="28"/>
              <w:spacing w:before="8"/>
              <w:rPr>
                <w:b/>
                <w:sz w:val="29"/>
              </w:rPr>
            </w:pPr>
          </w:p>
          <w:p>
            <w:pPr>
              <w:pStyle w:val="28"/>
              <w:ind w:left="143"/>
              <w:rPr>
                <w:sz w:val="24"/>
              </w:rPr>
            </w:pPr>
            <w:r>
              <w:rPr>
                <w:sz w:val="24"/>
              </w:rPr>
              <w:t>资格评审标准</w:t>
            </w:r>
          </w:p>
        </w:tc>
        <w:tc>
          <w:tcPr>
            <w:tcW w:w="2267" w:type="dxa"/>
          </w:tcPr>
          <w:p>
            <w:pPr>
              <w:pStyle w:val="28"/>
              <w:spacing w:before="2"/>
              <w:ind w:left="151" w:right="145"/>
              <w:jc w:val="center"/>
              <w:rPr>
                <w:sz w:val="24"/>
              </w:rPr>
            </w:pPr>
            <w:r>
              <w:rPr>
                <w:sz w:val="24"/>
              </w:rPr>
              <w:t>营业执照</w:t>
            </w:r>
          </w:p>
        </w:tc>
        <w:tc>
          <w:tcPr>
            <w:tcW w:w="4883" w:type="dxa"/>
          </w:tcPr>
          <w:p>
            <w:pPr>
              <w:pStyle w:val="28"/>
              <w:spacing w:before="2"/>
              <w:ind w:left="140" w:right="132"/>
              <w:jc w:val="center"/>
              <w:rPr>
                <w:sz w:val="24"/>
              </w:rPr>
            </w:pPr>
            <w:r>
              <w:rPr>
                <w:sz w:val="24"/>
              </w:rPr>
              <w:t>具备有效的营业执照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0" w:hRule="atLeast"/>
        </w:trPr>
        <w:tc>
          <w:tcPr>
            <w:tcW w:w="1731" w:type="dxa"/>
            <w:vMerge w:val="continue"/>
            <w:tcBorders>
              <w:top w:val="nil"/>
            </w:tcBorders>
          </w:tcPr>
          <w:p>
            <w:pPr>
              <w:rPr>
                <w:sz w:val="2"/>
                <w:szCs w:val="2"/>
              </w:rPr>
            </w:pPr>
          </w:p>
        </w:tc>
        <w:tc>
          <w:tcPr>
            <w:tcW w:w="2267" w:type="dxa"/>
          </w:tcPr>
          <w:p>
            <w:pPr>
              <w:pStyle w:val="28"/>
              <w:rPr>
                <w:b/>
                <w:sz w:val="24"/>
              </w:rPr>
            </w:pPr>
          </w:p>
          <w:p>
            <w:pPr>
              <w:pStyle w:val="28"/>
              <w:rPr>
                <w:b/>
                <w:sz w:val="24"/>
              </w:rPr>
            </w:pPr>
          </w:p>
          <w:p>
            <w:pPr>
              <w:pStyle w:val="28"/>
              <w:rPr>
                <w:b/>
                <w:sz w:val="24"/>
              </w:rPr>
            </w:pPr>
          </w:p>
          <w:p>
            <w:pPr>
              <w:pStyle w:val="28"/>
              <w:spacing w:before="9"/>
              <w:rPr>
                <w:b/>
                <w:sz w:val="25"/>
              </w:rPr>
            </w:pPr>
          </w:p>
          <w:p>
            <w:pPr>
              <w:pStyle w:val="28"/>
              <w:spacing w:line="242" w:lineRule="auto"/>
              <w:ind w:left="651" w:right="95" w:hanging="545"/>
              <w:rPr>
                <w:sz w:val="24"/>
              </w:rPr>
            </w:pPr>
            <w:r>
              <w:rPr>
                <w:spacing w:val="-15"/>
                <w:sz w:val="24"/>
              </w:rPr>
              <w:t>《政府采购法》二十</w:t>
            </w:r>
            <w:r>
              <w:rPr>
                <w:sz w:val="24"/>
              </w:rPr>
              <w:t>二条规定</w:t>
            </w:r>
          </w:p>
        </w:tc>
        <w:tc>
          <w:tcPr>
            <w:tcW w:w="4883" w:type="dxa"/>
          </w:tcPr>
          <w:p>
            <w:pPr>
              <w:pStyle w:val="28"/>
              <w:numPr>
                <w:ilvl w:val="0"/>
                <w:numId w:val="7"/>
              </w:numPr>
              <w:tabs>
                <w:tab w:val="left" w:pos="710"/>
              </w:tabs>
              <w:spacing w:before="4" w:after="0" w:line="240" w:lineRule="auto"/>
              <w:ind w:left="709" w:right="0" w:hanging="602"/>
              <w:jc w:val="left"/>
              <w:rPr>
                <w:sz w:val="24"/>
              </w:rPr>
            </w:pPr>
            <w:r>
              <w:rPr>
                <w:sz w:val="24"/>
              </w:rPr>
              <w:t>具有独立承担民事责任的能力；</w:t>
            </w:r>
          </w:p>
          <w:p>
            <w:pPr>
              <w:pStyle w:val="28"/>
              <w:numPr>
                <w:ilvl w:val="0"/>
                <w:numId w:val="7"/>
              </w:numPr>
              <w:tabs>
                <w:tab w:val="left" w:pos="710"/>
              </w:tabs>
              <w:spacing w:before="4" w:after="0" w:line="242" w:lineRule="auto"/>
              <w:ind w:left="108" w:right="97" w:firstLine="0"/>
              <w:jc w:val="left"/>
              <w:rPr>
                <w:sz w:val="24"/>
              </w:rPr>
            </w:pPr>
            <w:r>
              <w:rPr>
                <w:spacing w:val="-1"/>
                <w:sz w:val="24"/>
              </w:rPr>
              <w:t>具有良好的商业信誉和健全的财务会计</w:t>
            </w:r>
            <w:r>
              <w:rPr>
                <w:sz w:val="24"/>
              </w:rPr>
              <w:t>制度；</w:t>
            </w:r>
          </w:p>
          <w:p>
            <w:pPr>
              <w:pStyle w:val="28"/>
              <w:numPr>
                <w:ilvl w:val="0"/>
                <w:numId w:val="7"/>
              </w:numPr>
              <w:tabs>
                <w:tab w:val="left" w:pos="710"/>
              </w:tabs>
              <w:spacing w:before="3" w:after="0" w:line="242" w:lineRule="auto"/>
              <w:ind w:left="108" w:right="97" w:firstLine="0"/>
              <w:jc w:val="left"/>
              <w:rPr>
                <w:sz w:val="24"/>
              </w:rPr>
            </w:pPr>
            <w:r>
              <w:rPr>
                <w:spacing w:val="-1"/>
                <w:sz w:val="24"/>
              </w:rPr>
              <w:t>具有履行合同所必需的设备和专业技术</w:t>
            </w:r>
            <w:r>
              <w:rPr>
                <w:sz w:val="24"/>
              </w:rPr>
              <w:t>能力；</w:t>
            </w:r>
          </w:p>
          <w:p>
            <w:pPr>
              <w:pStyle w:val="28"/>
              <w:numPr>
                <w:ilvl w:val="0"/>
                <w:numId w:val="7"/>
              </w:numPr>
              <w:tabs>
                <w:tab w:val="left" w:pos="710"/>
              </w:tabs>
              <w:spacing w:before="3" w:after="0" w:line="242" w:lineRule="auto"/>
              <w:ind w:left="108" w:right="97" w:firstLine="0"/>
              <w:jc w:val="left"/>
              <w:rPr>
                <w:sz w:val="24"/>
              </w:rPr>
            </w:pPr>
            <w:r>
              <w:rPr>
                <w:spacing w:val="-1"/>
                <w:sz w:val="24"/>
              </w:rPr>
              <w:t>有依法缴纳税收和社会保障资金的良好</w:t>
            </w:r>
            <w:r>
              <w:rPr>
                <w:sz w:val="24"/>
              </w:rPr>
              <w:t>记录；</w:t>
            </w:r>
          </w:p>
          <w:p>
            <w:pPr>
              <w:pStyle w:val="28"/>
              <w:numPr>
                <w:ilvl w:val="0"/>
                <w:numId w:val="7"/>
              </w:numPr>
              <w:tabs>
                <w:tab w:val="left" w:pos="710"/>
              </w:tabs>
              <w:spacing w:before="3" w:after="0" w:line="242" w:lineRule="auto"/>
              <w:ind w:left="108" w:right="97" w:firstLine="0"/>
              <w:jc w:val="left"/>
              <w:rPr>
                <w:sz w:val="24"/>
              </w:rPr>
            </w:pPr>
            <w:r>
              <w:rPr>
                <w:spacing w:val="-2"/>
                <w:sz w:val="24"/>
              </w:rPr>
              <w:t>参加政府采购活动前三年内，在经营活</w:t>
            </w:r>
            <w:r>
              <w:rPr>
                <w:sz w:val="24"/>
              </w:rPr>
              <w:t>动中没有重大违法记录；</w:t>
            </w:r>
          </w:p>
          <w:p>
            <w:pPr>
              <w:pStyle w:val="28"/>
              <w:numPr>
                <w:ilvl w:val="0"/>
                <w:numId w:val="7"/>
              </w:numPr>
              <w:tabs>
                <w:tab w:val="left" w:pos="710"/>
              </w:tabs>
              <w:spacing w:before="3" w:after="0" w:line="288" w:lineRule="exact"/>
              <w:ind w:left="709" w:right="0" w:hanging="602"/>
              <w:jc w:val="left"/>
              <w:rPr>
                <w:sz w:val="24"/>
              </w:rPr>
            </w:pPr>
            <w:r>
              <w:rPr>
                <w:sz w:val="24"/>
              </w:rPr>
              <w:t>法律、行政法规规定的其他条件。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1731" w:type="dxa"/>
          </w:tcPr>
          <w:p>
            <w:pPr>
              <w:pStyle w:val="28"/>
              <w:rPr>
                <w:rFonts w:ascii="Times New Roman"/>
                <w:sz w:val="22"/>
              </w:rPr>
            </w:pPr>
          </w:p>
        </w:tc>
        <w:tc>
          <w:tcPr>
            <w:tcW w:w="2267" w:type="dxa"/>
          </w:tcPr>
          <w:p>
            <w:pPr>
              <w:pStyle w:val="28"/>
              <w:spacing w:before="1"/>
              <w:rPr>
                <w:b/>
                <w:sz w:val="17"/>
              </w:rPr>
            </w:pPr>
          </w:p>
          <w:p>
            <w:pPr>
              <w:pStyle w:val="28"/>
              <w:ind w:left="151" w:right="145"/>
              <w:jc w:val="center"/>
              <w:rPr>
                <w:sz w:val="24"/>
              </w:rPr>
            </w:pPr>
            <w:r>
              <w:rPr>
                <w:sz w:val="24"/>
              </w:rPr>
              <w:t>其它</w:t>
            </w:r>
          </w:p>
        </w:tc>
        <w:tc>
          <w:tcPr>
            <w:tcW w:w="4883" w:type="dxa"/>
          </w:tcPr>
          <w:p>
            <w:pPr>
              <w:pStyle w:val="28"/>
              <w:spacing w:before="1"/>
              <w:rPr>
                <w:b/>
                <w:sz w:val="17"/>
              </w:rPr>
            </w:pPr>
          </w:p>
          <w:p>
            <w:pPr>
              <w:pStyle w:val="28"/>
              <w:ind w:left="140" w:right="132"/>
              <w:jc w:val="center"/>
              <w:rPr>
                <w:sz w:val="24"/>
              </w:rPr>
            </w:pPr>
            <w:r>
              <w:rPr>
                <w:sz w:val="24"/>
              </w:rPr>
              <w:t>1、企业信用信息查询结果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731" w:type="dxa"/>
            <w:vMerge w:val="restart"/>
          </w:tcPr>
          <w:p>
            <w:pPr>
              <w:pStyle w:val="28"/>
              <w:rPr>
                <w:b/>
                <w:sz w:val="24"/>
              </w:rPr>
            </w:pPr>
          </w:p>
          <w:p>
            <w:pPr>
              <w:pStyle w:val="28"/>
              <w:rPr>
                <w:b/>
                <w:sz w:val="24"/>
              </w:rPr>
            </w:pPr>
          </w:p>
          <w:p>
            <w:pPr>
              <w:pStyle w:val="28"/>
              <w:rPr>
                <w:b/>
                <w:sz w:val="24"/>
              </w:rPr>
            </w:pPr>
          </w:p>
          <w:p>
            <w:pPr>
              <w:pStyle w:val="28"/>
              <w:rPr>
                <w:b/>
                <w:sz w:val="24"/>
              </w:rPr>
            </w:pPr>
          </w:p>
          <w:p>
            <w:pPr>
              <w:pStyle w:val="28"/>
              <w:rPr>
                <w:b/>
                <w:sz w:val="24"/>
              </w:rPr>
            </w:pPr>
          </w:p>
          <w:p>
            <w:pPr>
              <w:pStyle w:val="28"/>
              <w:rPr>
                <w:b/>
                <w:sz w:val="24"/>
              </w:rPr>
            </w:pPr>
          </w:p>
          <w:p>
            <w:pPr>
              <w:pStyle w:val="28"/>
              <w:rPr>
                <w:b/>
                <w:sz w:val="24"/>
              </w:rPr>
            </w:pPr>
          </w:p>
          <w:p>
            <w:pPr>
              <w:pStyle w:val="28"/>
              <w:spacing w:before="8"/>
              <w:rPr>
                <w:b/>
                <w:sz w:val="20"/>
              </w:rPr>
            </w:pPr>
          </w:p>
          <w:p>
            <w:pPr>
              <w:pStyle w:val="28"/>
              <w:spacing w:before="1" w:line="242" w:lineRule="auto"/>
              <w:ind w:left="623" w:right="255" w:hanging="360"/>
              <w:rPr>
                <w:sz w:val="24"/>
              </w:rPr>
            </w:pPr>
            <w:r>
              <w:rPr>
                <w:sz w:val="24"/>
              </w:rPr>
              <w:t>响应性评审标准</w:t>
            </w:r>
          </w:p>
        </w:tc>
        <w:tc>
          <w:tcPr>
            <w:tcW w:w="2267" w:type="dxa"/>
          </w:tcPr>
          <w:p>
            <w:pPr>
              <w:pStyle w:val="28"/>
              <w:spacing w:before="130"/>
              <w:ind w:left="151" w:right="145"/>
              <w:jc w:val="center"/>
              <w:rPr>
                <w:sz w:val="24"/>
              </w:rPr>
            </w:pPr>
            <w:r>
              <w:rPr>
                <w:sz w:val="24"/>
              </w:rPr>
              <w:t>招标范围</w:t>
            </w:r>
          </w:p>
        </w:tc>
        <w:tc>
          <w:tcPr>
            <w:tcW w:w="4883" w:type="dxa"/>
          </w:tcPr>
          <w:p>
            <w:pPr>
              <w:pStyle w:val="28"/>
              <w:spacing w:before="130"/>
              <w:ind w:left="140" w:right="132"/>
              <w:jc w:val="center"/>
              <w:rPr>
                <w:sz w:val="24"/>
              </w:rPr>
            </w:pPr>
            <w:r>
              <w:rPr>
                <w:sz w:val="24"/>
              </w:rPr>
              <w:t>投标范围符合投标须知前附表规定。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8" w:hRule="atLeast"/>
        </w:trPr>
        <w:tc>
          <w:tcPr>
            <w:tcW w:w="1731" w:type="dxa"/>
            <w:vMerge w:val="continue"/>
            <w:tcBorders>
              <w:top w:val="nil"/>
            </w:tcBorders>
          </w:tcPr>
          <w:p>
            <w:pPr>
              <w:rPr>
                <w:sz w:val="2"/>
                <w:szCs w:val="2"/>
              </w:rPr>
            </w:pPr>
          </w:p>
        </w:tc>
        <w:tc>
          <w:tcPr>
            <w:tcW w:w="2267" w:type="dxa"/>
          </w:tcPr>
          <w:p>
            <w:pPr>
              <w:pStyle w:val="28"/>
              <w:spacing w:before="153"/>
              <w:ind w:left="151" w:right="145"/>
              <w:jc w:val="center"/>
              <w:rPr>
                <w:sz w:val="24"/>
              </w:rPr>
            </w:pPr>
            <w:r>
              <w:rPr>
                <w:sz w:val="24"/>
              </w:rPr>
              <w:t>计划工期</w:t>
            </w:r>
          </w:p>
        </w:tc>
        <w:tc>
          <w:tcPr>
            <w:tcW w:w="4883" w:type="dxa"/>
          </w:tcPr>
          <w:p>
            <w:pPr>
              <w:pStyle w:val="28"/>
              <w:spacing w:before="153"/>
              <w:ind w:left="140" w:right="132"/>
              <w:jc w:val="center"/>
              <w:rPr>
                <w:sz w:val="24"/>
              </w:rPr>
            </w:pPr>
            <w:r>
              <w:rPr>
                <w:sz w:val="24"/>
              </w:rPr>
              <w:t>服务期满足前附表须知详细要求。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3" w:hRule="atLeast"/>
        </w:trPr>
        <w:tc>
          <w:tcPr>
            <w:tcW w:w="1731" w:type="dxa"/>
            <w:vMerge w:val="continue"/>
            <w:tcBorders>
              <w:top w:val="nil"/>
            </w:tcBorders>
          </w:tcPr>
          <w:p>
            <w:pPr>
              <w:rPr>
                <w:sz w:val="2"/>
                <w:szCs w:val="2"/>
              </w:rPr>
            </w:pPr>
          </w:p>
        </w:tc>
        <w:tc>
          <w:tcPr>
            <w:tcW w:w="2267" w:type="dxa"/>
          </w:tcPr>
          <w:p>
            <w:pPr>
              <w:pStyle w:val="28"/>
              <w:spacing w:before="79"/>
              <w:ind w:left="151" w:right="145"/>
              <w:jc w:val="center"/>
              <w:rPr>
                <w:sz w:val="24"/>
              </w:rPr>
            </w:pPr>
            <w:r>
              <w:rPr>
                <w:sz w:val="24"/>
              </w:rPr>
              <w:t>质量标准</w:t>
            </w:r>
          </w:p>
        </w:tc>
        <w:tc>
          <w:tcPr>
            <w:tcW w:w="4883" w:type="dxa"/>
          </w:tcPr>
          <w:p>
            <w:pPr>
              <w:pStyle w:val="28"/>
              <w:spacing w:before="79"/>
              <w:ind w:left="140" w:right="132"/>
              <w:jc w:val="center"/>
              <w:rPr>
                <w:sz w:val="24"/>
              </w:rPr>
            </w:pPr>
            <w:r>
              <w:rPr>
                <w:sz w:val="24"/>
              </w:rPr>
              <w:t>质量标准满足前附表要求。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1731" w:type="dxa"/>
            <w:vMerge w:val="continue"/>
            <w:tcBorders>
              <w:top w:val="nil"/>
            </w:tcBorders>
          </w:tcPr>
          <w:p>
            <w:pPr>
              <w:rPr>
                <w:sz w:val="2"/>
                <w:szCs w:val="2"/>
              </w:rPr>
            </w:pPr>
          </w:p>
        </w:tc>
        <w:tc>
          <w:tcPr>
            <w:tcW w:w="2267" w:type="dxa"/>
          </w:tcPr>
          <w:p>
            <w:pPr>
              <w:pStyle w:val="28"/>
              <w:spacing w:before="123"/>
              <w:ind w:left="151" w:right="145"/>
              <w:jc w:val="center"/>
              <w:rPr>
                <w:sz w:val="24"/>
              </w:rPr>
            </w:pPr>
            <w:r>
              <w:rPr>
                <w:sz w:val="24"/>
              </w:rPr>
              <w:t>投标有效期</w:t>
            </w:r>
          </w:p>
        </w:tc>
        <w:tc>
          <w:tcPr>
            <w:tcW w:w="4883" w:type="dxa"/>
          </w:tcPr>
          <w:p>
            <w:pPr>
              <w:pStyle w:val="28"/>
              <w:spacing w:before="123"/>
              <w:ind w:left="140" w:right="132"/>
              <w:jc w:val="center"/>
              <w:rPr>
                <w:sz w:val="24"/>
              </w:rPr>
            </w:pPr>
            <w:r>
              <w:rPr>
                <w:sz w:val="24"/>
              </w:rPr>
              <w:t>投标有效期符合 60 日历天规定。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trPr>
        <w:tc>
          <w:tcPr>
            <w:tcW w:w="1731" w:type="dxa"/>
            <w:vMerge w:val="continue"/>
            <w:tcBorders>
              <w:top w:val="nil"/>
            </w:tcBorders>
          </w:tcPr>
          <w:p>
            <w:pPr>
              <w:rPr>
                <w:sz w:val="2"/>
                <w:szCs w:val="2"/>
              </w:rPr>
            </w:pPr>
          </w:p>
        </w:tc>
        <w:tc>
          <w:tcPr>
            <w:tcW w:w="2267" w:type="dxa"/>
          </w:tcPr>
          <w:p>
            <w:pPr>
              <w:pStyle w:val="28"/>
              <w:spacing w:before="178"/>
              <w:ind w:left="151" w:right="145"/>
              <w:jc w:val="center"/>
              <w:rPr>
                <w:sz w:val="24"/>
              </w:rPr>
            </w:pPr>
            <w:r>
              <w:rPr>
                <w:sz w:val="24"/>
              </w:rPr>
              <w:t>投标保证金</w:t>
            </w:r>
          </w:p>
        </w:tc>
        <w:tc>
          <w:tcPr>
            <w:tcW w:w="4883" w:type="dxa"/>
          </w:tcPr>
          <w:p>
            <w:pPr>
              <w:pStyle w:val="28"/>
              <w:spacing w:before="178"/>
              <w:ind w:left="140" w:right="132"/>
              <w:jc w:val="center"/>
              <w:rPr>
                <w:sz w:val="24"/>
              </w:rPr>
            </w:pPr>
            <w:r>
              <w:rPr>
                <w:sz w:val="24"/>
              </w:rPr>
              <w:t>投标保证金符合投标须知前附表规定。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0" w:hRule="atLeast"/>
        </w:trPr>
        <w:tc>
          <w:tcPr>
            <w:tcW w:w="1731" w:type="dxa"/>
            <w:vMerge w:val="continue"/>
            <w:tcBorders>
              <w:top w:val="nil"/>
            </w:tcBorders>
          </w:tcPr>
          <w:p>
            <w:pPr>
              <w:rPr>
                <w:sz w:val="2"/>
                <w:szCs w:val="2"/>
              </w:rPr>
            </w:pPr>
          </w:p>
        </w:tc>
        <w:tc>
          <w:tcPr>
            <w:tcW w:w="2267" w:type="dxa"/>
          </w:tcPr>
          <w:p>
            <w:pPr>
              <w:pStyle w:val="28"/>
              <w:spacing w:before="117"/>
              <w:ind w:left="151" w:right="145"/>
              <w:jc w:val="center"/>
              <w:rPr>
                <w:sz w:val="24"/>
              </w:rPr>
            </w:pPr>
            <w:r>
              <w:rPr>
                <w:sz w:val="24"/>
              </w:rPr>
              <w:t>投标文件签字盖章</w:t>
            </w:r>
          </w:p>
        </w:tc>
        <w:tc>
          <w:tcPr>
            <w:tcW w:w="4883" w:type="dxa"/>
          </w:tcPr>
          <w:p>
            <w:pPr>
              <w:pStyle w:val="28"/>
              <w:spacing w:before="117"/>
              <w:ind w:left="140" w:right="132"/>
              <w:jc w:val="center"/>
              <w:rPr>
                <w:sz w:val="24"/>
              </w:rPr>
            </w:pPr>
            <w:r>
              <w:rPr>
                <w:sz w:val="24"/>
              </w:rPr>
              <w:t>投标文件的签字符合招标文件的要求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atLeast"/>
        </w:trPr>
        <w:tc>
          <w:tcPr>
            <w:tcW w:w="1731" w:type="dxa"/>
            <w:vMerge w:val="continue"/>
            <w:tcBorders>
              <w:top w:val="nil"/>
            </w:tcBorders>
          </w:tcPr>
          <w:p>
            <w:pPr>
              <w:rPr>
                <w:sz w:val="2"/>
                <w:szCs w:val="2"/>
              </w:rPr>
            </w:pPr>
          </w:p>
        </w:tc>
        <w:tc>
          <w:tcPr>
            <w:tcW w:w="2267" w:type="dxa"/>
          </w:tcPr>
          <w:p>
            <w:pPr>
              <w:pStyle w:val="28"/>
              <w:spacing w:before="143"/>
              <w:ind w:left="151" w:right="145"/>
              <w:jc w:val="center"/>
              <w:rPr>
                <w:sz w:val="24"/>
              </w:rPr>
            </w:pPr>
            <w:r>
              <w:rPr>
                <w:sz w:val="24"/>
              </w:rPr>
              <w:t>投标文件格式</w:t>
            </w:r>
          </w:p>
        </w:tc>
        <w:tc>
          <w:tcPr>
            <w:tcW w:w="4883" w:type="dxa"/>
          </w:tcPr>
          <w:p>
            <w:pPr>
              <w:pStyle w:val="28"/>
              <w:spacing w:before="143"/>
              <w:ind w:left="140" w:right="132"/>
              <w:jc w:val="center"/>
              <w:rPr>
                <w:sz w:val="24"/>
              </w:rPr>
            </w:pPr>
            <w:r>
              <w:rPr>
                <w:sz w:val="24"/>
              </w:rPr>
              <w:t>投标文件格式符合投标文件格式要求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3" w:hRule="atLeast"/>
        </w:trPr>
        <w:tc>
          <w:tcPr>
            <w:tcW w:w="1731" w:type="dxa"/>
            <w:vMerge w:val="continue"/>
            <w:tcBorders>
              <w:top w:val="nil"/>
            </w:tcBorders>
          </w:tcPr>
          <w:p>
            <w:pPr>
              <w:rPr>
                <w:sz w:val="2"/>
                <w:szCs w:val="2"/>
              </w:rPr>
            </w:pPr>
          </w:p>
        </w:tc>
        <w:tc>
          <w:tcPr>
            <w:tcW w:w="2267" w:type="dxa"/>
          </w:tcPr>
          <w:p>
            <w:pPr>
              <w:pStyle w:val="28"/>
              <w:spacing w:before="190"/>
              <w:ind w:left="151" w:right="145"/>
              <w:jc w:val="center"/>
              <w:rPr>
                <w:sz w:val="24"/>
              </w:rPr>
            </w:pPr>
            <w:r>
              <w:rPr>
                <w:sz w:val="24"/>
              </w:rPr>
              <w:t>报价文件</w:t>
            </w:r>
          </w:p>
        </w:tc>
        <w:tc>
          <w:tcPr>
            <w:tcW w:w="4883" w:type="dxa"/>
          </w:tcPr>
          <w:p>
            <w:pPr>
              <w:pStyle w:val="28"/>
              <w:spacing w:before="34" w:line="242" w:lineRule="auto"/>
              <w:ind w:left="2200" w:right="150" w:hanging="2040"/>
              <w:rPr>
                <w:sz w:val="24"/>
              </w:rPr>
            </w:pPr>
            <w:r>
              <w:rPr>
                <w:sz w:val="24"/>
              </w:rPr>
              <w:t>报价不得高于项目预算金额且只有一个有效报价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1731" w:type="dxa"/>
            <w:vMerge w:val="continue"/>
            <w:tcBorders>
              <w:top w:val="nil"/>
            </w:tcBorders>
          </w:tcPr>
          <w:p>
            <w:pPr>
              <w:rPr>
                <w:sz w:val="2"/>
                <w:szCs w:val="2"/>
              </w:rPr>
            </w:pPr>
          </w:p>
        </w:tc>
        <w:tc>
          <w:tcPr>
            <w:tcW w:w="2267" w:type="dxa"/>
          </w:tcPr>
          <w:p>
            <w:pPr>
              <w:pStyle w:val="28"/>
              <w:spacing w:before="55" w:line="242" w:lineRule="auto"/>
              <w:ind w:left="891" w:right="163" w:hanging="720"/>
              <w:rPr>
                <w:sz w:val="24"/>
              </w:rPr>
            </w:pPr>
            <w:r>
              <w:rPr>
                <w:sz w:val="24"/>
              </w:rPr>
              <w:t>投标文件的正副本数量</w:t>
            </w:r>
          </w:p>
        </w:tc>
        <w:tc>
          <w:tcPr>
            <w:tcW w:w="4883" w:type="dxa"/>
          </w:tcPr>
          <w:p>
            <w:pPr>
              <w:pStyle w:val="28"/>
              <w:spacing w:before="211"/>
              <w:ind w:left="140" w:right="132"/>
              <w:jc w:val="center"/>
              <w:rPr>
                <w:sz w:val="24"/>
              </w:rPr>
            </w:pPr>
            <w:r>
              <w:rPr>
                <w:sz w:val="24"/>
              </w:rPr>
              <w:t>投标文件的正本、副本数量满足一正</w:t>
            </w:r>
            <w:r>
              <w:rPr>
                <w:rFonts w:hint="eastAsia"/>
                <w:sz w:val="24"/>
                <w:lang w:eastAsia="zh-CN"/>
              </w:rPr>
              <w:t>四</w:t>
            </w:r>
            <w:r>
              <w:rPr>
                <w:sz w:val="24"/>
              </w:rPr>
              <w:t>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9" w:hRule="atLeast"/>
        </w:trPr>
        <w:tc>
          <w:tcPr>
            <w:tcW w:w="1731" w:type="dxa"/>
            <w:vMerge w:val="continue"/>
            <w:tcBorders>
              <w:top w:val="nil"/>
            </w:tcBorders>
          </w:tcPr>
          <w:p>
            <w:pPr>
              <w:rPr>
                <w:sz w:val="2"/>
                <w:szCs w:val="2"/>
              </w:rPr>
            </w:pPr>
          </w:p>
        </w:tc>
        <w:tc>
          <w:tcPr>
            <w:tcW w:w="2267" w:type="dxa"/>
          </w:tcPr>
          <w:p>
            <w:pPr>
              <w:pStyle w:val="28"/>
              <w:spacing w:before="40" w:line="242" w:lineRule="auto"/>
              <w:ind w:left="891" w:right="163" w:hanging="720"/>
              <w:rPr>
                <w:sz w:val="24"/>
              </w:rPr>
            </w:pPr>
            <w:r>
              <w:rPr>
                <w:sz w:val="24"/>
              </w:rPr>
              <w:t>投标文件的印刷与装订</w:t>
            </w:r>
          </w:p>
        </w:tc>
        <w:tc>
          <w:tcPr>
            <w:tcW w:w="4883" w:type="dxa"/>
          </w:tcPr>
          <w:p>
            <w:pPr>
              <w:pStyle w:val="28"/>
              <w:spacing w:before="196"/>
              <w:ind w:left="140" w:right="132"/>
              <w:jc w:val="center"/>
              <w:rPr>
                <w:sz w:val="24"/>
              </w:rPr>
            </w:pPr>
            <w:r>
              <w:rPr>
                <w:sz w:val="24"/>
              </w:rPr>
              <w:t>投标文件的印刷与装订符合投标须知规定</w:t>
            </w:r>
          </w:p>
        </w:tc>
      </w:tr>
    </w:tbl>
    <w:p>
      <w:pPr>
        <w:pStyle w:val="2"/>
        <w:numPr>
          <w:ilvl w:val="0"/>
          <w:numId w:val="0"/>
        </w:numPr>
        <w:rPr>
          <w:rFonts w:hint="eastAsia"/>
          <w:lang w:eastAsia="zh-CN"/>
        </w:rPr>
      </w:pPr>
    </w:p>
    <w:p>
      <w:pPr>
        <w:pStyle w:val="2"/>
        <w:numPr>
          <w:ilvl w:val="0"/>
          <w:numId w:val="0"/>
        </w:numPr>
        <w:rPr>
          <w:rFonts w:hint="eastAsia"/>
          <w:lang w:eastAsia="zh-CN"/>
        </w:rPr>
      </w:pPr>
    </w:p>
    <w:p>
      <w:pPr>
        <w:pStyle w:val="2"/>
        <w:numPr>
          <w:ilvl w:val="0"/>
          <w:numId w:val="0"/>
        </w:numPr>
        <w:rPr>
          <w:rFonts w:hint="eastAsia"/>
          <w:lang w:eastAsia="zh-CN"/>
        </w:rPr>
      </w:pPr>
    </w:p>
    <w:p>
      <w:pPr>
        <w:spacing w:line="360" w:lineRule="exact"/>
        <w:ind w:left="422"/>
        <w:rPr>
          <w:rFonts w:ascii="宋体" w:hAnsi="宋体" w:cs="宋体"/>
          <w:b/>
          <w:color w:val="000000"/>
          <w:kern w:val="0"/>
          <w:szCs w:val="21"/>
        </w:rPr>
      </w:pPr>
      <w:r>
        <w:rPr>
          <w:rFonts w:hint="eastAsia" w:ascii="宋体" w:hAnsi="宋体" w:cs="宋体"/>
          <w:b/>
          <w:color w:val="000000"/>
          <w:kern w:val="0"/>
          <w:szCs w:val="21"/>
        </w:rPr>
        <w:t>评分标准</w:t>
      </w:r>
    </w:p>
    <w:tbl>
      <w:tblPr>
        <w:tblStyle w:val="12"/>
        <w:tblpPr w:leftFromText="180" w:rightFromText="180" w:vertAnchor="text" w:horzAnchor="page" w:tblpX="1789" w:tblpY="40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738"/>
        <w:gridCol w:w="603"/>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trPr>
        <w:tc>
          <w:tcPr>
            <w:tcW w:w="1504"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宋体" w:hAnsi="宋体"/>
                <w:b/>
                <w:szCs w:val="21"/>
              </w:rPr>
            </w:pPr>
            <w:r>
              <w:rPr>
                <w:rFonts w:hint="eastAsia" w:ascii="宋体" w:hAnsi="宋体"/>
                <w:b/>
                <w:szCs w:val="21"/>
              </w:rPr>
              <w:t>评分因素</w:t>
            </w:r>
          </w:p>
        </w:tc>
        <w:tc>
          <w:tcPr>
            <w:tcW w:w="603" w:type="dxa"/>
            <w:tcBorders>
              <w:top w:val="single" w:color="auto" w:sz="4" w:space="0"/>
              <w:left w:val="single" w:color="auto" w:sz="4" w:space="0"/>
              <w:bottom w:val="single" w:color="auto" w:sz="4" w:space="0"/>
              <w:right w:val="single" w:color="auto" w:sz="4" w:space="0"/>
            </w:tcBorders>
            <w:vAlign w:val="center"/>
          </w:tcPr>
          <w:p>
            <w:pPr>
              <w:spacing w:line="240" w:lineRule="atLeast"/>
              <w:ind w:firstLine="28"/>
              <w:jc w:val="center"/>
              <w:rPr>
                <w:rFonts w:ascii="宋体" w:hAnsi="宋体"/>
                <w:b/>
                <w:szCs w:val="21"/>
              </w:rPr>
            </w:pPr>
            <w:r>
              <w:rPr>
                <w:rFonts w:hint="eastAsia" w:ascii="宋体" w:hAnsi="宋体"/>
                <w:b/>
                <w:szCs w:val="21"/>
              </w:rPr>
              <w:t>分值</w:t>
            </w:r>
          </w:p>
        </w:tc>
        <w:tc>
          <w:tcPr>
            <w:tcW w:w="6373" w:type="dxa"/>
            <w:tcBorders>
              <w:top w:val="single" w:color="auto" w:sz="4" w:space="0"/>
              <w:left w:val="single" w:color="auto" w:sz="4" w:space="0"/>
              <w:bottom w:val="single" w:color="auto" w:sz="4" w:space="0"/>
              <w:right w:val="single" w:color="auto" w:sz="4" w:space="0"/>
            </w:tcBorders>
            <w:vAlign w:val="center"/>
          </w:tcPr>
          <w:p>
            <w:pPr>
              <w:pStyle w:val="19"/>
              <w:spacing w:before="0" w:after="0" w:line="240" w:lineRule="atLeast"/>
              <w:rPr>
                <w:rFonts w:ascii="宋体" w:hAnsi="宋体" w:eastAsia="宋体"/>
                <w:sz w:val="21"/>
                <w:szCs w:val="21"/>
              </w:rPr>
            </w:pPr>
            <w:r>
              <w:rPr>
                <w:rFonts w:hint="eastAsia" w:ascii="宋体" w:hAnsi="宋体" w:eastAsia="宋体"/>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trPr>
        <w:tc>
          <w:tcPr>
            <w:tcW w:w="76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28"/>
              <w:jc w:val="center"/>
              <w:rPr>
                <w:rFonts w:ascii="宋体" w:hAnsi="宋体"/>
                <w:szCs w:val="21"/>
              </w:rPr>
            </w:pPr>
            <w:r>
              <w:rPr>
                <w:rFonts w:hint="eastAsia" w:ascii="宋体" w:hAnsi="宋体"/>
                <w:szCs w:val="21"/>
              </w:rPr>
              <w:t>1</w:t>
            </w:r>
          </w:p>
        </w:tc>
        <w:tc>
          <w:tcPr>
            <w:tcW w:w="73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28"/>
              <w:jc w:val="center"/>
              <w:rPr>
                <w:rFonts w:ascii="宋体" w:hAnsi="宋体"/>
                <w:szCs w:val="21"/>
              </w:rPr>
            </w:pPr>
            <w:r>
              <w:rPr>
                <w:rFonts w:hint="eastAsia" w:ascii="宋体" w:hAnsi="宋体"/>
                <w:szCs w:val="21"/>
              </w:rPr>
              <w:t>投标报价</w:t>
            </w:r>
          </w:p>
        </w:tc>
        <w:tc>
          <w:tcPr>
            <w:tcW w:w="603" w:type="dxa"/>
            <w:tcBorders>
              <w:top w:val="single" w:color="auto" w:sz="4" w:space="0"/>
              <w:left w:val="single" w:color="auto" w:sz="4" w:space="0"/>
              <w:bottom w:val="single" w:color="auto" w:sz="4" w:space="0"/>
              <w:right w:val="single" w:color="auto" w:sz="4" w:space="0"/>
            </w:tcBorders>
            <w:vAlign w:val="center"/>
          </w:tcPr>
          <w:p>
            <w:pPr>
              <w:spacing w:line="280" w:lineRule="exact"/>
              <w:ind w:firstLine="28"/>
              <w:jc w:val="center"/>
              <w:rPr>
                <w:rFonts w:ascii="宋体" w:hAnsi="宋体"/>
                <w:szCs w:val="21"/>
              </w:rPr>
            </w:pPr>
            <w:r>
              <w:rPr>
                <w:rFonts w:hint="eastAsia" w:ascii="宋体" w:hAnsi="宋体"/>
                <w:szCs w:val="21"/>
              </w:rPr>
              <w:t>30分</w:t>
            </w:r>
          </w:p>
        </w:tc>
        <w:tc>
          <w:tcPr>
            <w:tcW w:w="637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after="200" w:line="280" w:lineRule="exact"/>
              <w:jc w:val="left"/>
              <w:rPr>
                <w:rFonts w:ascii="宋体" w:hAnsi="宋体" w:cs="Calibri"/>
                <w:b/>
                <w:bCs/>
                <w:kern w:val="0"/>
                <w:sz w:val="24"/>
              </w:rPr>
            </w:pPr>
            <w:r>
              <w:rPr>
                <w:rFonts w:hint="eastAsia" w:ascii="宋体" w:hAnsi="宋体"/>
                <w:szCs w:val="21"/>
              </w:rPr>
              <w:t>价格分统一采用低价优先法计算，即满足招标文件要求且投标价格最低的投标报价为评标基准价，其价格分为满分。其他供应商的价格分统一按照下列公式计算：投标报价得分＝（评标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0" w:hRule="atLeast"/>
        </w:trPr>
        <w:tc>
          <w:tcPr>
            <w:tcW w:w="76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28"/>
              <w:jc w:val="center"/>
              <w:rPr>
                <w:rFonts w:ascii="宋体" w:hAnsi="宋体"/>
                <w:szCs w:val="21"/>
              </w:rPr>
            </w:pPr>
            <w:r>
              <w:rPr>
                <w:rFonts w:hint="eastAsia" w:ascii="宋体" w:hAnsi="宋体"/>
                <w:szCs w:val="21"/>
              </w:rPr>
              <w:t>2</w:t>
            </w:r>
          </w:p>
        </w:tc>
        <w:tc>
          <w:tcPr>
            <w:tcW w:w="73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28"/>
              <w:jc w:val="center"/>
              <w:rPr>
                <w:rFonts w:ascii="宋体" w:hAnsi="宋体"/>
                <w:szCs w:val="21"/>
              </w:rPr>
            </w:pPr>
            <w:r>
              <w:rPr>
                <w:rFonts w:hint="eastAsia" w:ascii="宋体" w:hAnsi="宋体"/>
                <w:szCs w:val="21"/>
              </w:rPr>
              <w:t>产品性能参数指标</w:t>
            </w:r>
          </w:p>
        </w:tc>
        <w:tc>
          <w:tcPr>
            <w:tcW w:w="603" w:type="dxa"/>
            <w:tcBorders>
              <w:top w:val="single" w:color="auto" w:sz="4" w:space="0"/>
              <w:left w:val="single" w:color="auto" w:sz="4" w:space="0"/>
              <w:bottom w:val="single" w:color="auto" w:sz="4" w:space="0"/>
              <w:right w:val="single" w:color="auto" w:sz="4" w:space="0"/>
            </w:tcBorders>
            <w:vAlign w:val="center"/>
          </w:tcPr>
          <w:p>
            <w:pPr>
              <w:spacing w:line="280" w:lineRule="exact"/>
              <w:ind w:firstLine="28"/>
              <w:jc w:val="center"/>
              <w:rPr>
                <w:rFonts w:ascii="宋体" w:hAnsi="宋体"/>
                <w:szCs w:val="21"/>
              </w:rPr>
            </w:pPr>
            <w:r>
              <w:rPr>
                <w:rFonts w:hint="eastAsia" w:ascii="宋体" w:hAnsi="宋体"/>
                <w:szCs w:val="21"/>
              </w:rPr>
              <w:t>30分</w:t>
            </w:r>
          </w:p>
        </w:tc>
        <w:tc>
          <w:tcPr>
            <w:tcW w:w="6373" w:type="dxa"/>
            <w:tcBorders>
              <w:top w:val="single" w:color="auto" w:sz="4" w:space="0"/>
              <w:left w:val="single" w:color="auto" w:sz="4" w:space="0"/>
              <w:right w:val="single" w:color="auto" w:sz="4" w:space="0"/>
            </w:tcBorders>
            <w:vAlign w:val="center"/>
          </w:tcPr>
          <w:p>
            <w:pPr>
              <w:spacing w:line="280" w:lineRule="exact"/>
              <w:jc w:val="left"/>
              <w:rPr>
                <w:rFonts w:ascii="宋体" w:hAnsi="宋体"/>
                <w:szCs w:val="21"/>
              </w:rPr>
            </w:pPr>
            <w:r>
              <w:rPr>
                <w:rFonts w:hint="eastAsia" w:ascii="宋体" w:hAnsi="宋体"/>
                <w:szCs w:val="21"/>
              </w:rPr>
              <w:t>根据供应商投标文件对招标文件技术参数响应程度进行综合评审：完全响应招标文件主要技术参数要求得30分，技术参数中一般性技术参数每有一项负偏离减1分；“★”“▲”为重要技术参数，每有一项负偏离减2分，减完为止。</w:t>
            </w:r>
            <w:r>
              <w:rPr>
                <w:rFonts w:hint="eastAsia" w:ascii="宋体" w:hAnsi="宋体"/>
                <w:b/>
                <w:szCs w:val="21"/>
              </w:rPr>
              <w:t>（注：招标文件技术参数中要求提供相关证明资料的，复印件必须加盖生产厂家公章）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5" w:hRule="atLeast"/>
        </w:trPr>
        <w:tc>
          <w:tcPr>
            <w:tcW w:w="76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28"/>
              <w:jc w:val="center"/>
              <w:rPr>
                <w:rFonts w:ascii="宋体" w:hAnsi="宋体"/>
                <w:szCs w:val="21"/>
              </w:rPr>
            </w:pPr>
            <w:r>
              <w:rPr>
                <w:rFonts w:hint="eastAsia" w:ascii="宋体" w:hAnsi="宋体"/>
                <w:szCs w:val="21"/>
              </w:rPr>
              <w:t>3</w:t>
            </w:r>
          </w:p>
          <w:p>
            <w:pPr>
              <w:spacing w:line="280" w:lineRule="exact"/>
              <w:ind w:firstLine="28"/>
              <w:jc w:val="center"/>
              <w:rPr>
                <w:rFonts w:ascii="宋体" w:hAnsi="宋体"/>
                <w:szCs w:val="21"/>
              </w:rPr>
            </w:pPr>
          </w:p>
        </w:tc>
        <w:tc>
          <w:tcPr>
            <w:tcW w:w="73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28"/>
              <w:jc w:val="center"/>
              <w:rPr>
                <w:rFonts w:ascii="宋体" w:hAnsi="宋体"/>
                <w:szCs w:val="21"/>
              </w:rPr>
            </w:pPr>
            <w:r>
              <w:rPr>
                <w:rFonts w:hint="eastAsia" w:ascii="宋体" w:hAnsi="宋体"/>
                <w:szCs w:val="21"/>
              </w:rPr>
              <w:t>技术实力指标</w:t>
            </w:r>
          </w:p>
        </w:tc>
        <w:tc>
          <w:tcPr>
            <w:tcW w:w="603" w:type="dxa"/>
            <w:tcBorders>
              <w:top w:val="single" w:color="auto" w:sz="4" w:space="0"/>
              <w:left w:val="single" w:color="auto" w:sz="4" w:space="0"/>
              <w:bottom w:val="single" w:color="auto" w:sz="4" w:space="0"/>
              <w:right w:val="single" w:color="auto" w:sz="4" w:space="0"/>
            </w:tcBorders>
            <w:vAlign w:val="center"/>
          </w:tcPr>
          <w:p>
            <w:pPr>
              <w:spacing w:line="280" w:lineRule="exact"/>
              <w:ind w:firstLine="28"/>
              <w:jc w:val="center"/>
              <w:rPr>
                <w:rFonts w:ascii="宋体" w:hAnsi="宋体"/>
                <w:szCs w:val="21"/>
              </w:rPr>
            </w:pPr>
            <w:r>
              <w:rPr>
                <w:rFonts w:hint="eastAsia" w:ascii="宋体" w:hAnsi="宋体"/>
                <w:szCs w:val="21"/>
              </w:rPr>
              <w:t>30分</w:t>
            </w:r>
          </w:p>
        </w:tc>
        <w:tc>
          <w:tcPr>
            <w:tcW w:w="63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 xml:space="preserve">1、为保证项目产品及技术具有先进性，能达到领先水平，投标人或投标人所投的网络视频存储服务器产品厂商应拥有信息化及工业化相融合的先进企业管理体系，具备较强的创新技术实力及产业核心竞争力，提供由国家工业和信息化部颁布的两化融合管理体系贯标试点企业的相关证明复印件并加盖单位公章，得4分，不提供者不得分。满分4分。                                            </w:t>
            </w:r>
          </w:p>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 xml:space="preserve">2、为体现企业科研技术、自主创新及知识产权运用能力等核心竞争力，投标人或投标人所投的视频综合平台产品厂家获得由国家工信部认定的“工业企业知识产权运用能力培育工程试点单位”的，得3分。提供有效证明材料复印件并加盖原厂商公章，不提供者不得分。满分3分。                                                                         </w:t>
            </w:r>
          </w:p>
          <w:p>
            <w:pPr>
              <w:spacing w:line="280" w:lineRule="exact"/>
              <w:jc w:val="left"/>
              <w:rPr>
                <w:rFonts w:hint="eastAsia" w:asciiTheme="minorEastAsia" w:hAnsiTheme="minorEastAsia" w:eastAsiaTheme="minorEastAsia"/>
                <w:szCs w:val="21"/>
              </w:rPr>
            </w:pPr>
            <w:r>
              <w:rPr>
                <w:rFonts w:hint="eastAsia" w:asciiTheme="minorEastAsia" w:hAnsiTheme="minorEastAsia" w:eastAsiaTheme="minorEastAsia"/>
                <w:szCs w:val="21"/>
              </w:rPr>
              <w:t xml:space="preserve">3、为保障后期设备运行质量，LCD产品制造厂商具有CNAS或CMA认证的检测实验室，提供相关证书复印件并加盖制造厂商单位鲜章得3分。                                        </w:t>
            </w:r>
          </w:p>
          <w:p>
            <w:pPr>
              <w:spacing w:line="280" w:lineRule="exact"/>
              <w:jc w:val="left"/>
              <w:rPr>
                <w:rFonts w:asciiTheme="minorEastAsia" w:hAnsiTheme="minorEastAsia" w:eastAsiaTheme="minorEastAsia"/>
                <w:szCs w:val="21"/>
              </w:rPr>
            </w:pPr>
            <w:r>
              <w:rPr>
                <w:rFonts w:hint="eastAsia" w:asciiTheme="minorEastAsia" w:hAnsiTheme="minorEastAsia" w:eastAsiaTheme="minorEastAsia"/>
                <w:szCs w:val="21"/>
              </w:rPr>
              <w:t xml:space="preserve">4、所投交换机及防火墙厂商须提供2014年以来连续4年获得省级守合同重信用单位、连续三年服务满意度第一的相关证明复印件并加盖单位公章，提供一项得1分，最高2分；                                                                                                                                           </w:t>
            </w:r>
          </w:p>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6、产品厂家参与《绿色模块化数据机房建设标准》编制，并提供证明的得3分；无则不得分；</w:t>
            </w:r>
          </w:p>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7、产品厂家参与住建部在数据中心领域有关绿色节能相关课题的研究，并提供证明的得5分；无则不得分；</w:t>
            </w:r>
          </w:p>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 xml:space="preserve">8、针对微型数据中心单体机及多联机，有荣获国内权威机构的创新类奖项，提供一个奖项得1分，提供2个得2分，最高2分。                                                                          </w:t>
            </w:r>
          </w:p>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10、高热密度一体机提供“微型数据中心预警系统多种报警软件”软件著作权登记证书得3分；</w:t>
            </w:r>
          </w:p>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11、机柜柜体静载承重达到2200kg或以上，并提供第三方权威机构出具的检测报告，得3分；</w:t>
            </w:r>
          </w:p>
          <w:p>
            <w:pPr>
              <w:spacing w:line="280" w:lineRule="exact"/>
              <w:rPr>
                <w:rFonts w:asciiTheme="minorEastAsia" w:hAnsiTheme="minorEastAsia" w:eastAsiaTheme="minorEastAsia"/>
                <w:szCs w:val="21"/>
              </w:rPr>
            </w:pPr>
            <w:r>
              <w:rPr>
                <w:rFonts w:hint="eastAsia" w:asciiTheme="minorEastAsia" w:hAnsiTheme="minorEastAsia" w:eastAsiaTheme="minorEastAsia"/>
                <w:szCs w:val="21"/>
              </w:rPr>
              <w:t xml:space="preserve">12、机柜柜体配重300kg或以上工况下，满足9级抗震要求，并提供第三方权威机构出具的检测报告，得2分； </w:t>
            </w:r>
          </w:p>
          <w:p>
            <w:pPr>
              <w:spacing w:line="280" w:lineRule="exact"/>
              <w:rPr>
                <w:b/>
              </w:rPr>
            </w:pPr>
            <w:r>
              <w:rPr>
                <w:rFonts w:hint="eastAsia" w:asciiTheme="minorEastAsia" w:hAnsiTheme="minorEastAsia" w:eastAsiaTheme="minorEastAsia"/>
                <w:b/>
                <w:szCs w:val="21"/>
              </w:rPr>
              <w:t>（以上所有证书必须提供有效证明材料复印件并加盖原厂商公章，否责不得分。）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9" w:hRule="atLeast"/>
        </w:trPr>
        <w:tc>
          <w:tcPr>
            <w:tcW w:w="766" w:type="dxa"/>
            <w:tcBorders>
              <w:top w:val="single" w:color="auto" w:sz="4" w:space="0"/>
              <w:left w:val="single" w:color="auto" w:sz="4" w:space="0"/>
              <w:bottom w:val="single" w:color="auto" w:sz="4" w:space="0"/>
              <w:right w:val="single" w:color="auto" w:sz="4" w:space="0"/>
            </w:tcBorders>
            <w:vAlign w:val="center"/>
          </w:tcPr>
          <w:p>
            <w:pPr>
              <w:spacing w:line="280" w:lineRule="exact"/>
              <w:ind w:firstLine="28"/>
              <w:jc w:val="center"/>
              <w:rPr>
                <w:rFonts w:ascii="宋体" w:hAnsi="宋体"/>
                <w:szCs w:val="21"/>
              </w:rPr>
            </w:pPr>
            <w:r>
              <w:rPr>
                <w:rFonts w:hint="eastAsia" w:ascii="宋体" w:hAnsi="宋体"/>
                <w:szCs w:val="21"/>
              </w:rPr>
              <w:t>4</w:t>
            </w:r>
          </w:p>
        </w:tc>
        <w:tc>
          <w:tcPr>
            <w:tcW w:w="738" w:type="dxa"/>
            <w:tcBorders>
              <w:top w:val="single" w:color="auto" w:sz="4" w:space="0"/>
              <w:left w:val="single" w:color="auto" w:sz="4" w:space="0"/>
              <w:bottom w:val="single" w:color="auto" w:sz="4" w:space="0"/>
              <w:right w:val="single" w:color="auto" w:sz="4" w:space="0"/>
            </w:tcBorders>
            <w:vAlign w:val="center"/>
          </w:tcPr>
          <w:p>
            <w:pPr>
              <w:spacing w:line="280" w:lineRule="exact"/>
              <w:ind w:firstLine="28"/>
              <w:jc w:val="center"/>
              <w:rPr>
                <w:rFonts w:ascii="宋体" w:hAnsi="宋体"/>
                <w:szCs w:val="21"/>
              </w:rPr>
            </w:pPr>
            <w:r>
              <w:rPr>
                <w:rFonts w:hint="eastAsia" w:ascii="宋体" w:hAnsi="宋体"/>
                <w:szCs w:val="21"/>
              </w:rPr>
              <w:t>售后服务</w:t>
            </w:r>
          </w:p>
          <w:p>
            <w:pPr>
              <w:spacing w:line="280" w:lineRule="exact"/>
              <w:ind w:firstLine="28"/>
              <w:jc w:val="center"/>
              <w:rPr>
                <w:rFonts w:ascii="宋体" w:hAnsi="宋体"/>
                <w:szCs w:val="21"/>
              </w:rPr>
            </w:pPr>
            <w:r>
              <w:rPr>
                <w:rFonts w:hint="eastAsia" w:ascii="宋体" w:hAnsi="宋体"/>
                <w:szCs w:val="21"/>
              </w:rPr>
              <w:t>指标</w:t>
            </w:r>
          </w:p>
        </w:tc>
        <w:tc>
          <w:tcPr>
            <w:tcW w:w="603" w:type="dxa"/>
            <w:tcBorders>
              <w:top w:val="single" w:color="auto" w:sz="4" w:space="0"/>
              <w:left w:val="single" w:color="auto" w:sz="4" w:space="0"/>
              <w:bottom w:val="single" w:color="auto" w:sz="4" w:space="0"/>
              <w:right w:val="single" w:color="auto" w:sz="4" w:space="0"/>
            </w:tcBorders>
            <w:vAlign w:val="center"/>
          </w:tcPr>
          <w:p>
            <w:pPr>
              <w:spacing w:line="280" w:lineRule="exact"/>
              <w:ind w:firstLine="28"/>
              <w:jc w:val="center"/>
              <w:rPr>
                <w:rFonts w:ascii="宋体" w:hAnsi="宋体"/>
                <w:szCs w:val="21"/>
              </w:rPr>
            </w:pPr>
            <w:r>
              <w:rPr>
                <w:rFonts w:hint="eastAsia" w:ascii="宋体" w:hAnsi="宋体"/>
                <w:szCs w:val="21"/>
              </w:rPr>
              <w:t>10分</w:t>
            </w:r>
          </w:p>
        </w:tc>
        <w:tc>
          <w:tcPr>
            <w:tcW w:w="6373" w:type="dxa"/>
            <w:tcBorders>
              <w:top w:val="single" w:color="auto" w:sz="4" w:space="0"/>
              <w:left w:val="single" w:color="auto" w:sz="4" w:space="0"/>
              <w:bottom w:val="single" w:color="auto" w:sz="4" w:space="0"/>
              <w:right w:val="single" w:color="auto" w:sz="4" w:space="0"/>
            </w:tcBorders>
            <w:vAlign w:val="center"/>
          </w:tcPr>
          <w:p>
            <w:pPr>
              <w:pStyle w:val="29"/>
              <w:numPr>
                <w:ilvl w:val="0"/>
                <w:numId w:val="8"/>
              </w:numPr>
              <w:spacing w:line="280" w:lineRule="exact"/>
              <w:ind w:firstLineChars="0"/>
            </w:pPr>
            <w:r>
              <w:rPr>
                <w:rFonts w:hint="eastAsia"/>
              </w:rPr>
              <w:t>能够充分结合该项目建设要求，制定出详细的实施方案。项目实施方案完整、合理、科学、具有良好的可行性，方案优秀得3分，良好得1分，差得0分。（满分3分）</w:t>
            </w:r>
          </w:p>
          <w:p>
            <w:pPr>
              <w:pStyle w:val="29"/>
              <w:numPr>
                <w:ilvl w:val="0"/>
                <w:numId w:val="8"/>
              </w:numPr>
              <w:spacing w:line="280" w:lineRule="exact"/>
              <w:ind w:firstLineChars="0"/>
            </w:pPr>
            <w:r>
              <w:rPr>
                <w:rFonts w:hint="eastAsia"/>
              </w:rPr>
              <w:t>投标人提供售后承诺书及项目售后团队（团队成员提供职称证书及社保），并承诺故障处理时限：接到报修电话后，供应商必须承诺在4小时内响应，12小时内解决故障（非重大故障）及问题得3分，投标人无售后团队或重大故障解决时限承诺无法满足不得分。（满分3分）</w:t>
            </w:r>
          </w:p>
          <w:p>
            <w:pPr>
              <w:pStyle w:val="29"/>
              <w:numPr>
                <w:ilvl w:val="0"/>
                <w:numId w:val="8"/>
              </w:numPr>
              <w:spacing w:line="280" w:lineRule="exact"/>
              <w:ind w:firstLineChars="0"/>
            </w:pPr>
            <w:r>
              <w:rPr>
                <w:rFonts w:hint="eastAsia"/>
              </w:rPr>
              <w:t>投标人提供投标人所投网络视频存储服务器、视频综合平台、400万网络红外智能球机、综合监控管理平台产品的生产厂家针对本项目的售后服务承诺函原件得4分</w:t>
            </w:r>
          </w:p>
        </w:tc>
      </w:tr>
    </w:tbl>
    <w:p/>
    <w:p>
      <w:pPr>
        <w:pStyle w:val="2"/>
        <w:numPr>
          <w:ilvl w:val="0"/>
          <w:numId w:val="0"/>
        </w:numPr>
        <w:rPr>
          <w:rFonts w:hint="eastAsia"/>
          <w:lang w:eastAsia="zh-CN"/>
        </w:rPr>
      </w:pPr>
    </w:p>
    <w:p>
      <w:pPr>
        <w:pStyle w:val="2"/>
        <w:numPr>
          <w:ilvl w:val="0"/>
          <w:numId w:val="0"/>
        </w:numPr>
        <w:rPr>
          <w:rFonts w:hint="eastAsia"/>
          <w:lang w:eastAsia="zh-CN"/>
        </w:rPr>
      </w:pPr>
    </w:p>
    <w:p>
      <w:pPr>
        <w:pStyle w:val="2"/>
        <w:numPr>
          <w:ilvl w:val="0"/>
          <w:numId w:val="0"/>
        </w:numPr>
        <w:rPr>
          <w:rFonts w:hint="eastAsia"/>
          <w:lang w:eastAsia="zh-CN"/>
        </w:rPr>
      </w:pPr>
    </w:p>
    <w:p>
      <w:pPr>
        <w:pStyle w:val="2"/>
        <w:numPr>
          <w:ilvl w:val="0"/>
          <w:numId w:val="0"/>
        </w:numPr>
        <w:rPr>
          <w:rFonts w:hint="eastAsia"/>
          <w:lang w:eastAsia="zh-CN"/>
        </w:rPr>
      </w:pPr>
    </w:p>
    <w:p>
      <w:pPr>
        <w:pStyle w:val="2"/>
        <w:numPr>
          <w:ilvl w:val="0"/>
          <w:numId w:val="0"/>
        </w:numPr>
        <w:rPr>
          <w:rFonts w:hint="eastAsia"/>
          <w:lang w:eastAsia="zh-CN"/>
        </w:rPr>
      </w:pPr>
    </w:p>
    <w:p>
      <w:pPr>
        <w:pStyle w:val="2"/>
        <w:numPr>
          <w:ilvl w:val="0"/>
          <w:numId w:val="0"/>
        </w:numPr>
        <w:rPr>
          <w:rFonts w:hint="eastAsia"/>
          <w:lang w:eastAsia="zh-CN"/>
        </w:rPr>
      </w:pPr>
    </w:p>
    <w:p>
      <w:pPr>
        <w:pStyle w:val="2"/>
        <w:numPr>
          <w:ilvl w:val="0"/>
          <w:numId w:val="0"/>
        </w:numPr>
        <w:rPr>
          <w:rFonts w:hint="eastAsia"/>
          <w:lang w:eastAsia="zh-CN"/>
        </w:rPr>
      </w:pPr>
    </w:p>
    <w:p>
      <w:pPr>
        <w:pStyle w:val="2"/>
        <w:numPr>
          <w:ilvl w:val="0"/>
          <w:numId w:val="0"/>
        </w:numPr>
        <w:rPr>
          <w:rFonts w:hint="eastAsia"/>
          <w:lang w:eastAsia="zh-CN"/>
        </w:rPr>
      </w:pPr>
    </w:p>
    <w:p>
      <w:pPr>
        <w:pStyle w:val="2"/>
        <w:numPr>
          <w:ilvl w:val="0"/>
          <w:numId w:val="0"/>
        </w:numPr>
        <w:rPr>
          <w:rFonts w:hint="eastAsia"/>
          <w:lang w:eastAsia="zh-CN"/>
        </w:rPr>
      </w:pPr>
    </w:p>
    <w:p>
      <w:pPr>
        <w:pStyle w:val="2"/>
        <w:numPr>
          <w:ilvl w:val="0"/>
          <w:numId w:val="0"/>
        </w:numPr>
        <w:rPr>
          <w:rFonts w:hint="eastAsia"/>
          <w:lang w:eastAsia="zh-CN"/>
        </w:rPr>
      </w:pPr>
    </w:p>
    <w:p>
      <w:pPr>
        <w:pStyle w:val="2"/>
        <w:numPr>
          <w:ilvl w:val="0"/>
          <w:numId w:val="0"/>
        </w:numPr>
        <w:rPr>
          <w:rFonts w:hint="eastAsia"/>
          <w:lang w:eastAsia="zh-CN"/>
        </w:rPr>
      </w:pPr>
    </w:p>
    <w:p>
      <w:pPr>
        <w:pStyle w:val="2"/>
        <w:numPr>
          <w:ilvl w:val="0"/>
          <w:numId w:val="0"/>
        </w:numPr>
        <w:rPr>
          <w:rFonts w:hint="eastAsia"/>
          <w:lang w:eastAsia="zh-CN"/>
        </w:rPr>
      </w:pPr>
    </w:p>
    <w:p>
      <w:pPr>
        <w:pStyle w:val="2"/>
        <w:numPr>
          <w:ilvl w:val="0"/>
          <w:numId w:val="0"/>
        </w:numPr>
        <w:rPr>
          <w:rFonts w:hint="eastAsia"/>
          <w:lang w:eastAsia="zh-CN"/>
        </w:rPr>
      </w:pPr>
    </w:p>
    <w:p>
      <w:pPr>
        <w:pStyle w:val="2"/>
        <w:numPr>
          <w:ilvl w:val="0"/>
          <w:numId w:val="0"/>
        </w:numPr>
        <w:rPr>
          <w:rFonts w:hint="eastAsia"/>
          <w:lang w:eastAsia="zh-CN"/>
        </w:rPr>
      </w:pPr>
    </w:p>
    <w:p>
      <w:pPr>
        <w:spacing w:line="400" w:lineRule="exact"/>
        <w:rPr>
          <w:rFonts w:ascii="宋体" w:hAnsi="宋体" w:cs="Arial"/>
          <w:b/>
          <w:kern w:val="0"/>
          <w:sz w:val="24"/>
        </w:rPr>
      </w:pPr>
    </w:p>
    <w:sectPr>
      <w:footerReference r:id="rId10" w:type="first"/>
      <w:footerReference r:id="rId9" w:type="default"/>
      <w:pgSz w:w="11906" w:h="16838"/>
      <w:pgMar w:top="1440" w:right="1803" w:bottom="1440" w:left="1803" w:header="851" w:footer="1021" w:gutter="0"/>
      <w:pgNumType w:fmt="decimal"/>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pacing w:line="360" w:lineRule="auto"/>
      <w:rPr>
        <w:rFonts w:ascii="仿宋" w:hAnsi="仿宋" w:eastAsia="仿宋"/>
        <w:sz w:val="18"/>
        <w:szCs w:val="18"/>
      </w:rPr>
    </w:pPr>
    <w:r>
      <w:rPr>
        <w:rFonts w:ascii="仿宋" w:hAnsi="仿宋" w:eastAsia="仿宋"/>
        <w:sz w:val="18"/>
        <w:szCs w:val="18"/>
      </w:rPr>
      <w:t xml:space="preserve">      </w:t>
    </w:r>
    <w:r>
      <w:rPr>
        <w:rFonts w:hint="eastAsia" w:ascii="仿宋" w:hAnsi="仿宋" w:eastAsia="仿宋"/>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pacing w:line="360" w:lineRule="auto"/>
      <w:rPr>
        <w:rFonts w:ascii="仿宋" w:hAnsi="仿宋" w:eastAsia="仿宋"/>
        <w:sz w:val="18"/>
        <w:szCs w:val="18"/>
      </w:rPr>
    </w:pPr>
    <w:r>
      <w:rPr>
        <w:sz w:val="18"/>
      </w:rPr>
      <mc:AlternateContent>
        <mc:Choice Requires="wps">
          <w:drawing>
            <wp:anchor distT="0" distB="0" distL="114300" distR="114300" simplePos="0" relativeHeight="248608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8608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ascii="仿宋" w:hAnsi="仿宋" w:eastAsia="仿宋"/>
        <w:sz w:val="18"/>
        <w:szCs w:val="18"/>
      </w:rPr>
      <w:t xml:space="preserve">      </w:t>
    </w:r>
    <w:r>
      <w:rPr>
        <w:rFonts w:hint="eastAsia" w:ascii="仿宋" w:hAnsi="仿宋" w:eastAsia="仿宋"/>
        <w:sz w:val="18"/>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48609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8609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autoSpaceDN/>
      <w:adjustRightInd w:val="0"/>
      <w:spacing w:before="0" w:after="0" w:line="560" w:lineRule="exact"/>
      <w:ind w:left="0" w:right="0"/>
      <w:jc w:val="both"/>
      <w:rPr>
        <w:rFonts w:ascii="仿宋" w:hAnsi="仿宋" w:eastAsia="仿宋" w:cs="Times New Roman"/>
        <w:kern w:val="2"/>
        <w:sz w:val="18"/>
        <w:szCs w:val="18"/>
        <w:lang w:val="en-US" w:bidi="ar-SA"/>
      </w:rPr>
    </w:pPr>
    <w:r>
      <w:rPr>
        <w:sz w:val="18"/>
      </w:rPr>
      <mc:AlternateContent>
        <mc:Choice Requires="wps">
          <w:drawing>
            <wp:anchor distT="0" distB="0" distL="114300" distR="114300" simplePos="0" relativeHeight="248606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8606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RMVdUrgEAAEsD&#10;AAAOAAAAAAAAAAEAIAAAAB4BAABkcnMvZTJvRG9jLnhtbFBLBQYAAAAABgAGAFkBAAA+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r>
      <w:rPr>
        <w:rFonts w:hint="eastAsia" w:ascii="仿宋" w:hAnsi="仿宋" w:eastAsia="仿宋" w:cs="Times New Roman"/>
        <w:kern w:val="2"/>
        <w:sz w:val="18"/>
        <w:szCs w:val="18"/>
        <w:lang w:val="en-US" w:bidi="ar-SA"/>
      </w:rPr>
      <w:t xml:space="preserve">       </w:t>
    </w:r>
    <w:r>
      <w:rPr>
        <w:rFonts w:ascii="仿宋" w:hAnsi="仿宋" w:eastAsia="仿宋" w:cs="Times New Roman"/>
        <w:kern w:val="2"/>
        <w:sz w:val="18"/>
        <w:szCs w:val="18"/>
        <w:lang w:val="en-US" w:bidi="ar-SA"/>
      </w:rPr>
      <w:t xml:space="preserve">    </w:t>
    </w:r>
    <w:r>
      <w:rPr>
        <w:rFonts w:hint="eastAsia" w:ascii="仿宋" w:hAnsi="仿宋" w:eastAsia="仿宋" w:cs="Times New Roman"/>
        <w:kern w:val="2"/>
        <w:sz w:val="18"/>
        <w:szCs w:val="18"/>
        <w:lang w:val="en-US" w:bidi="ar-S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sz w:val="18"/>
      </w:rPr>
      <mc:AlternateContent>
        <mc:Choice Requires="wps">
          <w:drawing>
            <wp:anchor distT="0" distB="0" distL="114300" distR="114300" simplePos="0" relativeHeight="248607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860774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41</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48610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instrText xml:space="preserve"> PAGE   \* MERGEFORMAT </w:instrText>
                          </w:r>
                          <w:r>
                            <w:fldChar w:fldCharType="separate"/>
                          </w:r>
                          <w:r>
                            <w:rPr>
                              <w:lang w:val="zh-CN"/>
                            </w:rPr>
                            <w:t>67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8610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67</w:t>
                    </w:r>
                    <w:r>
                      <w:fldChar w:fldCharType="end"/>
                    </w:r>
                  </w:p>
                </w:txbxContent>
              </v:textbox>
            </v:shape>
          </w:pict>
        </mc:Fallback>
      </mc:AlternateContent>
    </w:r>
  </w:p>
  <w:p>
    <w:pPr>
      <w:adjustRightInd w:val="0"/>
      <w:spacing w:line="560" w:lineRule="exact"/>
      <w:rPr>
        <w:rFonts w:ascii="仿宋" w:hAnsi="仿宋" w:eastAsia="仿宋"/>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48611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pPr>
                          <w:r>
                            <w:fldChar w:fldCharType="begin"/>
                          </w:r>
                          <w:r>
                            <w:instrText xml:space="preserve"> PAGE   \* MERGEFORMAT </w:instrText>
                          </w:r>
                          <w:r>
                            <w:fldChar w:fldCharType="separate"/>
                          </w:r>
                          <w:r>
                            <w:rPr>
                              <w:lang w:val="zh-CN"/>
                            </w:rPr>
                            <w:t>57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48611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7"/>
                      <w:jc w:val="center"/>
                    </w:pPr>
                    <w:r>
                      <w:fldChar w:fldCharType="begin"/>
                    </w:r>
                    <w:r>
                      <w:instrText xml:space="preserve"> PAGE   \* MERGEFORMAT </w:instrText>
                    </w:r>
                    <w:r>
                      <w:fldChar w:fldCharType="separate"/>
                    </w:r>
                    <w:r>
                      <w:rPr>
                        <w:lang w:val="zh-CN"/>
                      </w:rPr>
                      <w:t>57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1C0FD"/>
    <w:multiLevelType w:val="singleLevel"/>
    <w:tmpl w:val="8841C0FD"/>
    <w:lvl w:ilvl="0" w:tentative="0">
      <w:start w:val="2"/>
      <w:numFmt w:val="decimal"/>
      <w:lvlText w:val="%1."/>
      <w:lvlJc w:val="left"/>
      <w:pPr>
        <w:tabs>
          <w:tab w:val="left" w:pos="312"/>
        </w:tabs>
      </w:pPr>
    </w:lvl>
  </w:abstractNum>
  <w:abstractNum w:abstractNumId="1">
    <w:nsid w:val="B8CEF35B"/>
    <w:multiLevelType w:val="multilevel"/>
    <w:tmpl w:val="B8CEF35B"/>
    <w:lvl w:ilvl="0" w:tentative="0">
      <w:start w:val="1"/>
      <w:numFmt w:val="decimal"/>
      <w:lvlText w:val="（%1）"/>
      <w:lvlJc w:val="left"/>
      <w:pPr>
        <w:ind w:left="709" w:hanging="601"/>
        <w:jc w:val="left"/>
      </w:pPr>
      <w:rPr>
        <w:rFonts w:hint="default" w:ascii="宋体" w:hAnsi="宋体" w:eastAsia="宋体" w:cs="宋体"/>
        <w:w w:val="100"/>
        <w:sz w:val="22"/>
        <w:szCs w:val="22"/>
        <w:lang w:val="zh-CN" w:eastAsia="zh-CN" w:bidi="zh-CN"/>
      </w:rPr>
    </w:lvl>
    <w:lvl w:ilvl="1" w:tentative="0">
      <w:start w:val="0"/>
      <w:numFmt w:val="bullet"/>
      <w:lvlText w:val="•"/>
      <w:lvlJc w:val="left"/>
      <w:pPr>
        <w:ind w:left="1117" w:hanging="601"/>
      </w:pPr>
      <w:rPr>
        <w:rFonts w:hint="default"/>
        <w:lang w:val="zh-CN" w:eastAsia="zh-CN" w:bidi="zh-CN"/>
      </w:rPr>
    </w:lvl>
    <w:lvl w:ilvl="2" w:tentative="0">
      <w:start w:val="0"/>
      <w:numFmt w:val="bullet"/>
      <w:lvlText w:val="•"/>
      <w:lvlJc w:val="left"/>
      <w:pPr>
        <w:ind w:left="1534" w:hanging="601"/>
      </w:pPr>
      <w:rPr>
        <w:rFonts w:hint="default"/>
        <w:lang w:val="zh-CN" w:eastAsia="zh-CN" w:bidi="zh-CN"/>
      </w:rPr>
    </w:lvl>
    <w:lvl w:ilvl="3" w:tentative="0">
      <w:start w:val="0"/>
      <w:numFmt w:val="bullet"/>
      <w:lvlText w:val="•"/>
      <w:lvlJc w:val="left"/>
      <w:pPr>
        <w:ind w:left="1951" w:hanging="601"/>
      </w:pPr>
      <w:rPr>
        <w:rFonts w:hint="default"/>
        <w:lang w:val="zh-CN" w:eastAsia="zh-CN" w:bidi="zh-CN"/>
      </w:rPr>
    </w:lvl>
    <w:lvl w:ilvl="4" w:tentative="0">
      <w:start w:val="0"/>
      <w:numFmt w:val="bullet"/>
      <w:lvlText w:val="•"/>
      <w:lvlJc w:val="left"/>
      <w:pPr>
        <w:ind w:left="2369" w:hanging="601"/>
      </w:pPr>
      <w:rPr>
        <w:rFonts w:hint="default"/>
        <w:lang w:val="zh-CN" w:eastAsia="zh-CN" w:bidi="zh-CN"/>
      </w:rPr>
    </w:lvl>
    <w:lvl w:ilvl="5" w:tentative="0">
      <w:start w:val="0"/>
      <w:numFmt w:val="bullet"/>
      <w:lvlText w:val="•"/>
      <w:lvlJc w:val="left"/>
      <w:pPr>
        <w:ind w:left="2786" w:hanging="601"/>
      </w:pPr>
      <w:rPr>
        <w:rFonts w:hint="default"/>
        <w:lang w:val="zh-CN" w:eastAsia="zh-CN" w:bidi="zh-CN"/>
      </w:rPr>
    </w:lvl>
    <w:lvl w:ilvl="6" w:tentative="0">
      <w:start w:val="0"/>
      <w:numFmt w:val="bullet"/>
      <w:lvlText w:val="•"/>
      <w:lvlJc w:val="left"/>
      <w:pPr>
        <w:ind w:left="3203" w:hanging="601"/>
      </w:pPr>
      <w:rPr>
        <w:rFonts w:hint="default"/>
        <w:lang w:val="zh-CN" w:eastAsia="zh-CN" w:bidi="zh-CN"/>
      </w:rPr>
    </w:lvl>
    <w:lvl w:ilvl="7" w:tentative="0">
      <w:start w:val="0"/>
      <w:numFmt w:val="bullet"/>
      <w:lvlText w:val="•"/>
      <w:lvlJc w:val="left"/>
      <w:pPr>
        <w:ind w:left="3621" w:hanging="601"/>
      </w:pPr>
      <w:rPr>
        <w:rFonts w:hint="default"/>
        <w:lang w:val="zh-CN" w:eastAsia="zh-CN" w:bidi="zh-CN"/>
      </w:rPr>
    </w:lvl>
    <w:lvl w:ilvl="8" w:tentative="0">
      <w:start w:val="0"/>
      <w:numFmt w:val="bullet"/>
      <w:lvlText w:val="•"/>
      <w:lvlJc w:val="left"/>
      <w:pPr>
        <w:ind w:left="4038" w:hanging="601"/>
      </w:pPr>
      <w:rPr>
        <w:rFonts w:hint="default"/>
        <w:lang w:val="zh-CN" w:eastAsia="zh-CN" w:bidi="zh-CN"/>
      </w:rPr>
    </w:lvl>
  </w:abstractNum>
  <w:abstractNum w:abstractNumId="2">
    <w:nsid w:val="00000001"/>
    <w:multiLevelType w:val="singleLevel"/>
    <w:tmpl w:val="00000001"/>
    <w:lvl w:ilvl="0" w:tentative="0">
      <w:start w:val="1"/>
      <w:numFmt w:val="chineseCounting"/>
      <w:suff w:val="nothing"/>
      <w:lvlText w:val="%1、"/>
      <w:lvlJc w:val="left"/>
      <w:rPr>
        <w:rFonts w:hint="eastAsia"/>
      </w:rPr>
    </w:lvl>
  </w:abstractNum>
  <w:abstractNum w:abstractNumId="3">
    <w:nsid w:val="00000002"/>
    <w:multiLevelType w:val="singleLevel"/>
    <w:tmpl w:val="00000002"/>
    <w:lvl w:ilvl="0" w:tentative="0">
      <w:start w:val="2"/>
      <w:numFmt w:val="decimal"/>
      <w:suff w:val="nothing"/>
      <w:lvlText w:val="%1、"/>
      <w:lvlJc w:val="left"/>
    </w:lvl>
  </w:abstractNum>
  <w:abstractNum w:abstractNumId="4">
    <w:nsid w:val="00000006"/>
    <w:multiLevelType w:val="singleLevel"/>
    <w:tmpl w:val="00000006"/>
    <w:lvl w:ilvl="0" w:tentative="0">
      <w:start w:val="1"/>
      <w:numFmt w:val="chineseCounting"/>
      <w:suff w:val="nothing"/>
      <w:lvlText w:val="%1、"/>
      <w:lvlJc w:val="left"/>
    </w:lvl>
  </w:abstractNum>
  <w:abstractNum w:abstractNumId="5">
    <w:nsid w:val="144E7D4E"/>
    <w:multiLevelType w:val="singleLevel"/>
    <w:tmpl w:val="144E7D4E"/>
    <w:lvl w:ilvl="0" w:tentative="0">
      <w:start w:val="8"/>
      <w:numFmt w:val="chineseCounting"/>
      <w:suff w:val="nothing"/>
      <w:lvlText w:val="%1、"/>
      <w:lvlJc w:val="left"/>
      <w:rPr>
        <w:rFonts w:hint="eastAsia"/>
      </w:rPr>
    </w:lvl>
  </w:abstractNum>
  <w:abstractNum w:abstractNumId="6">
    <w:nsid w:val="38C650E8"/>
    <w:multiLevelType w:val="multilevel"/>
    <w:tmpl w:val="38C650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710A9A4"/>
    <w:multiLevelType w:val="singleLevel"/>
    <w:tmpl w:val="5710A9A4"/>
    <w:lvl w:ilvl="0" w:tentative="0">
      <w:start w:val="1"/>
      <w:numFmt w:val="chineseCounting"/>
      <w:suff w:val="nothing"/>
      <w:lvlText w:val="%1、"/>
      <w:lvlJc w:val="left"/>
    </w:lvl>
  </w:abstractNum>
  <w:num w:numId="1">
    <w:abstractNumId w:val="5"/>
  </w:num>
  <w:num w:numId="2">
    <w:abstractNumId w:val="2"/>
  </w:num>
  <w:num w:numId="3">
    <w:abstractNumId w:val="3"/>
  </w:num>
  <w:num w:numId="4">
    <w:abstractNumId w:val="4"/>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A0788"/>
    <w:rsid w:val="070D24CF"/>
    <w:rsid w:val="0A044B20"/>
    <w:rsid w:val="0A7A6950"/>
    <w:rsid w:val="0C191E9D"/>
    <w:rsid w:val="0D5E7468"/>
    <w:rsid w:val="0F900F35"/>
    <w:rsid w:val="0FF335FA"/>
    <w:rsid w:val="0FFC2323"/>
    <w:rsid w:val="12B22235"/>
    <w:rsid w:val="1321370B"/>
    <w:rsid w:val="13A12E77"/>
    <w:rsid w:val="151929E5"/>
    <w:rsid w:val="16CC02F6"/>
    <w:rsid w:val="16D5772F"/>
    <w:rsid w:val="1BFE366B"/>
    <w:rsid w:val="1CEB2BFC"/>
    <w:rsid w:val="1CFF0D11"/>
    <w:rsid w:val="1D165835"/>
    <w:rsid w:val="1D215EF7"/>
    <w:rsid w:val="1DB93509"/>
    <w:rsid w:val="2205276D"/>
    <w:rsid w:val="22FF5AFD"/>
    <w:rsid w:val="23933FBB"/>
    <w:rsid w:val="26937471"/>
    <w:rsid w:val="29176D7B"/>
    <w:rsid w:val="294B58B2"/>
    <w:rsid w:val="2A7C0934"/>
    <w:rsid w:val="2B714EDE"/>
    <w:rsid w:val="2E797F5A"/>
    <w:rsid w:val="321F4A7E"/>
    <w:rsid w:val="37420226"/>
    <w:rsid w:val="37673D1D"/>
    <w:rsid w:val="39592559"/>
    <w:rsid w:val="3CAC3845"/>
    <w:rsid w:val="3DB622FB"/>
    <w:rsid w:val="3F9B7ED3"/>
    <w:rsid w:val="40591533"/>
    <w:rsid w:val="42CE4342"/>
    <w:rsid w:val="43627060"/>
    <w:rsid w:val="468D442D"/>
    <w:rsid w:val="47C17B49"/>
    <w:rsid w:val="4CA06836"/>
    <w:rsid w:val="4CA9653F"/>
    <w:rsid w:val="4CB927C3"/>
    <w:rsid w:val="4D632246"/>
    <w:rsid w:val="4D7C0CFF"/>
    <w:rsid w:val="4F217C00"/>
    <w:rsid w:val="52700B09"/>
    <w:rsid w:val="52A52549"/>
    <w:rsid w:val="54037E60"/>
    <w:rsid w:val="54FA4D21"/>
    <w:rsid w:val="550C6EF7"/>
    <w:rsid w:val="5FA76084"/>
    <w:rsid w:val="605C3651"/>
    <w:rsid w:val="64B802C3"/>
    <w:rsid w:val="660C763D"/>
    <w:rsid w:val="6B6F45A1"/>
    <w:rsid w:val="6D6F4822"/>
    <w:rsid w:val="6D7A54D0"/>
    <w:rsid w:val="6E925012"/>
    <w:rsid w:val="70415945"/>
    <w:rsid w:val="74D53B6D"/>
    <w:rsid w:val="75A246B1"/>
    <w:rsid w:val="78D802CF"/>
    <w:rsid w:val="78DD0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7"/>
    <w:qFormat/>
    <w:uiPriority w:val="0"/>
    <w:pPr>
      <w:keepNext/>
      <w:keepLines/>
      <w:adjustRightInd w:val="0"/>
      <w:spacing w:before="240" w:line="360" w:lineRule="auto"/>
      <w:jc w:val="center"/>
      <w:textAlignment w:val="baseline"/>
      <w:outlineLvl w:val="1"/>
    </w:pPr>
    <w:rPr>
      <w:rFonts w:ascii="Arial" w:hAnsi="Arial" w:eastAsia="黑体"/>
      <w:b/>
      <w:kern w:val="0"/>
      <w:sz w:val="30"/>
      <w:szCs w:val="20"/>
    </w:rPr>
  </w:style>
  <w:style w:type="character" w:default="1" w:styleId="14">
    <w:name w:val="Default Paragraph Font"/>
    <w:qFormat/>
    <w:uiPriority w:val="1"/>
  </w:style>
  <w:style w:type="table" w:default="1" w:styleId="12">
    <w:name w:val="Normal Table"/>
    <w:qFormat/>
    <w:uiPriority w:val="99"/>
    <w:tblPr>
      <w:tblCellMar>
        <w:top w:w="0" w:type="dxa"/>
        <w:left w:w="108" w:type="dxa"/>
        <w:bottom w:w="0" w:type="dxa"/>
        <w:right w:w="108" w:type="dxa"/>
      </w:tblCellMar>
    </w:tblPr>
  </w:style>
  <w:style w:type="paragraph" w:styleId="2">
    <w:name w:val="Body Text"/>
    <w:basedOn w:val="1"/>
    <w:qFormat/>
    <w:uiPriority w:val="0"/>
    <w:pPr>
      <w:spacing w:line="480" w:lineRule="auto"/>
    </w:pPr>
    <w:rPr>
      <w:color w:val="000000"/>
      <w:sz w:val="24"/>
    </w:rPr>
  </w:style>
  <w:style w:type="paragraph" w:styleId="5">
    <w:name w:val="Plain Text"/>
    <w:basedOn w:val="1"/>
    <w:qFormat/>
    <w:uiPriority w:val="0"/>
    <w:rPr>
      <w:rFonts w:ascii="宋体" w:hAnsi="Courier New"/>
      <w:szCs w:val="20"/>
    </w:rPr>
  </w:style>
  <w:style w:type="paragraph" w:styleId="6">
    <w:name w:val="Balloon Text"/>
    <w:basedOn w:val="1"/>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2"/>
    <w:basedOn w:val="1"/>
    <w:next w:val="1"/>
    <w:qFormat/>
    <w:uiPriority w:val="0"/>
    <w:pPr>
      <w:ind w:left="420" w:leftChars="200"/>
    </w:pPr>
  </w:style>
  <w:style w:type="paragraph" w:styleId="11">
    <w:name w:val="Normal (Web)"/>
    <w:basedOn w:val="1"/>
    <w:qFormat/>
    <w:uiPriority w:val="0"/>
    <w:rPr>
      <w:sz w:val="2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Hyperlink"/>
    <w:basedOn w:val="14"/>
    <w:qFormat/>
    <w:uiPriority w:val="0"/>
    <w:rPr>
      <w:color w:val="0000FF"/>
      <w:u w:val="single"/>
    </w:rPr>
  </w:style>
  <w:style w:type="character" w:customStyle="1" w:styleId="17">
    <w:name w:val="标题 2 Char"/>
    <w:link w:val="4"/>
    <w:qFormat/>
    <w:uiPriority w:val="0"/>
    <w:rPr>
      <w:rFonts w:ascii="Arial" w:hAnsi="Arial" w:eastAsia="黑体"/>
      <w:b/>
      <w:kern w:val="0"/>
      <w:sz w:val="30"/>
      <w:szCs w:val="20"/>
    </w:rPr>
  </w:style>
  <w:style w:type="paragraph" w:customStyle="1" w:styleId="1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9">
    <w:name w:val="图例"/>
    <w:basedOn w:val="1"/>
    <w:qFormat/>
    <w:uiPriority w:val="0"/>
    <w:pPr>
      <w:spacing w:before="120" w:after="120" w:line="360" w:lineRule="auto"/>
      <w:jc w:val="center"/>
    </w:pPr>
    <w:rPr>
      <w:rFonts w:eastAsia="仿宋_GB2312"/>
      <w:b/>
      <w:bCs/>
      <w:sz w:val="24"/>
    </w:rPr>
  </w:style>
  <w:style w:type="character" w:customStyle="1" w:styleId="20">
    <w:name w:val="font91"/>
    <w:basedOn w:val="14"/>
    <w:qFormat/>
    <w:uiPriority w:val="0"/>
    <w:rPr>
      <w:rFonts w:hint="eastAsia" w:ascii="宋体" w:hAnsi="宋体" w:eastAsia="宋体" w:cs="宋体"/>
      <w:color w:val="000000"/>
      <w:sz w:val="21"/>
      <w:szCs w:val="21"/>
      <w:u w:val="none"/>
    </w:rPr>
  </w:style>
  <w:style w:type="character" w:customStyle="1" w:styleId="21">
    <w:name w:val="font51"/>
    <w:basedOn w:val="14"/>
    <w:qFormat/>
    <w:uiPriority w:val="0"/>
    <w:rPr>
      <w:rFonts w:hint="eastAsia" w:ascii="宋体" w:hAnsi="宋体" w:eastAsia="宋体" w:cs="宋体"/>
      <w:color w:val="000000"/>
      <w:sz w:val="21"/>
      <w:szCs w:val="21"/>
      <w:u w:val="none"/>
    </w:rPr>
  </w:style>
  <w:style w:type="character" w:customStyle="1" w:styleId="22">
    <w:name w:val="font101"/>
    <w:basedOn w:val="14"/>
    <w:qFormat/>
    <w:uiPriority w:val="0"/>
    <w:rPr>
      <w:rFonts w:hint="eastAsia" w:ascii="宋体" w:hAnsi="宋体" w:eastAsia="宋体" w:cs="宋体"/>
      <w:color w:val="000000"/>
      <w:sz w:val="21"/>
      <w:szCs w:val="21"/>
      <w:u w:val="none"/>
    </w:rPr>
  </w:style>
  <w:style w:type="character" w:customStyle="1" w:styleId="23">
    <w:name w:val="font131"/>
    <w:basedOn w:val="14"/>
    <w:qFormat/>
    <w:uiPriority w:val="0"/>
    <w:rPr>
      <w:rFonts w:hint="eastAsia" w:ascii="宋体" w:hAnsi="宋体" w:eastAsia="宋体" w:cs="宋体"/>
      <w:color w:val="000000"/>
      <w:sz w:val="21"/>
      <w:szCs w:val="21"/>
      <w:u w:val="none"/>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6">
    <w:name w:val="font31"/>
    <w:basedOn w:val="14"/>
    <w:qFormat/>
    <w:uiPriority w:val="0"/>
    <w:rPr>
      <w:rFonts w:hint="eastAsia" w:ascii="宋体" w:hAnsi="宋体" w:eastAsia="宋体" w:cs="宋体"/>
      <w:color w:val="000000"/>
      <w:sz w:val="24"/>
      <w:szCs w:val="24"/>
      <w:u w:val="none"/>
    </w:rPr>
  </w:style>
  <w:style w:type="paragraph" w:customStyle="1" w:styleId="27">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Table Paragraph"/>
    <w:basedOn w:val="1"/>
    <w:qFormat/>
    <w:uiPriority w:val="1"/>
  </w:style>
  <w:style w:type="paragraph" w:styleId="29">
    <w:name w:val="List Paragraph"/>
    <w:basedOn w:val="1"/>
    <w:qFormat/>
    <w:uiPriority w:val="1"/>
    <w:pPr>
      <w:ind w:left="122" w:firstLine="561"/>
    </w:pPr>
    <w:rPr>
      <w:rFonts w:ascii="仿宋" w:hAnsi="仿宋" w:eastAsia="仿宋" w:cs="仿宋"/>
      <w:lang w:val="zh-CN" w:eastAsia="zh-CN" w:bidi="zh-CN"/>
    </w:rPr>
  </w:style>
  <w:style w:type="paragraph" w:customStyle="1" w:styleId="30">
    <w:name w:val="列出段落1"/>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27307</Words>
  <Characters>29114</Characters>
  <Paragraphs>1773</Paragraphs>
  <TotalTime>0</TotalTime>
  <ScaleCrop>false</ScaleCrop>
  <LinksUpToDate>false</LinksUpToDate>
  <CharactersWithSpaces>31117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2017-10-30T07:02:00Z</dcterms:created>
  <dc:creator>Administrator</dc:creator>
  <cp:lastModifiedBy>亦爱</cp:lastModifiedBy>
  <cp:lastPrinted>2019-11-13T08:44:00Z</cp:lastPrinted>
  <dcterms:modified xsi:type="dcterms:W3CDTF">2019-11-14T02:48:05Z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