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C9CD95">
      <w:pPr>
        <w:wordWrap w:val="0"/>
        <w:spacing w:line="720" w:lineRule="auto"/>
        <w:jc w:val="left"/>
        <w:rPr>
          <w:rFonts w:ascii="宋体" w:hAnsi="宋体" w:cs="宋体"/>
          <w:color w:val="auto"/>
          <w:sz w:val="32"/>
          <w:szCs w:val="32"/>
          <w:highlight w:val="none"/>
        </w:rPr>
      </w:pPr>
    </w:p>
    <w:p w14:paraId="78E09761">
      <w:pPr>
        <w:pStyle w:val="15"/>
        <w:wordWrap w:val="0"/>
        <w:spacing w:line="720" w:lineRule="auto"/>
        <w:rPr>
          <w:color w:val="auto"/>
          <w:sz w:val="32"/>
          <w:szCs w:val="32"/>
          <w:highlight w:val="none"/>
        </w:rPr>
      </w:pPr>
    </w:p>
    <w:p w14:paraId="5B1C64AA">
      <w:pPr>
        <w:wordWrap w:val="0"/>
        <w:spacing w:line="720" w:lineRule="auto"/>
        <w:jc w:val="center"/>
        <w:rPr>
          <w:rFonts w:ascii="华文中宋" w:hAnsi="华文中宋" w:eastAsia="华文中宋" w:cs="宋体"/>
          <w:color w:val="auto"/>
          <w:sz w:val="72"/>
          <w:szCs w:val="72"/>
          <w:highlight w:val="none"/>
        </w:rPr>
      </w:pPr>
      <w:r>
        <w:rPr>
          <w:rFonts w:hint="eastAsia" w:ascii="华文中宋" w:hAnsi="华文中宋" w:eastAsia="华文中宋" w:cs="宋体"/>
          <w:color w:val="auto"/>
          <w:sz w:val="72"/>
          <w:szCs w:val="72"/>
          <w:highlight w:val="none"/>
        </w:rPr>
        <w:t>招　标　文　件</w:t>
      </w:r>
    </w:p>
    <w:p w14:paraId="6B4EB47B">
      <w:pPr>
        <w:spacing w:line="720" w:lineRule="auto"/>
        <w:rPr>
          <w:rFonts w:ascii="宋体" w:hAnsi="宋体" w:cs="宋体"/>
          <w:color w:val="auto"/>
          <w:sz w:val="32"/>
          <w:szCs w:val="32"/>
          <w:highlight w:val="none"/>
        </w:rPr>
      </w:pPr>
    </w:p>
    <w:p w14:paraId="456ED403">
      <w:pPr>
        <w:pStyle w:val="15"/>
        <w:wordWrap w:val="0"/>
        <w:spacing w:line="720" w:lineRule="auto"/>
        <w:rPr>
          <w:color w:val="auto"/>
          <w:sz w:val="32"/>
          <w:highlight w:val="none"/>
        </w:rPr>
      </w:pPr>
    </w:p>
    <w:p w14:paraId="47C83E59">
      <w:pPr>
        <w:wordWrap w:val="0"/>
        <w:spacing w:line="720" w:lineRule="auto"/>
        <w:ind w:left="2520" w:leftChars="1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105001JH054</w:t>
      </w:r>
    </w:p>
    <w:p w14:paraId="680CAC34">
      <w:pPr>
        <w:pStyle w:val="15"/>
        <w:wordWrap w:val="0"/>
        <w:spacing w:line="720" w:lineRule="auto"/>
        <w:rPr>
          <w:color w:val="auto"/>
          <w:sz w:val="32"/>
          <w:szCs w:val="32"/>
          <w:highlight w:val="none"/>
        </w:rPr>
      </w:pPr>
    </w:p>
    <w:p w14:paraId="493738DB">
      <w:pPr>
        <w:wordWrap w:val="0"/>
        <w:spacing w:line="720" w:lineRule="auto"/>
        <w:ind w:left="2520" w:leftChars="1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评价评估服务</w:t>
      </w:r>
    </w:p>
    <w:p w14:paraId="668D0DF6">
      <w:pPr>
        <w:pStyle w:val="15"/>
        <w:wordWrap w:val="0"/>
        <w:spacing w:line="720" w:lineRule="auto"/>
        <w:rPr>
          <w:color w:val="auto"/>
          <w:sz w:val="32"/>
          <w:szCs w:val="32"/>
          <w:highlight w:val="none"/>
        </w:rPr>
      </w:pPr>
    </w:p>
    <w:p w14:paraId="4C5D7F7E">
      <w:pPr>
        <w:wordWrap w:val="0"/>
        <w:spacing w:line="720" w:lineRule="auto"/>
        <w:ind w:left="4120" w:leftChars="1200" w:hanging="1600" w:hangingChars="5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项目单位：</w:t>
      </w:r>
      <w:r>
        <w:rPr>
          <w:rFonts w:hint="eastAsia" w:ascii="宋体" w:hAnsi="宋体" w:cs="宋体"/>
          <w:b/>
          <w:color w:val="auto"/>
          <w:sz w:val="32"/>
          <w:szCs w:val="32"/>
          <w:highlight w:val="none"/>
          <w:lang w:eastAsia="zh-CN"/>
        </w:rPr>
        <w:t>兰州市财政局</w:t>
      </w:r>
    </w:p>
    <w:p w14:paraId="39F0D88B">
      <w:pPr>
        <w:wordWrap w:val="0"/>
        <w:spacing w:line="720" w:lineRule="auto"/>
        <w:jc w:val="left"/>
        <w:rPr>
          <w:rFonts w:ascii="宋体" w:hAnsi="宋体" w:cs="宋体"/>
          <w:color w:val="auto"/>
          <w:sz w:val="32"/>
          <w:szCs w:val="32"/>
          <w:highlight w:val="none"/>
        </w:rPr>
      </w:pPr>
    </w:p>
    <w:p w14:paraId="67B0292E">
      <w:pPr>
        <w:pStyle w:val="15"/>
        <w:wordWrap w:val="0"/>
        <w:spacing w:line="720" w:lineRule="auto"/>
        <w:rPr>
          <w:b/>
          <w:color w:val="auto"/>
          <w:sz w:val="32"/>
          <w:szCs w:val="32"/>
          <w:highlight w:val="none"/>
        </w:rPr>
      </w:pPr>
    </w:p>
    <w:p w14:paraId="6C28BDFF">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兰州市公共资源交易中心</w:t>
      </w:r>
    </w:p>
    <w:p w14:paraId="720DDC3D">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ascii="宋体" w:hAnsi="宋体" w:cs="宋体"/>
          <w:b/>
          <w:color w:val="auto"/>
          <w:sz w:val="32"/>
          <w:szCs w:val="32"/>
          <w:highlight w:val="none"/>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14:paraId="29E0F0E8">
      <w:pPr>
        <w:wordWrap w:val="0"/>
        <w:spacing w:line="360" w:lineRule="auto"/>
        <w:jc w:val="center"/>
        <w:outlineLvl w:val="0"/>
        <w:rPr>
          <w:rFonts w:ascii="华文中宋" w:hAnsi="华文中宋" w:eastAsia="华文中宋"/>
          <w:color w:val="auto"/>
          <w:sz w:val="32"/>
          <w:szCs w:val="32"/>
          <w:highlight w:val="none"/>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2"/>
      <w:bookmarkStart w:id="2" w:name="OLE_LINK1"/>
      <w:bookmarkStart w:id="3" w:name="_Toc128372729"/>
      <w:bookmarkStart w:id="4" w:name="_Toc128372051"/>
      <w:bookmarkStart w:id="5" w:name="_Toc139965325"/>
      <w:bookmarkStart w:id="6" w:name="_Toc369249049"/>
      <w:bookmarkStart w:id="7" w:name="_Toc472459257"/>
    </w:p>
    <w:sdt>
      <w:sdtPr>
        <w:rPr>
          <w:rFonts w:ascii="Times New Roman" w:hAnsi="Times New Roman"/>
          <w:b w:val="0"/>
          <w:bCs w:val="0"/>
          <w:color w:val="auto"/>
          <w:kern w:val="2"/>
          <w:sz w:val="21"/>
          <w:szCs w:val="20"/>
          <w:highlight w:val="none"/>
          <w:lang w:val="zh-CN"/>
        </w:rPr>
        <w:id w:val="818457605"/>
        <w:docPartObj>
          <w:docPartGallery w:val="Table of Contents"/>
          <w:docPartUnique/>
        </w:docPartObj>
      </w:sdtPr>
      <w:sdtEndPr>
        <w:rPr>
          <w:rFonts w:ascii="宋体" w:hAnsi="宋体"/>
          <w:b w:val="0"/>
          <w:bCs w:val="0"/>
          <w:color w:val="auto"/>
          <w:kern w:val="2"/>
          <w:sz w:val="24"/>
          <w:szCs w:val="24"/>
          <w:highlight w:val="none"/>
          <w:lang w:val="zh-CN"/>
        </w:rPr>
      </w:sdtEndPr>
      <w:sdtContent>
        <w:p w14:paraId="28330CE1">
          <w:pPr>
            <w:pStyle w:val="155"/>
            <w:widowControl w:val="0"/>
            <w:spacing w:before="0" w:after="319" w:afterLines="100" w:line="360" w:lineRule="auto"/>
            <w:jc w:val="center"/>
            <w:outlineLvl w:val="0"/>
            <w:rPr>
              <w:rFonts w:ascii="宋体" w:hAnsi="宋体"/>
              <w:b w:val="0"/>
              <w:color w:val="auto"/>
              <w:sz w:val="24"/>
              <w:szCs w:val="24"/>
              <w:highlight w:val="none"/>
              <w:lang w:val="zh-CN"/>
            </w:rPr>
          </w:pPr>
          <w:r>
            <w:rPr>
              <w:rFonts w:ascii="华文中宋" w:hAnsi="华文中宋" w:eastAsia="华文中宋"/>
              <w:b w:val="0"/>
              <w:color w:val="auto"/>
              <w:sz w:val="32"/>
              <w:highlight w:val="none"/>
              <w:lang w:val="zh-CN"/>
            </w:rPr>
            <w:t>目录</w:t>
          </w:r>
        </w:p>
        <w:p w14:paraId="4981D2D4">
          <w:pPr>
            <w:pStyle w:val="26"/>
            <w:tabs>
              <w:tab w:val="right" w:leader="dot" w:pos="8290"/>
            </w:tabs>
            <w:spacing w:line="360" w:lineRule="auto"/>
            <w:rPr>
              <w:rFonts w:ascii="宋体" w:hAnsi="宋体" w:cstheme="minorBidi"/>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TOC \o "1-3" \h \z \u </w:instrText>
          </w:r>
          <w:r>
            <w:rPr>
              <w:rFonts w:ascii="宋体" w:hAnsi="宋体"/>
              <w:bCs/>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"_Toc140237245" </w:instrText>
          </w:r>
          <w:r>
            <w:rPr>
              <w:color w:val="auto"/>
              <w:highlight w:val="none"/>
            </w:rPr>
            <w:fldChar w:fldCharType="separate"/>
          </w:r>
          <w:r>
            <w:rPr>
              <w:rStyle w:val="52"/>
              <w:rFonts w:ascii="宋体" w:hAnsi="宋体"/>
              <w:color w:val="auto"/>
              <w:sz w:val="24"/>
              <w:szCs w:val="24"/>
              <w:highlight w:val="none"/>
            </w:rPr>
            <w:t>公开招标公告</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_Toc140237245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481E69C">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"_Toc140237246" </w:instrText>
          </w:r>
          <w:r>
            <w:rPr>
              <w:color w:val="auto"/>
              <w:highlight w:val="none"/>
            </w:rPr>
            <w:fldChar w:fldCharType="separate"/>
          </w:r>
          <w:r>
            <w:rPr>
              <w:rStyle w:val="52"/>
              <w:rFonts w:ascii="宋体" w:hAnsi="宋体"/>
              <w:color w:val="auto"/>
              <w:sz w:val="24"/>
              <w:szCs w:val="24"/>
              <w:highlight w:val="none"/>
            </w:rPr>
            <w:t>投标人须知前附表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_Toc140237246 \h </w:instrText>
          </w:r>
          <w:r>
            <w:rPr>
              <w:rFonts w:ascii="宋体" w:hAnsi="宋体"/>
              <w:color w:val="auto"/>
              <w:sz w:val="24"/>
              <w:szCs w:val="24"/>
              <w:highlight w:val="none"/>
            </w:rPr>
            <w:fldChar w:fldCharType="separate"/>
          </w:r>
          <w:r>
            <w:rPr>
              <w:rFonts w:ascii="宋体" w:hAnsi="宋体"/>
              <w:color w:val="auto"/>
              <w:sz w:val="24"/>
              <w:szCs w:val="24"/>
              <w:highlight w:val="none"/>
            </w:rPr>
            <w:t>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678AF1C">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"_Toc140237247" </w:instrText>
          </w:r>
          <w:r>
            <w:rPr>
              <w:color w:val="auto"/>
              <w:highlight w:val="none"/>
            </w:rPr>
            <w:fldChar w:fldCharType="separate"/>
          </w:r>
          <w:r>
            <w:rPr>
              <w:rStyle w:val="52"/>
              <w:rFonts w:ascii="宋体" w:hAnsi="宋体"/>
              <w:color w:val="auto"/>
              <w:sz w:val="24"/>
              <w:szCs w:val="24"/>
              <w:highlight w:val="none"/>
            </w:rPr>
            <w:t>第一章　总则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_Toc140237247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EE2A71A">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"_Toc140237248" </w:instrText>
          </w:r>
          <w:r>
            <w:rPr>
              <w:color w:val="auto"/>
              <w:highlight w:val="none"/>
            </w:rPr>
            <w:fldChar w:fldCharType="separate"/>
          </w:r>
          <w:r>
            <w:rPr>
              <w:rStyle w:val="52"/>
              <w:rFonts w:ascii="宋体" w:hAnsi="宋体"/>
              <w:color w:val="auto"/>
              <w:sz w:val="24"/>
              <w:szCs w:val="24"/>
              <w:highlight w:val="none"/>
            </w:rPr>
            <w:t>1.1　适用范围</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_Toc140237248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83179CC">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"_Toc140237249" </w:instrText>
          </w:r>
          <w:r>
            <w:rPr>
              <w:color w:val="auto"/>
              <w:highlight w:val="none"/>
            </w:rPr>
            <w:fldChar w:fldCharType="separate"/>
          </w:r>
          <w:r>
            <w:rPr>
              <w:rStyle w:val="52"/>
              <w:rFonts w:ascii="宋体" w:hAnsi="宋体"/>
              <w:color w:val="auto"/>
              <w:sz w:val="24"/>
              <w:szCs w:val="24"/>
              <w:highlight w:val="none"/>
            </w:rPr>
            <w:t>1.2　有关定义</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_Toc140237249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D1A4991">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"_Toc140237250" </w:instrText>
          </w:r>
          <w:r>
            <w:rPr>
              <w:color w:val="auto"/>
              <w:highlight w:val="none"/>
            </w:rPr>
            <w:fldChar w:fldCharType="separate"/>
          </w:r>
          <w:r>
            <w:rPr>
              <w:rStyle w:val="52"/>
              <w:rFonts w:ascii="宋体" w:hAnsi="宋体"/>
              <w:color w:val="auto"/>
              <w:sz w:val="24"/>
              <w:szCs w:val="24"/>
              <w:highlight w:val="none"/>
            </w:rPr>
            <w:t>1.3　知识产权</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_Toc140237250 \h </w:instrText>
          </w:r>
          <w:r>
            <w:rPr>
              <w:rFonts w:ascii="宋体" w:hAnsi="宋体"/>
              <w:color w:val="auto"/>
              <w:sz w:val="24"/>
              <w:szCs w:val="24"/>
              <w:highlight w:val="none"/>
            </w:rPr>
            <w:fldChar w:fldCharType="separate"/>
          </w:r>
          <w:r>
            <w:rPr>
              <w:rFonts w:ascii="宋体" w:hAnsi="宋体"/>
              <w:color w:val="auto"/>
              <w:sz w:val="24"/>
              <w:szCs w:val="24"/>
              <w:highlight w:val="none"/>
            </w:rPr>
            <w:t>13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485444D">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"_Toc140237251" </w:instrText>
          </w:r>
          <w:r>
            <w:rPr>
              <w:color w:val="auto"/>
              <w:highlight w:val="none"/>
            </w:rPr>
            <w:fldChar w:fldCharType="separate"/>
          </w:r>
          <w:r>
            <w:rPr>
              <w:rStyle w:val="52"/>
              <w:rFonts w:ascii="宋体" w:hAnsi="宋体"/>
              <w:color w:val="auto"/>
              <w:sz w:val="24"/>
              <w:szCs w:val="24"/>
              <w:highlight w:val="none"/>
            </w:rPr>
            <w:t>1.4　相关法律法规</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_Toc140237251 \h </w:instrText>
          </w:r>
          <w:r>
            <w:rPr>
              <w:rFonts w:ascii="宋体" w:hAnsi="宋体"/>
              <w:color w:val="auto"/>
              <w:sz w:val="24"/>
              <w:szCs w:val="24"/>
              <w:highlight w:val="none"/>
            </w:rPr>
            <w:fldChar w:fldCharType="separate"/>
          </w:r>
          <w:r>
            <w:rPr>
              <w:rFonts w:ascii="宋体" w:hAnsi="宋体"/>
              <w:color w:val="auto"/>
              <w:sz w:val="24"/>
              <w:szCs w:val="24"/>
              <w:highlight w:val="none"/>
            </w:rPr>
            <w:t>13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79A04EE">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"_Toc140237252" </w:instrText>
          </w:r>
          <w:r>
            <w:rPr>
              <w:color w:val="auto"/>
              <w:highlight w:val="none"/>
            </w:rPr>
            <w:fldChar w:fldCharType="separate"/>
          </w:r>
          <w:r>
            <w:rPr>
              <w:rStyle w:val="52"/>
              <w:rFonts w:ascii="宋体" w:hAnsi="宋体"/>
              <w:color w:val="auto"/>
              <w:sz w:val="24"/>
              <w:szCs w:val="24"/>
              <w:highlight w:val="none"/>
            </w:rPr>
            <w:t>1.5　代理服务费</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_Toc140237252 \h </w:instrText>
          </w:r>
          <w:r>
            <w:rPr>
              <w:rFonts w:ascii="宋体" w:hAnsi="宋体"/>
              <w:color w:val="auto"/>
              <w:sz w:val="24"/>
              <w:szCs w:val="24"/>
              <w:highlight w:val="none"/>
            </w:rPr>
            <w:fldChar w:fldCharType="separate"/>
          </w:r>
          <w:r>
            <w:rPr>
              <w:rFonts w:ascii="宋体" w:hAnsi="宋体"/>
              <w:color w:val="auto"/>
              <w:sz w:val="24"/>
              <w:szCs w:val="24"/>
              <w:highlight w:val="none"/>
            </w:rPr>
            <w:t>14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ABBF8D3">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"_Toc140237253" </w:instrText>
          </w:r>
          <w:r>
            <w:rPr>
              <w:color w:val="auto"/>
              <w:highlight w:val="none"/>
            </w:rPr>
            <w:fldChar w:fldCharType="separate"/>
          </w:r>
          <w:r>
            <w:rPr>
              <w:rStyle w:val="52"/>
              <w:rFonts w:ascii="宋体" w:hAnsi="宋体"/>
              <w:color w:val="auto"/>
              <w:sz w:val="24"/>
              <w:szCs w:val="24"/>
              <w:highlight w:val="none"/>
            </w:rPr>
            <w:t>1.6　其他说明</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_Toc140237253 \h </w:instrText>
          </w:r>
          <w:r>
            <w:rPr>
              <w:rFonts w:ascii="宋体" w:hAnsi="宋体"/>
              <w:color w:val="auto"/>
              <w:sz w:val="24"/>
              <w:szCs w:val="24"/>
              <w:highlight w:val="none"/>
            </w:rPr>
            <w:fldChar w:fldCharType="separate"/>
          </w:r>
          <w:r>
            <w:rPr>
              <w:rFonts w:ascii="宋体" w:hAnsi="宋体"/>
              <w:color w:val="auto"/>
              <w:sz w:val="24"/>
              <w:szCs w:val="24"/>
              <w:highlight w:val="none"/>
            </w:rPr>
            <w:t>14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84592BC">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"_Toc140237254" </w:instrText>
          </w:r>
          <w:r>
            <w:rPr>
              <w:color w:val="auto"/>
              <w:highlight w:val="none"/>
            </w:rPr>
            <w:fldChar w:fldCharType="separate"/>
          </w:r>
          <w:r>
            <w:rPr>
              <w:rStyle w:val="52"/>
              <w:rFonts w:ascii="宋体" w:hAnsi="宋体"/>
              <w:color w:val="auto"/>
              <w:sz w:val="24"/>
              <w:szCs w:val="24"/>
              <w:highlight w:val="none"/>
            </w:rPr>
            <w:t>第二章　投标须知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_Toc140237254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01B3F91">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"_Toc140237255" </w:instrText>
          </w:r>
          <w:r>
            <w:rPr>
              <w:color w:val="auto"/>
              <w:highlight w:val="none"/>
            </w:rPr>
            <w:fldChar w:fldCharType="separate"/>
          </w:r>
          <w:r>
            <w:rPr>
              <w:rStyle w:val="52"/>
              <w:rFonts w:ascii="宋体" w:hAnsi="宋体"/>
              <w:color w:val="auto"/>
              <w:sz w:val="24"/>
              <w:szCs w:val="24"/>
              <w:highlight w:val="none"/>
            </w:rPr>
            <w:t>2.1　招标文件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_Toc140237255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0626E86">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"_Toc140237256" </w:instrText>
          </w:r>
          <w:r>
            <w:rPr>
              <w:color w:val="auto"/>
              <w:highlight w:val="none"/>
            </w:rPr>
            <w:fldChar w:fldCharType="separate"/>
          </w:r>
          <w:r>
            <w:rPr>
              <w:rStyle w:val="52"/>
              <w:rFonts w:ascii="宋体" w:hAnsi="宋体"/>
              <w:color w:val="auto"/>
              <w:sz w:val="24"/>
              <w:szCs w:val="24"/>
              <w:highlight w:val="none"/>
            </w:rPr>
            <w:t>2.1.1　综合说明</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_Toc140237256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B36E42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"_Toc140237257" </w:instrText>
          </w:r>
          <w:r>
            <w:rPr>
              <w:color w:val="auto"/>
              <w:highlight w:val="none"/>
            </w:rPr>
            <w:fldChar w:fldCharType="separate"/>
          </w:r>
          <w:r>
            <w:rPr>
              <w:rStyle w:val="52"/>
              <w:rFonts w:ascii="宋体" w:hAnsi="宋体"/>
              <w:color w:val="auto"/>
              <w:sz w:val="24"/>
              <w:szCs w:val="24"/>
              <w:highlight w:val="none"/>
            </w:rPr>
            <w:t>2.1.2　澄清或者修改</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_Toc140237257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3DB34A3">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"_Toc140237258" </w:instrText>
          </w:r>
          <w:r>
            <w:rPr>
              <w:color w:val="auto"/>
              <w:highlight w:val="none"/>
            </w:rPr>
            <w:fldChar w:fldCharType="separate"/>
          </w:r>
          <w:r>
            <w:rPr>
              <w:rStyle w:val="52"/>
              <w:rFonts w:ascii="宋体" w:hAnsi="宋体"/>
              <w:color w:val="auto"/>
              <w:sz w:val="24"/>
              <w:szCs w:val="24"/>
              <w:highlight w:val="none"/>
            </w:rPr>
            <w:t>2.1.3　现场考察或者答疑会</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_Toc140237258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B7F18EB">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"_Toc140237259" </w:instrText>
          </w:r>
          <w:r>
            <w:rPr>
              <w:color w:val="auto"/>
              <w:highlight w:val="none"/>
            </w:rPr>
            <w:fldChar w:fldCharType="separate"/>
          </w:r>
          <w:r>
            <w:rPr>
              <w:rStyle w:val="52"/>
              <w:rFonts w:ascii="宋体" w:hAnsi="宋体"/>
              <w:color w:val="auto"/>
              <w:sz w:val="24"/>
              <w:szCs w:val="24"/>
              <w:highlight w:val="none"/>
            </w:rPr>
            <w:t>2.2　投标文件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_Toc140237259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5EBE90E">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"_Toc140237260" </w:instrText>
          </w:r>
          <w:r>
            <w:rPr>
              <w:color w:val="auto"/>
              <w:highlight w:val="none"/>
            </w:rPr>
            <w:fldChar w:fldCharType="separate"/>
          </w:r>
          <w:r>
            <w:rPr>
              <w:rStyle w:val="52"/>
              <w:rFonts w:ascii="宋体" w:hAnsi="宋体"/>
              <w:color w:val="auto"/>
              <w:sz w:val="24"/>
              <w:szCs w:val="24"/>
              <w:highlight w:val="none"/>
            </w:rPr>
            <w:t>2.2.1　投标要求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_Toc140237260 \h </w:instrText>
          </w:r>
          <w:r>
            <w:rPr>
              <w:rFonts w:ascii="宋体" w:hAnsi="宋体"/>
              <w:color w:val="auto"/>
              <w:sz w:val="24"/>
              <w:szCs w:val="24"/>
              <w:highlight w:val="none"/>
            </w:rPr>
            <w:fldChar w:fldCharType="separate"/>
          </w:r>
          <w:r>
            <w:rPr>
              <w:rFonts w:ascii="宋体" w:hAnsi="宋体"/>
              <w:color w:val="auto"/>
              <w:sz w:val="24"/>
              <w:szCs w:val="24"/>
              <w:highlight w:val="none"/>
            </w:rPr>
            <w:t>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6589753">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"_Toc140237261" </w:instrText>
          </w:r>
          <w:r>
            <w:rPr>
              <w:color w:val="auto"/>
              <w:highlight w:val="none"/>
            </w:rPr>
            <w:fldChar w:fldCharType="separate"/>
          </w:r>
          <w:r>
            <w:rPr>
              <w:rStyle w:val="52"/>
              <w:rFonts w:ascii="宋体" w:hAnsi="宋体"/>
              <w:color w:val="auto"/>
              <w:sz w:val="24"/>
              <w:szCs w:val="24"/>
              <w:highlight w:val="none"/>
            </w:rPr>
            <w:t>2.2.2　投标报价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_Toc140237261 \h </w:instrText>
          </w:r>
          <w:r>
            <w:rPr>
              <w:rFonts w:ascii="宋体" w:hAnsi="宋体"/>
              <w:color w:val="auto"/>
              <w:sz w:val="24"/>
              <w:szCs w:val="24"/>
              <w:highlight w:val="none"/>
            </w:rPr>
            <w:fldChar w:fldCharType="separate"/>
          </w:r>
          <w:r>
            <w:rPr>
              <w:rFonts w:ascii="宋体" w:hAnsi="宋体"/>
              <w:color w:val="auto"/>
              <w:sz w:val="24"/>
              <w:szCs w:val="24"/>
              <w:highlight w:val="none"/>
            </w:rPr>
            <w:t>16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FB231CE">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"_Toc140237262" </w:instrText>
          </w:r>
          <w:r>
            <w:rPr>
              <w:color w:val="auto"/>
              <w:highlight w:val="none"/>
            </w:rPr>
            <w:fldChar w:fldCharType="separate"/>
          </w:r>
          <w:r>
            <w:rPr>
              <w:rStyle w:val="52"/>
              <w:rFonts w:ascii="宋体" w:hAnsi="宋体"/>
              <w:color w:val="auto"/>
              <w:sz w:val="24"/>
              <w:szCs w:val="24"/>
              <w:highlight w:val="none"/>
            </w:rPr>
            <w:t>2.2.3　投标有效期</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_Toc140237262 \h </w:instrText>
          </w:r>
          <w:r>
            <w:rPr>
              <w:rFonts w:ascii="宋体" w:hAnsi="宋体"/>
              <w:color w:val="auto"/>
              <w:sz w:val="24"/>
              <w:szCs w:val="24"/>
              <w:highlight w:val="none"/>
            </w:rPr>
            <w:fldChar w:fldCharType="separate"/>
          </w:r>
          <w:r>
            <w:rPr>
              <w:rFonts w:ascii="宋体" w:hAnsi="宋体"/>
              <w:color w:val="auto"/>
              <w:sz w:val="24"/>
              <w:szCs w:val="24"/>
              <w:highlight w:val="none"/>
            </w:rPr>
            <w:t>16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22D7FD5">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"_Toc140237263" </w:instrText>
          </w:r>
          <w:r>
            <w:rPr>
              <w:color w:val="auto"/>
              <w:highlight w:val="none"/>
            </w:rPr>
            <w:fldChar w:fldCharType="separate"/>
          </w:r>
          <w:r>
            <w:rPr>
              <w:rStyle w:val="52"/>
              <w:rFonts w:ascii="宋体" w:hAnsi="宋体"/>
              <w:color w:val="auto"/>
              <w:sz w:val="24"/>
              <w:szCs w:val="24"/>
              <w:highlight w:val="none"/>
            </w:rPr>
            <w:t>2.2.4　投标保证金</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_Toc140237263 \h </w:instrText>
          </w:r>
          <w:r>
            <w:rPr>
              <w:rFonts w:ascii="宋体" w:hAnsi="宋体"/>
              <w:color w:val="auto"/>
              <w:sz w:val="24"/>
              <w:szCs w:val="24"/>
              <w:highlight w:val="none"/>
            </w:rPr>
            <w:fldChar w:fldCharType="separate"/>
          </w:r>
          <w:r>
            <w:rPr>
              <w:rFonts w:ascii="宋体" w:hAnsi="宋体"/>
              <w:color w:val="auto"/>
              <w:sz w:val="24"/>
              <w:szCs w:val="24"/>
              <w:highlight w:val="none"/>
            </w:rPr>
            <w:t>16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68DD99B">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"_Toc140237264" </w:instrText>
          </w:r>
          <w:r>
            <w:rPr>
              <w:color w:val="auto"/>
              <w:highlight w:val="none"/>
            </w:rPr>
            <w:fldChar w:fldCharType="separate"/>
          </w:r>
          <w:r>
            <w:rPr>
              <w:rStyle w:val="52"/>
              <w:rFonts w:ascii="宋体" w:hAnsi="宋体"/>
              <w:color w:val="auto"/>
              <w:sz w:val="24"/>
              <w:szCs w:val="24"/>
              <w:highlight w:val="none"/>
            </w:rPr>
            <w:t>2.2.5　投标资格</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_Toc140237264 \h </w:instrText>
          </w:r>
          <w:r>
            <w:rPr>
              <w:rFonts w:ascii="宋体" w:hAnsi="宋体"/>
              <w:color w:val="auto"/>
              <w:sz w:val="24"/>
              <w:szCs w:val="24"/>
              <w:highlight w:val="none"/>
            </w:rPr>
            <w:fldChar w:fldCharType="separate"/>
          </w:r>
          <w:r>
            <w:rPr>
              <w:rFonts w:ascii="宋体" w:hAnsi="宋体"/>
              <w:color w:val="auto"/>
              <w:sz w:val="24"/>
              <w:szCs w:val="24"/>
              <w:highlight w:val="none"/>
            </w:rPr>
            <w:t>16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AE1F73C">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"_Toc140237265" </w:instrText>
          </w:r>
          <w:r>
            <w:rPr>
              <w:color w:val="auto"/>
              <w:highlight w:val="none"/>
            </w:rPr>
            <w:fldChar w:fldCharType="separate"/>
          </w:r>
          <w:r>
            <w:rPr>
              <w:rStyle w:val="52"/>
              <w:rFonts w:ascii="宋体" w:hAnsi="宋体"/>
              <w:color w:val="auto"/>
              <w:sz w:val="24"/>
              <w:szCs w:val="24"/>
              <w:highlight w:val="none"/>
            </w:rPr>
            <w:t>2.3　投标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_Toc140237265 \h </w:instrText>
          </w:r>
          <w:r>
            <w:rPr>
              <w:rFonts w:ascii="宋体" w:hAnsi="宋体"/>
              <w:color w:val="auto"/>
              <w:sz w:val="24"/>
              <w:szCs w:val="24"/>
              <w:highlight w:val="none"/>
            </w:rPr>
            <w:fldChar w:fldCharType="separate"/>
          </w:r>
          <w:r>
            <w:rPr>
              <w:rFonts w:ascii="宋体" w:hAnsi="宋体"/>
              <w:color w:val="auto"/>
              <w:sz w:val="24"/>
              <w:szCs w:val="24"/>
              <w:highlight w:val="none"/>
            </w:rPr>
            <w:t>18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9D6903E">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"_Toc140237266" </w:instrText>
          </w:r>
          <w:r>
            <w:rPr>
              <w:color w:val="auto"/>
              <w:highlight w:val="none"/>
            </w:rPr>
            <w:fldChar w:fldCharType="separate"/>
          </w:r>
          <w:r>
            <w:rPr>
              <w:rStyle w:val="52"/>
              <w:rFonts w:ascii="宋体" w:hAnsi="宋体"/>
              <w:color w:val="auto"/>
              <w:sz w:val="24"/>
              <w:szCs w:val="24"/>
              <w:highlight w:val="none"/>
            </w:rPr>
            <w:t>2.3.1　投标人要求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_Toc140237266 \h </w:instrText>
          </w:r>
          <w:r>
            <w:rPr>
              <w:rFonts w:ascii="宋体" w:hAnsi="宋体"/>
              <w:color w:val="auto"/>
              <w:sz w:val="24"/>
              <w:szCs w:val="24"/>
              <w:highlight w:val="none"/>
            </w:rPr>
            <w:fldChar w:fldCharType="separate"/>
          </w:r>
          <w:r>
            <w:rPr>
              <w:rFonts w:ascii="宋体" w:hAnsi="宋体"/>
              <w:color w:val="auto"/>
              <w:sz w:val="24"/>
              <w:szCs w:val="24"/>
              <w:highlight w:val="none"/>
            </w:rPr>
            <w:t>18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7684D0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"_Toc140237267" </w:instrText>
          </w:r>
          <w:r>
            <w:rPr>
              <w:color w:val="auto"/>
              <w:highlight w:val="none"/>
            </w:rPr>
            <w:fldChar w:fldCharType="separate"/>
          </w:r>
          <w:r>
            <w:rPr>
              <w:rStyle w:val="52"/>
              <w:rFonts w:ascii="宋体" w:hAnsi="宋体"/>
              <w:color w:val="auto"/>
              <w:sz w:val="24"/>
              <w:szCs w:val="24"/>
              <w:highlight w:val="none"/>
            </w:rPr>
            <w:t>2.3.2　投标注意事项</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_Toc140237267 \h </w:instrText>
          </w:r>
          <w:r>
            <w:rPr>
              <w:rFonts w:ascii="宋体" w:hAnsi="宋体"/>
              <w:color w:val="auto"/>
              <w:sz w:val="24"/>
              <w:szCs w:val="24"/>
              <w:highlight w:val="none"/>
            </w:rPr>
            <w:fldChar w:fldCharType="separate"/>
          </w:r>
          <w:r>
            <w:rPr>
              <w:rFonts w:ascii="宋体" w:hAnsi="宋体"/>
              <w:color w:val="auto"/>
              <w:sz w:val="24"/>
              <w:szCs w:val="24"/>
              <w:highlight w:val="none"/>
            </w:rPr>
            <w:t>19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75FC95A">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"_Toc140237268" </w:instrText>
          </w:r>
          <w:r>
            <w:rPr>
              <w:color w:val="auto"/>
              <w:highlight w:val="none"/>
            </w:rPr>
            <w:fldChar w:fldCharType="separate"/>
          </w:r>
          <w:r>
            <w:rPr>
              <w:rStyle w:val="52"/>
              <w:rFonts w:ascii="宋体" w:hAnsi="宋体"/>
              <w:color w:val="auto"/>
              <w:sz w:val="24"/>
              <w:szCs w:val="24"/>
              <w:highlight w:val="none"/>
            </w:rPr>
            <w:t>2.3.3　投标文件制作工具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_Toc140237268 \h </w:instrText>
          </w:r>
          <w:r>
            <w:rPr>
              <w:rFonts w:ascii="宋体" w:hAnsi="宋体"/>
              <w:color w:val="auto"/>
              <w:sz w:val="24"/>
              <w:szCs w:val="24"/>
              <w:highlight w:val="none"/>
            </w:rPr>
            <w:fldChar w:fldCharType="separate"/>
          </w:r>
          <w:r>
            <w:rPr>
              <w:rFonts w:ascii="宋体" w:hAnsi="宋体"/>
              <w:color w:val="auto"/>
              <w:sz w:val="24"/>
              <w:szCs w:val="24"/>
              <w:highlight w:val="none"/>
            </w:rPr>
            <w:t>19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0BC6A4C">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"_Toc140237269" </w:instrText>
          </w:r>
          <w:r>
            <w:rPr>
              <w:color w:val="auto"/>
              <w:highlight w:val="none"/>
            </w:rPr>
            <w:fldChar w:fldCharType="separate"/>
          </w:r>
          <w:r>
            <w:rPr>
              <w:rStyle w:val="52"/>
              <w:rFonts w:ascii="宋体" w:hAnsi="宋体"/>
              <w:color w:val="auto"/>
              <w:sz w:val="24"/>
              <w:szCs w:val="24"/>
              <w:highlight w:val="none"/>
            </w:rPr>
            <w:t>2.3.4　制作投标文件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_Toc140237269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746AEF8">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"_Toc140237270" </w:instrText>
          </w:r>
          <w:r>
            <w:rPr>
              <w:color w:val="auto"/>
              <w:highlight w:val="none"/>
            </w:rPr>
            <w:fldChar w:fldCharType="separate"/>
          </w:r>
          <w:r>
            <w:rPr>
              <w:rStyle w:val="52"/>
              <w:rFonts w:ascii="宋体" w:hAnsi="宋体"/>
              <w:color w:val="auto"/>
              <w:sz w:val="24"/>
              <w:szCs w:val="24"/>
              <w:highlight w:val="none"/>
            </w:rPr>
            <w:t>2.3.5　加密投标文件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_Toc140237270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DB30CE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"_Toc140237271" </w:instrText>
          </w:r>
          <w:r>
            <w:rPr>
              <w:color w:val="auto"/>
              <w:highlight w:val="none"/>
            </w:rPr>
            <w:fldChar w:fldCharType="separate"/>
          </w:r>
          <w:r>
            <w:rPr>
              <w:rStyle w:val="52"/>
              <w:rFonts w:ascii="宋体" w:hAnsi="宋体"/>
              <w:color w:val="auto"/>
              <w:sz w:val="24"/>
              <w:szCs w:val="24"/>
              <w:highlight w:val="none"/>
            </w:rPr>
            <w:t>2.3.6　提交投标文件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_Toc140237271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902C53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"_Toc140237272" </w:instrText>
          </w:r>
          <w:r>
            <w:rPr>
              <w:color w:val="auto"/>
              <w:highlight w:val="none"/>
            </w:rPr>
            <w:fldChar w:fldCharType="separate"/>
          </w:r>
          <w:r>
            <w:rPr>
              <w:rStyle w:val="52"/>
              <w:rFonts w:ascii="宋体" w:hAnsi="宋体"/>
              <w:color w:val="auto"/>
              <w:sz w:val="24"/>
              <w:szCs w:val="24"/>
              <w:highlight w:val="none"/>
            </w:rPr>
            <w:t>2.3.7　投标文件修改或者撤回</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_Toc140237272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A54E43C">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"_Toc140237273" </w:instrText>
          </w:r>
          <w:r>
            <w:rPr>
              <w:color w:val="auto"/>
              <w:highlight w:val="none"/>
            </w:rPr>
            <w:fldChar w:fldCharType="separate"/>
          </w:r>
          <w:r>
            <w:rPr>
              <w:rStyle w:val="52"/>
              <w:rFonts w:ascii="宋体" w:hAnsi="宋体"/>
              <w:color w:val="auto"/>
              <w:sz w:val="24"/>
              <w:szCs w:val="24"/>
              <w:highlight w:val="none"/>
            </w:rPr>
            <w:t>2.3.8　投标截止时间</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_Toc140237273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5C4CB68">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"_Toc140237274" </w:instrText>
          </w:r>
          <w:r>
            <w:rPr>
              <w:color w:val="auto"/>
              <w:highlight w:val="none"/>
            </w:rPr>
            <w:fldChar w:fldCharType="separate"/>
          </w:r>
          <w:r>
            <w:rPr>
              <w:rStyle w:val="52"/>
              <w:rFonts w:ascii="宋体" w:hAnsi="宋体"/>
              <w:color w:val="auto"/>
              <w:sz w:val="24"/>
              <w:szCs w:val="24"/>
              <w:highlight w:val="none"/>
            </w:rPr>
            <w:t>2.3.9　投标无效的情形</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_Toc140237274 \h </w:instrText>
          </w:r>
          <w:r>
            <w:rPr>
              <w:rFonts w:ascii="宋体" w:hAnsi="宋体"/>
              <w:color w:val="auto"/>
              <w:sz w:val="24"/>
              <w:szCs w:val="24"/>
              <w:highlight w:val="none"/>
            </w:rPr>
            <w:fldChar w:fldCharType="separate"/>
          </w:r>
          <w:r>
            <w:rPr>
              <w:rFonts w:ascii="宋体" w:hAnsi="宋体"/>
              <w:color w:val="auto"/>
              <w:sz w:val="24"/>
              <w:szCs w:val="24"/>
              <w:highlight w:val="none"/>
            </w:rPr>
            <w:t>20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9BC270D">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"_Toc140237275" </w:instrText>
          </w:r>
          <w:r>
            <w:rPr>
              <w:color w:val="auto"/>
              <w:highlight w:val="none"/>
            </w:rPr>
            <w:fldChar w:fldCharType="separate"/>
          </w:r>
          <w:r>
            <w:rPr>
              <w:rStyle w:val="52"/>
              <w:rFonts w:ascii="宋体" w:hAnsi="宋体"/>
              <w:color w:val="auto"/>
              <w:sz w:val="24"/>
              <w:szCs w:val="24"/>
              <w:highlight w:val="none"/>
            </w:rPr>
            <w:t>2.4　开标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_Toc140237275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233087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"_Toc140237276" </w:instrText>
          </w:r>
          <w:r>
            <w:rPr>
              <w:color w:val="auto"/>
              <w:highlight w:val="none"/>
            </w:rPr>
            <w:fldChar w:fldCharType="separate"/>
          </w:r>
          <w:r>
            <w:rPr>
              <w:rStyle w:val="52"/>
              <w:rFonts w:ascii="宋体" w:hAnsi="宋体"/>
              <w:color w:val="auto"/>
              <w:sz w:val="24"/>
              <w:szCs w:val="24"/>
              <w:highlight w:val="none"/>
            </w:rPr>
            <w:t>2.4.1　开标工具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_Toc140237276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AD9C3D5">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"_Toc140237277" </w:instrText>
          </w:r>
          <w:r>
            <w:rPr>
              <w:color w:val="auto"/>
              <w:highlight w:val="none"/>
            </w:rPr>
            <w:fldChar w:fldCharType="separate"/>
          </w:r>
          <w:r>
            <w:rPr>
              <w:rStyle w:val="52"/>
              <w:rFonts w:ascii="宋体" w:hAnsi="宋体"/>
              <w:color w:val="auto"/>
              <w:sz w:val="24"/>
              <w:szCs w:val="24"/>
              <w:highlight w:val="none"/>
            </w:rPr>
            <w:t>2.4.2　开标要求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_Toc140237277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F3A981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"_Toc140237278" </w:instrText>
          </w:r>
          <w:r>
            <w:rPr>
              <w:color w:val="auto"/>
              <w:highlight w:val="none"/>
            </w:rPr>
            <w:fldChar w:fldCharType="separate"/>
          </w:r>
          <w:r>
            <w:rPr>
              <w:rStyle w:val="52"/>
              <w:rFonts w:ascii="宋体" w:hAnsi="宋体"/>
              <w:color w:val="auto"/>
              <w:sz w:val="24"/>
              <w:szCs w:val="24"/>
              <w:highlight w:val="none"/>
            </w:rPr>
            <w:t>2.4.3　开标程序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_Toc140237278 \h </w:instrText>
          </w:r>
          <w:r>
            <w:rPr>
              <w:rFonts w:ascii="宋体" w:hAnsi="宋体"/>
              <w:color w:val="auto"/>
              <w:sz w:val="24"/>
              <w:szCs w:val="24"/>
              <w:highlight w:val="none"/>
            </w:rPr>
            <w:fldChar w:fldCharType="separate"/>
          </w:r>
          <w:r>
            <w:rPr>
              <w:rFonts w:ascii="宋体" w:hAnsi="宋体"/>
              <w:color w:val="auto"/>
              <w:sz w:val="24"/>
              <w:szCs w:val="24"/>
              <w:highlight w:val="none"/>
            </w:rPr>
            <w:t>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5E9C922">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"_Toc140237279" </w:instrText>
          </w:r>
          <w:r>
            <w:rPr>
              <w:color w:val="auto"/>
              <w:highlight w:val="none"/>
            </w:rPr>
            <w:fldChar w:fldCharType="separate"/>
          </w:r>
          <w:r>
            <w:rPr>
              <w:rStyle w:val="52"/>
              <w:rFonts w:ascii="宋体" w:hAnsi="宋体"/>
              <w:color w:val="auto"/>
              <w:sz w:val="24"/>
              <w:szCs w:val="24"/>
              <w:highlight w:val="none"/>
            </w:rPr>
            <w:t>2.5　资格审查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_Toc140237279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4D5CCDB">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"_Toc140237280" </w:instrText>
          </w:r>
          <w:r>
            <w:rPr>
              <w:color w:val="auto"/>
              <w:highlight w:val="none"/>
            </w:rPr>
            <w:fldChar w:fldCharType="separate"/>
          </w:r>
          <w:r>
            <w:rPr>
              <w:rStyle w:val="52"/>
              <w:rFonts w:ascii="宋体" w:hAnsi="宋体"/>
              <w:color w:val="auto"/>
              <w:sz w:val="24"/>
              <w:szCs w:val="24"/>
              <w:highlight w:val="none"/>
            </w:rPr>
            <w:t>2.6　评标委员会</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_Toc140237280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920CD8A">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"_Toc140237281" </w:instrText>
          </w:r>
          <w:r>
            <w:rPr>
              <w:color w:val="auto"/>
              <w:highlight w:val="none"/>
            </w:rPr>
            <w:fldChar w:fldCharType="separate"/>
          </w:r>
          <w:r>
            <w:rPr>
              <w:rStyle w:val="52"/>
              <w:rFonts w:ascii="宋体" w:hAnsi="宋体"/>
              <w:color w:val="auto"/>
              <w:sz w:val="24"/>
              <w:szCs w:val="24"/>
              <w:highlight w:val="none"/>
            </w:rPr>
            <w:t>2.6.1　评标委员会的组成</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_Toc140237281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A7A1B1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"_Toc140237282" </w:instrText>
          </w:r>
          <w:r>
            <w:rPr>
              <w:color w:val="auto"/>
              <w:highlight w:val="none"/>
            </w:rPr>
            <w:fldChar w:fldCharType="separate"/>
          </w:r>
          <w:r>
            <w:rPr>
              <w:rStyle w:val="52"/>
              <w:rFonts w:ascii="宋体" w:hAnsi="宋体"/>
              <w:color w:val="auto"/>
              <w:sz w:val="24"/>
              <w:szCs w:val="24"/>
              <w:highlight w:val="none"/>
            </w:rPr>
            <w:t>2.6.2　评标委员会的职责</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_Toc140237282 \h </w:instrText>
          </w:r>
          <w:r>
            <w:rPr>
              <w:rFonts w:ascii="宋体" w:hAnsi="宋体"/>
              <w:color w:val="auto"/>
              <w:sz w:val="24"/>
              <w:szCs w:val="24"/>
              <w:highlight w:val="none"/>
            </w:rPr>
            <w:fldChar w:fldCharType="separate"/>
          </w:r>
          <w:r>
            <w:rPr>
              <w:rFonts w:ascii="宋体" w:hAnsi="宋体"/>
              <w:color w:val="auto"/>
              <w:sz w:val="24"/>
              <w:szCs w:val="24"/>
              <w:highlight w:val="none"/>
            </w:rPr>
            <w:t>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96F54F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"_Toc140237283" </w:instrText>
          </w:r>
          <w:r>
            <w:rPr>
              <w:color w:val="auto"/>
              <w:highlight w:val="none"/>
            </w:rPr>
            <w:fldChar w:fldCharType="separate"/>
          </w:r>
          <w:r>
            <w:rPr>
              <w:rStyle w:val="52"/>
              <w:rFonts w:ascii="宋体" w:hAnsi="宋体"/>
              <w:color w:val="auto"/>
              <w:sz w:val="24"/>
              <w:szCs w:val="24"/>
              <w:highlight w:val="none"/>
            </w:rPr>
            <w:t>2.6.3　评标委员会的义务</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_Toc140237283 \h </w:instrText>
          </w:r>
          <w:r>
            <w:rPr>
              <w:rFonts w:ascii="宋体" w:hAnsi="宋体"/>
              <w:color w:val="auto"/>
              <w:sz w:val="24"/>
              <w:szCs w:val="24"/>
              <w:highlight w:val="none"/>
            </w:rPr>
            <w:fldChar w:fldCharType="separate"/>
          </w:r>
          <w:r>
            <w:rPr>
              <w:rFonts w:ascii="宋体" w:hAnsi="宋体"/>
              <w:color w:val="auto"/>
              <w:sz w:val="24"/>
              <w:szCs w:val="24"/>
              <w:highlight w:val="none"/>
            </w:rPr>
            <w:t>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F1C8138">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"_Toc140237284" </w:instrText>
          </w:r>
          <w:r>
            <w:rPr>
              <w:color w:val="auto"/>
              <w:highlight w:val="none"/>
            </w:rPr>
            <w:fldChar w:fldCharType="separate"/>
          </w:r>
          <w:r>
            <w:rPr>
              <w:rStyle w:val="52"/>
              <w:rFonts w:ascii="宋体" w:hAnsi="宋体"/>
              <w:color w:val="auto"/>
              <w:sz w:val="24"/>
              <w:szCs w:val="24"/>
              <w:highlight w:val="none"/>
            </w:rPr>
            <w:t>2.7　评标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_Toc140237284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3961F3A">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"_Toc140237285" </w:instrText>
          </w:r>
          <w:r>
            <w:rPr>
              <w:color w:val="auto"/>
              <w:highlight w:val="none"/>
            </w:rPr>
            <w:fldChar w:fldCharType="separate"/>
          </w:r>
          <w:r>
            <w:rPr>
              <w:rStyle w:val="52"/>
              <w:rFonts w:ascii="宋体" w:hAnsi="宋体"/>
              <w:color w:val="auto"/>
              <w:sz w:val="24"/>
              <w:szCs w:val="24"/>
              <w:highlight w:val="none"/>
            </w:rPr>
            <w:t>2.7.1　评标工具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_Toc140237285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138E4C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"_Toc140237286" </w:instrText>
          </w:r>
          <w:r>
            <w:rPr>
              <w:color w:val="auto"/>
              <w:highlight w:val="none"/>
            </w:rPr>
            <w:fldChar w:fldCharType="separate"/>
          </w:r>
          <w:r>
            <w:rPr>
              <w:rStyle w:val="52"/>
              <w:rFonts w:ascii="宋体" w:hAnsi="宋体"/>
              <w:color w:val="auto"/>
              <w:sz w:val="24"/>
              <w:szCs w:val="24"/>
              <w:highlight w:val="none"/>
            </w:rPr>
            <w:t>2.7.2　符合性审查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_Toc140237286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EACEDD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"_Toc140237287" </w:instrText>
          </w:r>
          <w:r>
            <w:rPr>
              <w:color w:val="auto"/>
              <w:highlight w:val="none"/>
            </w:rPr>
            <w:fldChar w:fldCharType="separate"/>
          </w:r>
          <w:r>
            <w:rPr>
              <w:rStyle w:val="52"/>
              <w:rFonts w:ascii="宋体" w:hAnsi="宋体"/>
              <w:color w:val="auto"/>
              <w:sz w:val="24"/>
              <w:szCs w:val="24"/>
              <w:highlight w:val="none"/>
            </w:rPr>
            <w:t>2.7.3　澄清、说明或者补正</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_Toc140237287 \h </w:instrText>
          </w:r>
          <w:r>
            <w:rPr>
              <w:rFonts w:ascii="宋体" w:hAnsi="宋体"/>
              <w:color w:val="auto"/>
              <w:sz w:val="24"/>
              <w:szCs w:val="24"/>
              <w:highlight w:val="none"/>
            </w:rPr>
            <w:fldChar w:fldCharType="separate"/>
          </w:r>
          <w:r>
            <w:rPr>
              <w:rFonts w:ascii="宋体" w:hAnsi="宋体"/>
              <w:color w:val="auto"/>
              <w:sz w:val="24"/>
              <w:szCs w:val="24"/>
              <w:highlight w:val="none"/>
            </w:rPr>
            <w:t>24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B2E667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"_Toc140237288" </w:instrText>
          </w:r>
          <w:r>
            <w:rPr>
              <w:color w:val="auto"/>
              <w:highlight w:val="none"/>
            </w:rPr>
            <w:fldChar w:fldCharType="separate"/>
          </w:r>
          <w:r>
            <w:rPr>
              <w:rStyle w:val="52"/>
              <w:rFonts w:ascii="宋体" w:hAnsi="宋体"/>
              <w:color w:val="auto"/>
              <w:sz w:val="24"/>
              <w:szCs w:val="24"/>
              <w:highlight w:val="none"/>
            </w:rPr>
            <w:t>2.7.4　演示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_Toc140237288 \h </w:instrText>
          </w:r>
          <w:r>
            <w:rPr>
              <w:rFonts w:ascii="宋体" w:hAnsi="宋体"/>
              <w:color w:val="auto"/>
              <w:sz w:val="24"/>
              <w:szCs w:val="24"/>
              <w:highlight w:val="none"/>
            </w:rPr>
            <w:fldChar w:fldCharType="separate"/>
          </w:r>
          <w:r>
            <w:rPr>
              <w:rFonts w:ascii="宋体" w:hAnsi="宋体"/>
              <w:color w:val="auto"/>
              <w:sz w:val="24"/>
              <w:szCs w:val="24"/>
              <w:highlight w:val="none"/>
            </w:rPr>
            <w:t>25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E1DD6F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"_Toc140237289" </w:instrText>
          </w:r>
          <w:r>
            <w:rPr>
              <w:color w:val="auto"/>
              <w:highlight w:val="none"/>
            </w:rPr>
            <w:fldChar w:fldCharType="separate"/>
          </w:r>
          <w:r>
            <w:rPr>
              <w:rStyle w:val="52"/>
              <w:rFonts w:ascii="宋体" w:hAnsi="宋体"/>
              <w:color w:val="auto"/>
              <w:sz w:val="24"/>
              <w:szCs w:val="24"/>
              <w:highlight w:val="none"/>
            </w:rPr>
            <w:t>2.7.5　评标方法</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_Toc140237289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9CDC076">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"_Toc140237290" </w:instrText>
          </w:r>
          <w:r>
            <w:rPr>
              <w:color w:val="auto"/>
              <w:highlight w:val="none"/>
            </w:rPr>
            <w:fldChar w:fldCharType="separate"/>
          </w:r>
          <w:r>
            <w:rPr>
              <w:rStyle w:val="52"/>
              <w:rFonts w:ascii="宋体" w:hAnsi="宋体"/>
              <w:color w:val="auto"/>
              <w:sz w:val="24"/>
              <w:szCs w:val="24"/>
              <w:highlight w:val="none"/>
            </w:rPr>
            <w:t>2.8　评标结果</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_Toc140237290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55D682D">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"_Toc140237291" </w:instrText>
          </w:r>
          <w:r>
            <w:rPr>
              <w:color w:val="auto"/>
              <w:highlight w:val="none"/>
            </w:rPr>
            <w:fldChar w:fldCharType="separate"/>
          </w:r>
          <w:r>
            <w:rPr>
              <w:rStyle w:val="52"/>
              <w:rFonts w:ascii="宋体" w:hAnsi="宋体"/>
              <w:color w:val="auto"/>
              <w:sz w:val="24"/>
              <w:szCs w:val="24"/>
              <w:highlight w:val="none"/>
            </w:rPr>
            <w:t>2.8.1　中标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_Toc140237291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B72632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"_Toc140237292" </w:instrText>
          </w:r>
          <w:r>
            <w:rPr>
              <w:color w:val="auto"/>
              <w:highlight w:val="none"/>
            </w:rPr>
            <w:fldChar w:fldCharType="separate"/>
          </w:r>
          <w:r>
            <w:rPr>
              <w:rStyle w:val="52"/>
              <w:rFonts w:ascii="宋体" w:hAnsi="宋体"/>
              <w:color w:val="auto"/>
              <w:sz w:val="24"/>
              <w:szCs w:val="24"/>
              <w:highlight w:val="none"/>
            </w:rPr>
            <w:t>2.8.2　废标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_Toc140237292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E53DDE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"_Toc140237293" </w:instrText>
          </w:r>
          <w:r>
            <w:rPr>
              <w:color w:val="auto"/>
              <w:highlight w:val="none"/>
            </w:rPr>
            <w:fldChar w:fldCharType="separate"/>
          </w:r>
          <w:r>
            <w:rPr>
              <w:rStyle w:val="52"/>
              <w:rFonts w:ascii="宋体" w:hAnsi="宋体"/>
              <w:color w:val="auto"/>
              <w:sz w:val="24"/>
              <w:szCs w:val="24"/>
              <w:highlight w:val="none"/>
            </w:rPr>
            <w:t>2.8.3　中标通知书</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_Toc140237293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2760E2F">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"_Toc140237294" </w:instrText>
          </w:r>
          <w:r>
            <w:rPr>
              <w:color w:val="auto"/>
              <w:highlight w:val="none"/>
            </w:rPr>
            <w:fldChar w:fldCharType="separate"/>
          </w:r>
          <w:r>
            <w:rPr>
              <w:rStyle w:val="52"/>
              <w:rFonts w:ascii="宋体" w:hAnsi="宋体"/>
              <w:color w:val="auto"/>
              <w:sz w:val="24"/>
              <w:szCs w:val="24"/>
              <w:highlight w:val="none"/>
            </w:rPr>
            <w:t>2.9　合同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_Toc140237294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60B24B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"_Toc140237295" </w:instrText>
          </w:r>
          <w:r>
            <w:rPr>
              <w:color w:val="auto"/>
              <w:highlight w:val="none"/>
            </w:rPr>
            <w:fldChar w:fldCharType="separate"/>
          </w:r>
          <w:r>
            <w:rPr>
              <w:rStyle w:val="52"/>
              <w:rFonts w:ascii="宋体" w:hAnsi="宋体"/>
              <w:color w:val="auto"/>
              <w:sz w:val="24"/>
              <w:szCs w:val="24"/>
              <w:highlight w:val="none"/>
            </w:rPr>
            <w:t>2.9.1　合同签署</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_Toc140237295 \h </w:instrText>
          </w:r>
          <w:r>
            <w:rPr>
              <w:rFonts w:ascii="宋体" w:hAnsi="宋体"/>
              <w:color w:val="auto"/>
              <w:sz w:val="24"/>
              <w:szCs w:val="24"/>
              <w:highlight w:val="none"/>
            </w:rPr>
            <w:fldChar w:fldCharType="separate"/>
          </w:r>
          <w:r>
            <w:rPr>
              <w:rFonts w:ascii="宋体" w:hAnsi="宋体"/>
              <w:color w:val="auto"/>
              <w:sz w:val="24"/>
              <w:szCs w:val="24"/>
              <w:highlight w:val="none"/>
            </w:rPr>
            <w:t>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48CAC9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"_Toc140237296" </w:instrText>
          </w:r>
          <w:r>
            <w:rPr>
              <w:color w:val="auto"/>
              <w:highlight w:val="none"/>
            </w:rPr>
            <w:fldChar w:fldCharType="separate"/>
          </w:r>
          <w:r>
            <w:rPr>
              <w:rStyle w:val="52"/>
              <w:rFonts w:ascii="宋体" w:hAnsi="宋体"/>
              <w:color w:val="auto"/>
              <w:sz w:val="24"/>
              <w:szCs w:val="24"/>
              <w:highlight w:val="none"/>
            </w:rPr>
            <w:t>2.9.2　合同履行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_Toc140237296 \h </w:instrText>
          </w:r>
          <w:r>
            <w:rPr>
              <w:rFonts w:ascii="宋体" w:hAnsi="宋体"/>
              <w:color w:val="auto"/>
              <w:sz w:val="24"/>
              <w:szCs w:val="24"/>
              <w:highlight w:val="none"/>
            </w:rPr>
            <w:fldChar w:fldCharType="separate"/>
          </w:r>
          <w:r>
            <w:rPr>
              <w:rFonts w:ascii="宋体" w:hAnsi="宋体"/>
              <w:color w:val="auto"/>
              <w:sz w:val="24"/>
              <w:szCs w:val="24"/>
              <w:highlight w:val="none"/>
            </w:rPr>
            <w:t>28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3C5FF7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"_Toc140237297" </w:instrText>
          </w:r>
          <w:r>
            <w:rPr>
              <w:color w:val="auto"/>
              <w:highlight w:val="none"/>
            </w:rPr>
            <w:fldChar w:fldCharType="separate"/>
          </w:r>
          <w:r>
            <w:rPr>
              <w:rStyle w:val="52"/>
              <w:rFonts w:ascii="宋体" w:hAnsi="宋体"/>
              <w:color w:val="auto"/>
              <w:sz w:val="24"/>
              <w:szCs w:val="24"/>
              <w:highlight w:val="none"/>
            </w:rPr>
            <w:t>2.9.3　履约保证金</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_Toc140237297 \h </w:instrText>
          </w:r>
          <w:r>
            <w:rPr>
              <w:rFonts w:ascii="宋体" w:hAnsi="宋体"/>
              <w:color w:val="auto"/>
              <w:sz w:val="24"/>
              <w:szCs w:val="24"/>
              <w:highlight w:val="none"/>
            </w:rPr>
            <w:fldChar w:fldCharType="separate"/>
          </w:r>
          <w:r>
            <w:rPr>
              <w:rFonts w:ascii="宋体" w:hAnsi="宋体"/>
              <w:color w:val="auto"/>
              <w:sz w:val="24"/>
              <w:szCs w:val="24"/>
              <w:highlight w:val="none"/>
            </w:rPr>
            <w:t>28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DE62D3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"_Toc140237298" </w:instrText>
          </w:r>
          <w:r>
            <w:rPr>
              <w:color w:val="auto"/>
              <w:highlight w:val="none"/>
            </w:rPr>
            <w:fldChar w:fldCharType="separate"/>
          </w:r>
          <w:r>
            <w:rPr>
              <w:rStyle w:val="52"/>
              <w:rFonts w:ascii="宋体" w:hAnsi="宋体"/>
              <w:color w:val="auto"/>
              <w:sz w:val="24"/>
              <w:szCs w:val="24"/>
              <w:highlight w:val="none"/>
            </w:rPr>
            <w:t>2.9.4　其他约定</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_Toc140237298 \h </w:instrText>
          </w:r>
          <w:r>
            <w:rPr>
              <w:rFonts w:ascii="宋体" w:hAnsi="宋体"/>
              <w:color w:val="auto"/>
              <w:sz w:val="24"/>
              <w:szCs w:val="24"/>
              <w:highlight w:val="none"/>
            </w:rPr>
            <w:fldChar w:fldCharType="separate"/>
          </w:r>
          <w:r>
            <w:rPr>
              <w:rFonts w:ascii="宋体" w:hAnsi="宋体"/>
              <w:color w:val="auto"/>
              <w:sz w:val="24"/>
              <w:szCs w:val="24"/>
              <w:highlight w:val="none"/>
            </w:rPr>
            <w:t>28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2610DD6">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"_Toc140237299" </w:instrText>
          </w:r>
          <w:r>
            <w:rPr>
              <w:color w:val="auto"/>
              <w:highlight w:val="none"/>
            </w:rPr>
            <w:fldChar w:fldCharType="separate"/>
          </w:r>
          <w:r>
            <w:rPr>
              <w:rStyle w:val="52"/>
              <w:rFonts w:ascii="宋体" w:hAnsi="宋体"/>
              <w:color w:val="auto"/>
              <w:sz w:val="24"/>
              <w:szCs w:val="24"/>
              <w:highlight w:val="none"/>
            </w:rPr>
            <w:t>第三章　评标程序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_Toc140237299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05CC4CD">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"_Toc140237300" </w:instrText>
          </w:r>
          <w:r>
            <w:rPr>
              <w:color w:val="auto"/>
              <w:highlight w:val="none"/>
            </w:rPr>
            <w:fldChar w:fldCharType="separate"/>
          </w:r>
          <w:r>
            <w:rPr>
              <w:rStyle w:val="52"/>
              <w:rFonts w:ascii="宋体" w:hAnsi="宋体"/>
              <w:color w:val="auto"/>
              <w:sz w:val="24"/>
              <w:szCs w:val="24"/>
              <w:highlight w:val="none"/>
            </w:rPr>
            <w:t>3.1　符合性审查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_Toc140237300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1F6C231">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"_Toc140237301" </w:instrText>
          </w:r>
          <w:r>
            <w:rPr>
              <w:color w:val="auto"/>
              <w:highlight w:val="none"/>
            </w:rPr>
            <w:fldChar w:fldCharType="separate"/>
          </w:r>
          <w:r>
            <w:rPr>
              <w:rStyle w:val="52"/>
              <w:rFonts w:ascii="宋体" w:hAnsi="宋体"/>
              <w:color w:val="auto"/>
              <w:sz w:val="24"/>
              <w:szCs w:val="24"/>
              <w:highlight w:val="none"/>
            </w:rPr>
            <w:t>3.2　澄清、说明或者补正</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_Toc140237301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284A3D9">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"_Toc140237302" </w:instrText>
          </w:r>
          <w:r>
            <w:rPr>
              <w:color w:val="auto"/>
              <w:highlight w:val="none"/>
            </w:rPr>
            <w:fldChar w:fldCharType="separate"/>
          </w:r>
          <w:r>
            <w:rPr>
              <w:rStyle w:val="52"/>
              <w:rFonts w:ascii="宋体" w:hAnsi="宋体"/>
              <w:color w:val="auto"/>
              <w:sz w:val="24"/>
              <w:szCs w:val="24"/>
              <w:highlight w:val="none"/>
            </w:rPr>
            <w:t>3.3　演示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_Toc140237302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58E91B4">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"_Toc140237303" </w:instrText>
          </w:r>
          <w:r>
            <w:rPr>
              <w:color w:val="auto"/>
              <w:highlight w:val="none"/>
            </w:rPr>
            <w:fldChar w:fldCharType="separate"/>
          </w:r>
          <w:r>
            <w:rPr>
              <w:rStyle w:val="52"/>
              <w:rFonts w:ascii="宋体" w:hAnsi="宋体"/>
              <w:color w:val="auto"/>
              <w:sz w:val="24"/>
              <w:szCs w:val="24"/>
              <w:highlight w:val="none"/>
            </w:rPr>
            <w:t>3.4　综合评标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_Toc140237303 \h </w:instrText>
          </w:r>
          <w:r>
            <w:rPr>
              <w:rFonts w:ascii="宋体" w:hAnsi="宋体"/>
              <w:color w:val="auto"/>
              <w:sz w:val="24"/>
              <w:szCs w:val="24"/>
              <w:highlight w:val="none"/>
            </w:rPr>
            <w:fldChar w:fldCharType="separate"/>
          </w:r>
          <w:r>
            <w:rPr>
              <w:rFonts w:ascii="宋体" w:hAnsi="宋体"/>
              <w:color w:val="auto"/>
              <w:sz w:val="24"/>
              <w:szCs w:val="24"/>
              <w:highlight w:val="none"/>
            </w:rPr>
            <w:t>30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9786002">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"_Toc140237304" </w:instrText>
          </w:r>
          <w:r>
            <w:rPr>
              <w:color w:val="auto"/>
              <w:highlight w:val="none"/>
            </w:rPr>
            <w:fldChar w:fldCharType="separate"/>
          </w:r>
          <w:r>
            <w:rPr>
              <w:rStyle w:val="52"/>
              <w:rFonts w:ascii="宋体" w:hAnsi="宋体"/>
              <w:color w:val="auto"/>
              <w:sz w:val="24"/>
              <w:szCs w:val="24"/>
              <w:highlight w:val="none"/>
            </w:rPr>
            <w:t>3.4.1　评标标准</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_Toc140237304 \h </w:instrText>
          </w:r>
          <w:r>
            <w:rPr>
              <w:rFonts w:ascii="宋体" w:hAnsi="宋体"/>
              <w:color w:val="auto"/>
              <w:sz w:val="24"/>
              <w:szCs w:val="24"/>
              <w:highlight w:val="none"/>
            </w:rPr>
            <w:fldChar w:fldCharType="separate"/>
          </w:r>
          <w:r>
            <w:rPr>
              <w:rFonts w:ascii="宋体" w:hAnsi="宋体"/>
              <w:color w:val="auto"/>
              <w:sz w:val="24"/>
              <w:szCs w:val="24"/>
              <w:highlight w:val="none"/>
            </w:rPr>
            <w:t>30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A0820B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"_Toc140237305" </w:instrText>
          </w:r>
          <w:r>
            <w:rPr>
              <w:color w:val="auto"/>
              <w:highlight w:val="none"/>
            </w:rPr>
            <w:fldChar w:fldCharType="separate"/>
          </w:r>
          <w:r>
            <w:rPr>
              <w:rStyle w:val="52"/>
              <w:rFonts w:ascii="宋体" w:hAnsi="宋体"/>
              <w:color w:val="auto"/>
              <w:sz w:val="24"/>
              <w:szCs w:val="24"/>
              <w:highlight w:val="none"/>
            </w:rPr>
            <w:t>3.4.2　评标注意事项</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_Toc140237305 \h </w:instrText>
          </w:r>
          <w:r>
            <w:rPr>
              <w:rFonts w:ascii="宋体" w:hAnsi="宋体"/>
              <w:color w:val="auto"/>
              <w:sz w:val="24"/>
              <w:szCs w:val="24"/>
              <w:highlight w:val="none"/>
            </w:rPr>
            <w:fldChar w:fldCharType="separate"/>
          </w:r>
          <w:r>
            <w:rPr>
              <w:rFonts w:ascii="宋体" w:hAnsi="宋体"/>
              <w:color w:val="auto"/>
              <w:sz w:val="24"/>
              <w:szCs w:val="24"/>
              <w:highlight w:val="none"/>
            </w:rPr>
            <w:t>30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4DBED37">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"_Toc140237306" </w:instrText>
          </w:r>
          <w:r>
            <w:rPr>
              <w:color w:val="auto"/>
              <w:highlight w:val="none"/>
            </w:rPr>
            <w:fldChar w:fldCharType="separate"/>
          </w:r>
          <w:r>
            <w:rPr>
              <w:rStyle w:val="52"/>
              <w:rFonts w:ascii="宋体" w:hAnsi="宋体"/>
              <w:color w:val="auto"/>
              <w:sz w:val="24"/>
              <w:szCs w:val="24"/>
              <w:highlight w:val="none"/>
            </w:rPr>
            <w:t>3.5　确定中标人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_Toc140237306 \h </w:instrText>
          </w:r>
          <w:r>
            <w:rPr>
              <w:rFonts w:ascii="宋体" w:hAnsi="宋体"/>
              <w:color w:val="auto"/>
              <w:sz w:val="24"/>
              <w:szCs w:val="24"/>
              <w:highlight w:val="none"/>
            </w:rPr>
            <w:fldChar w:fldCharType="separate"/>
          </w:r>
          <w:r>
            <w:rPr>
              <w:rFonts w:ascii="宋体" w:hAnsi="宋体"/>
              <w:color w:val="auto"/>
              <w:sz w:val="24"/>
              <w:szCs w:val="24"/>
              <w:highlight w:val="none"/>
            </w:rPr>
            <w:t>37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4281D8F">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"_Toc140237307" </w:instrText>
          </w:r>
          <w:r>
            <w:rPr>
              <w:color w:val="auto"/>
              <w:highlight w:val="none"/>
            </w:rPr>
            <w:fldChar w:fldCharType="separate"/>
          </w:r>
          <w:r>
            <w:rPr>
              <w:rStyle w:val="52"/>
              <w:rFonts w:ascii="宋体" w:hAnsi="宋体"/>
              <w:color w:val="auto"/>
              <w:sz w:val="24"/>
              <w:szCs w:val="24"/>
              <w:highlight w:val="none"/>
            </w:rPr>
            <w:t>3.6　编写评标报告</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_Toc140237307 \h </w:instrText>
          </w:r>
          <w:r>
            <w:rPr>
              <w:rFonts w:ascii="宋体" w:hAnsi="宋体"/>
              <w:color w:val="auto"/>
              <w:sz w:val="24"/>
              <w:szCs w:val="24"/>
              <w:highlight w:val="none"/>
            </w:rPr>
            <w:fldChar w:fldCharType="separate"/>
          </w:r>
          <w:r>
            <w:rPr>
              <w:rFonts w:ascii="宋体" w:hAnsi="宋体"/>
              <w:color w:val="auto"/>
              <w:sz w:val="24"/>
              <w:szCs w:val="24"/>
              <w:highlight w:val="none"/>
            </w:rPr>
            <w:t>37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202FB33">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"_Toc140237308" </w:instrText>
          </w:r>
          <w:r>
            <w:rPr>
              <w:color w:val="auto"/>
              <w:highlight w:val="none"/>
            </w:rPr>
            <w:fldChar w:fldCharType="separate"/>
          </w:r>
          <w:r>
            <w:rPr>
              <w:rStyle w:val="52"/>
              <w:rFonts w:ascii="宋体" w:hAnsi="宋体"/>
              <w:color w:val="auto"/>
              <w:sz w:val="24"/>
              <w:szCs w:val="24"/>
              <w:highlight w:val="none"/>
            </w:rPr>
            <w:t>第四章　质疑和投诉</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_Toc140237308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76B9DEF">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"_Toc140237309" </w:instrText>
          </w:r>
          <w:r>
            <w:rPr>
              <w:color w:val="auto"/>
              <w:highlight w:val="none"/>
            </w:rPr>
            <w:fldChar w:fldCharType="separate"/>
          </w:r>
          <w:r>
            <w:rPr>
              <w:rStyle w:val="52"/>
              <w:rFonts w:ascii="宋体" w:hAnsi="宋体"/>
              <w:color w:val="auto"/>
              <w:sz w:val="24"/>
              <w:szCs w:val="24"/>
              <w:highlight w:val="none"/>
            </w:rPr>
            <w:t>4.1　询问</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_Toc140237309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6969B76">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"_Toc140237310" </w:instrText>
          </w:r>
          <w:r>
            <w:rPr>
              <w:color w:val="auto"/>
              <w:highlight w:val="none"/>
            </w:rPr>
            <w:fldChar w:fldCharType="separate"/>
          </w:r>
          <w:r>
            <w:rPr>
              <w:rStyle w:val="52"/>
              <w:rFonts w:ascii="宋体" w:hAnsi="宋体"/>
              <w:color w:val="auto"/>
              <w:sz w:val="24"/>
              <w:szCs w:val="24"/>
              <w:highlight w:val="none"/>
            </w:rPr>
            <w:t>4.2　质疑</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_Toc140237310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AD6DC3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"_Toc140237311" </w:instrText>
          </w:r>
          <w:r>
            <w:rPr>
              <w:color w:val="auto"/>
              <w:highlight w:val="none"/>
            </w:rPr>
            <w:fldChar w:fldCharType="separate"/>
          </w:r>
          <w:r>
            <w:rPr>
              <w:rStyle w:val="52"/>
              <w:rFonts w:ascii="宋体" w:hAnsi="宋体"/>
              <w:color w:val="auto"/>
              <w:sz w:val="24"/>
              <w:szCs w:val="24"/>
              <w:highlight w:val="none"/>
            </w:rPr>
            <w:t>4.2.1　质疑人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_Toc140237311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FCA84AB">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"_Toc140237312" </w:instrText>
          </w:r>
          <w:r>
            <w:rPr>
              <w:color w:val="auto"/>
              <w:highlight w:val="none"/>
            </w:rPr>
            <w:fldChar w:fldCharType="separate"/>
          </w:r>
          <w:r>
            <w:rPr>
              <w:rStyle w:val="52"/>
              <w:rFonts w:ascii="宋体" w:hAnsi="宋体"/>
              <w:color w:val="auto"/>
              <w:sz w:val="24"/>
              <w:szCs w:val="24"/>
              <w:highlight w:val="none"/>
            </w:rPr>
            <w:t>4.2.2　提出质疑</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_Toc140237312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7505C6D">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"_Toc140237313" </w:instrText>
          </w:r>
          <w:r>
            <w:rPr>
              <w:color w:val="auto"/>
              <w:highlight w:val="none"/>
            </w:rPr>
            <w:fldChar w:fldCharType="separate"/>
          </w:r>
          <w:r>
            <w:rPr>
              <w:rStyle w:val="52"/>
              <w:rFonts w:ascii="宋体" w:hAnsi="宋体"/>
              <w:color w:val="auto"/>
              <w:sz w:val="24"/>
              <w:szCs w:val="24"/>
              <w:highlight w:val="none"/>
            </w:rPr>
            <w:t>4.2.3　质疑形式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_Toc140237313 \h </w:instrText>
          </w:r>
          <w:r>
            <w:rPr>
              <w:rFonts w:ascii="宋体" w:hAnsi="宋体"/>
              <w:color w:val="auto"/>
              <w:sz w:val="24"/>
              <w:szCs w:val="24"/>
              <w:highlight w:val="none"/>
            </w:rPr>
            <w:fldChar w:fldCharType="separate"/>
          </w:r>
          <w:r>
            <w:rPr>
              <w:rFonts w:ascii="宋体" w:hAnsi="宋体"/>
              <w:color w:val="auto"/>
              <w:sz w:val="24"/>
              <w:szCs w:val="24"/>
              <w:highlight w:val="none"/>
            </w:rPr>
            <w:t>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0F6A64D">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"_Toc140237314" </w:instrText>
          </w:r>
          <w:r>
            <w:rPr>
              <w:color w:val="auto"/>
              <w:highlight w:val="none"/>
            </w:rPr>
            <w:fldChar w:fldCharType="separate"/>
          </w:r>
          <w:r>
            <w:rPr>
              <w:rStyle w:val="52"/>
              <w:rFonts w:ascii="宋体" w:hAnsi="宋体"/>
              <w:color w:val="auto"/>
              <w:sz w:val="24"/>
              <w:szCs w:val="24"/>
              <w:highlight w:val="none"/>
            </w:rPr>
            <w:t>4.2.4　无效质疑</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_Toc140237314 \h </w:instrText>
          </w:r>
          <w:r>
            <w:rPr>
              <w:rFonts w:ascii="宋体" w:hAnsi="宋体"/>
              <w:color w:val="auto"/>
              <w:sz w:val="24"/>
              <w:szCs w:val="24"/>
              <w:highlight w:val="none"/>
            </w:rPr>
            <w:fldChar w:fldCharType="separate"/>
          </w:r>
          <w:r>
            <w:rPr>
              <w:rFonts w:ascii="宋体" w:hAnsi="宋体"/>
              <w:color w:val="auto"/>
              <w:sz w:val="24"/>
              <w:szCs w:val="24"/>
              <w:highlight w:val="none"/>
            </w:rPr>
            <w:t>39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156B69B">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"_Toc140237315" </w:instrText>
          </w:r>
          <w:r>
            <w:rPr>
              <w:color w:val="auto"/>
              <w:highlight w:val="none"/>
            </w:rPr>
            <w:fldChar w:fldCharType="separate"/>
          </w:r>
          <w:r>
            <w:rPr>
              <w:rStyle w:val="52"/>
              <w:rFonts w:ascii="宋体" w:hAnsi="宋体"/>
              <w:color w:val="auto"/>
              <w:sz w:val="24"/>
              <w:szCs w:val="24"/>
              <w:highlight w:val="none"/>
            </w:rPr>
            <w:t>4.2.5　质疑答复</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_Toc140237315 \h </w:instrText>
          </w:r>
          <w:r>
            <w:rPr>
              <w:rFonts w:ascii="宋体" w:hAnsi="宋体"/>
              <w:color w:val="auto"/>
              <w:sz w:val="24"/>
              <w:szCs w:val="24"/>
              <w:highlight w:val="none"/>
            </w:rPr>
            <w:fldChar w:fldCharType="separate"/>
          </w:r>
          <w:r>
            <w:rPr>
              <w:rFonts w:ascii="宋体" w:hAnsi="宋体"/>
              <w:color w:val="auto"/>
              <w:sz w:val="24"/>
              <w:szCs w:val="24"/>
              <w:highlight w:val="none"/>
            </w:rPr>
            <w:t>39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6A841F6">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"_Toc140237316" </w:instrText>
          </w:r>
          <w:r>
            <w:rPr>
              <w:color w:val="auto"/>
              <w:highlight w:val="none"/>
            </w:rPr>
            <w:fldChar w:fldCharType="separate"/>
          </w:r>
          <w:r>
            <w:rPr>
              <w:rStyle w:val="52"/>
              <w:rFonts w:ascii="宋体" w:hAnsi="宋体"/>
              <w:color w:val="auto"/>
              <w:sz w:val="24"/>
              <w:szCs w:val="24"/>
              <w:highlight w:val="none"/>
            </w:rPr>
            <w:t>4.3　投诉</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_Toc140237316 \h </w:instrText>
          </w:r>
          <w:r>
            <w:rPr>
              <w:rFonts w:ascii="宋体" w:hAnsi="宋体"/>
              <w:color w:val="auto"/>
              <w:sz w:val="24"/>
              <w:szCs w:val="24"/>
              <w:highlight w:val="none"/>
            </w:rPr>
            <w:fldChar w:fldCharType="separate"/>
          </w:r>
          <w:r>
            <w:rPr>
              <w:rFonts w:ascii="宋体" w:hAnsi="宋体"/>
              <w:color w:val="auto"/>
              <w:sz w:val="24"/>
              <w:szCs w:val="24"/>
              <w:highlight w:val="none"/>
            </w:rPr>
            <w:t>39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FF7322F">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"_Toc140237317" </w:instrText>
          </w:r>
          <w:r>
            <w:rPr>
              <w:color w:val="auto"/>
              <w:highlight w:val="none"/>
            </w:rPr>
            <w:fldChar w:fldCharType="separate"/>
          </w:r>
          <w:r>
            <w:rPr>
              <w:rStyle w:val="52"/>
              <w:rFonts w:ascii="宋体" w:hAnsi="宋体"/>
              <w:color w:val="auto"/>
              <w:sz w:val="24"/>
              <w:szCs w:val="24"/>
              <w:highlight w:val="none"/>
            </w:rPr>
            <w:t>4.4　行政复议或者行政诉讼</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_Toc140237317 \h </w:instrText>
          </w:r>
          <w:r>
            <w:rPr>
              <w:rFonts w:ascii="宋体" w:hAnsi="宋体"/>
              <w:color w:val="auto"/>
              <w:sz w:val="24"/>
              <w:szCs w:val="24"/>
              <w:highlight w:val="none"/>
            </w:rPr>
            <w:fldChar w:fldCharType="separate"/>
          </w:r>
          <w:r>
            <w:rPr>
              <w:rFonts w:ascii="宋体" w:hAnsi="宋体"/>
              <w:color w:val="auto"/>
              <w:sz w:val="24"/>
              <w:szCs w:val="24"/>
              <w:highlight w:val="none"/>
            </w:rPr>
            <w:t>39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94D41A4">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"_Toc140237318" </w:instrText>
          </w:r>
          <w:r>
            <w:rPr>
              <w:color w:val="auto"/>
              <w:highlight w:val="none"/>
            </w:rPr>
            <w:fldChar w:fldCharType="separate"/>
          </w:r>
          <w:r>
            <w:rPr>
              <w:rStyle w:val="52"/>
              <w:rFonts w:ascii="宋体" w:hAnsi="宋体"/>
              <w:color w:val="auto"/>
              <w:sz w:val="24"/>
              <w:szCs w:val="24"/>
              <w:highlight w:val="none"/>
            </w:rPr>
            <w:t>第五章　</w:t>
          </w:r>
          <w:r>
            <w:rPr>
              <w:rStyle w:val="52"/>
              <w:rFonts w:hint="eastAsia" w:ascii="宋体" w:hAnsi="宋体"/>
              <w:color w:val="auto"/>
              <w:sz w:val="24"/>
              <w:szCs w:val="24"/>
              <w:highlight w:val="none"/>
            </w:rPr>
            <w:t>合同待签样本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_Toc140237318 \h </w:instrText>
          </w:r>
          <w:r>
            <w:rPr>
              <w:rFonts w:ascii="宋体" w:hAnsi="宋体"/>
              <w:color w:val="auto"/>
              <w:sz w:val="24"/>
              <w:szCs w:val="24"/>
              <w:highlight w:val="none"/>
            </w:rPr>
            <w:fldChar w:fldCharType="separate"/>
          </w:r>
          <w:r>
            <w:rPr>
              <w:rFonts w:ascii="宋体" w:hAnsi="宋体"/>
              <w:color w:val="auto"/>
              <w:sz w:val="24"/>
              <w:szCs w:val="24"/>
              <w:highlight w:val="none"/>
            </w:rPr>
            <w:t>40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3DC0121">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"_Toc140237319" </w:instrText>
          </w:r>
          <w:r>
            <w:rPr>
              <w:color w:val="auto"/>
              <w:highlight w:val="none"/>
            </w:rPr>
            <w:fldChar w:fldCharType="separate"/>
          </w:r>
          <w:r>
            <w:rPr>
              <w:rStyle w:val="52"/>
              <w:rFonts w:ascii="宋体" w:hAnsi="宋体"/>
              <w:color w:val="auto"/>
              <w:sz w:val="24"/>
              <w:szCs w:val="24"/>
              <w:highlight w:val="none"/>
            </w:rPr>
            <w:t>5.1　政府采购合同（货物类待签样本）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_Toc140237319 \h </w:instrText>
          </w:r>
          <w:r>
            <w:rPr>
              <w:rFonts w:ascii="宋体" w:hAnsi="宋体"/>
              <w:color w:val="auto"/>
              <w:sz w:val="24"/>
              <w:szCs w:val="24"/>
              <w:highlight w:val="none"/>
            </w:rPr>
            <w:fldChar w:fldCharType="separate"/>
          </w:r>
          <w:r>
            <w:rPr>
              <w:rFonts w:ascii="宋体" w:hAnsi="宋体"/>
              <w:color w:val="auto"/>
              <w:sz w:val="24"/>
              <w:szCs w:val="24"/>
              <w:highlight w:val="none"/>
            </w:rPr>
            <w:t>40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A240C95">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"_Toc140237320" </w:instrText>
          </w:r>
          <w:r>
            <w:rPr>
              <w:color w:val="auto"/>
              <w:highlight w:val="none"/>
            </w:rPr>
            <w:fldChar w:fldCharType="separate"/>
          </w:r>
          <w:r>
            <w:rPr>
              <w:rStyle w:val="52"/>
              <w:rFonts w:ascii="宋体" w:hAnsi="宋体"/>
              <w:color w:val="auto"/>
              <w:sz w:val="24"/>
              <w:szCs w:val="24"/>
              <w:highlight w:val="none"/>
            </w:rPr>
            <w:t>5.2　政府采购合同（服务类待签样本）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_Toc140237320 \h </w:instrText>
          </w:r>
          <w:r>
            <w:rPr>
              <w:rFonts w:ascii="宋体" w:hAnsi="宋体"/>
              <w:color w:val="auto"/>
              <w:sz w:val="24"/>
              <w:szCs w:val="24"/>
              <w:highlight w:val="none"/>
            </w:rPr>
            <w:fldChar w:fldCharType="separate"/>
          </w:r>
          <w:r>
            <w:rPr>
              <w:rFonts w:ascii="宋体" w:hAnsi="宋体"/>
              <w:color w:val="auto"/>
              <w:sz w:val="24"/>
              <w:szCs w:val="24"/>
              <w:highlight w:val="none"/>
            </w:rPr>
            <w:t>48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4036F71">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"_Toc140237321" </w:instrText>
          </w:r>
          <w:r>
            <w:rPr>
              <w:color w:val="auto"/>
              <w:highlight w:val="none"/>
            </w:rPr>
            <w:fldChar w:fldCharType="separate"/>
          </w:r>
          <w:r>
            <w:rPr>
              <w:rStyle w:val="52"/>
              <w:rFonts w:ascii="宋体" w:hAnsi="宋体"/>
              <w:color w:val="auto"/>
              <w:sz w:val="24"/>
              <w:szCs w:val="24"/>
              <w:highlight w:val="none"/>
            </w:rPr>
            <w:t>第六章　投标文件格式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_Toc140237321 \h </w:instrText>
          </w:r>
          <w:r>
            <w:rPr>
              <w:rFonts w:ascii="宋体" w:hAnsi="宋体"/>
              <w:color w:val="auto"/>
              <w:sz w:val="24"/>
              <w:szCs w:val="24"/>
              <w:highlight w:val="none"/>
            </w:rPr>
            <w:fldChar w:fldCharType="separate"/>
          </w:r>
          <w:r>
            <w:rPr>
              <w:rFonts w:ascii="宋体" w:hAnsi="宋体"/>
              <w:color w:val="auto"/>
              <w:sz w:val="24"/>
              <w:szCs w:val="24"/>
              <w:highlight w:val="none"/>
            </w:rPr>
            <w:t>56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2D72E8C">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"_Toc140237322" </w:instrText>
          </w:r>
          <w:r>
            <w:rPr>
              <w:color w:val="auto"/>
              <w:highlight w:val="none"/>
            </w:rPr>
            <w:fldChar w:fldCharType="separate"/>
          </w:r>
          <w:r>
            <w:rPr>
              <w:rStyle w:val="52"/>
              <w:rFonts w:ascii="宋体" w:hAnsi="宋体"/>
              <w:color w:val="auto"/>
              <w:sz w:val="24"/>
              <w:szCs w:val="24"/>
              <w:highlight w:val="none"/>
            </w:rPr>
            <w:t>6.1　封面</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_Toc140237322 \h </w:instrText>
          </w:r>
          <w:r>
            <w:rPr>
              <w:rFonts w:ascii="宋体" w:hAnsi="宋体"/>
              <w:color w:val="auto"/>
              <w:sz w:val="24"/>
              <w:szCs w:val="24"/>
              <w:highlight w:val="none"/>
            </w:rPr>
            <w:fldChar w:fldCharType="separate"/>
          </w:r>
          <w:r>
            <w:rPr>
              <w:rFonts w:ascii="宋体" w:hAnsi="宋体"/>
              <w:color w:val="auto"/>
              <w:sz w:val="24"/>
              <w:szCs w:val="24"/>
              <w:highlight w:val="none"/>
            </w:rPr>
            <w:t>56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4218B4C">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"_Toc140237323" </w:instrText>
          </w:r>
          <w:r>
            <w:rPr>
              <w:color w:val="auto"/>
              <w:highlight w:val="none"/>
            </w:rPr>
            <w:fldChar w:fldCharType="separate"/>
          </w:r>
          <w:r>
            <w:rPr>
              <w:rStyle w:val="52"/>
              <w:rFonts w:ascii="宋体" w:hAnsi="宋体"/>
              <w:color w:val="auto"/>
              <w:sz w:val="24"/>
              <w:szCs w:val="24"/>
              <w:highlight w:val="none"/>
            </w:rPr>
            <w:t>6.2　目录</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_Toc140237323 \h </w:instrText>
          </w:r>
          <w:r>
            <w:rPr>
              <w:rFonts w:ascii="宋体" w:hAnsi="宋体"/>
              <w:color w:val="auto"/>
              <w:sz w:val="24"/>
              <w:szCs w:val="24"/>
              <w:highlight w:val="none"/>
            </w:rPr>
            <w:fldChar w:fldCharType="separate"/>
          </w:r>
          <w:r>
            <w:rPr>
              <w:rFonts w:ascii="宋体" w:hAnsi="宋体"/>
              <w:color w:val="auto"/>
              <w:sz w:val="24"/>
              <w:szCs w:val="24"/>
              <w:highlight w:val="none"/>
            </w:rPr>
            <w:t>58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5E9C5AB">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"_Toc140237324" </w:instrText>
          </w:r>
          <w:r>
            <w:rPr>
              <w:color w:val="auto"/>
              <w:highlight w:val="none"/>
            </w:rPr>
            <w:fldChar w:fldCharType="separate"/>
          </w:r>
          <w:r>
            <w:rPr>
              <w:rStyle w:val="52"/>
              <w:rFonts w:ascii="宋体" w:hAnsi="宋体"/>
              <w:color w:val="auto"/>
              <w:sz w:val="24"/>
              <w:szCs w:val="24"/>
              <w:highlight w:val="none"/>
            </w:rPr>
            <w:t>6.3　投标人情况</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_Toc140237324 \h </w:instrText>
          </w:r>
          <w:r>
            <w:rPr>
              <w:rFonts w:ascii="宋体" w:hAnsi="宋体"/>
              <w:color w:val="auto"/>
              <w:sz w:val="24"/>
              <w:szCs w:val="24"/>
              <w:highlight w:val="none"/>
            </w:rPr>
            <w:fldChar w:fldCharType="separate"/>
          </w:r>
          <w:r>
            <w:rPr>
              <w:rFonts w:ascii="宋体" w:hAnsi="宋体"/>
              <w:color w:val="auto"/>
              <w:sz w:val="24"/>
              <w:szCs w:val="24"/>
              <w:highlight w:val="none"/>
            </w:rPr>
            <w:t>60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450E98C">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"_Toc140237325" </w:instrText>
          </w:r>
          <w:r>
            <w:rPr>
              <w:color w:val="auto"/>
              <w:highlight w:val="none"/>
            </w:rPr>
            <w:fldChar w:fldCharType="separate"/>
          </w:r>
          <w:r>
            <w:rPr>
              <w:rStyle w:val="52"/>
              <w:rFonts w:ascii="宋体" w:hAnsi="宋体"/>
              <w:color w:val="auto"/>
              <w:sz w:val="24"/>
              <w:szCs w:val="24"/>
              <w:highlight w:val="none"/>
            </w:rPr>
            <w:t>6.3.1　投标函</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_Toc140237325 \h </w:instrText>
          </w:r>
          <w:r>
            <w:rPr>
              <w:rFonts w:ascii="宋体" w:hAnsi="宋体"/>
              <w:color w:val="auto"/>
              <w:sz w:val="24"/>
              <w:szCs w:val="24"/>
              <w:highlight w:val="none"/>
            </w:rPr>
            <w:fldChar w:fldCharType="separate"/>
          </w:r>
          <w:r>
            <w:rPr>
              <w:rFonts w:ascii="宋体" w:hAnsi="宋体"/>
              <w:color w:val="auto"/>
              <w:sz w:val="24"/>
              <w:szCs w:val="24"/>
              <w:highlight w:val="none"/>
            </w:rPr>
            <w:t>60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F1C4AB7">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"_Toc140237326" </w:instrText>
          </w:r>
          <w:r>
            <w:rPr>
              <w:color w:val="auto"/>
              <w:highlight w:val="none"/>
            </w:rPr>
            <w:fldChar w:fldCharType="separate"/>
          </w:r>
          <w:r>
            <w:rPr>
              <w:rStyle w:val="52"/>
              <w:rFonts w:ascii="宋体" w:hAnsi="宋体"/>
              <w:color w:val="auto"/>
              <w:sz w:val="24"/>
              <w:szCs w:val="24"/>
              <w:highlight w:val="none"/>
              <w:lang w:eastAsia="zh-CN"/>
            </w:rPr>
            <w:t>6.3.2　</w:t>
          </w:r>
          <w:r>
            <w:rPr>
              <w:rStyle w:val="52"/>
              <w:rFonts w:ascii="宋体" w:hAnsi="宋体" w:cs="宋体"/>
              <w:bCs/>
              <w:color w:val="auto"/>
              <w:sz w:val="24"/>
              <w:szCs w:val="24"/>
              <w:highlight w:val="none"/>
              <w:lang w:eastAsia="zh-CN"/>
            </w:rPr>
            <w:t>投标人</w:t>
          </w:r>
          <w:r>
            <w:rPr>
              <w:rStyle w:val="52"/>
              <w:rFonts w:ascii="宋体" w:hAnsi="宋体"/>
              <w:color w:val="auto"/>
              <w:sz w:val="24"/>
              <w:szCs w:val="24"/>
              <w:highlight w:val="none"/>
              <w:lang w:eastAsia="zh-CN"/>
            </w:rPr>
            <w:t>基本</w:t>
          </w:r>
          <w:r>
            <w:rPr>
              <w:rStyle w:val="52"/>
              <w:rFonts w:ascii="宋体" w:hAnsi="宋体" w:cs="宋体"/>
              <w:bCs/>
              <w:color w:val="auto"/>
              <w:sz w:val="24"/>
              <w:szCs w:val="24"/>
              <w:highlight w:val="none"/>
              <w:lang w:eastAsia="zh-CN"/>
            </w:rPr>
            <w:t>情况</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_Toc140237326 \h </w:instrText>
          </w:r>
          <w:r>
            <w:rPr>
              <w:rFonts w:ascii="宋体" w:hAnsi="宋体"/>
              <w:color w:val="auto"/>
              <w:sz w:val="24"/>
              <w:szCs w:val="24"/>
              <w:highlight w:val="none"/>
            </w:rPr>
            <w:fldChar w:fldCharType="separate"/>
          </w:r>
          <w:r>
            <w:rPr>
              <w:rFonts w:ascii="宋体" w:hAnsi="宋体"/>
              <w:color w:val="auto"/>
              <w:sz w:val="24"/>
              <w:szCs w:val="24"/>
              <w:highlight w:val="none"/>
            </w:rPr>
            <w:t>62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B6B4AC9">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"_Toc140237327" </w:instrText>
          </w:r>
          <w:r>
            <w:rPr>
              <w:color w:val="auto"/>
              <w:highlight w:val="none"/>
            </w:rPr>
            <w:fldChar w:fldCharType="separate"/>
          </w:r>
          <w:r>
            <w:rPr>
              <w:rStyle w:val="52"/>
              <w:rFonts w:ascii="宋体" w:hAnsi="宋体"/>
              <w:color w:val="auto"/>
              <w:sz w:val="24"/>
              <w:szCs w:val="24"/>
              <w:highlight w:val="none"/>
            </w:rPr>
            <w:t>6.4　资格审查响应材料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_Toc140237327 \h </w:instrText>
          </w:r>
          <w:r>
            <w:rPr>
              <w:rFonts w:ascii="宋体" w:hAnsi="宋体"/>
              <w:color w:val="auto"/>
              <w:sz w:val="24"/>
              <w:szCs w:val="24"/>
              <w:highlight w:val="none"/>
            </w:rPr>
            <w:fldChar w:fldCharType="separate"/>
          </w:r>
          <w:r>
            <w:rPr>
              <w:rFonts w:ascii="宋体" w:hAnsi="宋体"/>
              <w:color w:val="auto"/>
              <w:sz w:val="24"/>
              <w:szCs w:val="24"/>
              <w:highlight w:val="none"/>
            </w:rPr>
            <w:t>62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E20E80B">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"_Toc140237328" </w:instrText>
          </w:r>
          <w:r>
            <w:rPr>
              <w:color w:val="auto"/>
              <w:highlight w:val="none"/>
            </w:rPr>
            <w:fldChar w:fldCharType="separate"/>
          </w:r>
          <w:r>
            <w:rPr>
              <w:rStyle w:val="52"/>
              <w:rFonts w:ascii="宋体" w:hAnsi="宋体"/>
              <w:color w:val="auto"/>
              <w:sz w:val="24"/>
              <w:szCs w:val="24"/>
              <w:highlight w:val="none"/>
            </w:rPr>
            <w:t>6.4.1　资格承诺声明函</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_Toc140237328 \h </w:instrText>
          </w:r>
          <w:r>
            <w:rPr>
              <w:rFonts w:ascii="宋体" w:hAnsi="宋体"/>
              <w:color w:val="auto"/>
              <w:sz w:val="24"/>
              <w:szCs w:val="24"/>
              <w:highlight w:val="none"/>
            </w:rPr>
            <w:fldChar w:fldCharType="separate"/>
          </w:r>
          <w:r>
            <w:rPr>
              <w:rFonts w:ascii="宋体" w:hAnsi="宋体"/>
              <w:color w:val="auto"/>
              <w:sz w:val="24"/>
              <w:szCs w:val="24"/>
              <w:highlight w:val="none"/>
            </w:rPr>
            <w:t>62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F72E4E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"_Toc140237329" </w:instrText>
          </w:r>
          <w:r>
            <w:rPr>
              <w:color w:val="auto"/>
              <w:highlight w:val="none"/>
            </w:rPr>
            <w:fldChar w:fldCharType="separate"/>
          </w:r>
          <w:r>
            <w:rPr>
              <w:rStyle w:val="52"/>
              <w:rFonts w:ascii="宋体" w:hAnsi="宋体"/>
              <w:color w:val="auto"/>
              <w:sz w:val="24"/>
              <w:szCs w:val="24"/>
              <w:highlight w:val="none"/>
            </w:rPr>
            <w:t>6.4.2　中小企业声明函</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_Toc140237329 \h </w:instrText>
          </w:r>
          <w:r>
            <w:rPr>
              <w:rFonts w:ascii="宋体" w:hAnsi="宋体"/>
              <w:color w:val="auto"/>
              <w:sz w:val="24"/>
              <w:szCs w:val="24"/>
              <w:highlight w:val="none"/>
            </w:rPr>
            <w:fldChar w:fldCharType="separate"/>
          </w:r>
          <w:r>
            <w:rPr>
              <w:rFonts w:ascii="宋体" w:hAnsi="宋体"/>
              <w:color w:val="auto"/>
              <w:sz w:val="24"/>
              <w:szCs w:val="24"/>
              <w:highlight w:val="none"/>
            </w:rPr>
            <w:t>64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5C47C3C">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"_Toc140237330" </w:instrText>
          </w:r>
          <w:r>
            <w:rPr>
              <w:color w:val="auto"/>
              <w:highlight w:val="none"/>
            </w:rPr>
            <w:fldChar w:fldCharType="separate"/>
          </w:r>
          <w:r>
            <w:rPr>
              <w:rStyle w:val="52"/>
              <w:rFonts w:ascii="宋体" w:hAnsi="宋体"/>
              <w:color w:val="auto"/>
              <w:sz w:val="24"/>
              <w:szCs w:val="24"/>
              <w:highlight w:val="none"/>
            </w:rPr>
            <w:t>6.4.3　其他资格证明资料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_Toc140237330 \h </w:instrText>
          </w:r>
          <w:r>
            <w:rPr>
              <w:rFonts w:ascii="宋体" w:hAnsi="宋体"/>
              <w:color w:val="auto"/>
              <w:sz w:val="24"/>
              <w:szCs w:val="24"/>
              <w:highlight w:val="none"/>
            </w:rPr>
            <w:fldChar w:fldCharType="separate"/>
          </w:r>
          <w:r>
            <w:rPr>
              <w:rFonts w:ascii="宋体" w:hAnsi="宋体"/>
              <w:color w:val="auto"/>
              <w:sz w:val="24"/>
              <w:szCs w:val="24"/>
              <w:highlight w:val="none"/>
            </w:rPr>
            <w:t>68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DDEEF7A">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"_Toc140237331" </w:instrText>
          </w:r>
          <w:r>
            <w:rPr>
              <w:color w:val="auto"/>
              <w:highlight w:val="none"/>
            </w:rPr>
            <w:fldChar w:fldCharType="separate"/>
          </w:r>
          <w:r>
            <w:rPr>
              <w:rStyle w:val="52"/>
              <w:rFonts w:ascii="宋体" w:hAnsi="宋体"/>
              <w:color w:val="auto"/>
              <w:sz w:val="24"/>
              <w:szCs w:val="24"/>
              <w:highlight w:val="none"/>
            </w:rPr>
            <w:t>6.5　综合评审响应材料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_Toc140237331 \h </w:instrText>
          </w:r>
          <w:r>
            <w:rPr>
              <w:rFonts w:ascii="宋体" w:hAnsi="宋体"/>
              <w:color w:val="auto"/>
              <w:sz w:val="24"/>
              <w:szCs w:val="24"/>
              <w:highlight w:val="none"/>
            </w:rPr>
            <w:fldChar w:fldCharType="separate"/>
          </w:r>
          <w:r>
            <w:rPr>
              <w:rFonts w:ascii="宋体" w:hAnsi="宋体"/>
              <w:color w:val="auto"/>
              <w:sz w:val="24"/>
              <w:szCs w:val="24"/>
              <w:highlight w:val="none"/>
            </w:rPr>
            <w:t>68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C95E17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"_Toc140237332" </w:instrText>
          </w:r>
          <w:r>
            <w:rPr>
              <w:color w:val="auto"/>
              <w:highlight w:val="none"/>
            </w:rPr>
            <w:fldChar w:fldCharType="separate"/>
          </w:r>
          <w:r>
            <w:rPr>
              <w:rStyle w:val="52"/>
              <w:rFonts w:ascii="宋体" w:hAnsi="宋体"/>
              <w:color w:val="auto"/>
              <w:sz w:val="24"/>
              <w:szCs w:val="24"/>
              <w:highlight w:val="none"/>
            </w:rPr>
            <w:t>6.5.1　开标一览表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_Toc140237332 \h </w:instrText>
          </w:r>
          <w:r>
            <w:rPr>
              <w:rFonts w:ascii="宋体" w:hAnsi="宋体"/>
              <w:color w:val="auto"/>
              <w:sz w:val="24"/>
              <w:szCs w:val="24"/>
              <w:highlight w:val="none"/>
            </w:rPr>
            <w:fldChar w:fldCharType="separate"/>
          </w:r>
          <w:r>
            <w:rPr>
              <w:rFonts w:ascii="宋体" w:hAnsi="宋体"/>
              <w:color w:val="auto"/>
              <w:sz w:val="24"/>
              <w:szCs w:val="24"/>
              <w:highlight w:val="none"/>
            </w:rPr>
            <w:t>68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CF6F995">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"_Toc140237333" </w:instrText>
          </w:r>
          <w:r>
            <w:rPr>
              <w:color w:val="auto"/>
              <w:highlight w:val="none"/>
            </w:rPr>
            <w:fldChar w:fldCharType="separate"/>
          </w:r>
          <w:r>
            <w:rPr>
              <w:rStyle w:val="52"/>
              <w:rFonts w:ascii="宋体" w:hAnsi="宋体"/>
              <w:color w:val="auto"/>
              <w:sz w:val="24"/>
              <w:szCs w:val="24"/>
              <w:highlight w:val="none"/>
            </w:rPr>
            <w:t>6.5.2　投标明细表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_Toc140237333 \h </w:instrText>
          </w:r>
          <w:r>
            <w:rPr>
              <w:rFonts w:ascii="宋体" w:hAnsi="宋体"/>
              <w:color w:val="auto"/>
              <w:sz w:val="24"/>
              <w:szCs w:val="24"/>
              <w:highlight w:val="none"/>
            </w:rPr>
            <w:fldChar w:fldCharType="separate"/>
          </w:r>
          <w:r>
            <w:rPr>
              <w:rFonts w:ascii="宋体" w:hAnsi="宋体"/>
              <w:color w:val="auto"/>
              <w:sz w:val="24"/>
              <w:szCs w:val="24"/>
              <w:highlight w:val="none"/>
            </w:rPr>
            <w:t>70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9D185D1">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"_Toc140237334" </w:instrText>
          </w:r>
          <w:r>
            <w:rPr>
              <w:color w:val="auto"/>
              <w:highlight w:val="none"/>
            </w:rPr>
            <w:fldChar w:fldCharType="separate"/>
          </w:r>
          <w:r>
            <w:rPr>
              <w:rStyle w:val="52"/>
              <w:rFonts w:ascii="宋体" w:hAnsi="宋体"/>
              <w:color w:val="auto"/>
              <w:sz w:val="24"/>
              <w:szCs w:val="24"/>
              <w:highlight w:val="none"/>
            </w:rPr>
            <w:t>6.5.3　商务部分响应资料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_Toc140237334 \h </w:instrText>
          </w:r>
          <w:r>
            <w:rPr>
              <w:rFonts w:ascii="宋体" w:hAnsi="宋体"/>
              <w:color w:val="auto"/>
              <w:sz w:val="24"/>
              <w:szCs w:val="24"/>
              <w:highlight w:val="none"/>
            </w:rPr>
            <w:fldChar w:fldCharType="separate"/>
          </w:r>
          <w:r>
            <w:rPr>
              <w:rFonts w:ascii="宋体" w:hAnsi="宋体"/>
              <w:color w:val="auto"/>
              <w:sz w:val="24"/>
              <w:szCs w:val="24"/>
              <w:highlight w:val="none"/>
            </w:rPr>
            <w:t>73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607A812">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"_Toc140237335" </w:instrText>
          </w:r>
          <w:r>
            <w:rPr>
              <w:color w:val="auto"/>
              <w:highlight w:val="none"/>
            </w:rPr>
            <w:fldChar w:fldCharType="separate"/>
          </w:r>
          <w:r>
            <w:rPr>
              <w:rStyle w:val="52"/>
              <w:rFonts w:ascii="宋体" w:hAnsi="宋体"/>
              <w:color w:val="auto"/>
              <w:sz w:val="24"/>
              <w:szCs w:val="24"/>
              <w:highlight w:val="none"/>
            </w:rPr>
            <w:t>6.5.4　技术部分响应资料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_Toc140237335 \h </w:instrText>
          </w:r>
          <w:r>
            <w:rPr>
              <w:rFonts w:ascii="宋体" w:hAnsi="宋体"/>
              <w:color w:val="auto"/>
              <w:sz w:val="24"/>
              <w:szCs w:val="24"/>
              <w:highlight w:val="none"/>
            </w:rPr>
            <w:fldChar w:fldCharType="separate"/>
          </w:r>
          <w:r>
            <w:rPr>
              <w:rFonts w:ascii="宋体" w:hAnsi="宋体"/>
              <w:color w:val="auto"/>
              <w:sz w:val="24"/>
              <w:szCs w:val="24"/>
              <w:highlight w:val="none"/>
            </w:rPr>
            <w:t>73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1EC7B23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"_Toc140237336" </w:instrText>
          </w:r>
          <w:r>
            <w:rPr>
              <w:color w:val="auto"/>
              <w:highlight w:val="none"/>
            </w:rPr>
            <w:fldChar w:fldCharType="separate"/>
          </w:r>
          <w:r>
            <w:rPr>
              <w:rStyle w:val="52"/>
              <w:rFonts w:ascii="宋体" w:hAnsi="宋体"/>
              <w:color w:val="auto"/>
              <w:sz w:val="24"/>
              <w:szCs w:val="24"/>
              <w:highlight w:val="none"/>
            </w:rPr>
            <w:t>6.5.5　其他响应资料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_Toc140237336 \h </w:instrText>
          </w:r>
          <w:r>
            <w:rPr>
              <w:rFonts w:ascii="宋体" w:hAnsi="宋体"/>
              <w:color w:val="auto"/>
              <w:sz w:val="24"/>
              <w:szCs w:val="24"/>
              <w:highlight w:val="none"/>
            </w:rPr>
            <w:fldChar w:fldCharType="separate"/>
          </w:r>
          <w:r>
            <w:rPr>
              <w:rFonts w:ascii="宋体" w:hAnsi="宋体"/>
              <w:color w:val="auto"/>
              <w:sz w:val="24"/>
              <w:szCs w:val="24"/>
              <w:highlight w:val="none"/>
            </w:rPr>
            <w:t>73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E0C2B83">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"_Toc140237337" </w:instrText>
          </w:r>
          <w:r>
            <w:rPr>
              <w:color w:val="auto"/>
              <w:highlight w:val="none"/>
            </w:rPr>
            <w:fldChar w:fldCharType="separate"/>
          </w:r>
          <w:r>
            <w:rPr>
              <w:rStyle w:val="52"/>
              <w:rFonts w:ascii="宋体" w:hAnsi="宋体"/>
              <w:color w:val="auto"/>
              <w:sz w:val="24"/>
              <w:szCs w:val="24"/>
              <w:highlight w:val="none"/>
            </w:rPr>
            <w:t>6.5.6　技术参数偏离表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_Toc140237337 \h </w:instrText>
          </w:r>
          <w:r>
            <w:rPr>
              <w:rFonts w:ascii="宋体" w:hAnsi="宋体"/>
              <w:color w:val="auto"/>
              <w:sz w:val="24"/>
              <w:szCs w:val="24"/>
              <w:highlight w:val="none"/>
            </w:rPr>
            <w:fldChar w:fldCharType="separate"/>
          </w:r>
          <w:r>
            <w:rPr>
              <w:rFonts w:ascii="宋体" w:hAnsi="宋体"/>
              <w:color w:val="auto"/>
              <w:sz w:val="24"/>
              <w:szCs w:val="24"/>
              <w:highlight w:val="none"/>
            </w:rPr>
            <w:t>73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3EE2A63">
          <w:pPr>
            <w:pStyle w:val="32"/>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"_Toc140237338" </w:instrText>
          </w:r>
          <w:r>
            <w:rPr>
              <w:color w:val="auto"/>
              <w:highlight w:val="none"/>
            </w:rPr>
            <w:fldChar w:fldCharType="separate"/>
          </w:r>
          <w:r>
            <w:rPr>
              <w:rStyle w:val="52"/>
              <w:rFonts w:ascii="宋体" w:hAnsi="宋体"/>
              <w:color w:val="auto"/>
              <w:sz w:val="24"/>
              <w:szCs w:val="24"/>
              <w:highlight w:val="none"/>
            </w:rPr>
            <w:t>6.6　其他必要材料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_Toc140237338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2DD0416">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"_Toc140237339" </w:instrText>
          </w:r>
          <w:r>
            <w:rPr>
              <w:color w:val="auto"/>
              <w:highlight w:val="none"/>
            </w:rPr>
            <w:fldChar w:fldCharType="separate"/>
          </w:r>
          <w:r>
            <w:rPr>
              <w:rStyle w:val="52"/>
              <w:rFonts w:ascii="宋体" w:hAnsi="宋体"/>
              <w:color w:val="auto"/>
              <w:sz w:val="24"/>
              <w:szCs w:val="24"/>
              <w:highlight w:val="none"/>
            </w:rPr>
            <w:t>6.6.1　投标保证金相关资料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_Toc140237339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3F29DF4">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"_Toc140237340" </w:instrText>
          </w:r>
          <w:r>
            <w:rPr>
              <w:color w:val="auto"/>
              <w:highlight w:val="none"/>
            </w:rPr>
            <w:fldChar w:fldCharType="separate"/>
          </w:r>
          <w:r>
            <w:rPr>
              <w:rStyle w:val="52"/>
              <w:rFonts w:ascii="宋体" w:hAnsi="宋体"/>
              <w:color w:val="auto"/>
              <w:sz w:val="24"/>
              <w:szCs w:val="24"/>
              <w:highlight w:val="none"/>
            </w:rPr>
            <w:t>6.6.2　节能产品相关资料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_Toc140237340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DA26AEF">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"_Toc140237341" </w:instrText>
          </w:r>
          <w:r>
            <w:rPr>
              <w:color w:val="auto"/>
              <w:highlight w:val="none"/>
            </w:rPr>
            <w:fldChar w:fldCharType="separate"/>
          </w:r>
          <w:r>
            <w:rPr>
              <w:rStyle w:val="52"/>
              <w:rFonts w:ascii="宋体" w:hAnsi="宋体"/>
              <w:color w:val="auto"/>
              <w:sz w:val="24"/>
              <w:szCs w:val="24"/>
              <w:highlight w:val="none"/>
            </w:rPr>
            <w:t>6.6.3　环境标志产品相关资料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_Toc140237341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AED561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"_Toc140237342" </w:instrText>
          </w:r>
          <w:r>
            <w:rPr>
              <w:color w:val="auto"/>
              <w:highlight w:val="none"/>
            </w:rPr>
            <w:fldChar w:fldCharType="separate"/>
          </w:r>
          <w:r>
            <w:rPr>
              <w:rStyle w:val="52"/>
              <w:rFonts w:ascii="宋体" w:hAnsi="宋体"/>
              <w:color w:val="auto"/>
              <w:sz w:val="24"/>
              <w:szCs w:val="24"/>
              <w:highlight w:val="none"/>
            </w:rPr>
            <w:t>6.6.4　授权委托书</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_Toc140237342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E0CDFE9">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"_Toc140237343" </w:instrText>
          </w:r>
          <w:r>
            <w:rPr>
              <w:color w:val="auto"/>
              <w:highlight w:val="none"/>
            </w:rPr>
            <w:fldChar w:fldCharType="separate"/>
          </w:r>
          <w:r>
            <w:rPr>
              <w:rStyle w:val="52"/>
              <w:rFonts w:ascii="宋体" w:hAnsi="宋体"/>
              <w:color w:val="auto"/>
              <w:sz w:val="24"/>
              <w:szCs w:val="24"/>
              <w:highlight w:val="none"/>
            </w:rPr>
            <w:t>6.6.5　联合体投标协议</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_Toc140237343 \h </w:instrText>
          </w:r>
          <w:r>
            <w:rPr>
              <w:rFonts w:ascii="宋体" w:hAnsi="宋体"/>
              <w:color w:val="auto"/>
              <w:sz w:val="24"/>
              <w:szCs w:val="24"/>
              <w:highlight w:val="none"/>
            </w:rPr>
            <w:fldChar w:fldCharType="separate"/>
          </w:r>
          <w:r>
            <w:rPr>
              <w:rFonts w:ascii="宋体" w:hAnsi="宋体"/>
              <w:color w:val="auto"/>
              <w:sz w:val="24"/>
              <w:szCs w:val="24"/>
              <w:highlight w:val="none"/>
            </w:rPr>
            <w:t>77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EF6DDE3">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"_Toc140237344" </w:instrText>
          </w:r>
          <w:r>
            <w:rPr>
              <w:color w:val="auto"/>
              <w:highlight w:val="none"/>
            </w:rPr>
            <w:fldChar w:fldCharType="separate"/>
          </w:r>
          <w:r>
            <w:rPr>
              <w:rStyle w:val="52"/>
              <w:rFonts w:ascii="宋体" w:hAnsi="宋体"/>
              <w:color w:val="auto"/>
              <w:sz w:val="24"/>
              <w:szCs w:val="24"/>
              <w:highlight w:val="none"/>
            </w:rPr>
            <w:t>6.6.6　分包意向协议</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_Toc140237344 \h </w:instrText>
          </w:r>
          <w:r>
            <w:rPr>
              <w:rFonts w:ascii="宋体" w:hAnsi="宋体"/>
              <w:color w:val="auto"/>
              <w:sz w:val="24"/>
              <w:szCs w:val="24"/>
              <w:highlight w:val="none"/>
            </w:rPr>
            <w:fldChar w:fldCharType="separate"/>
          </w:r>
          <w:r>
            <w:rPr>
              <w:rFonts w:ascii="宋体" w:hAnsi="宋体"/>
              <w:color w:val="auto"/>
              <w:sz w:val="24"/>
              <w:szCs w:val="24"/>
              <w:highlight w:val="none"/>
            </w:rPr>
            <w:t>79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FAB2B0D">
          <w:pPr>
            <w:pStyle w:val="19"/>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"_Toc140237345" </w:instrText>
          </w:r>
          <w:r>
            <w:rPr>
              <w:color w:val="auto"/>
              <w:highlight w:val="none"/>
            </w:rPr>
            <w:fldChar w:fldCharType="separate"/>
          </w:r>
          <w:r>
            <w:rPr>
              <w:rStyle w:val="52"/>
              <w:rFonts w:ascii="宋体" w:hAnsi="宋体"/>
              <w:color w:val="auto"/>
              <w:sz w:val="24"/>
              <w:szCs w:val="24"/>
              <w:highlight w:val="none"/>
            </w:rPr>
            <w:t>6.6.7　其他需要提供的资料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_Toc140237345 \h </w:instrText>
          </w:r>
          <w:r>
            <w:rPr>
              <w:rFonts w:ascii="宋体" w:hAnsi="宋体"/>
              <w:color w:val="auto"/>
              <w:sz w:val="24"/>
              <w:szCs w:val="24"/>
              <w:highlight w:val="none"/>
            </w:rPr>
            <w:fldChar w:fldCharType="separate"/>
          </w:r>
          <w:r>
            <w:rPr>
              <w:rFonts w:ascii="宋体" w:hAnsi="宋体"/>
              <w:color w:val="auto"/>
              <w:sz w:val="24"/>
              <w:szCs w:val="24"/>
              <w:highlight w:val="none"/>
            </w:rPr>
            <w:t>81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49F668A">
          <w:pPr>
            <w:pStyle w:val="26"/>
            <w:tabs>
              <w:tab w:val="right" w:leader="dot" w:pos="8290"/>
            </w:tabs>
            <w:spacing w:line="360" w:lineRule="auto"/>
            <w:rPr>
              <w:rFonts w:ascii="宋体" w:hAnsi="宋体" w:cstheme="minorBidi"/>
              <w:color w:val="auto"/>
              <w:sz w:val="24"/>
              <w:szCs w:val="24"/>
              <w:highlight w:val="none"/>
            </w:rPr>
          </w:pPr>
          <w:r>
            <w:rPr>
              <w:color w:val="auto"/>
              <w:highlight w:val="none"/>
            </w:rPr>
            <w:fldChar w:fldCharType="begin"/>
          </w:r>
          <w:r>
            <w:rPr>
              <w:color w:val="auto"/>
              <w:highlight w:val="none"/>
            </w:rPr>
            <w:instrText xml:space="preserve"> HYPERLINK \l "_Toc140237346" </w:instrText>
          </w:r>
          <w:r>
            <w:rPr>
              <w:color w:val="auto"/>
              <w:highlight w:val="none"/>
            </w:rPr>
            <w:fldChar w:fldCharType="separate"/>
          </w:r>
          <w:r>
            <w:rPr>
              <w:rStyle w:val="52"/>
              <w:rFonts w:ascii="宋体" w:hAnsi="宋体"/>
              <w:color w:val="auto"/>
              <w:sz w:val="24"/>
              <w:szCs w:val="24"/>
              <w:highlight w:val="none"/>
            </w:rPr>
            <w:t>第七章　采购需求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_Toc140237346 \h </w:instrText>
          </w:r>
          <w:r>
            <w:rPr>
              <w:rFonts w:ascii="宋体" w:hAnsi="宋体"/>
              <w:color w:val="auto"/>
              <w:sz w:val="24"/>
              <w:szCs w:val="24"/>
              <w:highlight w:val="none"/>
            </w:rPr>
            <w:fldChar w:fldCharType="separate"/>
          </w:r>
          <w:r>
            <w:rPr>
              <w:rFonts w:ascii="宋体" w:hAnsi="宋体"/>
              <w:color w:val="auto"/>
              <w:sz w:val="24"/>
              <w:szCs w:val="24"/>
              <w:highlight w:val="none"/>
            </w:rPr>
            <w:t>82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22DADA7">
          <w:pPr>
            <w:spacing w:line="360" w:lineRule="auto"/>
            <w:rPr>
              <w:rFonts w:ascii="宋体" w:hAnsi="宋体"/>
              <w:color w:val="auto"/>
              <w:sz w:val="24"/>
              <w:szCs w:val="24"/>
              <w:highlight w:val="none"/>
            </w:rPr>
          </w:pPr>
          <w:r>
            <w:rPr>
              <w:rFonts w:ascii="宋体" w:hAnsi="宋体"/>
              <w:bCs/>
              <w:color w:val="auto"/>
              <w:sz w:val="24"/>
              <w:szCs w:val="24"/>
              <w:highlight w:val="none"/>
              <w:lang w:val="zh-CN"/>
            </w:rPr>
            <w:fldChar w:fldCharType="end"/>
          </w:r>
        </w:p>
      </w:sdtContent>
    </w:sdt>
    <w:p w14:paraId="78BBA040">
      <w:pPr>
        <w:pStyle w:val="15"/>
        <w:wordWrap w:val="0"/>
        <w:spacing w:line="360" w:lineRule="auto"/>
        <w:rPr>
          <w:color w:val="auto"/>
          <w:highlight w:val="none"/>
        </w:rPr>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14:paraId="340CB7B3">
      <w:pPr>
        <w:wordWrap w:val="0"/>
        <w:spacing w:after="319" w:afterLines="100" w:line="360" w:lineRule="auto"/>
        <w:jc w:val="center"/>
        <w:outlineLvl w:val="0"/>
        <w:rPr>
          <w:rFonts w:ascii="华文中宋" w:hAnsi="华文中宋" w:eastAsia="华文中宋"/>
          <w:color w:val="auto"/>
          <w:sz w:val="32"/>
          <w:szCs w:val="32"/>
          <w:highlight w:val="none"/>
        </w:rPr>
      </w:pPr>
      <w:bookmarkStart w:id="8" w:name="_Toc140237245"/>
      <w:r>
        <w:rPr>
          <w:rFonts w:hint="eastAsia" w:ascii="华文中宋" w:hAnsi="华文中宋" w:eastAsia="华文中宋"/>
          <w:color w:val="auto"/>
          <w:sz w:val="32"/>
          <w:szCs w:val="32"/>
          <w:highlight w:val="none"/>
        </w:rPr>
        <w:t>公开招标公告</w:t>
      </w:r>
      <w:bookmarkEnd w:id="0"/>
      <w:bookmarkEnd w:id="8"/>
    </w:p>
    <w:bookmarkEnd w:id="1"/>
    <w:bookmarkEnd w:id="2"/>
    <w:p w14:paraId="66F01B6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兰州市财政局评价评估服务</w:t>
      </w:r>
      <w:r>
        <w:rPr>
          <w:rFonts w:hint="eastAsia" w:ascii="宋体" w:hAnsi="宋体" w:cs="宋体"/>
          <w:color w:val="auto"/>
          <w:sz w:val="24"/>
          <w:highlight w:val="none"/>
        </w:rPr>
        <w:t>项目的潜在投标人应在“兰州市公共资源交易中心网站”（http://lzggzyjy.lanzhou.gov.cn）获取招标文件，并于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日09:30</w:t>
      </w:r>
      <w:r>
        <w:rPr>
          <w:rFonts w:hint="eastAsia" w:ascii="宋体" w:hAnsi="宋体" w:cs="宋体"/>
          <w:color w:val="auto"/>
          <w:sz w:val="24"/>
          <w:highlight w:val="none"/>
        </w:rPr>
        <w:t>（北京时间）前提交投标文件。</w:t>
      </w:r>
    </w:p>
    <w:p w14:paraId="245916CA">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一、项目基本情况</w:t>
      </w:r>
    </w:p>
    <w:p w14:paraId="08CC1655">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w:t>
      </w:r>
      <w:r>
        <w:rPr>
          <w:rFonts w:hint="eastAsia" w:ascii="宋体" w:hAnsi="宋体" w:cs="宋体"/>
          <w:color w:val="auto"/>
          <w:sz w:val="24"/>
          <w:szCs w:val="22"/>
          <w:highlight w:val="none"/>
          <w:lang w:eastAsia="zh-CN"/>
        </w:rPr>
        <w:t>105001JH054</w:t>
      </w:r>
    </w:p>
    <w:p w14:paraId="18817148">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评价评估服务</w:t>
      </w:r>
    </w:p>
    <w:p w14:paraId="38E385B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lang w:val="en-US" w:eastAsia="zh-CN"/>
        </w:rPr>
        <w:t>210.8</w:t>
      </w:r>
      <w:r>
        <w:rPr>
          <w:rFonts w:hint="eastAsia" w:ascii="宋体" w:hAnsi="宋体" w:cs="宋体"/>
          <w:color w:val="auto"/>
          <w:sz w:val="24"/>
          <w:highlight w:val="none"/>
        </w:rPr>
        <w:t>万元</w:t>
      </w:r>
    </w:p>
    <w:p w14:paraId="0B8C83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4.最高限价：无</w:t>
      </w:r>
    </w:p>
    <w:p w14:paraId="288CB34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color w:val="auto"/>
          <w:sz w:val="24"/>
          <w:highlight w:val="none"/>
          <w:lang w:eastAsia="zh-CN"/>
        </w:rPr>
        <w:t>评价评估服务</w:t>
      </w:r>
      <w:r>
        <w:rPr>
          <w:rFonts w:hint="eastAsia" w:ascii="宋体" w:hAnsi="宋体" w:cs="宋体"/>
          <w:color w:val="auto"/>
          <w:sz w:val="24"/>
          <w:highlight w:val="none"/>
        </w:rPr>
        <w:t>。第一包：为民办实事项目绩效评价，预算金额27.56万元；第二包：社保基金-职工基本医疗保险（含生育保险）项目、政府性融资担保机构资本金补充资金项目绩效评价，预算金额21.4万元（其中社保基金-职工基本医疗保险（含生育保险）项目预算17.8万元，政府性融资担保机构资本金补充资金项目预算3.6万元）；第三包：市级重大项目前期费项目绩效评价，预算金额23.58万元；第四包：兰州市殡仪馆专项业务费、社会办养老机构运营补贴、兰州市成品粮应急保障中心建设项目（专项债项目）绩效评价，预算金额16.5万元（其中兰州市殡仪馆专项业务费项目预算6.6万元，社会办养老机构运营补贴项目预算5.9万元，兰州市成品粮应急保障中心建设项目政府性基金项目（专项债项目）预算4万元）；第五包：交通大会战项目、国有资本经营预算项目绩效评价，预算金额20.65万元（其中交通大会战项目预算17.65万元，国有资本经营预算项目预算3万元）；第六包：农机安全与农机化示范推广、黄河风情线绿化养护购买社会化服务、12345政务服务便民服务热线平台项目绩效评价，预算金额17.97万元（其中农机安全与农机化示范推广项目预算5.9万元，黄河风情线绿化养护购买社会化服务项目预算5.91万元，12345政务服务便民服务热线平台项目预算6.16万元）；第七包：兰州市信访局整体支出绩效评价及过紧日子评估、兰州市体育局整体支出绩效评价及过紧日子评估，预算金额13.4万元（其中兰州市信访局整体支出绩效评价及过紧日子评估预算2.11万元，兰州市体育局整体支出绩效评价及过紧日子评估采购预算11.29万元）；第八包：兰州市生态环境局整体支出绩效评价及过紧日子评估，预算金额17.74万元；第九包：安宁财政运行综合绩效评价，预算金额20万元；第十包:县区预算绩效管理工作成效量化评价，预算金额32万元；（注：同一投标人只能中1包，按开标顺序中标）（详见招标文件第七章）。</w:t>
      </w:r>
    </w:p>
    <w:p w14:paraId="38C6D362">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6.合同履行期限：按合同约定执行</w:t>
      </w:r>
    </w:p>
    <w:p w14:paraId="3EA8249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7.本项目（是/否）接受联合体投标：</w:t>
      </w:r>
      <w:r>
        <w:rPr>
          <w:rFonts w:hint="eastAsia" w:ascii="宋体" w:hAnsi="宋体" w:cs="宋体"/>
          <w:color w:val="auto"/>
          <w:sz w:val="24"/>
          <w:highlight w:val="none"/>
        </w:rPr>
        <w:t>否</w:t>
      </w:r>
    </w:p>
    <w:p w14:paraId="53910528">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D7FA7DE">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2557F5C6">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szCs w:val="24"/>
          <w:highlight w:val="none"/>
        </w:rPr>
        <w:t>本项目面向中小企业预留采购份额，预留比例</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%（其中预留小微企业比例</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%），须提供《中小企业声明函》或者《残疾人福利性单位声明函》或者由省级以上监狱管理局、戒毒管理局（含新疆生产建设兵团）出具的属于监狱企业的证明文件。</w:t>
      </w:r>
    </w:p>
    <w:p w14:paraId="04A2DA7A">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具体为: （第一包、第二包、第三包、第四包、第五包、第八包、第十包）面向中小企业预留采购份额预留比例100%（其中预留小微企业比例0%）；（第六包、第七包、第九包）面向中小企业预留采购份额预留比例0%（其中预留小微企业比例0%）；</w:t>
      </w:r>
    </w:p>
    <w:p w14:paraId="3A7C65CD">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p>
    <w:p w14:paraId="515A3E24">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三、获取招标文件</w:t>
      </w:r>
    </w:p>
    <w:p w14:paraId="0E0ECEA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日00:00至202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日23:59</w:t>
      </w:r>
      <w:r>
        <w:rPr>
          <w:rFonts w:hint="eastAsia" w:ascii="宋体" w:hAnsi="宋体" w:cs="宋体"/>
          <w:color w:val="auto"/>
          <w:sz w:val="24"/>
          <w:highlight w:val="none"/>
        </w:rPr>
        <w:t>（北京时间）</w:t>
      </w:r>
    </w:p>
    <w:p w14:paraId="691AEC3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2.地点：“兰州市公共资源交易中心网站”</w:t>
      </w:r>
    </w:p>
    <w:p w14:paraId="48E56E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方式：拟参与投标的潜在供应商须点击“我要参与”按钮，以“用户名+密码”方式或者数字证书（CA或移动CA）方式登录“兰州市公共资源服务系统”（http://lzggzyjy.lanzhou.gov.cn/TPBidder/memberLogin），获取招标文件，参与项目采购。社会公众可点击“免费下载”按钮，查阅招标文件。</w:t>
      </w:r>
    </w:p>
    <w:p w14:paraId="24C066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4.售价：0元</w:t>
      </w:r>
    </w:p>
    <w:p w14:paraId="042AFD87">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四、</w:t>
      </w:r>
      <w:bookmarkStart w:id="9" w:name="_Hlk104212892"/>
      <w:r>
        <w:rPr>
          <w:rFonts w:hint="eastAsia" w:ascii="宋体" w:hAnsi="宋体" w:cs="宋体"/>
          <w:b/>
          <w:color w:val="auto"/>
          <w:sz w:val="24"/>
          <w:highlight w:val="none"/>
        </w:rPr>
        <w:t>提交投标文件截止时间</w:t>
      </w:r>
      <w:bookmarkEnd w:id="9"/>
      <w:r>
        <w:rPr>
          <w:rFonts w:hint="eastAsia" w:ascii="宋体" w:hAnsi="宋体" w:cs="宋体"/>
          <w:b/>
          <w:color w:val="auto"/>
          <w:sz w:val="24"/>
          <w:highlight w:val="none"/>
        </w:rPr>
        <w:t>、开标时间和地点</w:t>
      </w:r>
    </w:p>
    <w:p w14:paraId="004CD068">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第一包至第三包</w:t>
      </w:r>
      <w:r>
        <w:rPr>
          <w:rFonts w:hint="eastAsia" w:ascii="宋体" w:hAnsi="宋体" w:cs="宋体"/>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日09:30</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3B258251">
      <w:pPr>
        <w:pStyle w:val="2"/>
        <w:ind w:firstLine="744" w:firstLineChars="300"/>
        <w:rPr>
          <w:rFonts w:hint="eastAsia" w:cs="宋体"/>
          <w:color w:val="auto"/>
          <w:sz w:val="24"/>
          <w:highlight w:val="none"/>
          <w:lang w:eastAsia="zh-CN"/>
        </w:rPr>
      </w:pPr>
      <w:r>
        <w:rPr>
          <w:rFonts w:hint="eastAsia" w:ascii="宋体" w:hAnsi="宋体" w:cs="宋体"/>
          <w:color w:val="auto"/>
          <w:sz w:val="24"/>
          <w:highlight w:val="none"/>
          <w:lang w:val="en-US" w:eastAsia="zh-CN"/>
        </w:rPr>
        <w:t>第</w:t>
      </w:r>
      <w:r>
        <w:rPr>
          <w:rFonts w:hint="eastAsia" w:cs="宋体"/>
          <w:color w:val="auto"/>
          <w:sz w:val="24"/>
          <w:highlight w:val="none"/>
          <w:lang w:val="en-US" w:eastAsia="zh-CN"/>
        </w:rPr>
        <w:t>四</w:t>
      </w:r>
      <w:r>
        <w:rPr>
          <w:rFonts w:hint="eastAsia" w:ascii="宋体" w:hAnsi="宋体" w:cs="宋体"/>
          <w:color w:val="auto"/>
          <w:sz w:val="24"/>
          <w:highlight w:val="none"/>
          <w:lang w:val="en-US" w:eastAsia="zh-CN"/>
        </w:rPr>
        <w:t>包至第</w:t>
      </w:r>
      <w:r>
        <w:rPr>
          <w:rFonts w:hint="eastAsia" w:cs="宋体"/>
          <w:color w:val="auto"/>
          <w:sz w:val="24"/>
          <w:highlight w:val="none"/>
          <w:lang w:val="en-US" w:eastAsia="zh-CN"/>
        </w:rPr>
        <w:t>六</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cs="宋体"/>
          <w:color w:val="auto"/>
          <w:sz w:val="24"/>
          <w:highlight w:val="none"/>
          <w:lang w:val="en-US" w:eastAsia="zh-CN"/>
        </w:rPr>
        <w:t>6</w:t>
      </w:r>
      <w:r>
        <w:rPr>
          <w:rFonts w:hint="eastAsia" w:ascii="宋体" w:hAnsi="宋体" w:cs="宋体"/>
          <w:color w:val="auto"/>
          <w:sz w:val="24"/>
          <w:highlight w:val="none"/>
        </w:rPr>
        <w:t>月</w:t>
      </w:r>
      <w:r>
        <w:rPr>
          <w:rFonts w:hint="eastAsia" w:cs="宋体"/>
          <w:color w:val="auto"/>
          <w:sz w:val="24"/>
          <w:highlight w:val="none"/>
          <w:lang w:val="en-US" w:eastAsia="zh-CN"/>
        </w:rPr>
        <w:t>5</w:t>
      </w:r>
      <w:r>
        <w:rPr>
          <w:rFonts w:hint="eastAsia" w:ascii="宋体" w:hAnsi="宋体" w:cs="宋体"/>
          <w:color w:val="auto"/>
          <w:sz w:val="24"/>
          <w:highlight w:val="none"/>
        </w:rPr>
        <w:t>日09:30（北京时间）</w:t>
      </w:r>
      <w:r>
        <w:rPr>
          <w:rFonts w:hint="eastAsia" w:cs="宋体"/>
          <w:color w:val="auto"/>
          <w:sz w:val="24"/>
          <w:highlight w:val="none"/>
          <w:lang w:eastAsia="zh-CN"/>
        </w:rPr>
        <w:t>；</w:t>
      </w:r>
    </w:p>
    <w:p w14:paraId="6DD1F844">
      <w:pPr>
        <w:pStyle w:val="2"/>
        <w:ind w:firstLine="744" w:firstLineChars="300"/>
        <w:rPr>
          <w:rFonts w:hint="eastAsia" w:eastAsia="宋体"/>
          <w:lang w:eastAsia="zh-CN"/>
        </w:rPr>
      </w:pPr>
      <w:r>
        <w:rPr>
          <w:rFonts w:hint="eastAsia" w:ascii="宋体" w:hAnsi="宋体" w:cs="宋体"/>
          <w:color w:val="auto"/>
          <w:sz w:val="24"/>
          <w:highlight w:val="none"/>
          <w:lang w:val="en-US" w:eastAsia="zh-CN"/>
        </w:rPr>
        <w:t>第</w:t>
      </w:r>
      <w:r>
        <w:rPr>
          <w:rFonts w:hint="eastAsia" w:cs="宋体"/>
          <w:color w:val="auto"/>
          <w:sz w:val="24"/>
          <w:highlight w:val="none"/>
          <w:lang w:val="en-US" w:eastAsia="zh-CN"/>
        </w:rPr>
        <w:t>七</w:t>
      </w:r>
      <w:r>
        <w:rPr>
          <w:rFonts w:hint="eastAsia" w:ascii="宋体" w:hAnsi="宋体" w:cs="宋体"/>
          <w:color w:val="auto"/>
          <w:sz w:val="24"/>
          <w:highlight w:val="none"/>
          <w:lang w:val="en-US" w:eastAsia="zh-CN"/>
        </w:rPr>
        <w:t>包至第</w:t>
      </w:r>
      <w:r>
        <w:rPr>
          <w:rFonts w:hint="eastAsia" w:cs="宋体"/>
          <w:color w:val="auto"/>
          <w:sz w:val="24"/>
          <w:highlight w:val="none"/>
          <w:lang w:val="en-US" w:eastAsia="zh-CN"/>
        </w:rPr>
        <w:t>十</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cs="宋体"/>
          <w:color w:val="auto"/>
          <w:sz w:val="24"/>
          <w:highlight w:val="none"/>
          <w:lang w:val="en-US" w:eastAsia="zh-CN"/>
        </w:rPr>
        <w:t>6</w:t>
      </w:r>
      <w:r>
        <w:rPr>
          <w:rFonts w:hint="eastAsia" w:ascii="宋体" w:hAnsi="宋体" w:cs="宋体"/>
          <w:color w:val="auto"/>
          <w:sz w:val="24"/>
          <w:highlight w:val="none"/>
        </w:rPr>
        <w:t>月</w:t>
      </w:r>
      <w:r>
        <w:rPr>
          <w:rFonts w:hint="eastAsia" w:cs="宋体"/>
          <w:color w:val="auto"/>
          <w:sz w:val="24"/>
          <w:highlight w:val="none"/>
          <w:lang w:val="en-US" w:eastAsia="zh-CN"/>
        </w:rPr>
        <w:t>6</w:t>
      </w:r>
      <w:r>
        <w:rPr>
          <w:rFonts w:hint="eastAsia" w:ascii="宋体" w:hAnsi="宋体" w:cs="宋体"/>
          <w:color w:val="auto"/>
          <w:sz w:val="24"/>
          <w:highlight w:val="none"/>
        </w:rPr>
        <w:t>日09:30（北京时间）</w:t>
      </w:r>
      <w:r>
        <w:rPr>
          <w:rFonts w:hint="eastAsia" w:cs="宋体"/>
          <w:color w:val="auto"/>
          <w:sz w:val="24"/>
          <w:highlight w:val="none"/>
          <w:lang w:eastAsia="zh-CN"/>
        </w:rPr>
        <w:t>；</w:t>
      </w:r>
    </w:p>
    <w:p w14:paraId="1DE3C747">
      <w:pPr>
        <w:wordWrap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地点：兰州市公共资源交易中心</w:t>
      </w:r>
      <w:r>
        <w:rPr>
          <w:rFonts w:hint="eastAsia" w:ascii="宋体" w:hAnsi="宋体" w:cs="宋体"/>
          <w:color w:val="auto"/>
          <w:sz w:val="24"/>
          <w:highlight w:val="none"/>
        </w:rPr>
        <w:t>开标</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室</w:t>
      </w:r>
      <w:r>
        <w:rPr>
          <w:rFonts w:hint="eastAsia" w:ascii="宋体" w:hAnsi="宋体" w:cs="宋体"/>
          <w:color w:val="auto"/>
          <w:sz w:val="24"/>
          <w:highlight w:val="none"/>
        </w:rPr>
        <w:t>（兰州市城关区东岗东路1786号3-4楼</w:t>
      </w:r>
      <w:r>
        <w:rPr>
          <w:rFonts w:ascii="宋体" w:hAnsi="宋体" w:cs="宋体"/>
          <w:color w:val="auto"/>
          <w:sz w:val="24"/>
          <w:highlight w:val="none"/>
        </w:rPr>
        <w:t>3</w:t>
      </w:r>
      <w:r>
        <w:rPr>
          <w:rFonts w:hint="eastAsia" w:ascii="宋体" w:hAnsi="宋体" w:cs="宋体"/>
          <w:color w:val="auto"/>
          <w:sz w:val="24"/>
          <w:highlight w:val="none"/>
        </w:rPr>
        <w:t>楼）。</w:t>
      </w:r>
    </w:p>
    <w:p w14:paraId="4660A9B0">
      <w:pPr>
        <w:wordWrap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.方式：本项目仅以电子投标文件方式提交。投标人以“用户名+密码”方式或者数字证书（CA或移动CA）方式登录“兰州市公共资源服务系统”，提交以数字证书（CA或移动CA）加密的电子投标文件。</w:t>
      </w:r>
    </w:p>
    <w:p w14:paraId="055AA453">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五、公告期限</w:t>
      </w:r>
    </w:p>
    <w:p w14:paraId="015EC0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B07BE08">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14:paraId="6311F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1.本项目的质疑请以书面形式提交采购人或者采购代理机构，投诉请以书面形式提交兰州市财政局政府采购监督管理科，投诉电话：0931-8105030。</w:t>
      </w:r>
    </w:p>
    <w:p w14:paraId="44104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本项目若有更正将通过本公告发布媒体发布，请及时关注“甘肃政府采购网”（</w:t>
      </w:r>
      <w:r>
        <w:rPr>
          <w:rFonts w:ascii="宋体" w:hAnsi="宋体" w:cs="宋体"/>
          <w:color w:val="auto"/>
          <w:sz w:val="24"/>
          <w:highlight w:val="none"/>
        </w:rPr>
        <w:t>http://www.ccgp-gansu.gov.cn/index</w:t>
      </w:r>
      <w:r>
        <w:rPr>
          <w:rFonts w:hint="eastAsia" w:ascii="宋体" w:hAnsi="宋体" w:cs="宋体"/>
          <w:color w:val="auto"/>
          <w:sz w:val="24"/>
          <w:highlight w:val="none"/>
        </w:rPr>
        <w:t>）和“兰州市公共资源交易中心网站”。</w:t>
      </w:r>
    </w:p>
    <w:p w14:paraId="4065AA7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本项目投标文件在“新点投标文件制作软件（兰州版）”（操作手册及下载网址：http://lzggzyjy.lanzhou.gov.cn/fwzn/003003/20200512/aac3d755-c58c-4124-868c-0c67daae15d1）中制作，开标在“兰州市不见面开标系统（新点）”（http://bid.lzggzyjy.cn:8080/BidOpening/bidhall/default/login）中进行，技术支持电话：0931-4608344，4009980000。</w:t>
      </w:r>
    </w:p>
    <w:p w14:paraId="174AB344">
      <w:pPr>
        <w:wordWrap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开标前，投标人应以数字证书（CA或移动CA）方式登录“兰州市不见面开标系统（新点）”，保持系统登录状态，及时响应系统操作提示，直至开标结束。开标结束后，投标人应立刻以数字证书（CA或移动CA）方式登录“兰州市公共资源服务系统”，保持系统登录状态，及时响应系统操作提示，直至项目评审完毕。</w:t>
      </w:r>
    </w:p>
    <w:p w14:paraId="27CBE51D">
      <w:pPr>
        <w:pStyle w:val="15"/>
        <w:wordWrap w:val="0"/>
        <w:spacing w:line="360" w:lineRule="auto"/>
        <w:ind w:firstLine="480" w:firstLineChars="200"/>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为保证远程交互效果，建议投标人配置的硬件环境包括：稳定运行的电脑、安全稳定的网络环境、电源（不间断）、数字证书（CA或移动CA）、音视频设备（摄像头、麦克风、音箱等）等；建议投标人配置的软件环境包括：IE浏览器（1</w:t>
      </w:r>
      <w:r>
        <w:rPr>
          <w:rFonts w:ascii="宋体" w:hAnsi="宋体" w:cs="宋体"/>
          <w:color w:val="auto"/>
          <w:highlight w:val="none"/>
        </w:rPr>
        <w:t>1</w:t>
      </w:r>
      <w:r>
        <w:rPr>
          <w:rFonts w:hint="eastAsia" w:ascii="宋体" w:hAnsi="宋体" w:cs="宋体"/>
          <w:color w:val="auto"/>
          <w:highlight w:val="none"/>
        </w:rPr>
        <w:t>或以上版本）、新点驱动（甘肃互联互通版）（下载网址：http</w:t>
      </w:r>
      <w:r>
        <w:rPr>
          <w:rFonts w:ascii="宋体" w:hAnsi="宋体" w:cs="宋体"/>
          <w:color w:val="auto"/>
          <w:highlight w:val="none"/>
        </w:rPr>
        <w:t>s://download.bqpoint.com/download/downloadprodetail?type=tp&amp;SourceFrom=Ztb&amp;ZtbSoftXiaQuCode=3206&amp;ZtbSoftType=DR</w:t>
      </w:r>
      <w:r>
        <w:rPr>
          <w:rFonts w:hint="eastAsia" w:ascii="宋体" w:hAnsi="宋体" w:cs="宋体"/>
          <w:color w:val="auto"/>
          <w:highlight w:val="none"/>
        </w:rPr>
        <w:t>）等。参与远程交互时，建议投标人选择封闭安静的环境。因投标人自身硬件、软件问题导致交互过程不稳定或中断等情形的，由此引起的风险和责任由投标人承担。</w:t>
      </w:r>
    </w:p>
    <w:p w14:paraId="54213F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14:paraId="1A9BA8DA">
      <w:pPr>
        <w:wordWrap w:val="0"/>
        <w:spacing w:line="360" w:lineRule="auto"/>
        <w:ind w:firstLine="480" w:firstLineChars="200"/>
        <w:rPr>
          <w:rFonts w:hint="default" w:ascii="宋体" w:hAnsi="宋体" w:eastAsia="宋体" w:cs="宋体"/>
          <w:color w:val="auto"/>
          <w:sz w:val="24"/>
          <w:highlight w:val="none"/>
          <w:lang w:val="en-US" w:eastAsia="zh-CN"/>
        </w:rPr>
      </w:pPr>
      <w:r>
        <w:rPr>
          <w:rFonts w:ascii="宋体" w:hAnsi="宋体" w:cs="宋体"/>
          <w:color w:val="auto"/>
          <w:sz w:val="24"/>
          <w:highlight w:val="none"/>
        </w:rPr>
        <w:t>7</w:t>
      </w:r>
      <w:r>
        <w:rPr>
          <w:rFonts w:hint="eastAsia" w:ascii="宋体" w:hAnsi="宋体" w:cs="宋体"/>
          <w:color w:val="auto"/>
          <w:sz w:val="24"/>
          <w:highlight w:val="none"/>
        </w:rPr>
        <w:t>.本项目受理自编号：</w:t>
      </w:r>
      <w:r>
        <w:rPr>
          <w:rFonts w:hint="eastAsia" w:ascii="宋体" w:hAnsi="宋体" w:cs="宋体"/>
          <w:color w:val="auto"/>
          <w:sz w:val="24"/>
          <w:highlight w:val="none"/>
        </w:rPr>
        <w:t>GK202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17</w:t>
      </w:r>
    </w:p>
    <w:p w14:paraId="60A96313">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p>
    <w:p w14:paraId="5D4AAC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4C34B2C">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兰州市财政局</w:t>
      </w:r>
    </w:p>
    <w:p w14:paraId="2327933B">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兰州市城关区中山路</w:t>
      </w:r>
    </w:p>
    <w:p w14:paraId="4047F36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樊雪</w:t>
      </w:r>
    </w:p>
    <w:p w14:paraId="2351C6BB">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0931-8105053</w:t>
      </w:r>
    </w:p>
    <w:p w14:paraId="1341C7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5D94413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名称：兰州市公共资源交易中心</w:t>
      </w:r>
    </w:p>
    <w:p w14:paraId="1B9660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地址：兰州市城关区东岗东路1786号3-4楼</w:t>
      </w:r>
    </w:p>
    <w:p w14:paraId="72F93FD6">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赵晖</w:t>
      </w:r>
    </w:p>
    <w:p w14:paraId="5F12FB16">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rPr>
        <w:t>0931-</w:t>
      </w:r>
      <w:r>
        <w:rPr>
          <w:rFonts w:hint="eastAsia" w:ascii="宋体" w:hAnsi="宋体" w:cs="宋体"/>
          <w:color w:val="auto"/>
          <w:sz w:val="24"/>
          <w:highlight w:val="none"/>
          <w:lang w:eastAsia="zh-CN"/>
        </w:rPr>
        <w:t>4608326</w:t>
      </w:r>
    </w:p>
    <w:p w14:paraId="76376F0E">
      <w:pPr>
        <w:wordWrap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.项目联系方式</w:t>
      </w:r>
    </w:p>
    <w:p w14:paraId="47AC53C9">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樊雪</w:t>
      </w:r>
    </w:p>
    <w:p w14:paraId="39172ED8">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0931-8105053</w:t>
      </w:r>
    </w:p>
    <w:p w14:paraId="496CF2BA">
      <w:pPr>
        <w:pStyle w:val="15"/>
        <w:wordWrap w:val="0"/>
        <w:spacing w:line="360" w:lineRule="auto"/>
        <w:rPr>
          <w:rFonts w:ascii="宋体" w:hAnsi="宋体"/>
          <w:color w:val="auto"/>
          <w:szCs w:val="24"/>
          <w:highlight w:val="none"/>
        </w:rPr>
      </w:pPr>
    </w:p>
    <w:p w14:paraId="73A8B6BD">
      <w:pPr>
        <w:wordWrap w:val="0"/>
        <w:rPr>
          <w:rFonts w:ascii="宋体" w:hAnsi="宋体"/>
          <w:color w:val="auto"/>
          <w:sz w:val="24"/>
          <w:szCs w:val="24"/>
          <w:highlight w:val="none"/>
        </w:rPr>
      </w:pPr>
    </w:p>
    <w:p w14:paraId="75D5CA1B">
      <w:pPr>
        <w:wordWrap w:val="0"/>
        <w:spacing w:line="360" w:lineRule="auto"/>
        <w:ind w:firstLine="5520" w:firstLineChars="2300"/>
        <w:rPr>
          <w:rFonts w:ascii="宋体" w:hAnsi="宋体" w:cs="宋体"/>
          <w:color w:val="auto"/>
          <w:sz w:val="24"/>
          <w:highlight w:val="none"/>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p>
    <w:bookmarkEnd w:id="3"/>
    <w:bookmarkEnd w:id="4"/>
    <w:bookmarkEnd w:id="5"/>
    <w:p w14:paraId="412F171B">
      <w:pPr>
        <w:wordWrap w:val="0"/>
        <w:spacing w:after="319" w:afterLines="100" w:line="360" w:lineRule="auto"/>
        <w:jc w:val="center"/>
        <w:outlineLvl w:val="0"/>
        <w:rPr>
          <w:rFonts w:ascii="华文中宋" w:hAnsi="华文中宋" w:eastAsia="华文中宋"/>
          <w:color w:val="auto"/>
          <w:sz w:val="32"/>
          <w:szCs w:val="32"/>
          <w:highlight w:val="none"/>
        </w:rPr>
      </w:pPr>
      <w:bookmarkStart w:id="10" w:name="_Toc140237246"/>
      <w:r>
        <w:rPr>
          <w:rFonts w:hint="eastAsia" w:ascii="华文中宋" w:hAnsi="华文中宋" w:eastAsia="华文中宋"/>
          <w:color w:val="auto"/>
          <w:sz w:val="32"/>
          <w:szCs w:val="32"/>
          <w:highlight w:val="none"/>
        </w:rPr>
        <w:t>投标人须知前附表</w:t>
      </w:r>
      <w:bookmarkEnd w:id="6"/>
      <w:bookmarkEnd w:id="7"/>
      <w:bookmarkEnd w:id="10"/>
    </w:p>
    <w:tbl>
      <w:tblPr>
        <w:tblStyle w:val="41"/>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14:paraId="1886F55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14:paraId="469648F7">
            <w:pPr>
              <w:wordWrap w:val="0"/>
              <w:spacing w:line="360" w:lineRule="auto"/>
              <w:jc w:val="center"/>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条款号</w:t>
            </w:r>
          </w:p>
        </w:tc>
        <w:tc>
          <w:tcPr>
            <w:tcW w:w="1910" w:type="dxa"/>
            <w:vAlign w:val="center"/>
          </w:tcPr>
          <w:p w14:paraId="0E7A03A0">
            <w:pPr>
              <w:wordWrap w:val="0"/>
              <w:spacing w:line="360" w:lineRule="auto"/>
              <w:jc w:val="center"/>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条款名称</w:t>
            </w:r>
          </w:p>
        </w:tc>
        <w:tc>
          <w:tcPr>
            <w:tcW w:w="6132" w:type="dxa"/>
            <w:vAlign w:val="center"/>
          </w:tcPr>
          <w:p w14:paraId="79E9C712">
            <w:pPr>
              <w:wordWrap w:val="0"/>
              <w:spacing w:line="360" w:lineRule="auto"/>
              <w:jc w:val="center"/>
              <w:rPr>
                <w:rFonts w:ascii="黑体" w:hAnsi="黑体" w:eastAsia="黑体" w:cs="宋体"/>
                <w:color w:val="auto"/>
                <w:sz w:val="24"/>
                <w:szCs w:val="24"/>
                <w:highlight w:val="none"/>
              </w:rPr>
            </w:pPr>
            <w:r>
              <w:rPr>
                <w:rFonts w:hint="eastAsia" w:ascii="黑体" w:hAnsi="黑体" w:eastAsia="黑体" w:cs="宋体"/>
                <w:color w:val="auto"/>
                <w:sz w:val="24"/>
                <w:szCs w:val="24"/>
                <w:highlight w:val="none"/>
              </w:rPr>
              <w:t>内容及要求</w:t>
            </w:r>
          </w:p>
        </w:tc>
      </w:tr>
      <w:tr w14:paraId="768C98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C7F4242">
            <w:pPr>
              <w:wordWrap w:val="0"/>
              <w:spacing w:line="360" w:lineRule="auto"/>
              <w:jc w:val="center"/>
              <w:rPr>
                <w:rFonts w:ascii="宋体" w:hAnsi="宋体"/>
                <w:color w:val="auto"/>
                <w:sz w:val="24"/>
                <w:szCs w:val="24"/>
                <w:highlight w:val="none"/>
                <w:lang w:val="zh-CN"/>
              </w:rPr>
            </w:pPr>
            <w:bookmarkStart w:id="11" w:name="_Hlk97206540"/>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091D992C">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采购人</w:t>
            </w:r>
          </w:p>
        </w:tc>
        <w:tc>
          <w:tcPr>
            <w:tcW w:w="6132" w:type="dxa"/>
            <w:vAlign w:val="center"/>
          </w:tcPr>
          <w:p w14:paraId="4F89F37E">
            <w:pPr>
              <w:wordWrap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CN"/>
              </w:rPr>
              <w:t>兰州市财政局</w:t>
            </w:r>
          </w:p>
          <w:p w14:paraId="7A4EFFB0">
            <w:pPr>
              <w:wordWrap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兰州市城关区中山路</w:t>
            </w:r>
          </w:p>
          <w:p w14:paraId="43B3F7C0">
            <w:pPr>
              <w:wordWrap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樊雪</w:t>
            </w:r>
          </w:p>
          <w:p w14:paraId="6A34617B">
            <w:pPr>
              <w:wordWrap w:val="0"/>
              <w:spacing w:line="360" w:lineRule="auto"/>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0931-8105053</w:t>
            </w:r>
          </w:p>
        </w:tc>
      </w:tr>
      <w:tr w14:paraId="36B4BD7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AC83661">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3DDACB47">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采购代理机构</w:t>
            </w:r>
          </w:p>
        </w:tc>
        <w:tc>
          <w:tcPr>
            <w:tcW w:w="6132" w:type="dxa"/>
            <w:vAlign w:val="center"/>
          </w:tcPr>
          <w:p w14:paraId="0DB54ACC">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集采机构：兰州市公共资源交易中心</w:t>
            </w:r>
          </w:p>
          <w:p w14:paraId="7F032C14">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地址：兰州市城关区东岗东路1786号3-4楼</w:t>
            </w:r>
          </w:p>
          <w:p w14:paraId="37BEEF68">
            <w:pPr>
              <w:wordWrap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赵晖</w:t>
            </w:r>
          </w:p>
          <w:p w14:paraId="32F3313D">
            <w:pPr>
              <w:wordWrap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联系电话：</w:t>
            </w:r>
            <w:r>
              <w:rPr>
                <w:rFonts w:hint="eastAsia" w:ascii="宋体" w:hAnsi="宋体"/>
                <w:color w:val="auto"/>
                <w:sz w:val="24"/>
                <w:szCs w:val="24"/>
                <w:highlight w:val="none"/>
              </w:rPr>
              <w:t>0931-</w:t>
            </w:r>
            <w:r>
              <w:rPr>
                <w:rFonts w:hint="eastAsia" w:ascii="宋体" w:hAnsi="宋体"/>
                <w:color w:val="auto"/>
                <w:sz w:val="24"/>
                <w:szCs w:val="24"/>
                <w:highlight w:val="none"/>
                <w:lang w:eastAsia="zh-CN"/>
              </w:rPr>
              <w:t>4608326</w:t>
            </w:r>
          </w:p>
        </w:tc>
      </w:tr>
      <w:bookmarkEnd w:id="11"/>
      <w:tr w14:paraId="37E2C3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ED44814">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40DE11A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6132" w:type="dxa"/>
            <w:vAlign w:val="center"/>
          </w:tcPr>
          <w:p w14:paraId="22587DE7">
            <w:pPr>
              <w:wordWrap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105001JH054</w:t>
            </w:r>
          </w:p>
        </w:tc>
      </w:tr>
      <w:tr w14:paraId="3A57F60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18295F1">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59BEFF4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6132" w:type="dxa"/>
            <w:vAlign w:val="center"/>
          </w:tcPr>
          <w:p w14:paraId="0F549154">
            <w:pPr>
              <w:wordWrap w:val="0"/>
              <w:spacing w:line="360" w:lineRule="auto"/>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lang w:eastAsia="zh-CN"/>
              </w:rPr>
              <w:t>评价评估服务</w:t>
            </w:r>
          </w:p>
        </w:tc>
      </w:tr>
      <w:tr w14:paraId="7F1A364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B85E1A0">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3A2D9FB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采购预算</w:t>
            </w:r>
          </w:p>
        </w:tc>
        <w:tc>
          <w:tcPr>
            <w:tcW w:w="6132" w:type="dxa"/>
            <w:vAlign w:val="center"/>
          </w:tcPr>
          <w:p w14:paraId="03556BEE">
            <w:pPr>
              <w:wordWrap w:val="0"/>
              <w:spacing w:line="360" w:lineRule="auto"/>
              <w:rPr>
                <w:rFonts w:ascii="宋体" w:hAnsi="宋体"/>
                <w:color w:val="auto"/>
                <w:sz w:val="24"/>
                <w:szCs w:val="24"/>
                <w:highlight w:val="none"/>
              </w:rPr>
            </w:pPr>
            <w:r>
              <w:rPr>
                <w:rFonts w:hint="eastAsia" w:ascii="宋体" w:hAnsi="宋体" w:cs="宋体"/>
                <w:color w:val="auto"/>
                <w:sz w:val="24"/>
                <w:szCs w:val="24"/>
                <w:highlight w:val="none"/>
                <w:lang w:val="en-US" w:eastAsia="zh-CN"/>
              </w:rPr>
              <w:t>210.8</w:t>
            </w:r>
            <w:r>
              <w:rPr>
                <w:rFonts w:hint="eastAsia" w:ascii="宋体" w:hAnsi="宋体"/>
                <w:color w:val="auto"/>
                <w:sz w:val="24"/>
                <w:szCs w:val="24"/>
                <w:highlight w:val="none"/>
              </w:rPr>
              <w:t>万元</w:t>
            </w:r>
          </w:p>
        </w:tc>
      </w:tr>
      <w:tr w14:paraId="79CABB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BA0C060">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5100DC0B">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最高限价</w:t>
            </w:r>
          </w:p>
        </w:tc>
        <w:tc>
          <w:tcPr>
            <w:tcW w:w="6132" w:type="dxa"/>
            <w:vAlign w:val="center"/>
          </w:tcPr>
          <w:p w14:paraId="2906828A">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无</w:t>
            </w:r>
          </w:p>
        </w:tc>
      </w:tr>
      <w:tr w14:paraId="61FF02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17D8AC4">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78417437">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采购方式</w:t>
            </w:r>
          </w:p>
        </w:tc>
        <w:tc>
          <w:tcPr>
            <w:tcW w:w="6132" w:type="dxa"/>
            <w:vAlign w:val="center"/>
          </w:tcPr>
          <w:p w14:paraId="02145B4B">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公开招标</w:t>
            </w:r>
          </w:p>
        </w:tc>
      </w:tr>
      <w:tr w14:paraId="2D9926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F1828B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1.</w:t>
            </w:r>
            <w:r>
              <w:rPr>
                <w:rFonts w:ascii="宋体" w:hAnsi="宋体"/>
                <w:color w:val="auto"/>
                <w:sz w:val="24"/>
                <w:szCs w:val="24"/>
                <w:highlight w:val="none"/>
                <w:lang w:val="zh-CN"/>
              </w:rPr>
              <w:t>1</w:t>
            </w:r>
          </w:p>
        </w:tc>
        <w:tc>
          <w:tcPr>
            <w:tcW w:w="1910" w:type="dxa"/>
            <w:vAlign w:val="center"/>
          </w:tcPr>
          <w:p w14:paraId="2CDE8CC2">
            <w:pPr>
              <w:wordWrap w:val="0"/>
              <w:spacing w:line="360" w:lineRule="auto"/>
              <w:jc w:val="center"/>
              <w:rPr>
                <w:rFonts w:ascii="宋体" w:hAnsi="宋体"/>
                <w:b/>
                <w:bCs/>
                <w:color w:val="auto"/>
                <w:sz w:val="24"/>
                <w:szCs w:val="24"/>
                <w:highlight w:val="none"/>
              </w:rPr>
            </w:pPr>
            <w:r>
              <w:rPr>
                <w:rFonts w:hint="eastAsia" w:ascii="宋体" w:hAnsi="宋体"/>
                <w:color w:val="auto"/>
                <w:sz w:val="24"/>
                <w:szCs w:val="24"/>
                <w:highlight w:val="none"/>
              </w:rPr>
              <w:t>采购类型</w:t>
            </w:r>
          </w:p>
        </w:tc>
        <w:tc>
          <w:tcPr>
            <w:tcW w:w="6132" w:type="dxa"/>
            <w:vAlign w:val="center"/>
          </w:tcPr>
          <w:p w14:paraId="70CAC29E">
            <w:pPr>
              <w:wordWrap w:val="0"/>
              <w:spacing w:line="360" w:lineRule="auto"/>
              <w:rPr>
                <w:rFonts w:ascii="宋体" w:hAnsi="宋体"/>
                <w:b/>
                <w:bCs/>
                <w:color w:val="auto"/>
                <w:sz w:val="24"/>
                <w:szCs w:val="24"/>
                <w:highlight w:val="none"/>
              </w:rPr>
            </w:pPr>
            <w:r>
              <w:rPr>
                <w:rFonts w:hint="eastAsia" w:ascii="宋体" w:hAnsi="宋体"/>
                <w:color w:val="auto"/>
                <w:sz w:val="24"/>
                <w:szCs w:val="24"/>
                <w:highlight w:val="none"/>
              </w:rPr>
              <w:t>服务类</w:t>
            </w:r>
          </w:p>
        </w:tc>
      </w:tr>
      <w:tr w14:paraId="13900B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7731EE">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p>
        </w:tc>
        <w:tc>
          <w:tcPr>
            <w:tcW w:w="1910" w:type="dxa"/>
            <w:vAlign w:val="center"/>
          </w:tcPr>
          <w:p w14:paraId="62C35D83">
            <w:pPr>
              <w:wordWrap w:val="0"/>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面向中小企业</w:t>
            </w:r>
          </w:p>
          <w:p w14:paraId="7BE75390">
            <w:pPr>
              <w:wordWrap w:val="0"/>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预留采购份额</w:t>
            </w:r>
          </w:p>
        </w:tc>
        <w:tc>
          <w:tcPr>
            <w:tcW w:w="6132" w:type="dxa"/>
            <w:vAlign w:val="center"/>
          </w:tcPr>
          <w:p w14:paraId="747DA782">
            <w:pPr>
              <w:wordWrap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预留比例</w:t>
            </w:r>
            <w:r>
              <w:rPr>
                <w:rFonts w:hint="eastAsia" w:ascii="宋体" w:hAnsi="宋体"/>
                <w:bCs/>
                <w:color w:val="auto"/>
                <w:sz w:val="24"/>
                <w:szCs w:val="24"/>
                <w:highlight w:val="none"/>
                <w:lang w:val="en-US" w:eastAsia="zh-CN"/>
              </w:rPr>
              <w:t>75</w:t>
            </w:r>
            <w:r>
              <w:rPr>
                <w:rFonts w:hint="eastAsia" w:ascii="宋体" w:hAnsi="宋体"/>
                <w:bCs/>
                <w:color w:val="auto"/>
                <w:sz w:val="24"/>
                <w:szCs w:val="24"/>
                <w:highlight w:val="none"/>
              </w:rPr>
              <w:t>%（其中预留小微企业比例0%）</w:t>
            </w:r>
          </w:p>
        </w:tc>
      </w:tr>
      <w:tr w14:paraId="7806064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808CAC9">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p>
        </w:tc>
        <w:tc>
          <w:tcPr>
            <w:tcW w:w="1910" w:type="dxa"/>
            <w:vAlign w:val="center"/>
          </w:tcPr>
          <w:p w14:paraId="24583EE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进口产品</w:t>
            </w:r>
          </w:p>
          <w:p w14:paraId="68724BD5">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（货物类适用）</w:t>
            </w:r>
          </w:p>
        </w:tc>
        <w:tc>
          <w:tcPr>
            <w:tcW w:w="6132" w:type="dxa"/>
            <w:vAlign w:val="center"/>
          </w:tcPr>
          <w:p w14:paraId="03D40665">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否（注：</w:t>
            </w:r>
            <w:r>
              <w:rPr>
                <w:rFonts w:ascii="宋体" w:hAnsi="宋体"/>
                <w:color w:val="auto"/>
                <w:sz w:val="24"/>
                <w:szCs w:val="24"/>
                <w:highlight w:val="none"/>
              </w:rPr>
              <w:t>1</w:t>
            </w:r>
            <w:r>
              <w:rPr>
                <w:rFonts w:hint="eastAsia" w:ascii="宋体" w:hAnsi="宋体"/>
                <w:color w:val="auto"/>
                <w:sz w:val="24"/>
                <w:szCs w:val="24"/>
                <w:highlight w:val="none"/>
              </w:rPr>
              <w:t>.否，不允许提供进口产品投标，提供进口产品投标视为投标无效；</w:t>
            </w:r>
            <w:r>
              <w:rPr>
                <w:rFonts w:ascii="宋体" w:hAnsi="宋体"/>
                <w:color w:val="auto"/>
                <w:sz w:val="24"/>
                <w:szCs w:val="24"/>
                <w:highlight w:val="none"/>
              </w:rPr>
              <w:t>2</w:t>
            </w:r>
            <w:r>
              <w:rPr>
                <w:rFonts w:hint="eastAsia" w:ascii="宋体" w:hAnsi="宋体"/>
                <w:color w:val="auto"/>
                <w:sz w:val="24"/>
                <w:szCs w:val="24"/>
                <w:highlight w:val="none"/>
              </w:rPr>
              <w:t>.是，已获得采购进口产品核准，允许提供进口产品或国产产品投标）</w:t>
            </w:r>
          </w:p>
        </w:tc>
      </w:tr>
      <w:tr w14:paraId="41EF64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A2B33AD">
            <w:pPr>
              <w:wordWrap w:val="0"/>
              <w:spacing w:line="360" w:lineRule="auto"/>
              <w:jc w:val="center"/>
              <w:rPr>
                <w:rFonts w:ascii="宋体" w:hAnsi="宋体"/>
                <w:color w:val="auto"/>
                <w:sz w:val="24"/>
                <w:szCs w:val="24"/>
                <w:highlight w:val="none"/>
              </w:rPr>
            </w:pPr>
            <w:r>
              <w:rPr>
                <w:rFonts w:ascii="宋体" w:hAnsi="宋体"/>
                <w:color w:val="auto"/>
                <w:sz w:val="24"/>
                <w:szCs w:val="24"/>
                <w:highlight w:val="none"/>
                <w:lang w:val="zh-CN"/>
              </w:rPr>
              <w:t>1.5</w:t>
            </w:r>
          </w:p>
        </w:tc>
        <w:tc>
          <w:tcPr>
            <w:tcW w:w="1910" w:type="dxa"/>
            <w:vAlign w:val="center"/>
          </w:tcPr>
          <w:p w14:paraId="066A26BA">
            <w:pPr>
              <w:wordWrap w:val="0"/>
              <w:spacing w:line="360" w:lineRule="auto"/>
              <w:jc w:val="center"/>
              <w:rPr>
                <w:rFonts w:ascii="宋体" w:hAnsi="宋体"/>
                <w:color w:val="auto"/>
                <w:sz w:val="24"/>
                <w:szCs w:val="24"/>
                <w:highlight w:val="none"/>
              </w:rPr>
            </w:pPr>
            <w:r>
              <w:rPr>
                <w:rFonts w:ascii="宋体" w:hAnsi="宋体"/>
                <w:color w:val="auto"/>
                <w:sz w:val="24"/>
                <w:szCs w:val="24"/>
                <w:highlight w:val="none"/>
              </w:rPr>
              <w:t>代理服务费</w:t>
            </w:r>
          </w:p>
        </w:tc>
        <w:tc>
          <w:tcPr>
            <w:tcW w:w="6132" w:type="dxa"/>
            <w:vAlign w:val="center"/>
          </w:tcPr>
          <w:p w14:paraId="315C6DDC">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无</w:t>
            </w:r>
          </w:p>
        </w:tc>
      </w:tr>
      <w:tr w14:paraId="459D4E1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7FF569A">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2.1.2</w:t>
            </w:r>
          </w:p>
        </w:tc>
        <w:tc>
          <w:tcPr>
            <w:tcW w:w="1910" w:type="dxa"/>
            <w:vAlign w:val="center"/>
          </w:tcPr>
          <w:p w14:paraId="39AA1382">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澄清或者修改</w:t>
            </w:r>
          </w:p>
        </w:tc>
        <w:tc>
          <w:tcPr>
            <w:tcW w:w="6132" w:type="dxa"/>
            <w:vAlign w:val="center"/>
          </w:tcPr>
          <w:p w14:paraId="4CBB3998">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澄清或者修改的内容作为招标文件的组成部分，以网上更正公告的形式通知所有获取招标文件的潜在投标人。网上更正公告同时在“甘肃政府采购网”（http://www.ccgp-gansu.gov.cn/index）和“兰州市公共资源交易中心网站”（http://lzggzyjy.lanzhou.gov.cn）发布。</w:t>
            </w:r>
          </w:p>
        </w:tc>
      </w:tr>
      <w:tr w14:paraId="2E17B0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ECA9CD4">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2.1.3</w:t>
            </w:r>
          </w:p>
        </w:tc>
        <w:tc>
          <w:tcPr>
            <w:tcW w:w="1910" w:type="dxa"/>
            <w:vAlign w:val="center"/>
          </w:tcPr>
          <w:p w14:paraId="7DEF593D">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现场考察</w:t>
            </w:r>
          </w:p>
          <w:p w14:paraId="623F6C6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或者答疑会</w:t>
            </w:r>
          </w:p>
        </w:tc>
        <w:tc>
          <w:tcPr>
            <w:tcW w:w="6132" w:type="dxa"/>
            <w:vAlign w:val="center"/>
          </w:tcPr>
          <w:p w14:paraId="362E6CFB">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否（注：</w:t>
            </w:r>
            <w:r>
              <w:rPr>
                <w:rFonts w:ascii="宋体" w:hAnsi="宋体"/>
                <w:color w:val="auto"/>
                <w:sz w:val="24"/>
                <w:szCs w:val="24"/>
                <w:highlight w:val="none"/>
              </w:rPr>
              <w:t>1</w:t>
            </w:r>
            <w:r>
              <w:rPr>
                <w:rFonts w:hint="eastAsia" w:ascii="宋体" w:hAnsi="宋体"/>
                <w:color w:val="auto"/>
                <w:sz w:val="24"/>
                <w:szCs w:val="24"/>
                <w:highlight w:val="none"/>
              </w:rPr>
              <w:t>.否，采购人不组织现场考察或者召开答疑会；</w:t>
            </w:r>
            <w:r>
              <w:rPr>
                <w:rFonts w:ascii="宋体" w:hAnsi="宋体"/>
                <w:color w:val="auto"/>
                <w:sz w:val="24"/>
                <w:szCs w:val="24"/>
                <w:highlight w:val="none"/>
              </w:rPr>
              <w:t>2</w:t>
            </w:r>
            <w:r>
              <w:rPr>
                <w:rFonts w:hint="eastAsia" w:ascii="宋体" w:hAnsi="宋体"/>
                <w:color w:val="auto"/>
                <w:sz w:val="24"/>
                <w:szCs w:val="24"/>
                <w:highlight w:val="none"/>
              </w:rPr>
              <w:t>.是，采购人组织现场考察或者召开答疑会）</w:t>
            </w:r>
          </w:p>
        </w:tc>
      </w:tr>
      <w:tr w14:paraId="63B91D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DDCE31E">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2.2.3</w:t>
            </w:r>
          </w:p>
        </w:tc>
        <w:tc>
          <w:tcPr>
            <w:tcW w:w="1910" w:type="dxa"/>
            <w:vAlign w:val="center"/>
          </w:tcPr>
          <w:p w14:paraId="7E01E430">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投标有效期</w:t>
            </w:r>
          </w:p>
        </w:tc>
        <w:tc>
          <w:tcPr>
            <w:tcW w:w="6132" w:type="dxa"/>
            <w:vAlign w:val="center"/>
          </w:tcPr>
          <w:p w14:paraId="299C1407">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从提交投标文件的截止之日起90日内有效。</w:t>
            </w:r>
          </w:p>
        </w:tc>
      </w:tr>
      <w:tr w14:paraId="43BCA33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FAD5984">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2.2.4</w:t>
            </w:r>
          </w:p>
        </w:tc>
        <w:tc>
          <w:tcPr>
            <w:tcW w:w="1910" w:type="dxa"/>
            <w:vAlign w:val="center"/>
          </w:tcPr>
          <w:p w14:paraId="485008A0">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投标保证金</w:t>
            </w:r>
          </w:p>
        </w:tc>
        <w:tc>
          <w:tcPr>
            <w:tcW w:w="6132" w:type="dxa"/>
            <w:vAlign w:val="center"/>
          </w:tcPr>
          <w:p w14:paraId="4167BCA3">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无</w:t>
            </w:r>
          </w:p>
        </w:tc>
      </w:tr>
      <w:tr w14:paraId="6880E5F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6CF35D3">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2.2.5.1</w:t>
            </w:r>
          </w:p>
        </w:tc>
        <w:tc>
          <w:tcPr>
            <w:tcW w:w="1910" w:type="dxa"/>
            <w:vAlign w:val="center"/>
          </w:tcPr>
          <w:p w14:paraId="4650B140">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投标人资格要求</w:t>
            </w:r>
          </w:p>
        </w:tc>
        <w:tc>
          <w:tcPr>
            <w:tcW w:w="6132" w:type="dxa"/>
            <w:vAlign w:val="center"/>
          </w:tcPr>
          <w:p w14:paraId="3731573E">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672D3125">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szCs w:val="24"/>
                <w:highlight w:val="none"/>
              </w:rPr>
              <w:t>本项目面向中小企业预留采购份额，预留比例</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%（其中预留小微企业比例</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%），须提供《中小企业声明函》或者《残疾人福利性单位声明函》或者由省级以上监狱管理局、戒毒管理局（含新疆生产建设兵团）出具的属于监狱企业的证明文件。</w:t>
            </w:r>
          </w:p>
          <w:p w14:paraId="1045F328">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具体为: （第一包、第二包、第三包、第四包、第五包、第八包、第十包）面向中小企业预留采购份额预留比例100%（其中预留小微企业比例0%）；（第六包、第七包、第九包）面向中小企业预留采购份额预留比例0%（其中预留小微企业比例0%）；</w:t>
            </w:r>
          </w:p>
          <w:p w14:paraId="61DBB877">
            <w:pPr>
              <w:wordWrap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p>
        </w:tc>
      </w:tr>
      <w:tr w14:paraId="0A34FE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40376F2">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2.2.5.2</w:t>
            </w:r>
          </w:p>
        </w:tc>
        <w:tc>
          <w:tcPr>
            <w:tcW w:w="1910" w:type="dxa"/>
            <w:vAlign w:val="center"/>
          </w:tcPr>
          <w:p w14:paraId="03F6F490">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联合体投标</w:t>
            </w:r>
          </w:p>
        </w:tc>
        <w:tc>
          <w:tcPr>
            <w:tcW w:w="6132" w:type="dxa"/>
            <w:vAlign w:val="center"/>
          </w:tcPr>
          <w:p w14:paraId="3410F934">
            <w:pPr>
              <w:wordWrap w:val="0"/>
              <w:spacing w:line="360" w:lineRule="auto"/>
              <w:rPr>
                <w:rFonts w:ascii="宋体" w:hAnsi="宋体"/>
                <w:color w:val="auto"/>
                <w:sz w:val="24"/>
                <w:szCs w:val="24"/>
                <w:highlight w:val="none"/>
              </w:rPr>
            </w:pPr>
            <w:r>
              <w:rPr>
                <w:rFonts w:hint="eastAsia" w:ascii="宋体" w:hAnsi="宋体" w:cs="宋体"/>
                <w:color w:val="auto"/>
                <w:sz w:val="24"/>
                <w:szCs w:val="24"/>
                <w:highlight w:val="none"/>
              </w:rPr>
              <w:t>否（注：</w:t>
            </w:r>
            <w:r>
              <w:rPr>
                <w:rFonts w:ascii="宋体" w:hAnsi="宋体" w:cs="宋体"/>
                <w:color w:val="auto"/>
                <w:sz w:val="24"/>
                <w:szCs w:val="24"/>
                <w:highlight w:val="none"/>
              </w:rPr>
              <w:t>1</w:t>
            </w:r>
            <w:r>
              <w:rPr>
                <w:rFonts w:hint="eastAsia" w:ascii="宋体" w:hAnsi="宋体" w:cs="宋体"/>
                <w:color w:val="auto"/>
                <w:sz w:val="24"/>
                <w:szCs w:val="24"/>
                <w:highlight w:val="none"/>
              </w:rPr>
              <w:t>.否，不接受联合体投标；</w:t>
            </w:r>
            <w:r>
              <w:rPr>
                <w:rFonts w:ascii="宋体" w:hAnsi="宋体" w:cs="宋体"/>
                <w:color w:val="auto"/>
                <w:sz w:val="24"/>
                <w:szCs w:val="24"/>
                <w:highlight w:val="none"/>
              </w:rPr>
              <w:t>2</w:t>
            </w:r>
            <w:r>
              <w:rPr>
                <w:rFonts w:hint="eastAsia" w:ascii="宋体" w:hAnsi="宋体" w:cs="宋体"/>
                <w:color w:val="auto"/>
                <w:sz w:val="24"/>
                <w:szCs w:val="24"/>
                <w:highlight w:val="none"/>
              </w:rPr>
              <w:t>.是，接受联合体投标）</w:t>
            </w:r>
          </w:p>
        </w:tc>
      </w:tr>
      <w:tr w14:paraId="08828A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E23DAE8">
            <w:pPr>
              <w:wordWrap w:val="0"/>
              <w:spacing w:line="360" w:lineRule="auto"/>
              <w:jc w:val="center"/>
              <w:rPr>
                <w:rFonts w:ascii="宋体" w:hAnsi="宋体"/>
                <w:color w:val="auto"/>
                <w:sz w:val="24"/>
                <w:szCs w:val="24"/>
                <w:highlight w:val="none"/>
                <w:lang w:val="zh-CN"/>
              </w:rPr>
            </w:pPr>
            <w:bookmarkStart w:id="12" w:name="_Hlk104275399"/>
            <w:r>
              <w:rPr>
                <w:rFonts w:hint="eastAsia" w:ascii="宋体" w:hAnsi="宋体"/>
                <w:color w:val="auto"/>
                <w:sz w:val="24"/>
                <w:szCs w:val="24"/>
                <w:highlight w:val="none"/>
                <w:lang w:val="zh-CN"/>
              </w:rPr>
              <w:t>2</w:t>
            </w:r>
            <w:r>
              <w:rPr>
                <w:rFonts w:ascii="宋体" w:hAnsi="宋体"/>
                <w:color w:val="auto"/>
                <w:sz w:val="24"/>
                <w:szCs w:val="24"/>
                <w:highlight w:val="none"/>
                <w:lang w:val="zh-CN"/>
              </w:rPr>
              <w:t>.2.5.3</w:t>
            </w:r>
          </w:p>
        </w:tc>
        <w:tc>
          <w:tcPr>
            <w:tcW w:w="1910" w:type="dxa"/>
            <w:vAlign w:val="center"/>
          </w:tcPr>
          <w:p w14:paraId="3091BAD8">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采取分包方式</w:t>
            </w:r>
          </w:p>
          <w:p w14:paraId="61B9ABA9">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履行合同</w:t>
            </w:r>
          </w:p>
        </w:tc>
        <w:tc>
          <w:tcPr>
            <w:tcW w:w="6132" w:type="dxa"/>
            <w:vAlign w:val="center"/>
          </w:tcPr>
          <w:p w14:paraId="2AFB5F44">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否（注：</w:t>
            </w:r>
            <w:r>
              <w:rPr>
                <w:rFonts w:ascii="宋体" w:hAnsi="宋体" w:cs="宋体"/>
                <w:color w:val="auto"/>
                <w:sz w:val="24"/>
                <w:szCs w:val="24"/>
                <w:highlight w:val="none"/>
              </w:rPr>
              <w:t>1</w:t>
            </w:r>
            <w:r>
              <w:rPr>
                <w:rFonts w:hint="eastAsia" w:ascii="宋体" w:hAnsi="宋体" w:cs="宋体"/>
                <w:color w:val="auto"/>
                <w:sz w:val="24"/>
                <w:szCs w:val="24"/>
                <w:highlight w:val="none"/>
              </w:rPr>
              <w:t>.否，不同意中标人采取分包方式履行合同；</w:t>
            </w:r>
            <w:r>
              <w:rPr>
                <w:rFonts w:ascii="宋体" w:hAnsi="宋体" w:cs="宋体"/>
                <w:color w:val="auto"/>
                <w:sz w:val="24"/>
                <w:szCs w:val="24"/>
                <w:highlight w:val="none"/>
              </w:rPr>
              <w:t>2</w:t>
            </w:r>
            <w:r>
              <w:rPr>
                <w:rFonts w:hint="eastAsia" w:ascii="宋体" w:hAnsi="宋体" w:cs="宋体"/>
                <w:color w:val="auto"/>
                <w:sz w:val="24"/>
                <w:szCs w:val="24"/>
                <w:highlight w:val="none"/>
              </w:rPr>
              <w:t>.是，同意中标人采取分包方式履行合同）</w:t>
            </w:r>
          </w:p>
        </w:tc>
      </w:tr>
      <w:bookmarkEnd w:id="12"/>
      <w:tr w14:paraId="0EE7EE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30CC437">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2.3.3</w:t>
            </w:r>
          </w:p>
        </w:tc>
        <w:tc>
          <w:tcPr>
            <w:tcW w:w="1910" w:type="dxa"/>
            <w:vAlign w:val="center"/>
          </w:tcPr>
          <w:p w14:paraId="6BD02C4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投标文件制作</w:t>
            </w:r>
          </w:p>
          <w:p w14:paraId="2C3F5F69">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工具</w:t>
            </w:r>
          </w:p>
        </w:tc>
        <w:tc>
          <w:tcPr>
            <w:tcW w:w="6132" w:type="dxa"/>
            <w:vAlign w:val="center"/>
          </w:tcPr>
          <w:p w14:paraId="163BFADE">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“新点投标文件制作软件（兰州版）”（</w:t>
            </w:r>
            <w:r>
              <w:rPr>
                <w:rFonts w:hint="eastAsia" w:ascii="宋体" w:hAnsi="宋体" w:cs="宋体"/>
                <w:color w:val="auto"/>
                <w:sz w:val="24"/>
                <w:highlight w:val="none"/>
              </w:rPr>
              <w:t>操作手册及</w:t>
            </w:r>
            <w:r>
              <w:rPr>
                <w:rFonts w:hint="eastAsia" w:ascii="宋体" w:hAnsi="宋体"/>
                <w:color w:val="auto"/>
                <w:sz w:val="24"/>
                <w:szCs w:val="24"/>
                <w:highlight w:val="none"/>
              </w:rPr>
              <w:t>下载网址：http://lzggzyjy.lanzhou.gov.cn/fwzn/003003/20200512/aac3d755-c58c-4124-868c-0c67daae15d1）</w:t>
            </w:r>
          </w:p>
          <w:p w14:paraId="1613C136">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技术咨询电话：0931-4608344，4009980000</w:t>
            </w:r>
          </w:p>
        </w:tc>
      </w:tr>
      <w:tr w14:paraId="30575AA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BCA702">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2.3.4</w:t>
            </w:r>
          </w:p>
        </w:tc>
        <w:tc>
          <w:tcPr>
            <w:tcW w:w="1910" w:type="dxa"/>
            <w:vAlign w:val="center"/>
          </w:tcPr>
          <w:p w14:paraId="4A5FE618">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制作投标文件</w:t>
            </w:r>
          </w:p>
        </w:tc>
        <w:tc>
          <w:tcPr>
            <w:tcW w:w="6132" w:type="dxa"/>
            <w:vAlign w:val="center"/>
          </w:tcPr>
          <w:p w14:paraId="5C0B15FC">
            <w:pPr>
              <w:wordWrap w:val="0"/>
              <w:spacing w:line="360" w:lineRule="auto"/>
              <w:rPr>
                <w:rFonts w:ascii="宋体" w:hAnsi="宋体"/>
                <w:color w:val="auto"/>
                <w:sz w:val="24"/>
                <w:szCs w:val="24"/>
                <w:highlight w:val="none"/>
              </w:rPr>
            </w:pPr>
            <w:r>
              <w:rPr>
                <w:rFonts w:hint="eastAsia" w:ascii="宋体" w:hAnsi="宋体"/>
                <w:bCs/>
                <w:color w:val="auto"/>
                <w:sz w:val="24"/>
                <w:szCs w:val="24"/>
                <w:highlight w:val="none"/>
              </w:rPr>
              <w:t>投标人使用</w:t>
            </w:r>
            <w:r>
              <w:rPr>
                <w:rFonts w:hint="eastAsia" w:ascii="宋体" w:hAnsi="宋体"/>
                <w:color w:val="auto"/>
                <w:sz w:val="24"/>
                <w:szCs w:val="24"/>
                <w:highlight w:val="none"/>
              </w:rPr>
              <w:t>“新点投标文件制作软件（兰州版）”制作电子投标文件，并以数字证书（CA或移动CA）签章。</w:t>
            </w:r>
          </w:p>
        </w:tc>
      </w:tr>
      <w:tr w14:paraId="3A653C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23CDCE2">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2.3.5</w:t>
            </w:r>
          </w:p>
        </w:tc>
        <w:tc>
          <w:tcPr>
            <w:tcW w:w="1910" w:type="dxa"/>
            <w:vAlign w:val="center"/>
          </w:tcPr>
          <w:p w14:paraId="13F29063">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加密投标文件</w:t>
            </w:r>
          </w:p>
        </w:tc>
        <w:tc>
          <w:tcPr>
            <w:tcW w:w="6132" w:type="dxa"/>
            <w:vAlign w:val="center"/>
          </w:tcPr>
          <w:p w14:paraId="5B99E7FA">
            <w:pPr>
              <w:wordWrap w:val="0"/>
              <w:spacing w:line="360" w:lineRule="auto"/>
              <w:rPr>
                <w:rFonts w:ascii="宋体" w:hAnsi="宋体"/>
                <w:color w:val="auto"/>
                <w:sz w:val="24"/>
                <w:szCs w:val="24"/>
                <w:highlight w:val="none"/>
              </w:rPr>
            </w:pPr>
            <w:r>
              <w:rPr>
                <w:rFonts w:hint="eastAsia" w:ascii="宋体" w:hAnsi="宋体"/>
                <w:bCs/>
                <w:color w:val="auto"/>
                <w:sz w:val="24"/>
                <w:szCs w:val="24"/>
                <w:highlight w:val="none"/>
              </w:rPr>
              <w:t>投标人</w:t>
            </w:r>
            <w:r>
              <w:rPr>
                <w:rFonts w:hint="eastAsia" w:ascii="宋体" w:hAnsi="宋体"/>
                <w:color w:val="auto"/>
                <w:sz w:val="24"/>
                <w:szCs w:val="24"/>
                <w:highlight w:val="none"/>
              </w:rPr>
              <w:t>使用数字证书（CA或移动CA）加密电子投标文件。</w:t>
            </w:r>
          </w:p>
        </w:tc>
      </w:tr>
      <w:tr w14:paraId="7FC5F2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8D3F262">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2.3.6</w:t>
            </w:r>
          </w:p>
        </w:tc>
        <w:tc>
          <w:tcPr>
            <w:tcW w:w="1910" w:type="dxa"/>
            <w:vAlign w:val="center"/>
          </w:tcPr>
          <w:p w14:paraId="56068A25">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提交投标文件</w:t>
            </w:r>
          </w:p>
        </w:tc>
        <w:tc>
          <w:tcPr>
            <w:tcW w:w="6132" w:type="dxa"/>
            <w:vAlign w:val="center"/>
          </w:tcPr>
          <w:p w14:paraId="53EE8089">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投标人以“用户名+密码”方式或者数字证书（CA或移动CA）方式登录“兰州市公共资源服务系统”（http://lzggzyjy.lanzhou.gov.cn/TPBidder/memberLogin），提交以数字证书（CA或移动CA）加密的电子投标文件。</w:t>
            </w:r>
          </w:p>
        </w:tc>
      </w:tr>
      <w:tr w14:paraId="71CAF6F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F3B23E">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2.3.8</w:t>
            </w:r>
          </w:p>
        </w:tc>
        <w:tc>
          <w:tcPr>
            <w:tcW w:w="1910" w:type="dxa"/>
            <w:vAlign w:val="center"/>
          </w:tcPr>
          <w:p w14:paraId="0B09EDD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投标截止时间</w:t>
            </w:r>
          </w:p>
        </w:tc>
        <w:tc>
          <w:tcPr>
            <w:tcW w:w="6132" w:type="dxa"/>
            <w:vAlign w:val="center"/>
          </w:tcPr>
          <w:p w14:paraId="260DBFA4">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第一包至第三包</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日09:30（北京时间）</w:t>
            </w:r>
            <w:r>
              <w:rPr>
                <w:rFonts w:hint="eastAsia" w:ascii="宋体" w:hAnsi="宋体"/>
                <w:color w:val="auto"/>
                <w:sz w:val="24"/>
                <w:szCs w:val="24"/>
                <w:highlight w:val="none"/>
                <w:lang w:eastAsia="zh-CN"/>
              </w:rPr>
              <w:t>；</w:t>
            </w:r>
          </w:p>
          <w:p w14:paraId="4CC7516D">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第四包至第六包</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日09:30（北京时间）</w:t>
            </w:r>
            <w:r>
              <w:rPr>
                <w:rFonts w:hint="eastAsia" w:ascii="宋体" w:hAnsi="宋体"/>
                <w:color w:val="auto"/>
                <w:sz w:val="24"/>
                <w:szCs w:val="24"/>
                <w:highlight w:val="none"/>
                <w:lang w:eastAsia="zh-CN"/>
              </w:rPr>
              <w:t>；</w:t>
            </w:r>
          </w:p>
          <w:p w14:paraId="16F5E125">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第七包至第十包</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日09:30（北京时间）</w:t>
            </w:r>
            <w:r>
              <w:rPr>
                <w:rFonts w:hint="eastAsia" w:ascii="宋体" w:hAnsi="宋体"/>
                <w:color w:val="auto"/>
                <w:sz w:val="24"/>
                <w:szCs w:val="24"/>
                <w:highlight w:val="none"/>
                <w:lang w:eastAsia="zh-CN"/>
              </w:rPr>
              <w:t>；</w:t>
            </w:r>
          </w:p>
        </w:tc>
      </w:tr>
      <w:tr w14:paraId="01A481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2718095">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2.4.1</w:t>
            </w:r>
          </w:p>
        </w:tc>
        <w:tc>
          <w:tcPr>
            <w:tcW w:w="1910" w:type="dxa"/>
            <w:vAlign w:val="center"/>
          </w:tcPr>
          <w:p w14:paraId="275E8A9B">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开标工具</w:t>
            </w:r>
          </w:p>
        </w:tc>
        <w:tc>
          <w:tcPr>
            <w:tcW w:w="6132" w:type="dxa"/>
            <w:vAlign w:val="center"/>
          </w:tcPr>
          <w:p w14:paraId="70F811CE">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“兰州市不见</w:t>
            </w:r>
            <w:bookmarkStart w:id="403" w:name="_GoBack"/>
            <w:bookmarkEnd w:id="403"/>
            <w:r>
              <w:rPr>
                <w:rFonts w:hint="eastAsia" w:ascii="宋体" w:hAnsi="宋体"/>
                <w:color w:val="auto"/>
                <w:sz w:val="24"/>
                <w:szCs w:val="24"/>
                <w:highlight w:val="none"/>
              </w:rPr>
              <w:t>面开标系统（新点）”（http://bid.lzggzyjy.cn:8080/BidOpening/bidhall/default/login）</w:t>
            </w:r>
          </w:p>
          <w:p w14:paraId="77D00032">
            <w:pPr>
              <w:pStyle w:val="15"/>
              <w:wordWrap w:val="0"/>
              <w:spacing w:line="360" w:lineRule="auto"/>
              <w:rPr>
                <w:rFonts w:ascii="宋体" w:hAnsi="宋体"/>
                <w:color w:val="auto"/>
                <w:szCs w:val="24"/>
                <w:highlight w:val="none"/>
              </w:rPr>
            </w:pPr>
            <w:r>
              <w:rPr>
                <w:rFonts w:hint="eastAsia" w:ascii="宋体" w:hAnsi="宋体"/>
                <w:color w:val="auto"/>
                <w:szCs w:val="24"/>
                <w:highlight w:val="none"/>
              </w:rPr>
              <w:t>技术咨询电话：0931-4608344，4009980000</w:t>
            </w:r>
          </w:p>
        </w:tc>
      </w:tr>
      <w:tr w14:paraId="198F62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F14E7F3">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.4</w:t>
            </w:r>
            <w:r>
              <w:rPr>
                <w:rFonts w:hint="eastAsia" w:ascii="宋体" w:hAnsi="宋体"/>
                <w:color w:val="auto"/>
                <w:sz w:val="24"/>
                <w:szCs w:val="24"/>
                <w:highlight w:val="none"/>
              </w:rPr>
              <w:t>.2</w:t>
            </w:r>
          </w:p>
        </w:tc>
        <w:tc>
          <w:tcPr>
            <w:tcW w:w="1910" w:type="dxa"/>
            <w:vAlign w:val="center"/>
          </w:tcPr>
          <w:p w14:paraId="00131186">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开标要求</w:t>
            </w:r>
          </w:p>
        </w:tc>
        <w:tc>
          <w:tcPr>
            <w:tcW w:w="6132" w:type="dxa"/>
            <w:vAlign w:val="center"/>
          </w:tcPr>
          <w:p w14:paraId="76940227">
            <w:pPr>
              <w:spacing w:line="360" w:lineRule="auto"/>
              <w:rPr>
                <w:rFonts w:ascii="宋体" w:hAnsi="宋体"/>
                <w:color w:val="auto"/>
                <w:sz w:val="24"/>
                <w:szCs w:val="24"/>
                <w:highlight w:val="none"/>
              </w:rPr>
            </w:pPr>
            <w:r>
              <w:rPr>
                <w:rFonts w:hint="eastAsia" w:ascii="宋体" w:hAnsi="宋体"/>
                <w:color w:val="auto"/>
                <w:sz w:val="24"/>
                <w:szCs w:val="24"/>
                <w:highlight w:val="none"/>
              </w:rPr>
              <w:t>投标人以数字证书（CA或移动CA）方式登录“兰州市不见面开标系统（新点）”，选择进入本项目，在线参加网上不见面开标会议。</w:t>
            </w:r>
          </w:p>
          <w:p w14:paraId="27238AC5">
            <w:pPr>
              <w:pStyle w:val="15"/>
              <w:spacing w:line="360" w:lineRule="auto"/>
              <w:rPr>
                <w:color w:val="auto"/>
                <w:highlight w:val="none"/>
              </w:rPr>
            </w:pPr>
            <w:r>
              <w:rPr>
                <w:rFonts w:hint="eastAsia" w:ascii="宋体" w:hAnsi="宋体"/>
                <w:color w:val="auto"/>
                <w:szCs w:val="24"/>
                <w:highlight w:val="none"/>
              </w:rPr>
              <w:t>注：电子投标文件的加密和解密须为同一数字证书（CA或移动CA）。</w:t>
            </w:r>
          </w:p>
        </w:tc>
      </w:tr>
      <w:tr w14:paraId="59783CC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CD538F6">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rPr>
              <w:t>2.5</w:t>
            </w:r>
          </w:p>
        </w:tc>
        <w:tc>
          <w:tcPr>
            <w:tcW w:w="1910" w:type="dxa"/>
            <w:vAlign w:val="center"/>
          </w:tcPr>
          <w:p w14:paraId="0AF6FFED">
            <w:pPr>
              <w:tabs>
                <w:tab w:val="left" w:pos="240"/>
              </w:tabs>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资格审查</w:t>
            </w:r>
          </w:p>
        </w:tc>
        <w:tc>
          <w:tcPr>
            <w:tcW w:w="6132" w:type="dxa"/>
            <w:vAlign w:val="center"/>
          </w:tcPr>
          <w:p w14:paraId="40C4D04F">
            <w:pPr>
              <w:wordWrap w:val="0"/>
              <w:spacing w:line="360" w:lineRule="auto"/>
              <w:rPr>
                <w:rFonts w:ascii="宋体" w:hAnsi="宋体"/>
                <w:color w:val="auto"/>
                <w:sz w:val="24"/>
                <w:szCs w:val="24"/>
                <w:highlight w:val="none"/>
                <w:lang w:val="zh-CN"/>
              </w:rPr>
            </w:pPr>
            <w:r>
              <w:rPr>
                <w:rFonts w:hint="eastAsia" w:ascii="宋体" w:hAnsi="宋体"/>
                <w:color w:val="auto"/>
                <w:sz w:val="24"/>
                <w:szCs w:val="24"/>
                <w:highlight w:val="none"/>
              </w:rPr>
              <w:t>开标结束后，采购人</w:t>
            </w:r>
            <w:r>
              <w:rPr>
                <w:rFonts w:hint="eastAsia" w:ascii="宋体" w:hAnsi="宋体"/>
                <w:color w:val="auto"/>
                <w:sz w:val="24"/>
                <w:szCs w:val="24"/>
                <w:highlight w:val="none"/>
                <w:lang w:val="zh-CN"/>
              </w:rPr>
              <w:t>依法按招标文件要求</w:t>
            </w:r>
            <w:r>
              <w:rPr>
                <w:rFonts w:hint="eastAsia" w:ascii="宋体" w:hAnsi="宋体"/>
                <w:color w:val="auto"/>
                <w:sz w:val="24"/>
                <w:szCs w:val="24"/>
                <w:highlight w:val="none"/>
              </w:rPr>
              <w:t>对投标人的资格进行审查。</w:t>
            </w:r>
          </w:p>
        </w:tc>
      </w:tr>
      <w:tr w14:paraId="085154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4C10645">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2.6</w:t>
            </w:r>
          </w:p>
        </w:tc>
        <w:tc>
          <w:tcPr>
            <w:tcW w:w="1910" w:type="dxa"/>
            <w:vAlign w:val="center"/>
          </w:tcPr>
          <w:p w14:paraId="2C1A6CB2">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评标委员会</w:t>
            </w:r>
          </w:p>
        </w:tc>
        <w:tc>
          <w:tcPr>
            <w:tcW w:w="6132" w:type="dxa"/>
            <w:vAlign w:val="center"/>
          </w:tcPr>
          <w:p w14:paraId="0CC8A43C">
            <w:pPr>
              <w:pStyle w:val="15"/>
              <w:wordWrap w:val="0"/>
              <w:spacing w:line="360" w:lineRule="auto"/>
              <w:rPr>
                <w:rFonts w:ascii="宋体" w:hAnsi="宋体"/>
                <w:color w:val="auto"/>
                <w:szCs w:val="24"/>
                <w:highlight w:val="none"/>
              </w:rPr>
            </w:pPr>
            <w:r>
              <w:rPr>
                <w:rFonts w:hint="eastAsia" w:ascii="宋体" w:hAnsi="宋体"/>
                <w:color w:val="auto"/>
                <w:szCs w:val="24"/>
                <w:highlight w:val="none"/>
              </w:rPr>
              <w:t>评标委员会由采购人代表和评审专家组成，成员人数应当为5人以上单数，其中评审专家不得少于成员总数的三分之二。</w:t>
            </w:r>
          </w:p>
        </w:tc>
      </w:tr>
      <w:tr w14:paraId="555B2C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32E6555">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2.7.1</w:t>
            </w:r>
          </w:p>
        </w:tc>
        <w:tc>
          <w:tcPr>
            <w:tcW w:w="1910" w:type="dxa"/>
            <w:vAlign w:val="center"/>
          </w:tcPr>
          <w:p w14:paraId="15F23E34">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评标工具</w:t>
            </w:r>
          </w:p>
        </w:tc>
        <w:tc>
          <w:tcPr>
            <w:tcW w:w="6132" w:type="dxa"/>
            <w:vAlign w:val="center"/>
          </w:tcPr>
          <w:p w14:paraId="09491FF2">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“兰州市网上开评标系统”</w:t>
            </w:r>
          </w:p>
        </w:tc>
      </w:tr>
      <w:tr w14:paraId="7E0E359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5BC9872">
            <w:pPr>
              <w:wordWrap w:val="0"/>
              <w:spacing w:line="360" w:lineRule="auto"/>
              <w:jc w:val="center"/>
              <w:rPr>
                <w:rFonts w:ascii="宋体" w:hAnsi="宋体"/>
                <w:color w:val="auto"/>
                <w:sz w:val="24"/>
                <w:szCs w:val="24"/>
                <w:highlight w:val="none"/>
                <w:lang w:val="zh-CN"/>
              </w:rPr>
            </w:pPr>
            <w:r>
              <w:rPr>
                <w:rFonts w:ascii="宋体" w:hAnsi="宋体"/>
                <w:color w:val="auto"/>
                <w:sz w:val="24"/>
                <w:szCs w:val="24"/>
                <w:highlight w:val="none"/>
                <w:lang w:val="zh-CN"/>
              </w:rPr>
              <w:t>2.7.2</w:t>
            </w:r>
          </w:p>
        </w:tc>
        <w:tc>
          <w:tcPr>
            <w:tcW w:w="1910" w:type="dxa"/>
            <w:vAlign w:val="center"/>
          </w:tcPr>
          <w:p w14:paraId="4F310C0E">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符合性审查</w:t>
            </w:r>
          </w:p>
        </w:tc>
        <w:tc>
          <w:tcPr>
            <w:tcW w:w="6132" w:type="dxa"/>
            <w:vAlign w:val="center"/>
          </w:tcPr>
          <w:p w14:paraId="27A8493B">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详见招标文件正文</w:t>
            </w:r>
          </w:p>
        </w:tc>
      </w:tr>
      <w:tr w14:paraId="251A0A2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22B0E45">
            <w:pPr>
              <w:wordWrap w:val="0"/>
              <w:spacing w:line="360" w:lineRule="auto"/>
              <w:jc w:val="center"/>
              <w:rPr>
                <w:rFonts w:ascii="宋体" w:hAnsi="宋体"/>
                <w:color w:val="auto"/>
                <w:sz w:val="24"/>
                <w:szCs w:val="24"/>
                <w:highlight w:val="none"/>
                <w:lang w:val="zh-CN"/>
              </w:rPr>
            </w:pPr>
            <w:r>
              <w:rPr>
                <w:rFonts w:ascii="宋体" w:hAnsi="宋体"/>
                <w:color w:val="auto"/>
                <w:sz w:val="24"/>
                <w:szCs w:val="24"/>
                <w:highlight w:val="none"/>
                <w:lang w:val="zh-CN"/>
              </w:rPr>
              <w:t>2.7.3</w:t>
            </w:r>
          </w:p>
        </w:tc>
        <w:tc>
          <w:tcPr>
            <w:tcW w:w="1910" w:type="dxa"/>
            <w:vAlign w:val="center"/>
          </w:tcPr>
          <w:p w14:paraId="48CF1EE5">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澄清、说明或者补正</w:t>
            </w:r>
          </w:p>
        </w:tc>
        <w:tc>
          <w:tcPr>
            <w:tcW w:w="6132" w:type="dxa"/>
            <w:vAlign w:val="center"/>
          </w:tcPr>
          <w:p w14:paraId="4CE10904">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投标人以数字证书（CA或移动CA）方式登录“兰州市公共资源服务系统”，按照评标委员会发出的系统提示信息，在规定时限内通过系统以书面形式澄清、说明或者补正。</w:t>
            </w:r>
          </w:p>
          <w:p w14:paraId="7023B66B">
            <w:pPr>
              <w:pStyle w:val="15"/>
              <w:spacing w:line="360" w:lineRule="auto"/>
              <w:rPr>
                <w:rFonts w:ascii="宋体" w:hAnsi="宋体"/>
                <w:color w:val="auto"/>
                <w:szCs w:val="24"/>
                <w:highlight w:val="none"/>
              </w:rPr>
            </w:pPr>
            <w:r>
              <w:rPr>
                <w:rFonts w:hint="eastAsia"/>
                <w:color w:val="auto"/>
                <w:highlight w:val="none"/>
              </w:rPr>
              <w:t>前款描述的</w:t>
            </w:r>
            <w:r>
              <w:rPr>
                <w:rFonts w:hint="eastAsia" w:ascii="宋体" w:hAnsi="宋体"/>
                <w:color w:val="auto"/>
                <w:szCs w:val="24"/>
                <w:highlight w:val="none"/>
              </w:rPr>
              <w:t>规定时限是指，评标委员会发出澄清、说明或者补正的系统提示信息后，投标人须在</w:t>
            </w:r>
            <w:r>
              <w:rPr>
                <w:rFonts w:ascii="宋体" w:hAnsi="宋体"/>
                <w:color w:val="auto"/>
                <w:szCs w:val="24"/>
                <w:highlight w:val="none"/>
              </w:rPr>
              <w:t>30</w:t>
            </w:r>
            <w:r>
              <w:rPr>
                <w:rFonts w:hint="eastAsia" w:ascii="宋体" w:hAnsi="宋体"/>
                <w:color w:val="auto"/>
                <w:szCs w:val="24"/>
                <w:highlight w:val="none"/>
              </w:rPr>
              <w:t>分钟内通过系统进行确认，并在确认后3</w:t>
            </w:r>
            <w:r>
              <w:rPr>
                <w:rFonts w:ascii="宋体" w:hAnsi="宋体"/>
                <w:color w:val="auto"/>
                <w:szCs w:val="24"/>
                <w:highlight w:val="none"/>
              </w:rPr>
              <w:t>0</w:t>
            </w:r>
            <w:r>
              <w:rPr>
                <w:rFonts w:hint="eastAsia" w:ascii="宋体" w:hAnsi="宋体"/>
                <w:color w:val="auto"/>
                <w:szCs w:val="24"/>
                <w:highlight w:val="none"/>
              </w:rPr>
              <w:t>分钟内（评标委员会认为需要延长的，由评标委员会集体决定）完成书面澄清、说明或者补正。</w:t>
            </w:r>
          </w:p>
        </w:tc>
      </w:tr>
      <w:tr w14:paraId="2F1BD06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3044791">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w:t>
            </w:r>
            <w:r>
              <w:rPr>
                <w:rFonts w:ascii="宋体" w:hAnsi="宋体"/>
                <w:color w:val="auto"/>
                <w:sz w:val="24"/>
                <w:szCs w:val="24"/>
                <w:highlight w:val="none"/>
                <w:lang w:val="zh-CN"/>
              </w:rPr>
              <w:t>.7.4</w:t>
            </w:r>
          </w:p>
        </w:tc>
        <w:tc>
          <w:tcPr>
            <w:tcW w:w="1910" w:type="dxa"/>
            <w:vAlign w:val="center"/>
          </w:tcPr>
          <w:p w14:paraId="063A77DF">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演示</w:t>
            </w:r>
          </w:p>
        </w:tc>
        <w:tc>
          <w:tcPr>
            <w:tcW w:w="6132" w:type="dxa"/>
            <w:vAlign w:val="center"/>
          </w:tcPr>
          <w:p w14:paraId="0C155299">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否（注：1.否，不演示；</w:t>
            </w:r>
            <w:r>
              <w:rPr>
                <w:rFonts w:ascii="宋体" w:hAnsi="宋体"/>
                <w:color w:val="auto"/>
                <w:sz w:val="24"/>
                <w:szCs w:val="24"/>
                <w:highlight w:val="none"/>
              </w:rPr>
              <w:t>2.</w:t>
            </w:r>
            <w:r>
              <w:rPr>
                <w:rFonts w:hint="eastAsia" w:ascii="宋体" w:hAnsi="宋体"/>
                <w:color w:val="auto"/>
                <w:sz w:val="24"/>
                <w:szCs w:val="24"/>
                <w:highlight w:val="none"/>
              </w:rPr>
              <w:t>是，需演示）</w:t>
            </w:r>
          </w:p>
          <w:p w14:paraId="290E6DFB">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投标人以数字证书（CA或移动CA）方式登录“兰州市公共资源服务系统”，按照评标委员会发出的系统提示信息，在规定时限内通过系统演示。</w:t>
            </w:r>
          </w:p>
          <w:p w14:paraId="299E0B14">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前款描述的规定时限是指，评标委员会发出演示的系统提示信息后，投标人须在</w:t>
            </w:r>
            <w:r>
              <w:rPr>
                <w:rFonts w:ascii="宋体" w:hAnsi="宋体"/>
                <w:color w:val="auto"/>
                <w:sz w:val="24"/>
                <w:szCs w:val="24"/>
                <w:highlight w:val="none"/>
              </w:rPr>
              <w:t>30</w:t>
            </w:r>
            <w:r>
              <w:rPr>
                <w:rFonts w:hint="eastAsia" w:ascii="宋体" w:hAnsi="宋体"/>
                <w:color w:val="auto"/>
                <w:sz w:val="24"/>
                <w:szCs w:val="24"/>
                <w:highlight w:val="none"/>
              </w:rPr>
              <w:t>分钟内通过系统进行确认，并在确认后30分钟内（评标委员会认为需要延长的，由评标委员会集体决定）进行演示。</w:t>
            </w:r>
          </w:p>
        </w:tc>
      </w:tr>
      <w:tr w14:paraId="382BF2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91642CD">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w:t>
            </w:r>
            <w:r>
              <w:rPr>
                <w:rFonts w:ascii="宋体" w:hAnsi="宋体"/>
                <w:color w:val="auto"/>
                <w:sz w:val="24"/>
                <w:szCs w:val="24"/>
                <w:highlight w:val="none"/>
                <w:lang w:val="zh-CN"/>
              </w:rPr>
              <w:t>7</w:t>
            </w:r>
            <w:r>
              <w:rPr>
                <w:rFonts w:hint="eastAsia" w:ascii="宋体" w:hAnsi="宋体"/>
                <w:color w:val="auto"/>
                <w:sz w:val="24"/>
                <w:szCs w:val="24"/>
                <w:highlight w:val="none"/>
                <w:lang w:val="zh-CN"/>
              </w:rPr>
              <w:t>.</w:t>
            </w:r>
            <w:r>
              <w:rPr>
                <w:rFonts w:ascii="宋体" w:hAnsi="宋体"/>
                <w:color w:val="auto"/>
                <w:sz w:val="24"/>
                <w:szCs w:val="24"/>
                <w:highlight w:val="none"/>
                <w:lang w:val="zh-CN"/>
              </w:rPr>
              <w:t>5.2</w:t>
            </w:r>
          </w:p>
        </w:tc>
        <w:tc>
          <w:tcPr>
            <w:tcW w:w="1910" w:type="dxa"/>
            <w:vAlign w:val="center"/>
          </w:tcPr>
          <w:p w14:paraId="460D8E5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评标方法</w:t>
            </w:r>
          </w:p>
        </w:tc>
        <w:tc>
          <w:tcPr>
            <w:tcW w:w="6132" w:type="dxa"/>
            <w:vAlign w:val="center"/>
          </w:tcPr>
          <w:p w14:paraId="111A473F">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综合评分法</w:t>
            </w:r>
          </w:p>
        </w:tc>
      </w:tr>
      <w:tr w14:paraId="25E7003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90BEEA4">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2.8.3</w:t>
            </w:r>
          </w:p>
        </w:tc>
        <w:tc>
          <w:tcPr>
            <w:tcW w:w="1910" w:type="dxa"/>
            <w:vAlign w:val="center"/>
          </w:tcPr>
          <w:p w14:paraId="29CEC2F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中标通知书</w:t>
            </w:r>
          </w:p>
        </w:tc>
        <w:tc>
          <w:tcPr>
            <w:tcW w:w="6132" w:type="dxa"/>
            <w:vAlign w:val="center"/>
          </w:tcPr>
          <w:p w14:paraId="7C1AA98A">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中标公告发布后，中标人以数字证书（CA或移动CA）方式登录“兰州市公共资源服务系统”，领取中标通知书。</w:t>
            </w:r>
          </w:p>
        </w:tc>
      </w:tr>
      <w:tr w14:paraId="164C2A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A009CE5">
            <w:pPr>
              <w:wordWrap w:val="0"/>
              <w:spacing w:line="360" w:lineRule="auto"/>
              <w:jc w:val="center"/>
              <w:rPr>
                <w:rFonts w:ascii="宋体" w:hAnsi="宋体"/>
                <w:color w:val="auto"/>
                <w:sz w:val="24"/>
                <w:szCs w:val="24"/>
                <w:highlight w:val="none"/>
                <w:lang w:val="zh-CN"/>
              </w:rPr>
            </w:pPr>
            <w:r>
              <w:rPr>
                <w:rFonts w:hint="eastAsia" w:ascii="宋体" w:hAnsi="宋体"/>
                <w:color w:val="auto"/>
                <w:sz w:val="24"/>
                <w:szCs w:val="24"/>
                <w:highlight w:val="none"/>
                <w:lang w:val="zh-CN"/>
              </w:rPr>
              <w:t>2.</w:t>
            </w:r>
            <w:r>
              <w:rPr>
                <w:rFonts w:ascii="宋体" w:hAnsi="宋体"/>
                <w:color w:val="auto"/>
                <w:sz w:val="24"/>
                <w:szCs w:val="24"/>
                <w:highlight w:val="none"/>
                <w:lang w:val="zh-CN"/>
              </w:rPr>
              <w:t>9</w:t>
            </w:r>
            <w:r>
              <w:rPr>
                <w:rFonts w:hint="eastAsia" w:ascii="宋体" w:hAnsi="宋体"/>
                <w:color w:val="auto"/>
                <w:sz w:val="24"/>
                <w:szCs w:val="24"/>
                <w:highlight w:val="none"/>
                <w:lang w:val="zh-CN"/>
              </w:rPr>
              <w:t>.</w:t>
            </w:r>
            <w:r>
              <w:rPr>
                <w:rFonts w:hint="eastAsia" w:ascii="宋体" w:hAnsi="宋体"/>
                <w:color w:val="auto"/>
                <w:sz w:val="24"/>
                <w:szCs w:val="24"/>
                <w:highlight w:val="none"/>
              </w:rPr>
              <w:t>3</w:t>
            </w:r>
          </w:p>
        </w:tc>
        <w:tc>
          <w:tcPr>
            <w:tcW w:w="1910" w:type="dxa"/>
            <w:vAlign w:val="center"/>
          </w:tcPr>
          <w:p w14:paraId="748FBF4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履约保证金</w:t>
            </w:r>
          </w:p>
        </w:tc>
        <w:tc>
          <w:tcPr>
            <w:tcW w:w="6132" w:type="dxa"/>
            <w:vAlign w:val="center"/>
          </w:tcPr>
          <w:p w14:paraId="49A9E893">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无</w:t>
            </w:r>
          </w:p>
        </w:tc>
      </w:tr>
      <w:tr w14:paraId="21AC856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3163E5B">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.4.1</w:t>
            </w:r>
          </w:p>
        </w:tc>
        <w:tc>
          <w:tcPr>
            <w:tcW w:w="1910" w:type="dxa"/>
            <w:vAlign w:val="center"/>
          </w:tcPr>
          <w:p w14:paraId="0762CE27">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评标标准</w:t>
            </w:r>
          </w:p>
        </w:tc>
        <w:tc>
          <w:tcPr>
            <w:tcW w:w="6132" w:type="dxa"/>
            <w:vAlign w:val="center"/>
          </w:tcPr>
          <w:p w14:paraId="748B5E45">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详见招标文件正文</w:t>
            </w:r>
          </w:p>
        </w:tc>
      </w:tr>
      <w:tr w14:paraId="4EB0F1A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8787C7">
            <w:pPr>
              <w:wordWrap w:val="0"/>
              <w:spacing w:line="360" w:lineRule="auto"/>
              <w:jc w:val="center"/>
              <w:rPr>
                <w:rFonts w:ascii="宋体" w:hAnsi="宋体"/>
                <w:color w:val="auto"/>
                <w:sz w:val="24"/>
                <w:szCs w:val="24"/>
                <w:highlight w:val="none"/>
              </w:rPr>
            </w:pPr>
            <w:r>
              <w:rPr>
                <w:rFonts w:ascii="宋体" w:hAnsi="宋体"/>
                <w:color w:val="auto"/>
                <w:sz w:val="24"/>
                <w:szCs w:val="24"/>
                <w:highlight w:val="none"/>
              </w:rPr>
              <w:t>3.5</w:t>
            </w:r>
          </w:p>
        </w:tc>
        <w:tc>
          <w:tcPr>
            <w:tcW w:w="1910" w:type="dxa"/>
            <w:vAlign w:val="center"/>
          </w:tcPr>
          <w:p w14:paraId="5470CDAF">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确定中标人</w:t>
            </w:r>
          </w:p>
        </w:tc>
        <w:tc>
          <w:tcPr>
            <w:tcW w:w="6132" w:type="dxa"/>
            <w:vAlign w:val="center"/>
          </w:tcPr>
          <w:p w14:paraId="068F9E1A">
            <w:pPr>
              <w:pStyle w:val="15"/>
              <w:wordWrap w:val="0"/>
              <w:spacing w:line="360" w:lineRule="auto"/>
              <w:rPr>
                <w:rFonts w:ascii="宋体" w:hAnsi="宋体"/>
                <w:color w:val="auto"/>
                <w:szCs w:val="24"/>
                <w:highlight w:val="none"/>
              </w:rPr>
            </w:pPr>
            <w:r>
              <w:rPr>
                <w:rFonts w:hint="eastAsia" w:ascii="宋体" w:hAnsi="宋体"/>
                <w:color w:val="auto"/>
                <w:szCs w:val="24"/>
                <w:highlight w:val="none"/>
              </w:rPr>
              <w:t>采购人委托评标委员会直接确定中标人。</w:t>
            </w:r>
          </w:p>
        </w:tc>
      </w:tr>
      <w:tr w14:paraId="73B079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533AC4B">
            <w:pPr>
              <w:wordWrap w:val="0"/>
              <w:spacing w:line="360" w:lineRule="auto"/>
              <w:jc w:val="center"/>
              <w:rPr>
                <w:rFonts w:ascii="宋体" w:hAnsi="宋体"/>
                <w:color w:val="auto"/>
                <w:sz w:val="24"/>
                <w:szCs w:val="24"/>
                <w:highlight w:val="none"/>
                <w:lang w:val="zh-CN"/>
              </w:rPr>
            </w:pPr>
            <w:r>
              <w:rPr>
                <w:rFonts w:ascii="宋体" w:hAnsi="宋体"/>
                <w:color w:val="auto"/>
                <w:sz w:val="24"/>
                <w:szCs w:val="24"/>
                <w:highlight w:val="none"/>
              </w:rPr>
              <w:t>4</w:t>
            </w:r>
            <w:r>
              <w:rPr>
                <w:rFonts w:hint="eastAsia" w:ascii="宋体" w:hAnsi="宋体"/>
                <w:color w:val="auto"/>
                <w:sz w:val="24"/>
                <w:szCs w:val="24"/>
                <w:highlight w:val="none"/>
              </w:rPr>
              <w:t>.2</w:t>
            </w:r>
          </w:p>
        </w:tc>
        <w:tc>
          <w:tcPr>
            <w:tcW w:w="1910" w:type="dxa"/>
            <w:vAlign w:val="center"/>
          </w:tcPr>
          <w:p w14:paraId="5A65B986">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质疑</w:t>
            </w:r>
          </w:p>
        </w:tc>
        <w:tc>
          <w:tcPr>
            <w:tcW w:w="6132" w:type="dxa"/>
            <w:vAlign w:val="center"/>
          </w:tcPr>
          <w:p w14:paraId="0B8B2253">
            <w:pPr>
              <w:tabs>
                <w:tab w:val="left" w:pos="240"/>
              </w:tabs>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以书面形式向采购人或者采购代理机构提交质疑函。</w:t>
            </w:r>
          </w:p>
        </w:tc>
      </w:tr>
      <w:tr w14:paraId="0C89BE8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421030C">
            <w:pPr>
              <w:wordWrap w:val="0"/>
              <w:spacing w:line="360" w:lineRule="auto"/>
              <w:jc w:val="center"/>
              <w:rPr>
                <w:rFonts w:ascii="宋体" w:hAnsi="宋体"/>
                <w:color w:val="auto"/>
                <w:sz w:val="24"/>
                <w:szCs w:val="24"/>
                <w:highlight w:val="none"/>
                <w:lang w:val="zh-CN"/>
              </w:rPr>
            </w:pPr>
            <w:r>
              <w:rPr>
                <w:rFonts w:ascii="宋体" w:hAnsi="宋体"/>
                <w:color w:val="auto"/>
                <w:sz w:val="24"/>
                <w:szCs w:val="24"/>
                <w:highlight w:val="none"/>
              </w:rPr>
              <w:t>4.3</w:t>
            </w:r>
          </w:p>
        </w:tc>
        <w:tc>
          <w:tcPr>
            <w:tcW w:w="1910" w:type="dxa"/>
            <w:vAlign w:val="center"/>
          </w:tcPr>
          <w:p w14:paraId="117ED208">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投诉</w:t>
            </w:r>
          </w:p>
        </w:tc>
        <w:tc>
          <w:tcPr>
            <w:tcW w:w="6132" w:type="dxa"/>
            <w:vAlign w:val="center"/>
          </w:tcPr>
          <w:p w14:paraId="494C3B3F">
            <w:pPr>
              <w:tabs>
                <w:tab w:val="left" w:pos="240"/>
              </w:tabs>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以书面形式向兰州市财政局投诉。</w:t>
            </w:r>
          </w:p>
        </w:tc>
      </w:tr>
      <w:tr w14:paraId="72F49D2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B5EDDF8">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第六章</w:t>
            </w:r>
          </w:p>
        </w:tc>
        <w:tc>
          <w:tcPr>
            <w:tcW w:w="1910" w:type="dxa"/>
            <w:vAlign w:val="center"/>
          </w:tcPr>
          <w:p w14:paraId="21762AEB">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投标文件格式</w:t>
            </w:r>
          </w:p>
        </w:tc>
        <w:tc>
          <w:tcPr>
            <w:tcW w:w="6132" w:type="dxa"/>
            <w:vAlign w:val="center"/>
          </w:tcPr>
          <w:p w14:paraId="4D593936">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tc>
      </w:tr>
      <w:tr w14:paraId="41AE335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D3E3837">
            <w:pPr>
              <w:wordWrap w:val="0"/>
              <w:spacing w:line="360" w:lineRule="auto"/>
              <w:jc w:val="center"/>
              <w:rPr>
                <w:rFonts w:ascii="宋体" w:hAnsi="宋体"/>
                <w:color w:val="auto"/>
                <w:sz w:val="24"/>
                <w:szCs w:val="24"/>
                <w:highlight w:val="none"/>
              </w:rPr>
            </w:pPr>
            <w:r>
              <w:rPr>
                <w:rFonts w:ascii="宋体" w:hAnsi="宋体"/>
                <w:color w:val="auto"/>
                <w:sz w:val="24"/>
                <w:szCs w:val="24"/>
                <w:highlight w:val="none"/>
              </w:rPr>
              <w:t>6.6.2</w:t>
            </w:r>
          </w:p>
        </w:tc>
        <w:tc>
          <w:tcPr>
            <w:tcW w:w="1910" w:type="dxa"/>
            <w:vAlign w:val="center"/>
          </w:tcPr>
          <w:p w14:paraId="46FF5572">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节能产品</w:t>
            </w:r>
          </w:p>
          <w:p w14:paraId="4C7DCA7C">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（货物类适用）</w:t>
            </w:r>
          </w:p>
        </w:tc>
        <w:tc>
          <w:tcPr>
            <w:tcW w:w="6132" w:type="dxa"/>
            <w:vAlign w:val="center"/>
          </w:tcPr>
          <w:p w14:paraId="10CDC93F">
            <w:pPr>
              <w:pStyle w:val="15"/>
              <w:wordWrap w:val="0"/>
              <w:spacing w:line="360" w:lineRule="auto"/>
              <w:rPr>
                <w:rFonts w:ascii="宋体" w:hAnsi="宋体"/>
                <w:color w:val="auto"/>
                <w:szCs w:val="24"/>
                <w:highlight w:val="none"/>
              </w:rPr>
            </w:pPr>
            <w:r>
              <w:rPr>
                <w:rFonts w:hint="eastAsia" w:ascii="宋体" w:hAnsi="宋体"/>
                <w:color w:val="auto"/>
                <w:szCs w:val="24"/>
                <w:highlight w:val="none"/>
              </w:rPr>
              <w:t>《节能产品政府采购品目清单》内的产品，其中，“★”标注的为政府强制采购产品，非“★”标注的为政府优先采购产品。</w:t>
            </w:r>
          </w:p>
        </w:tc>
      </w:tr>
      <w:tr w14:paraId="69522E8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2F3F541">
            <w:pPr>
              <w:wordWrap w:val="0"/>
              <w:spacing w:line="360" w:lineRule="auto"/>
              <w:jc w:val="center"/>
              <w:rPr>
                <w:rFonts w:ascii="宋体" w:hAnsi="宋体"/>
                <w:color w:val="auto"/>
                <w:sz w:val="24"/>
                <w:szCs w:val="24"/>
                <w:highlight w:val="none"/>
              </w:rPr>
            </w:pPr>
            <w:r>
              <w:rPr>
                <w:rFonts w:ascii="宋体" w:hAnsi="宋体"/>
                <w:color w:val="auto"/>
                <w:sz w:val="24"/>
                <w:szCs w:val="24"/>
                <w:highlight w:val="none"/>
              </w:rPr>
              <w:t>6.6.3</w:t>
            </w:r>
          </w:p>
        </w:tc>
        <w:tc>
          <w:tcPr>
            <w:tcW w:w="1910" w:type="dxa"/>
            <w:vAlign w:val="center"/>
          </w:tcPr>
          <w:p w14:paraId="7414B359">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环境标志产品</w:t>
            </w:r>
          </w:p>
          <w:p w14:paraId="59315D62">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（货物类适用）</w:t>
            </w:r>
          </w:p>
        </w:tc>
        <w:tc>
          <w:tcPr>
            <w:tcW w:w="6132" w:type="dxa"/>
            <w:vAlign w:val="center"/>
          </w:tcPr>
          <w:p w14:paraId="55D862C6">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属于《环境标志产品政府采购品目清单》内的产品，为政府优先采购产品。</w:t>
            </w:r>
          </w:p>
        </w:tc>
      </w:tr>
      <w:tr w14:paraId="140E3D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0CFE0C4">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第七章</w:t>
            </w:r>
          </w:p>
        </w:tc>
        <w:tc>
          <w:tcPr>
            <w:tcW w:w="1910" w:type="dxa"/>
            <w:vAlign w:val="center"/>
          </w:tcPr>
          <w:p w14:paraId="11EE6C03">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采购需求</w:t>
            </w:r>
          </w:p>
        </w:tc>
        <w:tc>
          <w:tcPr>
            <w:tcW w:w="6132" w:type="dxa"/>
            <w:vAlign w:val="center"/>
          </w:tcPr>
          <w:p w14:paraId="02B27A66">
            <w:pPr>
              <w:wordWrap w:val="0"/>
              <w:spacing w:line="360" w:lineRule="auto"/>
              <w:rPr>
                <w:rFonts w:ascii="宋体" w:hAnsi="宋体"/>
                <w:color w:val="auto"/>
                <w:sz w:val="24"/>
                <w:szCs w:val="24"/>
                <w:highlight w:val="none"/>
              </w:rPr>
            </w:pPr>
            <w:r>
              <w:rPr>
                <w:rFonts w:hint="eastAsia" w:ascii="宋体" w:hAnsi="宋体"/>
                <w:color w:val="auto"/>
                <w:sz w:val="24"/>
                <w:szCs w:val="24"/>
                <w:highlight w:val="none"/>
              </w:rPr>
              <w:t>详见招标文件正文</w:t>
            </w:r>
          </w:p>
        </w:tc>
      </w:tr>
      <w:tr w14:paraId="38ED5F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14F86F5">
            <w:pPr>
              <w:wordWrap w:val="0"/>
              <w:spacing w:line="360" w:lineRule="auto"/>
              <w:jc w:val="center"/>
              <w:rPr>
                <w:rFonts w:ascii="宋体" w:hAnsi="宋体"/>
                <w:color w:val="auto"/>
                <w:sz w:val="24"/>
                <w:szCs w:val="24"/>
                <w:highlight w:val="none"/>
              </w:rPr>
            </w:pPr>
          </w:p>
        </w:tc>
        <w:tc>
          <w:tcPr>
            <w:tcW w:w="1910" w:type="dxa"/>
            <w:vAlign w:val="center"/>
          </w:tcPr>
          <w:p w14:paraId="62F927EA">
            <w:pPr>
              <w:wordWrap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补充说明</w:t>
            </w:r>
          </w:p>
        </w:tc>
        <w:tc>
          <w:tcPr>
            <w:tcW w:w="6132" w:type="dxa"/>
            <w:vAlign w:val="center"/>
          </w:tcPr>
          <w:p w14:paraId="0B7D1DB8">
            <w:pPr>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《中华人民共和国电子签名法》规定“第十四条　可靠的电子签名与手写签名或者盖章具有同等的法律效力。”</w:t>
            </w:r>
          </w:p>
          <w:p w14:paraId="59E9D563">
            <w:pPr>
              <w:pStyle w:val="15"/>
              <w:spacing w:line="360" w:lineRule="auto"/>
              <w:rPr>
                <w:rFonts w:ascii="宋体" w:hAnsi="宋体"/>
                <w:color w:val="auto"/>
                <w:szCs w:val="24"/>
                <w:highlight w:val="none"/>
              </w:rPr>
            </w:pPr>
            <w:r>
              <w:rPr>
                <w:rFonts w:hint="eastAsia" w:ascii="宋体" w:hAnsi="宋体"/>
                <w:color w:val="auto"/>
                <w:szCs w:val="24"/>
                <w:highlight w:val="none"/>
              </w:rPr>
              <w:t>2</w:t>
            </w:r>
            <w:r>
              <w:rPr>
                <w:rFonts w:ascii="宋体" w:hAnsi="宋体"/>
                <w:color w:val="auto"/>
                <w:szCs w:val="24"/>
                <w:highlight w:val="none"/>
              </w:rPr>
              <w:t>.</w:t>
            </w:r>
            <w:r>
              <w:rPr>
                <w:rFonts w:hint="eastAsia" w:ascii="宋体" w:hAnsi="宋体"/>
                <w:color w:val="auto"/>
                <w:szCs w:val="24"/>
                <w:highlight w:val="none"/>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14:paraId="7AAC23FB">
            <w:pPr>
              <w:pStyle w:val="15"/>
              <w:spacing w:line="360" w:lineRule="auto"/>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投标人须保证投标产品中的计算机操作系统软件、办公软件和杀毒软件三类通用软件，必须使用正版软件，禁止使用未经授权和未经软件产业主管部门登记备案的软件。</w:t>
            </w:r>
          </w:p>
        </w:tc>
      </w:tr>
    </w:tbl>
    <w:p w14:paraId="3C95FDD5">
      <w:pPr>
        <w:pStyle w:val="4"/>
        <w:wordWrap w:val="0"/>
        <w:jc w:val="both"/>
        <w:rPr>
          <w:rFonts w:cs="宋体"/>
          <w:color w:val="auto"/>
          <w:highlight w:val="none"/>
        </w:rPr>
        <w:sectPr>
          <w:headerReference r:id="rId8" w:type="default"/>
          <w:pgSz w:w="11906" w:h="16838"/>
          <w:pgMar w:top="1440" w:right="1803" w:bottom="1440" w:left="1803" w:header="851" w:footer="992" w:gutter="0"/>
          <w:cols w:space="720" w:num="1"/>
          <w:docGrid w:type="linesAndChars" w:linePitch="319" w:charSpace="0"/>
        </w:sectPr>
      </w:pPr>
      <w:bookmarkStart w:id="13" w:name="_Toc91323565"/>
      <w:bookmarkStart w:id="14" w:name="_Toc128372052"/>
      <w:bookmarkStart w:id="15" w:name="_Toc139965326"/>
      <w:bookmarkStart w:id="16" w:name="_Toc369249050"/>
      <w:bookmarkStart w:id="17" w:name="_Toc128372730"/>
      <w:bookmarkStart w:id="18" w:name="_Toc472459258"/>
    </w:p>
    <w:p w14:paraId="76CA7345">
      <w:pPr>
        <w:wordWrap w:val="0"/>
        <w:spacing w:after="319" w:afterLines="100" w:line="360" w:lineRule="auto"/>
        <w:jc w:val="center"/>
        <w:outlineLvl w:val="0"/>
        <w:rPr>
          <w:rFonts w:ascii="华文中宋" w:hAnsi="华文中宋" w:eastAsia="华文中宋"/>
          <w:color w:val="auto"/>
          <w:sz w:val="32"/>
          <w:szCs w:val="32"/>
          <w:highlight w:val="none"/>
        </w:rPr>
      </w:pPr>
      <w:bookmarkStart w:id="19" w:name="_Toc140237247"/>
      <w:r>
        <w:rPr>
          <w:rFonts w:hint="eastAsia" w:ascii="华文中宋" w:hAnsi="华文中宋" w:eastAsia="华文中宋"/>
          <w:color w:val="auto"/>
          <w:sz w:val="32"/>
          <w:szCs w:val="32"/>
          <w:highlight w:val="none"/>
        </w:rPr>
        <w:t>第一章　总则</w:t>
      </w:r>
      <w:bookmarkEnd w:id="13"/>
      <w:bookmarkEnd w:id="14"/>
      <w:bookmarkEnd w:id="15"/>
      <w:bookmarkEnd w:id="16"/>
      <w:bookmarkEnd w:id="17"/>
      <w:bookmarkEnd w:id="18"/>
      <w:bookmarkEnd w:id="19"/>
      <w:bookmarkStart w:id="20" w:name="_Toc91323566"/>
      <w:bookmarkStart w:id="21" w:name="_Toc472459259"/>
      <w:bookmarkStart w:id="22" w:name="_Toc369249051"/>
    </w:p>
    <w:p w14:paraId="4FB51B1F">
      <w:pPr>
        <w:wordWrap w:val="0"/>
        <w:spacing w:line="360" w:lineRule="auto"/>
        <w:ind w:firstLine="480" w:firstLineChars="200"/>
        <w:outlineLvl w:val="1"/>
        <w:rPr>
          <w:rFonts w:ascii="宋体" w:hAnsi="宋体"/>
          <w:b/>
          <w:color w:val="auto"/>
          <w:sz w:val="24"/>
          <w:szCs w:val="24"/>
          <w:highlight w:val="none"/>
        </w:rPr>
      </w:pPr>
      <w:bookmarkStart w:id="23" w:name="_Toc140237248"/>
      <w:r>
        <w:rPr>
          <w:rFonts w:hint="eastAsia" w:ascii="宋体" w:hAnsi="宋体"/>
          <w:b/>
          <w:color w:val="auto"/>
          <w:sz w:val="24"/>
          <w:szCs w:val="24"/>
          <w:highlight w:val="none"/>
        </w:rPr>
        <w:t>1</w:t>
      </w:r>
      <w:r>
        <w:rPr>
          <w:rFonts w:ascii="宋体" w:hAnsi="宋体"/>
          <w:b/>
          <w:color w:val="auto"/>
          <w:sz w:val="24"/>
          <w:szCs w:val="24"/>
          <w:highlight w:val="none"/>
        </w:rPr>
        <w:t>.1</w:t>
      </w:r>
      <w:r>
        <w:rPr>
          <w:rFonts w:hint="eastAsia" w:ascii="宋体" w:hAnsi="宋体"/>
          <w:b/>
          <w:color w:val="auto"/>
          <w:sz w:val="24"/>
          <w:szCs w:val="24"/>
          <w:highlight w:val="none"/>
        </w:rPr>
        <w:t>　适用范围</w:t>
      </w:r>
      <w:bookmarkEnd w:id="23"/>
    </w:p>
    <w:p w14:paraId="71DE543E">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本招标文件仅适用于本次公开招标所叙述的项目采购。</w:t>
      </w:r>
    </w:p>
    <w:p w14:paraId="7952C282">
      <w:pPr>
        <w:wordWrap w:val="0"/>
        <w:spacing w:line="360" w:lineRule="auto"/>
        <w:ind w:firstLine="480" w:firstLineChars="200"/>
        <w:outlineLvl w:val="1"/>
        <w:rPr>
          <w:rFonts w:ascii="宋体" w:hAnsi="宋体"/>
          <w:b/>
          <w:color w:val="auto"/>
          <w:sz w:val="24"/>
          <w:szCs w:val="24"/>
          <w:highlight w:val="none"/>
        </w:rPr>
      </w:pPr>
      <w:bookmarkStart w:id="24" w:name="_Toc140237249"/>
      <w:r>
        <w:rPr>
          <w:rFonts w:hint="eastAsia" w:ascii="宋体" w:hAnsi="宋体"/>
          <w:b/>
          <w:color w:val="auto"/>
          <w:sz w:val="24"/>
          <w:szCs w:val="24"/>
          <w:highlight w:val="none"/>
        </w:rPr>
        <w:t>1.</w:t>
      </w:r>
      <w:r>
        <w:rPr>
          <w:rFonts w:ascii="宋体" w:hAnsi="宋体"/>
          <w:b/>
          <w:color w:val="auto"/>
          <w:sz w:val="24"/>
          <w:szCs w:val="24"/>
          <w:highlight w:val="none"/>
        </w:rPr>
        <w:t>2</w:t>
      </w:r>
      <w:r>
        <w:rPr>
          <w:rFonts w:hint="eastAsia" w:ascii="宋体" w:hAnsi="宋体"/>
          <w:b/>
          <w:color w:val="auto"/>
          <w:sz w:val="24"/>
          <w:szCs w:val="24"/>
          <w:highlight w:val="none"/>
        </w:rPr>
        <w:t>　</w:t>
      </w:r>
      <w:bookmarkEnd w:id="20"/>
      <w:bookmarkEnd w:id="21"/>
      <w:bookmarkEnd w:id="22"/>
      <w:r>
        <w:rPr>
          <w:rFonts w:hint="eastAsia" w:ascii="宋体" w:hAnsi="宋体"/>
          <w:b/>
          <w:color w:val="auto"/>
          <w:sz w:val="24"/>
          <w:szCs w:val="24"/>
          <w:highlight w:val="none"/>
        </w:rPr>
        <w:t>有关定义</w:t>
      </w:r>
      <w:bookmarkEnd w:id="24"/>
    </w:p>
    <w:p w14:paraId="76FCFC5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（1）“采购人”详见《投标人须知前附表》。</w:t>
      </w:r>
    </w:p>
    <w:p w14:paraId="6268C2C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（2）“采购代理机构”是指兰州市公共资源交易中心。</w:t>
      </w:r>
    </w:p>
    <w:p w14:paraId="6806642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（3）“投标人”是指向本次采购代理机构提交投标文件的供应商。</w:t>
      </w:r>
    </w:p>
    <w:p w14:paraId="583C132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（4）“供应商”是指向采购人提供货物、工程或者服务的法人、其他组织或者自然人。</w:t>
      </w:r>
    </w:p>
    <w:p w14:paraId="13B80F8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（5）“招标文件”是指由采购代理机构发出的文本、文件，包括全部章节、附件及答疑会议纪要。</w:t>
      </w:r>
    </w:p>
    <w:p w14:paraId="173926C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（6）“投标文件”是指投标人根据本招标文件向采购代理机构提交的全部文件。</w:t>
      </w:r>
    </w:p>
    <w:p w14:paraId="0692887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（7）“采购文件”是指包括采购活动记录、采购预算、招标文件、投标文件、评标报告、定标文件、合同文本、验收证明、质疑答复、投诉处理决定及其他有关文件、资料。</w:t>
      </w:r>
    </w:p>
    <w:p w14:paraId="3E8A696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（8）“货物”是指各种形态和种类的物品，包括原材料、燃料、设备、产品等。</w:t>
      </w:r>
    </w:p>
    <w:p w14:paraId="5EFAF11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（9）“工程”是指建设工程，包括建筑物和构筑物的新建、改建、扩建、装修、拆除、修缮等。</w:t>
      </w:r>
    </w:p>
    <w:p w14:paraId="5BFF89D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）“服务”是指除货物和工程以外的其他政府采购对象。</w:t>
      </w:r>
    </w:p>
    <w:p w14:paraId="75580DC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（11）“书面形式”是指合同书、信件、电报、电传、传真等可以有形地表现所载内容的形式。以电子数据交换、电子邮件等方式能够有形地表现所载内容，并可以随时调取查用的数据电文，视为书面形式。</w:t>
      </w:r>
    </w:p>
    <w:p w14:paraId="4E15F4E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（12）“进口产品”是指通过中国海关报关验放进入中国境内且产自关境外的产品。</w:t>
      </w:r>
    </w:p>
    <w:p w14:paraId="3B61C2F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（13）“节能产品”是指财政部、国家发展和改革委员会公布的现行《节能产品政府采购品目清单》</w:t>
      </w:r>
      <w:bookmarkStart w:id="25" w:name="_Hlk97211068"/>
      <w:r>
        <w:rPr>
          <w:rFonts w:hint="eastAsia" w:ascii="宋体" w:hAnsi="宋体"/>
          <w:color w:val="auto"/>
          <w:sz w:val="24"/>
          <w:szCs w:val="24"/>
          <w:highlight w:val="none"/>
        </w:rPr>
        <w:t>内的产品</w:t>
      </w:r>
      <w:bookmarkEnd w:id="25"/>
      <w:r>
        <w:rPr>
          <w:rFonts w:hint="eastAsia" w:ascii="宋体" w:hAnsi="宋体"/>
          <w:color w:val="auto"/>
          <w:sz w:val="24"/>
          <w:szCs w:val="24"/>
          <w:highlight w:val="none"/>
        </w:rPr>
        <w:t>。</w:t>
      </w:r>
    </w:p>
    <w:p w14:paraId="3082927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（14）“环境标志产品”是指财政部、国家环境保护总局公布的现行《环境标志产品政府采购品目清单》内的产品。</w:t>
      </w:r>
    </w:p>
    <w:p w14:paraId="1C3ACE28">
      <w:pPr>
        <w:pStyle w:val="15"/>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w:t>
      </w:r>
      <w:r>
        <w:rPr>
          <w:rFonts w:ascii="宋体" w:hAnsi="宋体"/>
          <w:color w:val="auto"/>
          <w:szCs w:val="24"/>
          <w:highlight w:val="none"/>
        </w:rPr>
        <w:t>5</w:t>
      </w:r>
      <w:r>
        <w:rPr>
          <w:rFonts w:hint="eastAsia" w:ascii="宋体" w:hAnsi="宋体"/>
          <w:color w:val="auto"/>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6" w:name="_Hlk104454149"/>
      <w:r>
        <w:rPr>
          <w:rFonts w:hint="eastAsia" w:ascii="宋体" w:hAnsi="宋体"/>
          <w:color w:val="auto"/>
          <w:szCs w:val="24"/>
          <w:highlight w:val="none"/>
        </w:rPr>
        <w:t>符合中小企业划分标准的个体工商户</w:t>
      </w:r>
      <w:bookmarkEnd w:id="26"/>
      <w:r>
        <w:rPr>
          <w:rFonts w:hint="eastAsia" w:ascii="宋体" w:hAnsi="宋体"/>
          <w:color w:val="auto"/>
          <w:szCs w:val="24"/>
          <w:highlight w:val="none"/>
        </w:rPr>
        <w:t>、残疾人福利性单位、监狱企业，在政府采购活动中视同中小企业。</w:t>
      </w:r>
    </w:p>
    <w:p w14:paraId="17039AF7">
      <w:pPr>
        <w:pStyle w:val="15"/>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w:t>
      </w:r>
      <w:r>
        <w:rPr>
          <w:rFonts w:ascii="宋体" w:hAnsi="宋体"/>
          <w:color w:val="auto"/>
          <w:szCs w:val="24"/>
          <w:highlight w:val="none"/>
        </w:rPr>
        <w:t>6</w:t>
      </w:r>
      <w:r>
        <w:rPr>
          <w:rFonts w:hint="eastAsia" w:ascii="宋体" w:hAnsi="宋体"/>
          <w:color w:val="auto"/>
          <w:szCs w:val="24"/>
          <w:highlight w:val="none"/>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05CC5AF">
      <w:pPr>
        <w:wordWrap w:val="0"/>
        <w:spacing w:line="360" w:lineRule="auto"/>
        <w:ind w:firstLine="480" w:firstLineChars="200"/>
        <w:outlineLvl w:val="1"/>
        <w:rPr>
          <w:rFonts w:ascii="宋体" w:hAnsi="宋体"/>
          <w:b/>
          <w:color w:val="auto"/>
          <w:sz w:val="24"/>
          <w:highlight w:val="none"/>
        </w:rPr>
      </w:pPr>
      <w:bookmarkStart w:id="27" w:name="_Toc140237250"/>
      <w:bookmarkStart w:id="28" w:name="_Toc369249052"/>
      <w:bookmarkStart w:id="29" w:name="_Toc472459260"/>
      <w:r>
        <w:rPr>
          <w:rFonts w:hint="eastAsia" w:ascii="宋体" w:hAnsi="宋体"/>
          <w:b/>
          <w:color w:val="auto"/>
          <w:sz w:val="24"/>
          <w:highlight w:val="none"/>
        </w:rPr>
        <w:t>1</w:t>
      </w:r>
      <w:r>
        <w:rPr>
          <w:rFonts w:ascii="宋体" w:hAnsi="宋体"/>
          <w:b/>
          <w:color w:val="auto"/>
          <w:sz w:val="24"/>
          <w:highlight w:val="none"/>
        </w:rPr>
        <w:t>.</w:t>
      </w:r>
      <w:r>
        <w:rPr>
          <w:rFonts w:hint="eastAsia" w:ascii="宋体" w:hAnsi="宋体"/>
          <w:b/>
          <w:color w:val="auto"/>
          <w:sz w:val="24"/>
          <w:highlight w:val="none"/>
        </w:rPr>
        <w:t>3　知识产权</w:t>
      </w:r>
      <w:bookmarkEnd w:id="27"/>
    </w:p>
    <w:p w14:paraId="021876C9">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7F91B6F0">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（2）本项目实施过程中产生的知识成果及知识产权归采购人所有。</w:t>
      </w:r>
    </w:p>
    <w:p w14:paraId="14240D1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615EA6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（4）如采用投标人所不拥有的知识产权，则在投标报价中必须包括合法获取该知识产权的相关费用。</w:t>
      </w:r>
    </w:p>
    <w:p w14:paraId="51CEC8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（5）采购人、采购代理机构和评审专家对投标人提交的投标文件及其内容负有保密义务，未经对方书面同意，不得泄露或提供给第三人。</w:t>
      </w:r>
    </w:p>
    <w:p w14:paraId="04FE7BC6">
      <w:pPr>
        <w:wordWrap w:val="0"/>
        <w:spacing w:line="360" w:lineRule="auto"/>
        <w:ind w:firstLine="480" w:firstLineChars="200"/>
        <w:outlineLvl w:val="1"/>
        <w:rPr>
          <w:rFonts w:ascii="宋体" w:hAnsi="宋体"/>
          <w:b/>
          <w:color w:val="auto"/>
          <w:sz w:val="24"/>
          <w:szCs w:val="24"/>
          <w:highlight w:val="none"/>
        </w:rPr>
      </w:pPr>
      <w:bookmarkStart w:id="30" w:name="_Toc140237251"/>
      <w:r>
        <w:rPr>
          <w:rFonts w:ascii="宋体" w:hAnsi="宋体"/>
          <w:b/>
          <w:color w:val="auto"/>
          <w:sz w:val="24"/>
          <w:szCs w:val="24"/>
          <w:highlight w:val="none"/>
        </w:rPr>
        <w:t>1.4</w:t>
      </w:r>
      <w:r>
        <w:rPr>
          <w:rFonts w:hint="eastAsia" w:ascii="宋体" w:hAnsi="宋体"/>
          <w:b/>
          <w:color w:val="auto"/>
          <w:sz w:val="24"/>
          <w:szCs w:val="24"/>
          <w:highlight w:val="none"/>
        </w:rPr>
        <w:t>　相关法律法规</w:t>
      </w:r>
      <w:bookmarkEnd w:id="30"/>
    </w:p>
    <w:p w14:paraId="31DF0856">
      <w:pPr>
        <w:wordWrap w:val="0"/>
        <w:spacing w:line="360" w:lineRule="auto"/>
        <w:ind w:firstLine="480" w:firstLineChars="200"/>
        <w:rPr>
          <w:rFonts w:ascii="宋体" w:hAnsi="宋体"/>
          <w:color w:val="auto"/>
          <w:sz w:val="24"/>
          <w:szCs w:val="24"/>
          <w:highlight w:val="none"/>
        </w:rPr>
      </w:pPr>
      <w:bookmarkStart w:id="31" w:name="_Hlk98162747"/>
      <w:bookmarkStart w:id="32" w:name="_Hlk98162696"/>
      <w:r>
        <w:rPr>
          <w:rFonts w:hint="eastAsia" w:ascii="宋体" w:hAnsi="宋体"/>
          <w:color w:val="auto"/>
          <w:sz w:val="24"/>
          <w:szCs w:val="24"/>
          <w:highlight w:val="none"/>
        </w:rPr>
        <w:t>《中华人民共和国民法典》</w:t>
      </w:r>
      <w:bookmarkEnd w:id="31"/>
      <w:r>
        <w:rPr>
          <w:rFonts w:hint="eastAsia" w:ascii="宋体" w:hAnsi="宋体"/>
          <w:color w:val="auto"/>
          <w:sz w:val="24"/>
          <w:szCs w:val="24"/>
          <w:highlight w:val="none"/>
        </w:rPr>
        <w:t>《中华人民共和国政府采购法》</w:t>
      </w:r>
      <w:bookmarkEnd w:id="32"/>
      <w:r>
        <w:rPr>
          <w:rFonts w:hint="eastAsia" w:ascii="宋体" w:hAnsi="宋体"/>
          <w:color w:val="auto"/>
          <w:sz w:val="24"/>
          <w:szCs w:val="24"/>
          <w:highlight w:val="none"/>
        </w:rPr>
        <w:t>《中华人民共和国政府采购法实施条例》《政府采购货物和服务招标投标管理办法》（2017年财政部令第87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w:t>
      </w:r>
      <w:bookmarkStart w:id="33" w:name="_Hlk112831255"/>
      <w:r>
        <w:rPr>
          <w:rFonts w:hint="eastAsia" w:ascii="宋体" w:hAnsi="宋体"/>
          <w:color w:val="auto"/>
          <w:sz w:val="24"/>
          <w:szCs w:val="24"/>
          <w:highlight w:val="none"/>
        </w:rPr>
        <w:t>《政府采购进口产品管理办法》（财库〔2007〕119号）、</w:t>
      </w:r>
      <w:bookmarkEnd w:id="33"/>
      <w:r>
        <w:rPr>
          <w:rFonts w:hint="eastAsia" w:ascii="宋体" w:hAnsi="宋体"/>
          <w:color w:val="auto"/>
          <w:sz w:val="24"/>
          <w:szCs w:val="24"/>
          <w:highlight w:val="none"/>
        </w:rPr>
        <w:t>《兰州市政府采购项目交易管理规则（试行）》（兰财采〔2022〕9号）、《兰州市政府采购电子化采购管理暂行办法》（兰财采〔2022〕8号）、兰州市财政局《关于落实强省会战略持续优化兰州市政府采购营商环境各项政策的通知》（兰财采〔2022〕31号）等法律法规规定。</w:t>
      </w:r>
    </w:p>
    <w:p w14:paraId="544FA7ED">
      <w:pPr>
        <w:wordWrap w:val="0"/>
        <w:spacing w:line="360" w:lineRule="auto"/>
        <w:ind w:firstLine="480" w:firstLineChars="200"/>
        <w:outlineLvl w:val="1"/>
        <w:rPr>
          <w:rFonts w:ascii="宋体" w:hAnsi="宋体"/>
          <w:b/>
          <w:color w:val="auto"/>
          <w:sz w:val="24"/>
          <w:szCs w:val="24"/>
          <w:highlight w:val="none"/>
        </w:rPr>
      </w:pPr>
      <w:bookmarkStart w:id="34" w:name="_Toc140237252"/>
      <w:r>
        <w:rPr>
          <w:rFonts w:ascii="宋体" w:hAnsi="宋体"/>
          <w:b/>
          <w:color w:val="auto"/>
          <w:sz w:val="24"/>
          <w:szCs w:val="24"/>
          <w:highlight w:val="none"/>
        </w:rPr>
        <w:t>1.5</w:t>
      </w:r>
      <w:r>
        <w:rPr>
          <w:rFonts w:hint="eastAsia" w:ascii="宋体" w:hAnsi="宋体"/>
          <w:b/>
          <w:color w:val="auto"/>
          <w:sz w:val="24"/>
          <w:szCs w:val="24"/>
          <w:highlight w:val="none"/>
        </w:rPr>
        <w:t>　代理服务费</w:t>
      </w:r>
      <w:bookmarkEnd w:id="34"/>
    </w:p>
    <w:p w14:paraId="0EEA236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无。</w:t>
      </w:r>
    </w:p>
    <w:p w14:paraId="475C6335">
      <w:pPr>
        <w:wordWrap w:val="0"/>
        <w:spacing w:line="360" w:lineRule="auto"/>
        <w:ind w:firstLine="480" w:firstLineChars="200"/>
        <w:outlineLvl w:val="1"/>
        <w:rPr>
          <w:rFonts w:ascii="宋体" w:hAnsi="宋体"/>
          <w:b/>
          <w:color w:val="auto"/>
          <w:sz w:val="24"/>
          <w:szCs w:val="24"/>
          <w:highlight w:val="none"/>
        </w:rPr>
      </w:pPr>
      <w:bookmarkStart w:id="35" w:name="_Toc140237253"/>
      <w:r>
        <w:rPr>
          <w:rFonts w:ascii="宋体" w:hAnsi="宋体"/>
          <w:b/>
          <w:color w:val="auto"/>
          <w:sz w:val="24"/>
          <w:szCs w:val="24"/>
          <w:highlight w:val="none"/>
        </w:rPr>
        <w:t>1.6</w:t>
      </w:r>
      <w:r>
        <w:rPr>
          <w:rFonts w:hint="eastAsia" w:ascii="宋体" w:hAnsi="宋体"/>
          <w:b/>
          <w:color w:val="auto"/>
          <w:sz w:val="24"/>
          <w:szCs w:val="24"/>
          <w:highlight w:val="none"/>
        </w:rPr>
        <w:t>　其他说明</w:t>
      </w:r>
      <w:bookmarkEnd w:id="35"/>
    </w:p>
    <w:p w14:paraId="3E56C4B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招标文件由采购人、采购代理机构负责解释。</w:t>
      </w:r>
    </w:p>
    <w:p w14:paraId="62EC1528">
      <w:pPr>
        <w:pStyle w:val="15"/>
        <w:wordWrap w:val="0"/>
        <w:spacing w:line="360" w:lineRule="auto"/>
        <w:rPr>
          <w:color w:val="auto"/>
          <w:szCs w:val="24"/>
          <w:highlight w:val="none"/>
        </w:rPr>
        <w:sectPr>
          <w:headerReference r:id="rId9" w:type="default"/>
          <w:pgSz w:w="11906" w:h="16838"/>
          <w:pgMar w:top="1440" w:right="1797" w:bottom="1440" w:left="1797" w:header="851" w:footer="992" w:gutter="0"/>
          <w:cols w:space="720" w:num="1"/>
          <w:docGrid w:type="linesAndChars" w:linePitch="319" w:charSpace="0"/>
        </w:sectPr>
      </w:pPr>
    </w:p>
    <w:p w14:paraId="30C723E4">
      <w:pPr>
        <w:wordWrap w:val="0"/>
        <w:spacing w:after="319" w:afterLines="100" w:line="360" w:lineRule="auto"/>
        <w:jc w:val="center"/>
        <w:outlineLvl w:val="0"/>
        <w:rPr>
          <w:rFonts w:ascii="华文中宋" w:hAnsi="华文中宋" w:eastAsia="华文中宋"/>
          <w:color w:val="auto"/>
          <w:sz w:val="32"/>
          <w:szCs w:val="32"/>
          <w:highlight w:val="none"/>
        </w:rPr>
      </w:pPr>
      <w:bookmarkStart w:id="36" w:name="_Toc140237254"/>
      <w:bookmarkStart w:id="37" w:name="_Toc91323567"/>
      <w:r>
        <w:rPr>
          <w:rFonts w:hint="eastAsia" w:ascii="华文中宋" w:hAnsi="华文中宋" w:eastAsia="华文中宋"/>
          <w:color w:val="auto"/>
          <w:sz w:val="32"/>
          <w:szCs w:val="32"/>
          <w:highlight w:val="none"/>
        </w:rPr>
        <w:t>第二章　投标须知</w:t>
      </w:r>
      <w:bookmarkEnd w:id="28"/>
      <w:bookmarkEnd w:id="29"/>
      <w:bookmarkEnd w:id="36"/>
      <w:bookmarkEnd w:id="37"/>
      <w:bookmarkStart w:id="38" w:name="_Toc472459261"/>
      <w:bookmarkStart w:id="39" w:name="_Toc369249053"/>
      <w:bookmarkStart w:id="40" w:name="_Toc91323568"/>
    </w:p>
    <w:p w14:paraId="62B8BD2A">
      <w:pPr>
        <w:wordWrap w:val="0"/>
        <w:spacing w:line="360" w:lineRule="auto"/>
        <w:ind w:firstLine="480" w:firstLineChars="200"/>
        <w:outlineLvl w:val="1"/>
        <w:rPr>
          <w:rFonts w:ascii="宋体" w:hAnsi="宋体"/>
          <w:b/>
          <w:color w:val="auto"/>
          <w:sz w:val="24"/>
          <w:szCs w:val="24"/>
          <w:highlight w:val="none"/>
        </w:rPr>
      </w:pPr>
      <w:bookmarkStart w:id="41" w:name="_Toc140237255"/>
      <w:r>
        <w:rPr>
          <w:rFonts w:hint="eastAsia" w:ascii="宋体" w:hAnsi="宋体"/>
          <w:b/>
          <w:color w:val="auto"/>
          <w:sz w:val="24"/>
          <w:szCs w:val="24"/>
          <w:highlight w:val="none"/>
        </w:rPr>
        <w:t>2.1　招标</w:t>
      </w:r>
      <w:bookmarkEnd w:id="38"/>
      <w:bookmarkEnd w:id="39"/>
      <w:r>
        <w:rPr>
          <w:rFonts w:hint="eastAsia" w:ascii="宋体" w:hAnsi="宋体"/>
          <w:b/>
          <w:color w:val="auto"/>
          <w:sz w:val="24"/>
          <w:szCs w:val="24"/>
          <w:highlight w:val="none"/>
        </w:rPr>
        <w:t>文件</w:t>
      </w:r>
      <w:bookmarkEnd w:id="40"/>
      <w:bookmarkEnd w:id="41"/>
    </w:p>
    <w:p w14:paraId="643DDE34">
      <w:pPr>
        <w:wordWrap w:val="0"/>
        <w:spacing w:line="360" w:lineRule="auto"/>
        <w:ind w:firstLine="480" w:firstLineChars="200"/>
        <w:outlineLvl w:val="2"/>
        <w:rPr>
          <w:rFonts w:ascii="宋体" w:hAnsi="宋体"/>
          <w:b/>
          <w:color w:val="auto"/>
          <w:sz w:val="24"/>
          <w:szCs w:val="24"/>
          <w:highlight w:val="none"/>
        </w:rPr>
      </w:pPr>
      <w:bookmarkStart w:id="42" w:name="_Toc140237256"/>
      <w:bookmarkStart w:id="43" w:name="_Toc369249054"/>
      <w:bookmarkStart w:id="44" w:name="_Toc472459262"/>
      <w:bookmarkStart w:id="45" w:name="_Toc91323569"/>
      <w:r>
        <w:rPr>
          <w:rFonts w:hint="eastAsia" w:ascii="宋体" w:hAnsi="宋体"/>
          <w:b/>
          <w:color w:val="auto"/>
          <w:sz w:val="24"/>
          <w:szCs w:val="24"/>
          <w:highlight w:val="none"/>
        </w:rPr>
        <w:t>2.1.1　综合说明</w:t>
      </w:r>
      <w:bookmarkEnd w:id="42"/>
      <w:bookmarkEnd w:id="43"/>
      <w:bookmarkEnd w:id="44"/>
      <w:bookmarkEnd w:id="45"/>
    </w:p>
    <w:p w14:paraId="34826AF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本项目按照《中华人民共和国政府采购法》及相关法律法规规定，现通过公开招标择优选定供货商。</w:t>
      </w:r>
      <w:bookmarkStart w:id="46" w:name="_Toc128372733"/>
      <w:bookmarkStart w:id="47" w:name="_Toc128372055"/>
      <w:bookmarkStart w:id="48" w:name="_Toc139965329"/>
      <w:r>
        <w:rPr>
          <w:rFonts w:hint="eastAsia" w:ascii="宋体" w:hAnsi="宋体"/>
          <w:color w:val="auto"/>
          <w:sz w:val="24"/>
          <w:szCs w:val="24"/>
          <w:highlight w:val="none"/>
        </w:rPr>
        <w:t>招标文件包括本文所列内容及按本须知发出的全部和补充资料。投标人应认真阅读招标文件中所有的事项、格式、条款、技术规范等实质性的条件和要求。投标人被视为充分熟悉招标文件的全部内容及与履行合同有关的全部内容。</w:t>
      </w:r>
    </w:p>
    <w:p w14:paraId="0A4DC20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投标人未按招标文件要求提交相关资料，或投标文件未对招标文件的内容都作出实质性响应，可能导致投标无效，由此引起的风险和责任由投标人承担。</w:t>
      </w:r>
    </w:p>
    <w:bookmarkEnd w:id="46"/>
    <w:bookmarkEnd w:id="47"/>
    <w:bookmarkEnd w:id="48"/>
    <w:p w14:paraId="641825AE">
      <w:pPr>
        <w:wordWrap w:val="0"/>
        <w:spacing w:line="360" w:lineRule="auto"/>
        <w:ind w:firstLine="480" w:firstLineChars="200"/>
        <w:outlineLvl w:val="2"/>
        <w:rPr>
          <w:rFonts w:ascii="宋体" w:hAnsi="宋体"/>
          <w:b/>
          <w:color w:val="auto"/>
          <w:sz w:val="24"/>
          <w:szCs w:val="24"/>
          <w:highlight w:val="none"/>
        </w:rPr>
      </w:pPr>
      <w:bookmarkStart w:id="49" w:name="_Toc369249055"/>
      <w:bookmarkStart w:id="50" w:name="_Toc91323570"/>
      <w:bookmarkStart w:id="51" w:name="_Toc139965335"/>
      <w:bookmarkStart w:id="52" w:name="_Toc128372061"/>
      <w:bookmarkStart w:id="53" w:name="_Toc472459263"/>
      <w:bookmarkStart w:id="54" w:name="_Toc128372739"/>
      <w:bookmarkStart w:id="55" w:name="_Toc140237257"/>
      <w:r>
        <w:rPr>
          <w:rFonts w:hint="eastAsia" w:ascii="宋体" w:hAnsi="宋体"/>
          <w:b/>
          <w:color w:val="auto"/>
          <w:sz w:val="24"/>
          <w:szCs w:val="24"/>
          <w:highlight w:val="none"/>
        </w:rPr>
        <w:t>2.1.2　</w:t>
      </w:r>
      <w:bookmarkEnd w:id="49"/>
      <w:bookmarkEnd w:id="50"/>
      <w:bookmarkEnd w:id="51"/>
      <w:bookmarkEnd w:id="52"/>
      <w:bookmarkEnd w:id="53"/>
      <w:bookmarkEnd w:id="54"/>
      <w:r>
        <w:rPr>
          <w:rFonts w:hint="eastAsia" w:ascii="宋体" w:hAnsi="宋体"/>
          <w:b/>
          <w:color w:val="auto"/>
          <w:sz w:val="24"/>
          <w:szCs w:val="24"/>
          <w:highlight w:val="none"/>
        </w:rPr>
        <w:t>澄清或者修改</w:t>
      </w:r>
      <w:bookmarkEnd w:id="55"/>
    </w:p>
    <w:p w14:paraId="0D6A807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采购人或者采购代理机构可以对已发出的招标文件进行必要的</w:t>
      </w:r>
      <w:bookmarkStart w:id="56" w:name="_Hlk97883664"/>
      <w:r>
        <w:rPr>
          <w:rFonts w:hint="eastAsia" w:ascii="宋体" w:hAnsi="宋体"/>
          <w:color w:val="auto"/>
          <w:sz w:val="24"/>
          <w:szCs w:val="24"/>
          <w:highlight w:val="none"/>
        </w:rPr>
        <w:t>澄清或者修改</w:t>
      </w:r>
      <w:bookmarkEnd w:id="56"/>
      <w:r>
        <w:rPr>
          <w:rFonts w:hint="eastAsia" w:ascii="宋体" w:hAnsi="宋体"/>
          <w:color w:val="auto"/>
          <w:sz w:val="24"/>
          <w:szCs w:val="24"/>
          <w:highlight w:val="none"/>
        </w:rPr>
        <w:t>，澄清或者修改的内容可能影响投标文件编制的，采购人或者采购代理机构在投标截止时间至少15日前，以网上更正公告的形式，通知所有获取招标文件的潜在投标人；不足15日的，采购人或者采购代理机构将顺延提交投标文件的截止时间。网上更正公告是招标文件的组成部分，同时</w:t>
      </w:r>
      <w:bookmarkStart w:id="57" w:name="_Hlk97825721"/>
      <w:r>
        <w:rPr>
          <w:rFonts w:hint="eastAsia" w:ascii="宋体" w:hAnsi="宋体"/>
          <w:color w:val="auto"/>
          <w:sz w:val="24"/>
          <w:szCs w:val="24"/>
          <w:highlight w:val="none"/>
        </w:rPr>
        <w:t>在“甘肃政府采购网”（http://www.ccgp-gansu.gov.cn/index）和“兰州市公共资源交易中心网站”（http://lzggzyjy.lanzhou.gov.cn）发布</w:t>
      </w:r>
      <w:bookmarkEnd w:id="57"/>
      <w:r>
        <w:rPr>
          <w:rFonts w:hint="eastAsia" w:ascii="宋体" w:hAnsi="宋体"/>
          <w:color w:val="auto"/>
          <w:sz w:val="24"/>
          <w:szCs w:val="24"/>
          <w:highlight w:val="none"/>
        </w:rPr>
        <w:t>。</w:t>
      </w:r>
    </w:p>
    <w:p w14:paraId="49CE4F0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在规定时间，投标人未对招标文件提出疑问、质疑或要求澄清的，视其为无异议。投标文件未对澄清或者修改的内容作出实质性响应，可能导致投标无效，由此引起的风险和责任由投标人承担。</w:t>
      </w:r>
    </w:p>
    <w:p w14:paraId="0ABAD9E6">
      <w:pPr>
        <w:wordWrap w:val="0"/>
        <w:spacing w:line="360" w:lineRule="auto"/>
        <w:ind w:firstLine="480" w:firstLineChars="200"/>
        <w:outlineLvl w:val="2"/>
        <w:rPr>
          <w:rFonts w:ascii="宋体" w:hAnsi="宋体"/>
          <w:b/>
          <w:color w:val="auto"/>
          <w:sz w:val="24"/>
          <w:szCs w:val="24"/>
          <w:highlight w:val="none"/>
        </w:rPr>
      </w:pPr>
      <w:bookmarkStart w:id="58" w:name="_Toc91323571"/>
      <w:bookmarkStart w:id="59" w:name="_Toc140237258"/>
      <w:r>
        <w:rPr>
          <w:rFonts w:hint="eastAsia" w:ascii="宋体" w:hAnsi="宋体"/>
          <w:b/>
          <w:color w:val="auto"/>
          <w:sz w:val="24"/>
          <w:szCs w:val="24"/>
          <w:highlight w:val="none"/>
        </w:rPr>
        <w:t>2.1.3　</w:t>
      </w:r>
      <w:bookmarkEnd w:id="58"/>
      <w:r>
        <w:rPr>
          <w:rFonts w:hint="eastAsia" w:ascii="宋体" w:hAnsi="宋体"/>
          <w:b/>
          <w:color w:val="auto"/>
          <w:sz w:val="24"/>
          <w:szCs w:val="24"/>
          <w:highlight w:val="none"/>
        </w:rPr>
        <w:t>现场考察或者答疑会</w:t>
      </w:r>
      <w:bookmarkEnd w:id="59"/>
    </w:p>
    <w:p w14:paraId="3D4606E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本项目是否组织现场考察或者召开答疑会见《投标人须知前附表》。</w:t>
      </w:r>
    </w:p>
    <w:p w14:paraId="428478AE">
      <w:pPr>
        <w:wordWrap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根据采购项目和具体情况，采购</w:t>
      </w:r>
      <w:r>
        <w:rPr>
          <w:rFonts w:hint="eastAsia" w:ascii="宋体" w:hAnsi="宋体"/>
          <w:color w:val="auto"/>
          <w:sz w:val="24"/>
          <w:szCs w:val="24"/>
          <w:highlight w:val="none"/>
        </w:rPr>
        <w:t>人</w:t>
      </w:r>
      <w:r>
        <w:rPr>
          <w:rFonts w:ascii="宋体" w:hAnsi="宋体"/>
          <w:color w:val="auto"/>
          <w:sz w:val="24"/>
          <w:szCs w:val="24"/>
          <w:highlight w:val="none"/>
        </w:rPr>
        <w:t>认为有必要</w:t>
      </w:r>
      <w:r>
        <w:rPr>
          <w:rFonts w:hint="eastAsia" w:ascii="宋体" w:hAnsi="宋体"/>
          <w:color w:val="auto"/>
          <w:sz w:val="24"/>
          <w:szCs w:val="24"/>
          <w:highlight w:val="none"/>
        </w:rPr>
        <w:t>的</w:t>
      </w:r>
      <w:r>
        <w:rPr>
          <w:rFonts w:ascii="宋体" w:hAnsi="宋体"/>
          <w:color w:val="auto"/>
          <w:sz w:val="24"/>
          <w:szCs w:val="24"/>
          <w:highlight w:val="none"/>
        </w:rPr>
        <w:t>，可以组织</w:t>
      </w:r>
      <w:r>
        <w:rPr>
          <w:rFonts w:hint="eastAsia" w:ascii="宋体" w:hAnsi="宋体"/>
          <w:color w:val="auto"/>
          <w:sz w:val="24"/>
          <w:szCs w:val="24"/>
          <w:highlight w:val="none"/>
        </w:rPr>
        <w:t>已获取招标文件的潜在投标人现场考察或者</w:t>
      </w:r>
      <w:r>
        <w:rPr>
          <w:rFonts w:ascii="宋体" w:hAnsi="宋体"/>
          <w:color w:val="auto"/>
          <w:sz w:val="24"/>
          <w:szCs w:val="24"/>
          <w:highlight w:val="none"/>
        </w:rPr>
        <w:t>召开</w:t>
      </w:r>
      <w:r>
        <w:rPr>
          <w:rFonts w:hint="eastAsia" w:ascii="宋体" w:hAnsi="宋体"/>
          <w:color w:val="auto"/>
          <w:sz w:val="24"/>
          <w:szCs w:val="24"/>
          <w:highlight w:val="none"/>
        </w:rPr>
        <w:t>答疑会</w:t>
      </w:r>
      <w:r>
        <w:rPr>
          <w:rFonts w:ascii="宋体" w:hAnsi="宋体"/>
          <w:color w:val="auto"/>
          <w:sz w:val="24"/>
          <w:szCs w:val="24"/>
          <w:highlight w:val="none"/>
        </w:rPr>
        <w:t>。</w:t>
      </w:r>
    </w:p>
    <w:p w14:paraId="6F168918">
      <w:pPr>
        <w:wordWrap w:val="0"/>
        <w:spacing w:line="360" w:lineRule="auto"/>
        <w:ind w:firstLine="480" w:firstLineChars="200"/>
        <w:rPr>
          <w:rFonts w:ascii="宋体" w:hAnsi="宋体"/>
          <w:color w:val="auto"/>
          <w:sz w:val="24"/>
          <w:szCs w:val="24"/>
          <w:highlight w:val="none"/>
        </w:rPr>
      </w:pPr>
      <w:bookmarkStart w:id="60" w:name="_Hlk100225405"/>
      <w:r>
        <w:rPr>
          <w:rFonts w:hint="eastAsia" w:ascii="宋体" w:hAnsi="宋体"/>
          <w:color w:val="auto"/>
          <w:sz w:val="24"/>
          <w:szCs w:val="24"/>
          <w:highlight w:val="none"/>
        </w:rPr>
        <w:t>因参加现场考察或者答疑会</w:t>
      </w:r>
      <w:r>
        <w:rPr>
          <w:rFonts w:ascii="宋体" w:hAnsi="宋体"/>
          <w:color w:val="auto"/>
          <w:sz w:val="24"/>
          <w:szCs w:val="24"/>
          <w:highlight w:val="none"/>
        </w:rPr>
        <w:t>所发生的一切费用由</w:t>
      </w:r>
      <w:r>
        <w:rPr>
          <w:rFonts w:hint="eastAsia" w:ascii="宋体" w:hAnsi="宋体"/>
          <w:color w:val="auto"/>
          <w:sz w:val="24"/>
          <w:szCs w:val="24"/>
          <w:highlight w:val="none"/>
        </w:rPr>
        <w:t>潜在</w:t>
      </w:r>
      <w:r>
        <w:rPr>
          <w:rFonts w:ascii="宋体" w:hAnsi="宋体"/>
          <w:color w:val="auto"/>
          <w:sz w:val="24"/>
          <w:szCs w:val="24"/>
          <w:highlight w:val="none"/>
        </w:rPr>
        <w:t>投标人自行承担</w:t>
      </w:r>
      <w:bookmarkEnd w:id="60"/>
      <w:r>
        <w:rPr>
          <w:rFonts w:hint="eastAsia" w:ascii="宋体" w:hAnsi="宋体"/>
          <w:color w:val="auto"/>
          <w:sz w:val="24"/>
          <w:szCs w:val="24"/>
          <w:highlight w:val="none"/>
        </w:rPr>
        <w:t>。</w:t>
      </w:r>
    </w:p>
    <w:p w14:paraId="4E964E69">
      <w:pPr>
        <w:wordWrap w:val="0"/>
        <w:spacing w:line="360" w:lineRule="auto"/>
        <w:ind w:firstLine="480" w:firstLineChars="200"/>
        <w:outlineLvl w:val="1"/>
        <w:rPr>
          <w:rFonts w:ascii="宋体" w:hAnsi="宋体"/>
          <w:b/>
          <w:color w:val="auto"/>
          <w:sz w:val="24"/>
          <w:szCs w:val="24"/>
          <w:highlight w:val="none"/>
        </w:rPr>
      </w:pPr>
      <w:bookmarkStart w:id="61" w:name="_Toc472459264"/>
      <w:bookmarkStart w:id="62" w:name="_Toc369249056"/>
      <w:bookmarkStart w:id="63" w:name="_Toc140237259"/>
      <w:bookmarkStart w:id="64" w:name="_Toc91323572"/>
      <w:r>
        <w:rPr>
          <w:rFonts w:hint="eastAsia" w:ascii="宋体" w:hAnsi="宋体"/>
          <w:b/>
          <w:color w:val="auto"/>
          <w:sz w:val="24"/>
          <w:szCs w:val="24"/>
          <w:highlight w:val="none"/>
        </w:rPr>
        <w:t>2.2　投标</w:t>
      </w:r>
      <w:bookmarkEnd w:id="61"/>
      <w:bookmarkEnd w:id="62"/>
      <w:r>
        <w:rPr>
          <w:rFonts w:hint="eastAsia" w:ascii="宋体" w:hAnsi="宋体"/>
          <w:b/>
          <w:color w:val="auto"/>
          <w:sz w:val="24"/>
          <w:szCs w:val="24"/>
          <w:highlight w:val="none"/>
        </w:rPr>
        <w:t>文件</w:t>
      </w:r>
      <w:bookmarkEnd w:id="63"/>
      <w:bookmarkEnd w:id="64"/>
    </w:p>
    <w:p w14:paraId="774AF32C">
      <w:pPr>
        <w:wordWrap w:val="0"/>
        <w:spacing w:line="360" w:lineRule="auto"/>
        <w:ind w:firstLine="480" w:firstLineChars="200"/>
        <w:outlineLvl w:val="2"/>
        <w:rPr>
          <w:rFonts w:ascii="宋体" w:hAnsi="宋体"/>
          <w:b/>
          <w:color w:val="auto"/>
          <w:sz w:val="24"/>
          <w:szCs w:val="24"/>
          <w:highlight w:val="none"/>
        </w:rPr>
      </w:pPr>
      <w:bookmarkStart w:id="65" w:name="_Toc91323573"/>
      <w:bookmarkStart w:id="66" w:name="_Toc140237260"/>
      <w:r>
        <w:rPr>
          <w:rFonts w:hint="eastAsia" w:ascii="宋体" w:hAnsi="宋体"/>
          <w:b/>
          <w:color w:val="auto"/>
          <w:sz w:val="24"/>
          <w:szCs w:val="24"/>
          <w:highlight w:val="none"/>
        </w:rPr>
        <w:t>2.2.1　投标</w:t>
      </w:r>
      <w:bookmarkEnd w:id="65"/>
      <w:r>
        <w:rPr>
          <w:rFonts w:hint="eastAsia" w:ascii="宋体" w:hAnsi="宋体"/>
          <w:b/>
          <w:color w:val="auto"/>
          <w:sz w:val="24"/>
          <w:szCs w:val="24"/>
          <w:highlight w:val="none"/>
        </w:rPr>
        <w:t>要求</w:t>
      </w:r>
      <w:bookmarkEnd w:id="66"/>
    </w:p>
    <w:p w14:paraId="115FE7C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投标人应仔细阅读招标文件的所有内容，按招标文件要求编制电子投标文件，以使投标对招标文件作出实质性响应。否则，投标文件可能被拒收或视为无效投标，</w:t>
      </w:r>
      <w:bookmarkStart w:id="67" w:name="_Hlk97735529"/>
      <w:r>
        <w:rPr>
          <w:rFonts w:hint="eastAsia" w:ascii="宋体" w:hAnsi="宋体"/>
          <w:color w:val="auto"/>
          <w:sz w:val="24"/>
          <w:szCs w:val="24"/>
          <w:highlight w:val="none"/>
        </w:rPr>
        <w:t>由此引起的风险和责任</w:t>
      </w:r>
      <w:bookmarkEnd w:id="67"/>
      <w:r>
        <w:rPr>
          <w:rFonts w:hint="eastAsia" w:ascii="宋体" w:hAnsi="宋体"/>
          <w:color w:val="auto"/>
          <w:sz w:val="24"/>
          <w:szCs w:val="24"/>
          <w:highlight w:val="none"/>
        </w:rPr>
        <w:t>由投标人承担。</w:t>
      </w:r>
    </w:p>
    <w:p w14:paraId="274C9763">
      <w:pPr>
        <w:wordWrap w:val="0"/>
        <w:spacing w:line="360" w:lineRule="auto"/>
        <w:ind w:firstLine="480" w:firstLineChars="200"/>
        <w:outlineLvl w:val="2"/>
        <w:rPr>
          <w:rFonts w:ascii="宋体" w:hAnsi="宋体"/>
          <w:b/>
          <w:color w:val="auto"/>
          <w:sz w:val="24"/>
          <w:szCs w:val="24"/>
          <w:highlight w:val="none"/>
        </w:rPr>
      </w:pPr>
      <w:bookmarkStart w:id="68" w:name="_Toc91323574"/>
      <w:bookmarkStart w:id="69" w:name="_Toc140237261"/>
      <w:r>
        <w:rPr>
          <w:rFonts w:hint="eastAsia" w:ascii="宋体" w:hAnsi="宋体"/>
          <w:b/>
          <w:color w:val="auto"/>
          <w:sz w:val="24"/>
          <w:szCs w:val="24"/>
          <w:highlight w:val="none"/>
        </w:rPr>
        <w:t>2.2.2</w:t>
      </w:r>
      <w:bookmarkStart w:id="70" w:name="_Toc369249059"/>
      <w:bookmarkStart w:id="71" w:name="_Toc472459268"/>
      <w:r>
        <w:rPr>
          <w:rFonts w:hint="eastAsia" w:ascii="宋体" w:hAnsi="宋体"/>
          <w:b/>
          <w:color w:val="auto"/>
          <w:sz w:val="24"/>
          <w:szCs w:val="24"/>
          <w:highlight w:val="none"/>
        </w:rPr>
        <w:t>　投标报价</w:t>
      </w:r>
      <w:bookmarkEnd w:id="68"/>
      <w:bookmarkEnd w:id="69"/>
      <w:bookmarkEnd w:id="70"/>
      <w:bookmarkEnd w:id="71"/>
    </w:p>
    <w:p w14:paraId="40588AB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投标报价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14:paraId="1FCEF2A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投标人的投标报价只能有一个投标价格，投标价格采用唯一价格，即不得为某一范围价格。投标货币为人民币。</w:t>
      </w:r>
    </w:p>
    <w:p w14:paraId="613F34B9">
      <w:pPr>
        <w:wordWrap w:val="0"/>
        <w:spacing w:line="360" w:lineRule="auto"/>
        <w:ind w:firstLine="480" w:firstLineChars="200"/>
        <w:outlineLvl w:val="2"/>
        <w:rPr>
          <w:rFonts w:ascii="宋体" w:hAnsi="宋体"/>
          <w:b/>
          <w:color w:val="auto"/>
          <w:sz w:val="24"/>
          <w:szCs w:val="24"/>
          <w:highlight w:val="none"/>
        </w:rPr>
      </w:pPr>
      <w:bookmarkStart w:id="72" w:name="_Toc91323575"/>
      <w:bookmarkStart w:id="73" w:name="_Toc140237262"/>
      <w:r>
        <w:rPr>
          <w:rFonts w:hint="eastAsia" w:ascii="宋体" w:hAnsi="宋体"/>
          <w:b/>
          <w:color w:val="auto"/>
          <w:sz w:val="24"/>
          <w:szCs w:val="24"/>
          <w:highlight w:val="none"/>
        </w:rPr>
        <w:t>2.2.3　投标有效期</w:t>
      </w:r>
      <w:bookmarkEnd w:id="72"/>
      <w:bookmarkEnd w:id="73"/>
    </w:p>
    <w:p w14:paraId="50D6916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本项目投标有效期见《投标人须知前附表》。</w:t>
      </w:r>
    </w:p>
    <w:p w14:paraId="5295AB8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投标有效期从提交投标文件的截止之日起算。投标文件中承诺的投标有效期应当不少于招标文件中载明的投标有效期。</w:t>
      </w:r>
    </w:p>
    <w:p w14:paraId="52E17ACF">
      <w:pPr>
        <w:wordWrap w:val="0"/>
        <w:spacing w:line="360" w:lineRule="auto"/>
        <w:ind w:firstLine="480" w:firstLineChars="200"/>
        <w:outlineLvl w:val="2"/>
        <w:rPr>
          <w:rFonts w:ascii="宋体" w:hAnsi="宋体"/>
          <w:b/>
          <w:color w:val="auto"/>
          <w:sz w:val="24"/>
          <w:szCs w:val="24"/>
          <w:highlight w:val="none"/>
        </w:rPr>
      </w:pPr>
      <w:bookmarkStart w:id="74" w:name="_Toc140237263"/>
      <w:bookmarkStart w:id="75" w:name="_Toc91323576"/>
      <w:r>
        <w:rPr>
          <w:rFonts w:hint="eastAsia" w:ascii="宋体" w:hAnsi="宋体"/>
          <w:b/>
          <w:color w:val="auto"/>
          <w:sz w:val="24"/>
          <w:szCs w:val="24"/>
          <w:highlight w:val="none"/>
        </w:rPr>
        <w:t>2.2.4　</w:t>
      </w:r>
      <w:bookmarkStart w:id="76" w:name="_Hlk100224952"/>
      <w:r>
        <w:rPr>
          <w:rFonts w:hint="eastAsia" w:ascii="宋体" w:hAnsi="宋体"/>
          <w:b/>
          <w:color w:val="auto"/>
          <w:sz w:val="24"/>
          <w:szCs w:val="24"/>
          <w:highlight w:val="none"/>
        </w:rPr>
        <w:t>投标保证金</w:t>
      </w:r>
      <w:bookmarkEnd w:id="74"/>
      <w:bookmarkEnd w:id="75"/>
      <w:bookmarkEnd w:id="76"/>
    </w:p>
    <w:p w14:paraId="2F313636">
      <w:pPr>
        <w:wordWrap w:val="0"/>
        <w:spacing w:line="360" w:lineRule="auto"/>
        <w:ind w:firstLine="480" w:firstLineChars="200"/>
        <w:rPr>
          <w:rFonts w:ascii="宋体" w:hAnsi="宋体"/>
          <w:color w:val="auto"/>
          <w:sz w:val="24"/>
          <w:szCs w:val="24"/>
          <w:highlight w:val="none"/>
        </w:rPr>
      </w:pPr>
      <w:bookmarkStart w:id="77" w:name="_Hlk100939100"/>
      <w:r>
        <w:rPr>
          <w:rFonts w:hint="eastAsia" w:ascii="宋体" w:hAnsi="宋体"/>
          <w:color w:val="auto"/>
          <w:sz w:val="24"/>
          <w:szCs w:val="24"/>
          <w:highlight w:val="none"/>
        </w:rPr>
        <w:t>本项目投标保证金见《投标人须知前附表》</w:t>
      </w:r>
      <w:bookmarkEnd w:id="77"/>
      <w:r>
        <w:rPr>
          <w:rFonts w:hint="eastAsia" w:ascii="宋体" w:hAnsi="宋体"/>
          <w:color w:val="auto"/>
          <w:sz w:val="24"/>
          <w:szCs w:val="24"/>
          <w:highlight w:val="none"/>
        </w:rPr>
        <w:t>。</w:t>
      </w:r>
    </w:p>
    <w:p w14:paraId="0DF97562">
      <w:pPr>
        <w:pStyle w:val="15"/>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投标有效期内投标人撤销投标文件的，采购人或者采购代理机构可以不退还投标保证金。</w:t>
      </w:r>
    </w:p>
    <w:p w14:paraId="3618FA2F">
      <w:pPr>
        <w:wordWrap w:val="0"/>
        <w:spacing w:line="360" w:lineRule="auto"/>
        <w:ind w:firstLine="480" w:firstLineChars="200"/>
        <w:outlineLvl w:val="2"/>
        <w:rPr>
          <w:rFonts w:ascii="宋体" w:hAnsi="宋体"/>
          <w:b/>
          <w:color w:val="auto"/>
          <w:sz w:val="24"/>
          <w:szCs w:val="24"/>
          <w:highlight w:val="none"/>
        </w:rPr>
      </w:pPr>
      <w:bookmarkStart w:id="78" w:name="_Toc140237264"/>
      <w:bookmarkStart w:id="79" w:name="_Toc91323577"/>
      <w:r>
        <w:rPr>
          <w:rFonts w:hint="eastAsia" w:ascii="宋体" w:hAnsi="宋体"/>
          <w:b/>
          <w:color w:val="auto"/>
          <w:sz w:val="24"/>
          <w:szCs w:val="24"/>
          <w:highlight w:val="none"/>
        </w:rPr>
        <w:t>2.2.5　投标资格</w:t>
      </w:r>
      <w:bookmarkEnd w:id="78"/>
      <w:bookmarkEnd w:id="79"/>
    </w:p>
    <w:p w14:paraId="77429EC9">
      <w:pPr>
        <w:wordWrap w:val="0"/>
        <w:spacing w:line="360" w:lineRule="auto"/>
        <w:ind w:firstLine="480" w:firstLineChars="200"/>
        <w:outlineLvl w:val="3"/>
        <w:rPr>
          <w:rFonts w:ascii="宋体" w:hAnsi="宋体"/>
          <w:b/>
          <w:color w:val="auto"/>
          <w:sz w:val="24"/>
          <w:szCs w:val="24"/>
          <w:highlight w:val="none"/>
        </w:rPr>
      </w:pPr>
      <w:bookmarkStart w:id="80" w:name="_Toc91323578"/>
      <w:r>
        <w:rPr>
          <w:rFonts w:hint="eastAsia" w:ascii="宋体" w:hAnsi="宋体"/>
          <w:b/>
          <w:color w:val="auto"/>
          <w:sz w:val="24"/>
          <w:szCs w:val="24"/>
          <w:highlight w:val="none"/>
        </w:rPr>
        <w:t>2.2.5.1　</w:t>
      </w:r>
      <w:bookmarkStart w:id="81" w:name="_Hlk100223101"/>
      <w:r>
        <w:rPr>
          <w:rFonts w:hint="eastAsia" w:ascii="宋体" w:hAnsi="宋体"/>
          <w:b/>
          <w:color w:val="auto"/>
          <w:sz w:val="24"/>
          <w:szCs w:val="24"/>
          <w:highlight w:val="none"/>
        </w:rPr>
        <w:t>投标人资格</w:t>
      </w:r>
      <w:bookmarkEnd w:id="80"/>
      <w:r>
        <w:rPr>
          <w:rFonts w:hint="eastAsia" w:ascii="宋体" w:hAnsi="宋体"/>
          <w:b/>
          <w:color w:val="auto"/>
          <w:sz w:val="24"/>
          <w:szCs w:val="24"/>
          <w:highlight w:val="none"/>
        </w:rPr>
        <w:t>要求</w:t>
      </w:r>
      <w:bookmarkEnd w:id="81"/>
    </w:p>
    <w:p w14:paraId="51D26A5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本项目投标人资格要求详见《投标人须知前附表》。</w:t>
      </w:r>
    </w:p>
    <w:p w14:paraId="1045BBCF">
      <w:pPr>
        <w:wordWrap w:val="0"/>
        <w:spacing w:line="360" w:lineRule="auto"/>
        <w:ind w:firstLine="480" w:firstLineChars="200"/>
        <w:outlineLvl w:val="3"/>
        <w:rPr>
          <w:rFonts w:ascii="宋体" w:hAnsi="宋体"/>
          <w:b/>
          <w:color w:val="auto"/>
          <w:sz w:val="24"/>
          <w:szCs w:val="24"/>
          <w:highlight w:val="none"/>
        </w:rPr>
      </w:pPr>
      <w:bookmarkStart w:id="82" w:name="_Toc91323579"/>
      <w:r>
        <w:rPr>
          <w:rFonts w:hint="eastAsia" w:ascii="宋体" w:hAnsi="宋体"/>
          <w:b/>
          <w:color w:val="auto"/>
          <w:sz w:val="24"/>
          <w:szCs w:val="24"/>
          <w:highlight w:val="none"/>
        </w:rPr>
        <w:t>2.2.5.2　联合体投标</w:t>
      </w:r>
      <w:bookmarkEnd w:id="82"/>
      <w:r>
        <w:rPr>
          <w:rFonts w:hint="eastAsia" w:ascii="宋体" w:hAnsi="宋体"/>
          <w:b/>
          <w:color w:val="auto"/>
          <w:sz w:val="24"/>
          <w:szCs w:val="24"/>
          <w:highlight w:val="none"/>
        </w:rPr>
        <w:t>要求</w:t>
      </w:r>
    </w:p>
    <w:p w14:paraId="5E42BCE1">
      <w:pPr>
        <w:wordWrap w:val="0"/>
        <w:spacing w:line="360" w:lineRule="auto"/>
        <w:ind w:firstLine="480" w:firstLineChars="200"/>
        <w:rPr>
          <w:rFonts w:ascii="宋体" w:hAnsi="宋体"/>
          <w:color w:val="auto"/>
          <w:sz w:val="24"/>
          <w:szCs w:val="24"/>
          <w:highlight w:val="none"/>
        </w:rPr>
      </w:pPr>
      <w:bookmarkStart w:id="83" w:name="_Hlk100939379"/>
      <w:r>
        <w:rPr>
          <w:rFonts w:hint="eastAsia" w:ascii="宋体" w:hAnsi="宋体"/>
          <w:color w:val="auto"/>
          <w:sz w:val="24"/>
          <w:szCs w:val="24"/>
          <w:highlight w:val="none"/>
        </w:rPr>
        <w:t>本项目是否接受</w:t>
      </w:r>
      <w:r>
        <w:rPr>
          <w:rFonts w:ascii="宋体" w:hAnsi="宋体"/>
          <w:color w:val="auto"/>
          <w:sz w:val="24"/>
          <w:szCs w:val="24"/>
          <w:highlight w:val="none"/>
        </w:rPr>
        <w:t>联合体投标</w:t>
      </w:r>
      <w:r>
        <w:rPr>
          <w:rFonts w:hint="eastAsia" w:ascii="宋体" w:hAnsi="宋体"/>
          <w:color w:val="auto"/>
          <w:sz w:val="24"/>
          <w:szCs w:val="24"/>
          <w:highlight w:val="none"/>
        </w:rPr>
        <w:t>见《投标人须知前附表》。</w:t>
      </w:r>
      <w:bookmarkEnd w:id="83"/>
    </w:p>
    <w:p w14:paraId="4154E4EC">
      <w:pPr>
        <w:wordWrap w:val="0"/>
        <w:spacing w:line="360" w:lineRule="auto"/>
        <w:ind w:firstLine="480" w:firstLineChars="200"/>
        <w:rPr>
          <w:rFonts w:ascii="宋体" w:hAnsi="宋体"/>
          <w:color w:val="auto"/>
          <w:sz w:val="24"/>
          <w:szCs w:val="24"/>
          <w:highlight w:val="none"/>
        </w:rPr>
      </w:pPr>
      <w:bookmarkStart w:id="84" w:name="_Hlk104301333"/>
      <w:bookmarkStart w:id="85" w:name="_Hlk105082059"/>
      <w:r>
        <w:rPr>
          <w:rFonts w:hint="eastAsia" w:ascii="宋体" w:hAnsi="宋体"/>
          <w:color w:val="auto"/>
          <w:sz w:val="24"/>
          <w:szCs w:val="24"/>
          <w:highlight w:val="none"/>
        </w:rPr>
        <w:t>投标人为联合体的，须提供</w:t>
      </w:r>
      <w:bookmarkEnd w:id="84"/>
      <w:r>
        <w:rPr>
          <w:rFonts w:hint="eastAsia" w:ascii="宋体" w:hAnsi="宋体"/>
          <w:color w:val="auto"/>
          <w:sz w:val="24"/>
          <w:szCs w:val="24"/>
          <w:highlight w:val="none"/>
        </w:rPr>
        <w:t>《联合体投标协议》，联合体及成员还应符合以下条件：</w:t>
      </w:r>
    </w:p>
    <w:bookmarkEnd w:id="85"/>
    <w:p w14:paraId="70DEFBC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两个以上的自然人、法人或者其他组织可以组成一个联合体，以一个</w:t>
      </w:r>
      <w:r>
        <w:rPr>
          <w:rFonts w:hint="eastAsia" w:ascii="宋体" w:hAnsi="宋体"/>
          <w:color w:val="auto"/>
          <w:sz w:val="24"/>
          <w:szCs w:val="24"/>
          <w:highlight w:val="none"/>
        </w:rPr>
        <w:t>投标人</w:t>
      </w:r>
      <w:r>
        <w:rPr>
          <w:rFonts w:ascii="宋体" w:hAnsi="宋体"/>
          <w:color w:val="auto"/>
          <w:sz w:val="24"/>
          <w:szCs w:val="24"/>
          <w:highlight w:val="none"/>
        </w:rPr>
        <w:t>的身份共同参加政府采购</w:t>
      </w:r>
      <w:r>
        <w:rPr>
          <w:rFonts w:hint="eastAsia" w:ascii="宋体" w:hAnsi="宋体"/>
          <w:color w:val="auto"/>
          <w:sz w:val="24"/>
          <w:szCs w:val="24"/>
          <w:highlight w:val="none"/>
        </w:rPr>
        <w:t>。</w:t>
      </w:r>
    </w:p>
    <w:p w14:paraId="356D535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联合体各方均应当具备《中华人民共和国政府采购法》第二十二条规定的条件，并应当向采购人提交《联合体投标协议》，载明联合体各方承担的工作和义务。联合体各方应当共同与采购人签订采购合同，就采购合同约定的事项对采购人承担连带责任。</w:t>
      </w:r>
    </w:p>
    <w:p w14:paraId="3E23E37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bookmarkStart w:id="86" w:name="_Hlk104300615"/>
      <w:r>
        <w:rPr>
          <w:rFonts w:ascii="宋体" w:hAnsi="宋体"/>
          <w:color w:val="auto"/>
          <w:sz w:val="24"/>
          <w:szCs w:val="24"/>
          <w:highlight w:val="none"/>
        </w:rPr>
        <w:t>联合体各方签订</w:t>
      </w:r>
      <w:bookmarkEnd w:id="86"/>
      <w:r>
        <w:rPr>
          <w:rFonts w:hint="eastAsia" w:ascii="宋体" w:hAnsi="宋体"/>
          <w:color w:val="auto"/>
          <w:sz w:val="24"/>
          <w:szCs w:val="24"/>
          <w:highlight w:val="none"/>
        </w:rPr>
        <w:t>的《联合体投标协议》作为</w:t>
      </w:r>
      <w:r>
        <w:rPr>
          <w:rFonts w:ascii="宋体" w:hAnsi="宋体"/>
          <w:color w:val="auto"/>
          <w:sz w:val="24"/>
          <w:szCs w:val="24"/>
          <w:highlight w:val="none"/>
        </w:rPr>
        <w:t>投标文件</w:t>
      </w:r>
      <w:r>
        <w:rPr>
          <w:rFonts w:hint="eastAsia" w:ascii="宋体" w:hAnsi="宋体"/>
          <w:color w:val="auto"/>
          <w:sz w:val="24"/>
          <w:szCs w:val="24"/>
          <w:highlight w:val="none"/>
        </w:rPr>
        <w:t>的内容</w:t>
      </w:r>
      <w:r>
        <w:rPr>
          <w:rFonts w:ascii="宋体" w:hAnsi="宋体"/>
          <w:color w:val="auto"/>
          <w:sz w:val="24"/>
          <w:szCs w:val="24"/>
          <w:highlight w:val="none"/>
        </w:rPr>
        <w:t>。联合体各方签订</w:t>
      </w:r>
      <w:r>
        <w:rPr>
          <w:rFonts w:hint="eastAsia" w:ascii="宋体" w:hAnsi="宋体"/>
          <w:color w:val="auto"/>
          <w:sz w:val="24"/>
          <w:highlight w:val="none"/>
        </w:rPr>
        <w:t>《联合体投标协议》</w:t>
      </w:r>
      <w:r>
        <w:rPr>
          <w:rFonts w:ascii="宋体" w:hAnsi="宋体"/>
          <w:color w:val="auto"/>
          <w:sz w:val="24"/>
          <w:szCs w:val="24"/>
          <w:highlight w:val="none"/>
        </w:rPr>
        <w:t>后，不得再以自己名义单独在同一项目中投标，也不得组成新的联合体参加同一项目投标</w:t>
      </w:r>
      <w:r>
        <w:rPr>
          <w:rFonts w:hint="eastAsia" w:ascii="宋体" w:hAnsi="宋体"/>
          <w:color w:val="auto"/>
          <w:sz w:val="24"/>
          <w:szCs w:val="24"/>
          <w:highlight w:val="none"/>
        </w:rPr>
        <w:t>。</w:t>
      </w:r>
    </w:p>
    <w:p w14:paraId="01D9129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联合体投标的，</w:t>
      </w:r>
      <w:r>
        <w:rPr>
          <w:rFonts w:hint="eastAsia" w:ascii="宋体" w:hAnsi="宋体"/>
          <w:color w:val="auto"/>
          <w:sz w:val="24"/>
          <w:szCs w:val="24"/>
          <w:highlight w:val="none"/>
        </w:rPr>
        <w:t>可以由联合体中的一方或者多方共同交纳保证金，其交纳的保证金对联合体各方均具有约束力。</w:t>
      </w:r>
    </w:p>
    <w:p w14:paraId="7FA9CDB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（5）联合体中有同类资质的供应商按照联合体分工承担相同工作的，按照资质等级较低的供应商确定资质等级。</w:t>
      </w:r>
    </w:p>
    <w:p w14:paraId="3046CB0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）组成联合体的中小企业与联合体内其他企业之间不得存在直接控股、管理关系。</w:t>
      </w:r>
    </w:p>
    <w:p w14:paraId="26E8277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w:t>
      </w:r>
      <w:r>
        <w:rPr>
          <w:rFonts w:hint="eastAsia" w:ascii="宋体" w:hAnsi="宋体"/>
          <w:color w:val="auto"/>
          <w:sz w:val="24"/>
          <w:szCs w:val="24"/>
          <w:highlight w:val="none"/>
        </w:rPr>
        <w:t>）</w:t>
      </w:r>
      <w:r>
        <w:rPr>
          <w:rFonts w:ascii="宋体" w:hAnsi="宋体"/>
          <w:color w:val="auto"/>
          <w:sz w:val="24"/>
          <w:szCs w:val="24"/>
          <w:highlight w:val="none"/>
        </w:rPr>
        <w:t>联合体各方应当共同与采购人签订采购合同，就采购合同约定的事项对采购人承担连带责任。</w:t>
      </w:r>
    </w:p>
    <w:p w14:paraId="333E91C4">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）法律法规规定的其他情形。</w:t>
      </w:r>
    </w:p>
    <w:p w14:paraId="026AD304">
      <w:pPr>
        <w:wordWrap w:val="0"/>
        <w:spacing w:line="360" w:lineRule="auto"/>
        <w:ind w:firstLine="480" w:firstLineChars="200"/>
        <w:rPr>
          <w:rFonts w:ascii="宋体" w:hAnsi="宋体"/>
          <w:color w:val="auto"/>
          <w:sz w:val="24"/>
          <w:szCs w:val="24"/>
          <w:highlight w:val="none"/>
        </w:rPr>
      </w:pPr>
      <w:bookmarkStart w:id="87" w:name="_Hlk105188697"/>
      <w:r>
        <w:rPr>
          <w:rFonts w:hint="eastAsia" w:ascii="宋体" w:hAnsi="宋体"/>
          <w:color w:val="auto"/>
          <w:sz w:val="24"/>
          <w:szCs w:val="24"/>
          <w:highlight w:val="none"/>
        </w:rPr>
        <w:t>投标人为联合体且符合《政府采购促进中小企业发展管理办法》有关情形的，联合体中的中小企业均应提供《中小企业声明函》：</w:t>
      </w:r>
    </w:p>
    <w:bookmarkEnd w:id="87"/>
    <w:p w14:paraId="572DE68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）联合体各方均为中小企业的，联合体视同中小企业。其中，联合体各方均为小微企业的，联合体视同小微企业。联合体</w:t>
      </w:r>
      <w:r>
        <w:rPr>
          <w:rFonts w:ascii="宋体" w:hAnsi="宋体"/>
          <w:color w:val="auto"/>
          <w:sz w:val="24"/>
          <w:szCs w:val="24"/>
          <w:highlight w:val="none"/>
        </w:rPr>
        <w:t>各方均应提供《中小企业声明函》</w:t>
      </w:r>
      <w:r>
        <w:rPr>
          <w:rFonts w:hint="eastAsia" w:ascii="宋体" w:hAnsi="宋体"/>
          <w:color w:val="auto"/>
          <w:sz w:val="24"/>
          <w:szCs w:val="24"/>
          <w:highlight w:val="none"/>
        </w:rPr>
        <w:t>。</w:t>
      </w:r>
    </w:p>
    <w:p w14:paraId="16F13A4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）适用《政府采购促进中小企业发展管理办法》第八条情形的，投标人以联合体形式投标的，采购项目预算总额的30%以上专门面向中小企业采购，其中预留给小微企业的比例不低于60%的，联合体中</w:t>
      </w:r>
      <w:bookmarkStart w:id="88" w:name="_Hlk105186645"/>
      <w:r>
        <w:rPr>
          <w:rFonts w:hint="eastAsia" w:ascii="宋体" w:hAnsi="宋体"/>
          <w:color w:val="auto"/>
          <w:sz w:val="24"/>
          <w:szCs w:val="24"/>
          <w:highlight w:val="none"/>
        </w:rPr>
        <w:t>的中小企业均应提供《中小企业声明函》</w:t>
      </w:r>
      <w:bookmarkEnd w:id="88"/>
      <w:r>
        <w:rPr>
          <w:rFonts w:hint="eastAsia" w:ascii="宋体" w:hAnsi="宋体"/>
          <w:color w:val="auto"/>
          <w:sz w:val="24"/>
          <w:szCs w:val="24"/>
          <w:highlight w:val="none"/>
        </w:rPr>
        <w:t>。</w:t>
      </w:r>
    </w:p>
    <w:p w14:paraId="3F55D5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bookmarkStart w:id="89" w:name="_Hlk104471709"/>
      <w:r>
        <w:rPr>
          <w:rFonts w:hint="eastAsia" w:ascii="宋体" w:hAnsi="宋体"/>
          <w:color w:val="auto"/>
          <w:sz w:val="24"/>
          <w:szCs w:val="24"/>
          <w:highlight w:val="none"/>
        </w:rPr>
        <w:t>适用《政府采购促进中小企业发展管理办法》第九条情形的，</w:t>
      </w:r>
      <w:r>
        <w:rPr>
          <w:rFonts w:hint="eastAsia" w:ascii="宋体" w:hAnsi="宋体"/>
          <w:color w:val="auto"/>
          <w:sz w:val="24"/>
          <w:highlight w:val="none"/>
        </w:rPr>
        <w:t>大中型企业与小微企业组成联合体的，对于</w:t>
      </w:r>
      <w:bookmarkStart w:id="90" w:name="_Hlk104472643"/>
      <w:bookmarkStart w:id="91" w:name="_Hlk100246538"/>
      <w:r>
        <w:rPr>
          <w:rFonts w:hint="eastAsia" w:ascii="宋体" w:hAnsi="宋体"/>
          <w:color w:val="auto"/>
          <w:sz w:val="24"/>
          <w:highlight w:val="none"/>
        </w:rPr>
        <w:t>《联合体投标协议》</w:t>
      </w:r>
      <w:bookmarkEnd w:id="90"/>
      <w:r>
        <w:rPr>
          <w:rFonts w:hint="eastAsia" w:ascii="宋体" w:hAnsi="宋体"/>
          <w:color w:val="auto"/>
          <w:sz w:val="24"/>
          <w:highlight w:val="none"/>
        </w:rPr>
        <w:t>约定小微企业</w:t>
      </w:r>
      <w:bookmarkEnd w:id="91"/>
      <w:r>
        <w:rPr>
          <w:rFonts w:hint="eastAsia" w:ascii="宋体" w:hAnsi="宋体"/>
          <w:color w:val="auto"/>
          <w:sz w:val="24"/>
          <w:highlight w:val="none"/>
        </w:rPr>
        <w:t>的合同份额占到合同总金额30%以上的，联合体中的中小企业均应提供《中小企业声明函》。</w:t>
      </w:r>
      <w:bookmarkEnd w:id="89"/>
    </w:p>
    <w:p w14:paraId="5AE55340">
      <w:pPr>
        <w:wordWrap w:val="0"/>
        <w:spacing w:line="360" w:lineRule="auto"/>
        <w:ind w:firstLine="480" w:firstLineChars="200"/>
        <w:outlineLvl w:val="3"/>
        <w:rPr>
          <w:rFonts w:ascii="宋体" w:hAnsi="宋体"/>
          <w:b/>
          <w:color w:val="auto"/>
          <w:sz w:val="24"/>
          <w:szCs w:val="24"/>
          <w:highlight w:val="none"/>
        </w:rPr>
      </w:pPr>
      <w:bookmarkStart w:id="92" w:name="_Toc91323581"/>
      <w:r>
        <w:rPr>
          <w:rFonts w:hint="eastAsia" w:ascii="宋体" w:hAnsi="宋体"/>
          <w:b/>
          <w:color w:val="auto"/>
          <w:sz w:val="24"/>
          <w:szCs w:val="24"/>
          <w:highlight w:val="none"/>
        </w:rPr>
        <w:t>2.2.5.</w:t>
      </w:r>
      <w:r>
        <w:rPr>
          <w:rFonts w:ascii="宋体" w:hAnsi="宋体"/>
          <w:b/>
          <w:color w:val="auto"/>
          <w:sz w:val="24"/>
          <w:szCs w:val="24"/>
          <w:highlight w:val="none"/>
        </w:rPr>
        <w:t>3</w:t>
      </w:r>
      <w:r>
        <w:rPr>
          <w:rFonts w:hint="eastAsia" w:ascii="宋体" w:hAnsi="宋体"/>
          <w:b/>
          <w:color w:val="auto"/>
          <w:sz w:val="24"/>
          <w:szCs w:val="24"/>
          <w:highlight w:val="none"/>
        </w:rPr>
        <w:t>　</w:t>
      </w:r>
      <w:bookmarkStart w:id="93" w:name="_Hlk104275476"/>
      <w:r>
        <w:rPr>
          <w:rFonts w:hint="eastAsia" w:ascii="宋体" w:hAnsi="宋体"/>
          <w:b/>
          <w:color w:val="auto"/>
          <w:sz w:val="24"/>
          <w:szCs w:val="24"/>
          <w:highlight w:val="none"/>
        </w:rPr>
        <w:t>采取分包方式履行合同</w:t>
      </w:r>
      <w:bookmarkEnd w:id="93"/>
      <w:r>
        <w:rPr>
          <w:rFonts w:hint="eastAsia" w:ascii="宋体" w:hAnsi="宋体"/>
          <w:b/>
          <w:color w:val="auto"/>
          <w:sz w:val="24"/>
          <w:szCs w:val="24"/>
          <w:highlight w:val="none"/>
        </w:rPr>
        <w:t>要求</w:t>
      </w:r>
    </w:p>
    <w:p w14:paraId="2AB79B6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w:t>
      </w:r>
      <w:bookmarkStart w:id="94" w:name="_Hlk104275587"/>
      <w:r>
        <w:rPr>
          <w:rFonts w:hint="eastAsia" w:ascii="宋体" w:hAnsi="宋体"/>
          <w:color w:val="auto"/>
          <w:sz w:val="24"/>
          <w:szCs w:val="24"/>
          <w:highlight w:val="none"/>
        </w:rPr>
        <w:t>同意中标人采取分包方式履行合同</w:t>
      </w:r>
      <w:bookmarkEnd w:id="94"/>
      <w:r>
        <w:rPr>
          <w:rFonts w:hint="eastAsia" w:ascii="宋体" w:hAnsi="宋体"/>
          <w:color w:val="auto"/>
          <w:sz w:val="24"/>
          <w:szCs w:val="24"/>
          <w:highlight w:val="none"/>
        </w:rPr>
        <w:t>见《投标人须知前附表》。</w:t>
      </w:r>
    </w:p>
    <w:p w14:paraId="60D0F656">
      <w:pPr>
        <w:spacing w:line="360" w:lineRule="auto"/>
        <w:ind w:firstLine="480" w:firstLineChars="200"/>
        <w:rPr>
          <w:rFonts w:ascii="宋体" w:hAnsi="宋体"/>
          <w:color w:val="auto"/>
          <w:sz w:val="24"/>
          <w:highlight w:val="none"/>
        </w:rPr>
      </w:pPr>
      <w:bookmarkStart w:id="95" w:name="_Hlk104302446"/>
      <w:r>
        <w:rPr>
          <w:rFonts w:hint="eastAsia" w:ascii="宋体" w:hAnsi="宋体"/>
          <w:color w:val="auto"/>
          <w:sz w:val="24"/>
          <w:highlight w:val="none"/>
        </w:rPr>
        <w:t>投标人拟在中标后采取分包方式履行合同的，</w:t>
      </w:r>
      <w:r>
        <w:rPr>
          <w:rFonts w:hint="eastAsia" w:ascii="宋体" w:hAnsi="宋体"/>
          <w:color w:val="auto"/>
          <w:sz w:val="24"/>
          <w:szCs w:val="24"/>
          <w:highlight w:val="none"/>
        </w:rPr>
        <w:t>须提供《分包意向协议》，《分包意向协议》方还应符合以下条件：</w:t>
      </w:r>
    </w:p>
    <w:p w14:paraId="4B8725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（1）投标人根据招标文件的规定和采购项目的实际情况，拟在中标后将中标项目的非主体、非关键性工作分包的，应当在投标文件中载明分包承担主体，分包承担主体应当具备相应资质条件且不得再次分包。</w:t>
      </w:r>
    </w:p>
    <w:p w14:paraId="1AA7F4F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）中标人就采购项目和分包项目向采购人负责，分包承担主体就分包项目承担责任。</w:t>
      </w:r>
    </w:p>
    <w:p w14:paraId="386DBEB6">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）接受分包合同的中小企业与分包企业之间不得存在直接控股、管理关系。</w:t>
      </w:r>
    </w:p>
    <w:p w14:paraId="653A262E">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）法律法规规定的其他情形。</w:t>
      </w:r>
    </w:p>
    <w:p w14:paraId="02D799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投标人拟在中标后采取分包方式履行合同且符合《政府采购促进中小企业发展管理办法》有关情形的，</w:t>
      </w:r>
      <w:r>
        <w:rPr>
          <w:rFonts w:hint="eastAsia" w:ascii="宋体" w:hAnsi="宋体"/>
          <w:color w:val="auto"/>
          <w:sz w:val="24"/>
          <w:szCs w:val="24"/>
          <w:highlight w:val="none"/>
        </w:rPr>
        <w:t>《分包意向协议》</w:t>
      </w:r>
      <w:r>
        <w:rPr>
          <w:rFonts w:hint="eastAsia" w:ascii="宋体" w:hAnsi="宋体"/>
          <w:color w:val="auto"/>
          <w:sz w:val="24"/>
          <w:highlight w:val="none"/>
        </w:rPr>
        <w:t>中的中小企业均应提供《中小企业声明函》：</w:t>
      </w:r>
    </w:p>
    <w:p w14:paraId="242078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适用《政府采购促进中小企业发展管理办法》第八条情形的，投标人拟在中标后采取分包方式履行，采购项目预算总额的30%以上专门面向中小企业采购，其中预留给小微企业的比例不低于60%的，《分包意向协议》</w:t>
      </w:r>
      <w:r>
        <w:rPr>
          <w:rFonts w:hint="eastAsia" w:ascii="宋体" w:hAnsi="宋体"/>
          <w:color w:val="auto"/>
          <w:sz w:val="24"/>
          <w:highlight w:val="none"/>
        </w:rPr>
        <w:t>约定中的</w:t>
      </w:r>
      <w:r>
        <w:rPr>
          <w:rFonts w:hint="eastAsia" w:ascii="宋体" w:hAnsi="宋体"/>
          <w:color w:val="auto"/>
          <w:sz w:val="24"/>
          <w:szCs w:val="24"/>
          <w:highlight w:val="none"/>
        </w:rPr>
        <w:t>中小企业均应提供《中小企业声明函》。</w:t>
      </w:r>
    </w:p>
    <w:p w14:paraId="0CCB520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szCs w:val="24"/>
          <w:highlight w:val="none"/>
        </w:rPr>
        <w:t>适用《政府采购促进中小企业发展管理办法》第九条情形的，</w:t>
      </w:r>
      <w:r>
        <w:rPr>
          <w:rFonts w:hint="eastAsia" w:ascii="宋体" w:hAnsi="宋体"/>
          <w:color w:val="auto"/>
          <w:sz w:val="24"/>
          <w:highlight w:val="none"/>
        </w:rPr>
        <w:t>大中型企业承诺向一家或者多家小微企业分包的，对于</w:t>
      </w:r>
      <w:r>
        <w:rPr>
          <w:rFonts w:hint="eastAsia" w:ascii="宋体" w:hAnsi="宋体"/>
          <w:color w:val="auto"/>
          <w:sz w:val="24"/>
          <w:szCs w:val="24"/>
          <w:highlight w:val="none"/>
        </w:rPr>
        <w:t>《分包意向协议》</w:t>
      </w:r>
      <w:bookmarkStart w:id="96" w:name="_Hlk123309367"/>
      <w:r>
        <w:rPr>
          <w:rFonts w:hint="eastAsia" w:ascii="宋体" w:hAnsi="宋体"/>
          <w:color w:val="auto"/>
          <w:sz w:val="24"/>
          <w:highlight w:val="none"/>
        </w:rPr>
        <w:t>约定小微企业的合同份额占到合同总金额30%以上的</w:t>
      </w:r>
      <w:bookmarkEnd w:id="96"/>
      <w:r>
        <w:rPr>
          <w:rFonts w:hint="eastAsia" w:ascii="宋体" w:hAnsi="宋体"/>
          <w:color w:val="auto"/>
          <w:sz w:val="24"/>
          <w:highlight w:val="none"/>
        </w:rPr>
        <w:t>，</w:t>
      </w:r>
      <w:r>
        <w:rPr>
          <w:rFonts w:hint="eastAsia" w:ascii="宋体" w:hAnsi="宋体"/>
          <w:color w:val="auto"/>
          <w:sz w:val="24"/>
          <w:szCs w:val="24"/>
          <w:highlight w:val="none"/>
        </w:rPr>
        <w:t>《分包意向协议》</w:t>
      </w:r>
      <w:r>
        <w:rPr>
          <w:rFonts w:hint="eastAsia" w:ascii="宋体" w:hAnsi="宋体"/>
          <w:color w:val="auto"/>
          <w:sz w:val="24"/>
          <w:highlight w:val="none"/>
        </w:rPr>
        <w:t>约定中的中小企业均应提供《中小企业声明函》。</w:t>
      </w:r>
    </w:p>
    <w:bookmarkEnd w:id="95"/>
    <w:p w14:paraId="6F157BD3">
      <w:pPr>
        <w:wordWrap w:val="0"/>
        <w:spacing w:line="360" w:lineRule="auto"/>
        <w:ind w:firstLine="480" w:firstLineChars="200"/>
        <w:outlineLvl w:val="1"/>
        <w:rPr>
          <w:rFonts w:ascii="宋体" w:hAnsi="宋体"/>
          <w:b/>
          <w:color w:val="auto"/>
          <w:sz w:val="24"/>
          <w:szCs w:val="24"/>
          <w:highlight w:val="none"/>
        </w:rPr>
      </w:pPr>
      <w:bookmarkStart w:id="97" w:name="_Toc140237265"/>
      <w:r>
        <w:rPr>
          <w:rFonts w:hint="eastAsia" w:ascii="宋体" w:hAnsi="宋体"/>
          <w:b/>
          <w:color w:val="auto"/>
          <w:sz w:val="24"/>
          <w:szCs w:val="24"/>
          <w:highlight w:val="none"/>
        </w:rPr>
        <w:t>2.3　投标</w:t>
      </w:r>
      <w:bookmarkEnd w:id="92"/>
      <w:bookmarkEnd w:id="97"/>
    </w:p>
    <w:p w14:paraId="263C45D7">
      <w:pPr>
        <w:wordWrap w:val="0"/>
        <w:spacing w:line="360" w:lineRule="auto"/>
        <w:ind w:firstLine="480" w:firstLineChars="200"/>
        <w:outlineLvl w:val="2"/>
        <w:rPr>
          <w:rFonts w:ascii="宋体" w:hAnsi="宋体"/>
          <w:b/>
          <w:color w:val="auto"/>
          <w:sz w:val="24"/>
          <w:szCs w:val="24"/>
          <w:highlight w:val="none"/>
        </w:rPr>
      </w:pPr>
      <w:bookmarkStart w:id="98" w:name="_Toc91323582"/>
      <w:bookmarkStart w:id="99" w:name="_Toc140237266"/>
      <w:r>
        <w:rPr>
          <w:rFonts w:hint="eastAsia" w:ascii="宋体" w:hAnsi="宋体"/>
          <w:b/>
          <w:color w:val="auto"/>
          <w:sz w:val="24"/>
          <w:szCs w:val="24"/>
          <w:highlight w:val="none"/>
        </w:rPr>
        <w:t>2.3.1　投标人</w:t>
      </w:r>
      <w:bookmarkEnd w:id="98"/>
      <w:r>
        <w:rPr>
          <w:rFonts w:hint="eastAsia" w:ascii="宋体" w:hAnsi="宋体"/>
          <w:b/>
          <w:color w:val="auto"/>
          <w:sz w:val="24"/>
          <w:szCs w:val="24"/>
          <w:highlight w:val="none"/>
        </w:rPr>
        <w:t>要求</w:t>
      </w:r>
      <w:bookmarkEnd w:id="99"/>
    </w:p>
    <w:p w14:paraId="71500A1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投标人应符合以下要求：</w:t>
      </w:r>
    </w:p>
    <w:p w14:paraId="269F1A8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（1）遵守中华人民共和国的法律、法规、规章和规定。</w:t>
      </w:r>
    </w:p>
    <w:p w14:paraId="40C9535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（2）有能力提供本项目招标文件所述货物（服务），符合招标文件规定资格要求的境内供应商或制造商。</w:t>
      </w:r>
    </w:p>
    <w:p w14:paraId="068EB6C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（3）单位负责人为同一人或者存在直接控股、管理关系的不同供应商，不得参加同一合同项下的政府采购活动。</w:t>
      </w:r>
    </w:p>
    <w:p w14:paraId="2C05B98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（4）为该项目提供整体设计、规范编制或者项目管理、监理、检测等服务的供应商，不得再参加该采购项目的其他采购活动。</w:t>
      </w:r>
    </w:p>
    <w:p w14:paraId="72ABE28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（5）法律法规规定的其他情形。</w:t>
      </w:r>
    </w:p>
    <w:p w14:paraId="471D8D56">
      <w:pPr>
        <w:wordWrap w:val="0"/>
        <w:spacing w:line="360" w:lineRule="auto"/>
        <w:ind w:firstLine="480" w:firstLineChars="200"/>
        <w:outlineLvl w:val="2"/>
        <w:rPr>
          <w:rFonts w:ascii="宋体" w:hAnsi="宋体"/>
          <w:b/>
          <w:color w:val="auto"/>
          <w:sz w:val="24"/>
          <w:szCs w:val="24"/>
          <w:highlight w:val="none"/>
        </w:rPr>
      </w:pPr>
      <w:bookmarkStart w:id="100" w:name="_Toc91323583"/>
      <w:bookmarkStart w:id="101" w:name="_Toc140237267"/>
      <w:r>
        <w:rPr>
          <w:rFonts w:hint="eastAsia" w:ascii="宋体" w:hAnsi="宋体"/>
          <w:b/>
          <w:color w:val="auto"/>
          <w:sz w:val="24"/>
          <w:szCs w:val="24"/>
          <w:highlight w:val="none"/>
        </w:rPr>
        <w:t>2.3.</w:t>
      </w:r>
      <w:r>
        <w:rPr>
          <w:rFonts w:ascii="宋体" w:hAnsi="宋体"/>
          <w:b/>
          <w:color w:val="auto"/>
          <w:sz w:val="24"/>
          <w:szCs w:val="24"/>
          <w:highlight w:val="none"/>
        </w:rPr>
        <w:t>2</w:t>
      </w:r>
      <w:r>
        <w:rPr>
          <w:rFonts w:hint="eastAsia" w:ascii="宋体" w:hAnsi="宋体"/>
          <w:b/>
          <w:color w:val="auto"/>
          <w:sz w:val="24"/>
          <w:szCs w:val="24"/>
          <w:highlight w:val="none"/>
        </w:rPr>
        <w:t>　投标</w:t>
      </w:r>
      <w:bookmarkEnd w:id="100"/>
      <w:r>
        <w:rPr>
          <w:rFonts w:hint="eastAsia" w:ascii="宋体" w:hAnsi="宋体"/>
          <w:b/>
          <w:color w:val="auto"/>
          <w:sz w:val="24"/>
          <w:szCs w:val="24"/>
          <w:highlight w:val="none"/>
        </w:rPr>
        <w:t>注意事项</w:t>
      </w:r>
      <w:bookmarkEnd w:id="101"/>
    </w:p>
    <w:p w14:paraId="53C3FCA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投标时，投标人须注意：</w:t>
      </w:r>
    </w:p>
    <w:p w14:paraId="20C149E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（1）投标人具有《中华人民共和国政府采购法》第七十七条中第一至第五项情形的，中标结果无效。</w:t>
      </w:r>
    </w:p>
    <w:p w14:paraId="323DAAB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（2）本项目只接受具备法律效力的电子投标文件投标，不接受纸质投标文件投标。</w:t>
      </w:r>
    </w:p>
    <w:p w14:paraId="02CC03D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（3）针对不分包的采购项目或分包采购项目的一个采购包，一个投标人只允许提交一个投标文件进行投标。</w:t>
      </w:r>
    </w:p>
    <w:p w14:paraId="67BCB15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（4）除招标文件另有规定外，投标人投标的投标总价及单项报价均只允许一个报价，否则将作为无效投标处理。</w:t>
      </w:r>
    </w:p>
    <w:p w14:paraId="4CEB323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投标文件，将作为无效投标处理。</w:t>
      </w:r>
    </w:p>
    <w:p w14:paraId="75F244E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6A49C1A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（7）除招标文件另有规定外，投标文件所使用的计量单位均应使用中华人民共和国法定计量单位。</w:t>
      </w:r>
    </w:p>
    <w:p w14:paraId="2A973A5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（8）投标人在投标文件中所列出的响应内容均视为在投标报价内容中。</w:t>
      </w:r>
    </w:p>
    <w:p w14:paraId="06A64CE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（9）因参加投标或准备参加投标所发生的一切费用由投标人自行承担。</w:t>
      </w:r>
    </w:p>
    <w:p w14:paraId="34E0712A">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（10）法律法规规定的其他情形。</w:t>
      </w:r>
    </w:p>
    <w:p w14:paraId="216223CA">
      <w:pPr>
        <w:wordWrap w:val="0"/>
        <w:spacing w:line="360" w:lineRule="auto"/>
        <w:ind w:firstLine="480" w:firstLineChars="200"/>
        <w:outlineLvl w:val="2"/>
        <w:rPr>
          <w:rFonts w:ascii="宋体" w:hAnsi="宋体"/>
          <w:b/>
          <w:color w:val="auto"/>
          <w:sz w:val="24"/>
          <w:szCs w:val="24"/>
          <w:highlight w:val="none"/>
        </w:rPr>
      </w:pPr>
      <w:bookmarkStart w:id="102" w:name="_Toc140237268"/>
      <w:bookmarkStart w:id="103" w:name="_Toc91323580"/>
      <w:bookmarkStart w:id="104" w:name="_Toc128372068"/>
      <w:bookmarkStart w:id="105" w:name="_Toc472459271"/>
      <w:bookmarkStart w:id="106" w:name="_Toc91323584"/>
      <w:bookmarkStart w:id="107" w:name="_Toc369249062"/>
      <w:bookmarkStart w:id="108" w:name="_Toc139965341"/>
      <w:bookmarkStart w:id="109" w:name="_Toc128372746"/>
      <w:r>
        <w:rPr>
          <w:rFonts w:hint="eastAsia" w:ascii="宋体" w:hAnsi="宋体"/>
          <w:b/>
          <w:color w:val="auto"/>
          <w:sz w:val="24"/>
          <w:szCs w:val="24"/>
          <w:highlight w:val="none"/>
        </w:rPr>
        <w:t>2.3.</w:t>
      </w:r>
      <w:bookmarkStart w:id="110" w:name="_Toc128372747"/>
      <w:bookmarkStart w:id="111" w:name="_Toc139965342"/>
      <w:bookmarkStart w:id="112" w:name="_Toc128372069"/>
      <w:r>
        <w:rPr>
          <w:rFonts w:ascii="宋体" w:hAnsi="宋体"/>
          <w:b/>
          <w:color w:val="auto"/>
          <w:sz w:val="24"/>
          <w:szCs w:val="24"/>
          <w:highlight w:val="none"/>
        </w:rPr>
        <w:t>3</w:t>
      </w:r>
      <w:r>
        <w:rPr>
          <w:rFonts w:hint="eastAsia" w:ascii="宋体" w:hAnsi="宋体"/>
          <w:b/>
          <w:color w:val="auto"/>
          <w:sz w:val="24"/>
          <w:szCs w:val="24"/>
          <w:highlight w:val="none"/>
        </w:rPr>
        <w:t>　投标文件</w:t>
      </w:r>
      <w:bookmarkEnd w:id="110"/>
      <w:bookmarkEnd w:id="111"/>
      <w:bookmarkEnd w:id="112"/>
      <w:r>
        <w:rPr>
          <w:rFonts w:hint="eastAsia" w:ascii="宋体" w:hAnsi="宋体"/>
          <w:b/>
          <w:color w:val="auto"/>
          <w:sz w:val="24"/>
          <w:szCs w:val="24"/>
          <w:highlight w:val="none"/>
        </w:rPr>
        <w:t>制作工具</w:t>
      </w:r>
      <w:bookmarkEnd w:id="102"/>
    </w:p>
    <w:p w14:paraId="4D03B37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本项目使用“新点投标文件制作软件（兰州版）”（</w:t>
      </w:r>
      <w:r>
        <w:rPr>
          <w:rFonts w:hint="eastAsia" w:ascii="宋体" w:hAnsi="宋体" w:cs="宋体"/>
          <w:color w:val="auto"/>
          <w:sz w:val="24"/>
          <w:highlight w:val="none"/>
        </w:rPr>
        <w:t>操作手册及</w:t>
      </w:r>
      <w:r>
        <w:rPr>
          <w:rFonts w:hint="eastAsia" w:ascii="宋体" w:hAnsi="宋体"/>
          <w:color w:val="auto"/>
          <w:sz w:val="24"/>
          <w:szCs w:val="24"/>
          <w:highlight w:val="none"/>
        </w:rPr>
        <w:t>下载网址：http://lzggzyjy.lanzhou.gov.cn/fwzn/003003/20200512/aac3d755-c58c-4124-868c-0c67daae15d1）制作电子投标文件。</w:t>
      </w:r>
    </w:p>
    <w:p w14:paraId="2208566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技术咨询电话：0931-4608344，4009980000</w:t>
      </w:r>
    </w:p>
    <w:p w14:paraId="34E6E75C">
      <w:pPr>
        <w:wordWrap w:val="0"/>
        <w:spacing w:line="360" w:lineRule="auto"/>
        <w:ind w:firstLine="480" w:firstLineChars="200"/>
        <w:outlineLvl w:val="2"/>
        <w:rPr>
          <w:rFonts w:ascii="宋体" w:hAnsi="宋体"/>
          <w:b/>
          <w:color w:val="auto"/>
          <w:sz w:val="24"/>
          <w:szCs w:val="24"/>
          <w:highlight w:val="none"/>
        </w:rPr>
      </w:pPr>
      <w:bookmarkStart w:id="113" w:name="_Toc140237269"/>
      <w:r>
        <w:rPr>
          <w:rFonts w:hint="eastAsia" w:ascii="宋体" w:hAnsi="宋体"/>
          <w:b/>
          <w:color w:val="auto"/>
          <w:sz w:val="24"/>
          <w:szCs w:val="24"/>
          <w:highlight w:val="none"/>
        </w:rPr>
        <w:t>2.</w:t>
      </w:r>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　制作投标文件</w:t>
      </w:r>
      <w:bookmarkEnd w:id="103"/>
      <w:bookmarkEnd w:id="113"/>
    </w:p>
    <w:p w14:paraId="194694A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投标人使用“</w:t>
      </w:r>
      <w:r>
        <w:rPr>
          <w:rFonts w:ascii="宋体" w:hAnsi="宋体"/>
          <w:color w:val="auto"/>
          <w:sz w:val="24"/>
          <w:szCs w:val="24"/>
          <w:highlight w:val="none"/>
        </w:rPr>
        <w:t>新点投标文件制作软件（兰州版）</w:t>
      </w:r>
      <w:r>
        <w:rPr>
          <w:rFonts w:hint="eastAsia" w:ascii="宋体" w:hAnsi="宋体"/>
          <w:color w:val="auto"/>
          <w:sz w:val="24"/>
          <w:szCs w:val="24"/>
          <w:highlight w:val="none"/>
        </w:rPr>
        <w:t>”，按照招标文件规定的投标文件格式，响应招标文件要求编制投标内容，并使用数字证书（CA或移动CA）在相应位置签章。否则，投标文件视为无效投标文件，由此引起的风险和责任由投标人承担。</w:t>
      </w:r>
    </w:p>
    <w:bookmarkEnd w:id="104"/>
    <w:bookmarkEnd w:id="105"/>
    <w:bookmarkEnd w:id="106"/>
    <w:bookmarkEnd w:id="107"/>
    <w:bookmarkEnd w:id="108"/>
    <w:bookmarkEnd w:id="109"/>
    <w:p w14:paraId="43C0C705">
      <w:pPr>
        <w:wordWrap w:val="0"/>
        <w:spacing w:line="360" w:lineRule="auto"/>
        <w:ind w:firstLine="480" w:firstLineChars="200"/>
        <w:outlineLvl w:val="2"/>
        <w:rPr>
          <w:rFonts w:ascii="宋体" w:hAnsi="宋体"/>
          <w:b/>
          <w:color w:val="auto"/>
          <w:sz w:val="24"/>
          <w:szCs w:val="24"/>
          <w:highlight w:val="none"/>
        </w:rPr>
      </w:pPr>
      <w:bookmarkStart w:id="114" w:name="_Toc369249063"/>
      <w:bookmarkStart w:id="115" w:name="_Toc91323585"/>
      <w:bookmarkStart w:id="116" w:name="_Toc140237270"/>
      <w:bookmarkStart w:id="117" w:name="_Toc36566360"/>
      <w:bookmarkStart w:id="118" w:name="_Toc472459272"/>
      <w:r>
        <w:rPr>
          <w:rFonts w:hint="eastAsia" w:ascii="宋体" w:hAnsi="宋体"/>
          <w:b/>
          <w:color w:val="auto"/>
          <w:sz w:val="24"/>
          <w:szCs w:val="24"/>
          <w:highlight w:val="none"/>
        </w:rPr>
        <w:t>2.3.</w:t>
      </w:r>
      <w:bookmarkEnd w:id="114"/>
      <w:bookmarkStart w:id="119" w:name="_Toc128372749"/>
      <w:bookmarkStart w:id="120" w:name="_Toc139965344"/>
      <w:bookmarkStart w:id="121" w:name="_Toc369249064"/>
      <w:bookmarkStart w:id="122" w:name="_Toc128372071"/>
      <w:r>
        <w:rPr>
          <w:rFonts w:ascii="宋体" w:hAnsi="宋体"/>
          <w:b/>
          <w:color w:val="auto"/>
          <w:sz w:val="24"/>
          <w:szCs w:val="24"/>
          <w:highlight w:val="none"/>
        </w:rPr>
        <w:t>5</w:t>
      </w:r>
      <w:r>
        <w:rPr>
          <w:rFonts w:hint="eastAsia" w:ascii="宋体" w:hAnsi="宋体"/>
          <w:b/>
          <w:color w:val="auto"/>
          <w:sz w:val="24"/>
          <w:szCs w:val="24"/>
          <w:highlight w:val="none"/>
        </w:rPr>
        <w:t>　加密投标文件</w:t>
      </w:r>
      <w:bookmarkEnd w:id="115"/>
      <w:bookmarkEnd w:id="116"/>
    </w:p>
    <w:bookmarkEnd w:id="117"/>
    <w:bookmarkEnd w:id="118"/>
    <w:bookmarkEnd w:id="119"/>
    <w:bookmarkEnd w:id="120"/>
    <w:bookmarkEnd w:id="121"/>
    <w:bookmarkEnd w:id="122"/>
    <w:p w14:paraId="559FDF2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投标人使用数字证书（CA或移动CA）加密生成电子投标文件。未加密的电子投标文件或以其他方式加密的电子投标文件视为无效投标文件，由此引起的风险和责任由投标人承担。</w:t>
      </w:r>
    </w:p>
    <w:p w14:paraId="7141FC24">
      <w:pPr>
        <w:wordWrap w:val="0"/>
        <w:spacing w:line="360" w:lineRule="auto"/>
        <w:ind w:firstLine="480" w:firstLineChars="200"/>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电子投标文件的加密和解密须为同一数字证书（CA或移动CA）。</w:t>
      </w:r>
    </w:p>
    <w:p w14:paraId="0B72EAC4">
      <w:pPr>
        <w:wordWrap w:val="0"/>
        <w:spacing w:line="360" w:lineRule="auto"/>
        <w:ind w:firstLine="480" w:firstLineChars="200"/>
        <w:outlineLvl w:val="2"/>
        <w:rPr>
          <w:rFonts w:ascii="宋体" w:hAnsi="宋体"/>
          <w:b/>
          <w:color w:val="auto"/>
          <w:sz w:val="24"/>
          <w:szCs w:val="24"/>
          <w:highlight w:val="none"/>
        </w:rPr>
      </w:pPr>
      <w:bookmarkStart w:id="123" w:name="_Toc139965345"/>
      <w:bookmarkStart w:id="124" w:name="_Toc472459273"/>
      <w:bookmarkStart w:id="125" w:name="_Toc140237271"/>
      <w:bookmarkStart w:id="126" w:name="_Toc128372072"/>
      <w:bookmarkStart w:id="127" w:name="_Toc128372750"/>
      <w:bookmarkStart w:id="128" w:name="_Toc91323586"/>
      <w:bookmarkStart w:id="129" w:name="_Toc369249065"/>
      <w:r>
        <w:rPr>
          <w:rFonts w:hint="eastAsia" w:ascii="宋体" w:hAnsi="宋体"/>
          <w:b/>
          <w:color w:val="auto"/>
          <w:sz w:val="24"/>
          <w:szCs w:val="24"/>
          <w:highlight w:val="none"/>
        </w:rPr>
        <w:t>2.3.</w:t>
      </w:r>
      <w:r>
        <w:rPr>
          <w:rFonts w:ascii="宋体" w:hAnsi="宋体"/>
          <w:b/>
          <w:color w:val="auto"/>
          <w:sz w:val="24"/>
          <w:szCs w:val="24"/>
          <w:highlight w:val="none"/>
        </w:rPr>
        <w:t>6</w:t>
      </w:r>
      <w:r>
        <w:rPr>
          <w:rFonts w:hint="eastAsia" w:ascii="宋体" w:hAnsi="宋体"/>
          <w:b/>
          <w:color w:val="auto"/>
          <w:sz w:val="24"/>
          <w:szCs w:val="24"/>
          <w:highlight w:val="none"/>
        </w:rPr>
        <w:t>　提交投标文件</w:t>
      </w:r>
      <w:bookmarkEnd w:id="123"/>
      <w:bookmarkEnd w:id="124"/>
      <w:bookmarkEnd w:id="125"/>
      <w:bookmarkEnd w:id="126"/>
      <w:bookmarkEnd w:id="127"/>
      <w:bookmarkEnd w:id="128"/>
      <w:bookmarkEnd w:id="129"/>
    </w:p>
    <w:p w14:paraId="52A51414">
      <w:pPr>
        <w:wordWrap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投标截止时间前，投标人以“用户名+密码”方式或者数字证书（CA或移动CA）方式登录“兰州市公共资源服务系统”（http://lzggzyjy.lanzhou.gov.cn/TPBidder/memberLogin），提交以数字证书（CA或移动CA）加密的电子投标文件。</w:t>
      </w:r>
    </w:p>
    <w:p w14:paraId="220029EB">
      <w:pPr>
        <w:wordWrap w:val="0"/>
        <w:spacing w:line="360" w:lineRule="auto"/>
        <w:ind w:firstLine="480" w:firstLineChars="200"/>
        <w:outlineLvl w:val="2"/>
        <w:rPr>
          <w:rFonts w:ascii="宋体" w:hAnsi="宋体"/>
          <w:b/>
          <w:color w:val="auto"/>
          <w:sz w:val="24"/>
          <w:szCs w:val="24"/>
          <w:highlight w:val="none"/>
        </w:rPr>
      </w:pPr>
      <w:bookmarkStart w:id="130" w:name="_Toc472459275"/>
      <w:bookmarkStart w:id="131" w:name="_Toc91323588"/>
      <w:bookmarkStart w:id="132" w:name="_Toc139965347"/>
      <w:bookmarkStart w:id="133" w:name="_Toc128372752"/>
      <w:bookmarkStart w:id="134" w:name="_Toc128372074"/>
      <w:bookmarkStart w:id="135" w:name="_Toc369249067"/>
      <w:bookmarkStart w:id="136" w:name="_Toc36566363"/>
      <w:bookmarkStart w:id="137" w:name="_Toc140237272"/>
      <w:r>
        <w:rPr>
          <w:rFonts w:hint="eastAsia" w:ascii="宋体" w:hAnsi="宋体"/>
          <w:b/>
          <w:color w:val="auto"/>
          <w:sz w:val="24"/>
          <w:szCs w:val="24"/>
          <w:highlight w:val="none"/>
        </w:rPr>
        <w:t>2.3.7　投标文件</w:t>
      </w:r>
      <w:bookmarkEnd w:id="130"/>
      <w:bookmarkEnd w:id="131"/>
      <w:bookmarkEnd w:id="132"/>
      <w:bookmarkEnd w:id="133"/>
      <w:bookmarkEnd w:id="134"/>
      <w:bookmarkEnd w:id="135"/>
      <w:bookmarkEnd w:id="136"/>
      <w:r>
        <w:rPr>
          <w:rFonts w:hint="eastAsia" w:ascii="宋体" w:hAnsi="宋体"/>
          <w:b/>
          <w:color w:val="auto"/>
          <w:sz w:val="24"/>
          <w:szCs w:val="24"/>
          <w:highlight w:val="none"/>
        </w:rPr>
        <w:t>修改或者撤回</w:t>
      </w:r>
      <w:bookmarkEnd w:id="137"/>
    </w:p>
    <w:p w14:paraId="7B54F05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截止时间前，投标人可以修改或者撤回其所提交的电子投标文件，修改完成后，投标人须重新以数字证书（CA或移动CA）加密提交，投标截止时间前最后一次提交的电子投标文件为有效投标文件。投标截止时间止，投标人不能修改或者撤回其已提交的电子投标文件。</w:t>
      </w:r>
    </w:p>
    <w:p w14:paraId="04961161">
      <w:pPr>
        <w:wordWrap w:val="0"/>
        <w:spacing w:line="360" w:lineRule="auto"/>
        <w:ind w:firstLine="480" w:firstLineChars="200"/>
        <w:outlineLvl w:val="2"/>
        <w:rPr>
          <w:rFonts w:ascii="宋体" w:hAnsi="宋体"/>
          <w:b/>
          <w:color w:val="auto"/>
          <w:sz w:val="24"/>
          <w:szCs w:val="24"/>
          <w:highlight w:val="none"/>
        </w:rPr>
      </w:pPr>
      <w:bookmarkStart w:id="138" w:name="_Toc369249066"/>
      <w:bookmarkStart w:id="139" w:name="_Toc139965346"/>
      <w:bookmarkStart w:id="140" w:name="_Toc472459274"/>
      <w:bookmarkStart w:id="141" w:name="_Toc140237273"/>
      <w:bookmarkStart w:id="142" w:name="_Toc128372751"/>
      <w:bookmarkStart w:id="143" w:name="_Toc91323587"/>
      <w:bookmarkStart w:id="144" w:name="_Toc128372073"/>
      <w:bookmarkStart w:id="145" w:name="_Toc91323589"/>
      <w:r>
        <w:rPr>
          <w:rFonts w:hint="eastAsia" w:ascii="宋体" w:hAnsi="宋体"/>
          <w:b/>
          <w:color w:val="auto"/>
          <w:sz w:val="24"/>
          <w:szCs w:val="24"/>
          <w:highlight w:val="none"/>
        </w:rPr>
        <w:t>2.3.8　投标截止时间</w:t>
      </w:r>
      <w:bookmarkEnd w:id="138"/>
      <w:bookmarkEnd w:id="139"/>
      <w:bookmarkEnd w:id="140"/>
      <w:bookmarkEnd w:id="141"/>
      <w:bookmarkEnd w:id="142"/>
      <w:bookmarkEnd w:id="143"/>
      <w:bookmarkEnd w:id="144"/>
    </w:p>
    <w:p w14:paraId="0C2577C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投标截止时间见《投标人须知前附表》。</w:t>
      </w:r>
    </w:p>
    <w:p w14:paraId="1471CAD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投标截止时间止，未完成上传的电子投标文件将被拒收。</w:t>
      </w:r>
    </w:p>
    <w:p w14:paraId="6C7F6C00">
      <w:pPr>
        <w:wordWrap w:val="0"/>
        <w:spacing w:line="360" w:lineRule="auto"/>
        <w:ind w:firstLine="480" w:firstLineChars="200"/>
        <w:outlineLvl w:val="2"/>
        <w:rPr>
          <w:rFonts w:ascii="宋体" w:hAnsi="宋体"/>
          <w:b/>
          <w:color w:val="auto"/>
          <w:sz w:val="24"/>
          <w:szCs w:val="24"/>
          <w:highlight w:val="none"/>
          <w:lang w:val="en"/>
        </w:rPr>
      </w:pPr>
      <w:bookmarkStart w:id="146" w:name="_Toc140237274"/>
      <w:r>
        <w:rPr>
          <w:rFonts w:hint="eastAsia" w:ascii="宋体" w:hAnsi="宋体"/>
          <w:b/>
          <w:color w:val="auto"/>
          <w:sz w:val="24"/>
          <w:szCs w:val="24"/>
          <w:highlight w:val="none"/>
        </w:rPr>
        <w:t>2.3.</w:t>
      </w:r>
      <w:r>
        <w:rPr>
          <w:rFonts w:ascii="宋体" w:hAnsi="宋体"/>
          <w:b/>
          <w:color w:val="auto"/>
          <w:sz w:val="24"/>
          <w:szCs w:val="24"/>
          <w:highlight w:val="none"/>
        </w:rPr>
        <w:t>9</w:t>
      </w:r>
      <w:r>
        <w:rPr>
          <w:rFonts w:hint="eastAsia" w:ascii="宋体" w:hAnsi="宋体"/>
          <w:b/>
          <w:color w:val="auto"/>
          <w:sz w:val="24"/>
          <w:szCs w:val="24"/>
          <w:highlight w:val="none"/>
        </w:rPr>
        <w:t>　投标无效</w:t>
      </w:r>
      <w:bookmarkEnd w:id="145"/>
      <w:r>
        <w:rPr>
          <w:rFonts w:hint="eastAsia" w:ascii="宋体" w:hAnsi="宋体"/>
          <w:b/>
          <w:color w:val="auto"/>
          <w:sz w:val="24"/>
          <w:szCs w:val="24"/>
          <w:highlight w:val="none"/>
        </w:rPr>
        <w:t>的情形</w:t>
      </w:r>
      <w:bookmarkEnd w:id="146"/>
    </w:p>
    <w:p w14:paraId="6F5F2A4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投标人存在下列情况之一的，其投标无效</w:t>
      </w:r>
      <w:r>
        <w:rPr>
          <w:rFonts w:hint="eastAsia" w:ascii="宋体" w:hAnsi="宋体"/>
          <w:color w:val="auto"/>
          <w:sz w:val="24"/>
          <w:szCs w:val="24"/>
          <w:highlight w:val="none"/>
        </w:rPr>
        <w:t>：</w:t>
      </w:r>
    </w:p>
    <w:p w14:paraId="30E6677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①</w:t>
      </w:r>
      <w:r>
        <w:rPr>
          <w:rFonts w:ascii="宋体" w:hAnsi="宋体"/>
          <w:color w:val="auto"/>
          <w:sz w:val="24"/>
          <w:szCs w:val="24"/>
          <w:highlight w:val="none"/>
        </w:rPr>
        <w:t>投标文件的格式及内容不符合招标文件要求或</w:t>
      </w:r>
      <w:r>
        <w:rPr>
          <w:rFonts w:hint="eastAsia" w:ascii="宋体" w:hAnsi="宋体"/>
          <w:color w:val="auto"/>
          <w:sz w:val="24"/>
          <w:szCs w:val="24"/>
          <w:highlight w:val="none"/>
        </w:rPr>
        <w:t>实质性响应</w:t>
      </w:r>
      <w:r>
        <w:rPr>
          <w:rFonts w:ascii="宋体" w:hAnsi="宋体"/>
          <w:color w:val="auto"/>
          <w:sz w:val="24"/>
          <w:szCs w:val="24"/>
          <w:highlight w:val="none"/>
        </w:rPr>
        <w:t>内容字迹模糊、无法辨认</w:t>
      </w:r>
      <w:r>
        <w:rPr>
          <w:rFonts w:hint="eastAsia" w:ascii="宋体" w:hAnsi="宋体"/>
          <w:color w:val="auto"/>
          <w:sz w:val="24"/>
          <w:szCs w:val="24"/>
          <w:highlight w:val="none"/>
        </w:rPr>
        <w:t>。</w:t>
      </w:r>
    </w:p>
    <w:p w14:paraId="121C59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w:t>
      </w:r>
      <w:r>
        <w:rPr>
          <w:rFonts w:ascii="宋体" w:hAnsi="宋体"/>
          <w:color w:val="auto"/>
          <w:sz w:val="24"/>
          <w:szCs w:val="24"/>
          <w:highlight w:val="none"/>
        </w:rPr>
        <w:t>投标有效期不足</w:t>
      </w:r>
      <w:r>
        <w:rPr>
          <w:rFonts w:hint="eastAsia" w:ascii="宋体" w:hAnsi="宋体"/>
          <w:color w:val="auto"/>
          <w:sz w:val="24"/>
          <w:szCs w:val="24"/>
          <w:highlight w:val="none"/>
        </w:rPr>
        <w:t>。</w:t>
      </w:r>
    </w:p>
    <w:p w14:paraId="64B2080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w:t>
      </w:r>
      <w:r>
        <w:rPr>
          <w:rFonts w:ascii="宋体" w:hAnsi="宋体"/>
          <w:color w:val="auto"/>
          <w:sz w:val="24"/>
          <w:szCs w:val="24"/>
          <w:highlight w:val="none"/>
        </w:rPr>
        <w:t>未按照招标文件的规定</w:t>
      </w:r>
      <w:r>
        <w:rPr>
          <w:rFonts w:hint="eastAsia" w:ascii="宋体" w:hAnsi="宋体"/>
          <w:color w:val="auto"/>
          <w:sz w:val="24"/>
          <w:szCs w:val="24"/>
          <w:highlight w:val="none"/>
        </w:rPr>
        <w:t>交纳</w:t>
      </w:r>
      <w:r>
        <w:rPr>
          <w:rFonts w:ascii="宋体" w:hAnsi="宋体"/>
          <w:color w:val="auto"/>
          <w:sz w:val="24"/>
          <w:szCs w:val="24"/>
          <w:highlight w:val="none"/>
        </w:rPr>
        <w:t>投标保证金的</w:t>
      </w:r>
      <w:r>
        <w:rPr>
          <w:rFonts w:hint="eastAsia" w:ascii="宋体" w:hAnsi="宋体"/>
          <w:color w:val="auto"/>
          <w:sz w:val="24"/>
          <w:szCs w:val="24"/>
          <w:highlight w:val="none"/>
        </w:rPr>
        <w:t>。</w:t>
      </w:r>
    </w:p>
    <w:p w14:paraId="1CEAB9D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④</w:t>
      </w:r>
      <w:r>
        <w:rPr>
          <w:rFonts w:ascii="宋体" w:hAnsi="宋体"/>
          <w:color w:val="auto"/>
          <w:sz w:val="24"/>
          <w:szCs w:val="24"/>
          <w:highlight w:val="none"/>
        </w:rPr>
        <w:t>投标文件未按招标文件要求签</w:t>
      </w:r>
      <w:r>
        <w:rPr>
          <w:rFonts w:hint="eastAsia" w:ascii="宋体" w:hAnsi="宋体"/>
          <w:color w:val="auto"/>
          <w:sz w:val="24"/>
          <w:szCs w:val="24"/>
          <w:highlight w:val="none"/>
        </w:rPr>
        <w:t>章</w:t>
      </w:r>
      <w:r>
        <w:rPr>
          <w:rFonts w:ascii="宋体" w:hAnsi="宋体"/>
          <w:color w:val="auto"/>
          <w:sz w:val="24"/>
          <w:szCs w:val="24"/>
          <w:highlight w:val="none"/>
        </w:rPr>
        <w:t>的</w:t>
      </w:r>
      <w:r>
        <w:rPr>
          <w:rFonts w:hint="eastAsia" w:ascii="宋体" w:hAnsi="宋体"/>
          <w:color w:val="auto"/>
          <w:sz w:val="24"/>
          <w:szCs w:val="24"/>
          <w:highlight w:val="none"/>
        </w:rPr>
        <w:t>。</w:t>
      </w:r>
    </w:p>
    <w:p w14:paraId="73E8BAB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⑤</w:t>
      </w:r>
      <w:r>
        <w:rPr>
          <w:rFonts w:ascii="宋体" w:hAnsi="宋体"/>
          <w:color w:val="auto"/>
          <w:sz w:val="24"/>
          <w:szCs w:val="24"/>
          <w:highlight w:val="none"/>
        </w:rPr>
        <w:t>不具备招标文件中规定的资格要求的</w:t>
      </w:r>
      <w:r>
        <w:rPr>
          <w:rFonts w:hint="eastAsia" w:ascii="宋体" w:hAnsi="宋体"/>
          <w:color w:val="auto"/>
          <w:sz w:val="24"/>
          <w:szCs w:val="24"/>
          <w:highlight w:val="none"/>
        </w:rPr>
        <w:t>。</w:t>
      </w:r>
    </w:p>
    <w:p w14:paraId="424F9BC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⑥</w:t>
      </w:r>
      <w:r>
        <w:rPr>
          <w:rFonts w:ascii="宋体" w:hAnsi="宋体"/>
          <w:color w:val="auto"/>
          <w:sz w:val="24"/>
          <w:szCs w:val="24"/>
          <w:highlight w:val="none"/>
        </w:rPr>
        <w:t>报价超过招标文件中规定的预算金额或者最高限价的</w:t>
      </w:r>
      <w:r>
        <w:rPr>
          <w:rFonts w:hint="eastAsia" w:ascii="宋体" w:hAnsi="宋体"/>
          <w:color w:val="auto"/>
          <w:sz w:val="24"/>
          <w:szCs w:val="24"/>
          <w:highlight w:val="none"/>
        </w:rPr>
        <w:t>。</w:t>
      </w:r>
    </w:p>
    <w:p w14:paraId="0317FC0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⑦</w:t>
      </w:r>
      <w:r>
        <w:rPr>
          <w:rFonts w:ascii="宋体" w:hAnsi="宋体"/>
          <w:color w:val="auto"/>
          <w:sz w:val="24"/>
          <w:szCs w:val="24"/>
          <w:highlight w:val="none"/>
        </w:rPr>
        <w:t>投标文件含有采购人不能接受的附加条件的</w:t>
      </w:r>
      <w:r>
        <w:rPr>
          <w:rFonts w:hint="eastAsia" w:ascii="宋体" w:hAnsi="宋体"/>
          <w:color w:val="auto"/>
          <w:sz w:val="24"/>
          <w:szCs w:val="24"/>
          <w:highlight w:val="none"/>
        </w:rPr>
        <w:t>。</w:t>
      </w:r>
    </w:p>
    <w:p w14:paraId="4A2C977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⑧</w:t>
      </w:r>
      <w:r>
        <w:rPr>
          <w:rFonts w:ascii="宋体" w:hAnsi="宋体"/>
          <w:color w:val="auto"/>
          <w:sz w:val="24"/>
          <w:szCs w:val="24"/>
          <w:highlight w:val="none"/>
        </w:rPr>
        <w:t>法律法规规定的其他情形。</w:t>
      </w:r>
    </w:p>
    <w:p w14:paraId="2BBBCB4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有下列情形之一的，视为投标人串通投标，其投标无效</w:t>
      </w:r>
      <w:r>
        <w:rPr>
          <w:rFonts w:hint="eastAsia" w:ascii="宋体" w:hAnsi="宋体"/>
          <w:color w:val="auto"/>
          <w:sz w:val="24"/>
          <w:szCs w:val="24"/>
          <w:highlight w:val="none"/>
        </w:rPr>
        <w:t>：</w:t>
      </w:r>
    </w:p>
    <w:p w14:paraId="5E718CB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①不同投标人的投标文件由同一单位或者个人编制。</w:t>
      </w:r>
    </w:p>
    <w:p w14:paraId="452F942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②不同投标人委托同一单位或者个人办理投标事宜。</w:t>
      </w:r>
    </w:p>
    <w:p w14:paraId="4D548AC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③不同投标人的投标文件载明的项目管理成员或者联系人员为同一人。</w:t>
      </w:r>
    </w:p>
    <w:p w14:paraId="3F5D5EA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④不同投标人的投标文件异常一致或者投标报价呈规律性差异。</w:t>
      </w:r>
    </w:p>
    <w:p w14:paraId="7C05A68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⑤不同投标人的投标文件相互混装。</w:t>
      </w:r>
    </w:p>
    <w:p w14:paraId="7FD366A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⑥不同投标人的投标保证金从同一单位或者个人的账户转出。</w:t>
      </w:r>
    </w:p>
    <w:p w14:paraId="6C16298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⑦法律法规规定的其他情形。</w:t>
      </w:r>
    </w:p>
    <w:p w14:paraId="2944DD11">
      <w:pPr>
        <w:wordWrap w:val="0"/>
        <w:spacing w:line="360" w:lineRule="auto"/>
        <w:ind w:firstLine="480" w:firstLineChars="200"/>
        <w:outlineLvl w:val="1"/>
        <w:rPr>
          <w:rFonts w:ascii="宋体" w:hAnsi="宋体"/>
          <w:b/>
          <w:color w:val="auto"/>
          <w:sz w:val="24"/>
          <w:szCs w:val="24"/>
          <w:highlight w:val="none"/>
        </w:rPr>
      </w:pPr>
      <w:bookmarkStart w:id="147" w:name="_Toc36566364"/>
      <w:bookmarkStart w:id="148" w:name="_Toc472459276"/>
      <w:bookmarkStart w:id="149" w:name="_Toc140237275"/>
      <w:bookmarkStart w:id="150" w:name="_Toc128372075"/>
      <w:bookmarkStart w:id="151" w:name="_Toc91323590"/>
      <w:bookmarkStart w:id="152" w:name="_Toc369249068"/>
      <w:bookmarkStart w:id="153" w:name="_Toc139965348"/>
      <w:bookmarkStart w:id="154" w:name="_Toc128372753"/>
      <w:r>
        <w:rPr>
          <w:rFonts w:hint="eastAsia" w:ascii="宋体" w:hAnsi="宋体"/>
          <w:b/>
          <w:color w:val="auto"/>
          <w:sz w:val="24"/>
          <w:szCs w:val="24"/>
          <w:highlight w:val="none"/>
        </w:rPr>
        <w:t>2.4　开标</w:t>
      </w:r>
      <w:bookmarkEnd w:id="147"/>
      <w:bookmarkEnd w:id="148"/>
      <w:bookmarkEnd w:id="149"/>
      <w:bookmarkEnd w:id="150"/>
      <w:bookmarkEnd w:id="151"/>
      <w:bookmarkEnd w:id="152"/>
      <w:bookmarkEnd w:id="153"/>
      <w:bookmarkEnd w:id="154"/>
    </w:p>
    <w:p w14:paraId="51E19CBB">
      <w:pPr>
        <w:wordWrap w:val="0"/>
        <w:spacing w:line="360" w:lineRule="auto"/>
        <w:ind w:firstLine="480" w:firstLineChars="200"/>
        <w:outlineLvl w:val="2"/>
        <w:rPr>
          <w:rFonts w:ascii="宋体" w:hAnsi="宋体"/>
          <w:b/>
          <w:color w:val="auto"/>
          <w:sz w:val="24"/>
          <w:szCs w:val="24"/>
          <w:highlight w:val="none"/>
        </w:rPr>
      </w:pPr>
      <w:bookmarkStart w:id="155" w:name="_Toc140237276"/>
      <w:r>
        <w:rPr>
          <w:rFonts w:hint="eastAsia" w:ascii="宋体" w:hAnsi="宋体"/>
          <w:b/>
          <w:color w:val="auto"/>
          <w:sz w:val="24"/>
          <w:szCs w:val="24"/>
          <w:highlight w:val="none"/>
        </w:rPr>
        <w:t>2.4.1　开标工具</w:t>
      </w:r>
      <w:bookmarkEnd w:id="155"/>
    </w:p>
    <w:p w14:paraId="57469DAE">
      <w:pPr>
        <w:wordWrap w:val="0"/>
        <w:spacing w:line="360" w:lineRule="auto"/>
        <w:ind w:firstLine="480" w:firstLineChars="200"/>
        <w:rPr>
          <w:rFonts w:ascii="宋体" w:hAnsi="宋体"/>
          <w:color w:val="auto"/>
          <w:sz w:val="24"/>
          <w:szCs w:val="24"/>
          <w:highlight w:val="none"/>
        </w:rPr>
      </w:pPr>
      <w:r>
        <w:rPr>
          <w:color w:val="auto"/>
          <w:sz w:val="24"/>
          <w:highlight w:val="none"/>
        </w:rPr>
        <w:t>本项目使用</w:t>
      </w:r>
      <w:r>
        <w:rPr>
          <w:rFonts w:hint="eastAsia" w:ascii="宋体" w:hAnsi="宋体"/>
          <w:color w:val="auto"/>
          <w:sz w:val="24"/>
          <w:szCs w:val="24"/>
          <w:highlight w:val="none"/>
        </w:rPr>
        <w:t>“兰州市不见面开标系统（新点）”（</w:t>
      </w:r>
      <w:r>
        <w:rPr>
          <w:rFonts w:ascii="宋体" w:hAnsi="宋体"/>
          <w:color w:val="auto"/>
          <w:sz w:val="24"/>
          <w:szCs w:val="24"/>
          <w:highlight w:val="none"/>
        </w:rPr>
        <w:t>http://bid.lzggzyjy.cn:8080/BidOpening/bidhall/default/login</w:t>
      </w:r>
      <w:r>
        <w:rPr>
          <w:rFonts w:hint="eastAsia" w:ascii="宋体" w:hAnsi="宋体"/>
          <w:color w:val="auto"/>
          <w:sz w:val="24"/>
          <w:szCs w:val="24"/>
          <w:highlight w:val="none"/>
        </w:rPr>
        <w:t>）开标。</w:t>
      </w:r>
    </w:p>
    <w:p w14:paraId="4B1BFDB1">
      <w:pPr>
        <w:wordWrap w:val="0"/>
        <w:spacing w:line="360" w:lineRule="auto"/>
        <w:ind w:firstLine="480" w:firstLineChars="200"/>
        <w:rPr>
          <w:color w:val="auto"/>
          <w:sz w:val="24"/>
          <w:highlight w:val="none"/>
        </w:rPr>
      </w:pPr>
      <w:r>
        <w:rPr>
          <w:rFonts w:hint="eastAsia" w:ascii="宋体" w:hAnsi="宋体"/>
          <w:color w:val="auto"/>
          <w:sz w:val="24"/>
          <w:szCs w:val="24"/>
          <w:highlight w:val="none"/>
        </w:rPr>
        <w:t>技术咨询电话：0931-4608344，4009980000</w:t>
      </w:r>
    </w:p>
    <w:p w14:paraId="0BE05535">
      <w:pPr>
        <w:wordWrap w:val="0"/>
        <w:spacing w:line="360" w:lineRule="auto"/>
        <w:ind w:firstLine="480" w:firstLineChars="200"/>
        <w:outlineLvl w:val="2"/>
        <w:rPr>
          <w:rFonts w:ascii="宋体" w:hAnsi="宋体"/>
          <w:b/>
          <w:color w:val="auto"/>
          <w:sz w:val="24"/>
          <w:szCs w:val="24"/>
          <w:highlight w:val="none"/>
        </w:rPr>
      </w:pPr>
      <w:bookmarkStart w:id="156" w:name="_Toc140237277"/>
      <w:r>
        <w:rPr>
          <w:rFonts w:hint="eastAsia" w:ascii="宋体" w:hAnsi="宋体"/>
          <w:b/>
          <w:color w:val="auto"/>
          <w:sz w:val="24"/>
          <w:szCs w:val="24"/>
          <w:highlight w:val="none"/>
        </w:rPr>
        <w:t>2.4.2　开标要求</w:t>
      </w:r>
      <w:bookmarkEnd w:id="156"/>
    </w:p>
    <w:p w14:paraId="383186E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本项目采用网上不见面开标。</w:t>
      </w:r>
    </w:p>
    <w:p w14:paraId="5F12268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或者采购代理机构按照招标文件规定的开标时间和地点组织召开开标会议。投标人以数字证书（CA或移动CA）方式登录“兰州市不见面开标系统（新点）”，选择进入本项目，在线参加网上不见面开标会议。</w:t>
      </w:r>
    </w:p>
    <w:p w14:paraId="565D39F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投标人不足3家的，不得开标。</w:t>
      </w:r>
    </w:p>
    <w:p w14:paraId="5184F37F">
      <w:pPr>
        <w:wordWrap w:val="0"/>
        <w:spacing w:line="360" w:lineRule="auto"/>
        <w:ind w:firstLine="480" w:firstLineChars="200"/>
        <w:outlineLvl w:val="2"/>
        <w:rPr>
          <w:rFonts w:ascii="宋体" w:hAnsi="宋体"/>
          <w:b/>
          <w:color w:val="auto"/>
          <w:sz w:val="24"/>
          <w:szCs w:val="24"/>
          <w:highlight w:val="none"/>
        </w:rPr>
      </w:pPr>
      <w:bookmarkStart w:id="157" w:name="_Toc140237278"/>
      <w:r>
        <w:rPr>
          <w:rFonts w:hint="eastAsia" w:ascii="宋体" w:hAnsi="宋体"/>
          <w:b/>
          <w:color w:val="auto"/>
          <w:sz w:val="24"/>
          <w:szCs w:val="24"/>
          <w:highlight w:val="none"/>
        </w:rPr>
        <w:t>2.4.3　开标程序</w:t>
      </w:r>
      <w:bookmarkEnd w:id="157"/>
    </w:p>
    <w:p w14:paraId="747E2F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开标时，采购代理机构在线公布提交有效投标文件的投标人名称。投标人根据系统提示，在线解密提交系统的加密电子投标文件，每名投标人解密时限为30分钟，超过时限的</w:t>
      </w:r>
      <w:r>
        <w:rPr>
          <w:rFonts w:ascii="宋体" w:hAnsi="宋体"/>
          <w:color w:val="auto"/>
          <w:sz w:val="24"/>
          <w:szCs w:val="24"/>
          <w:highlight w:val="none"/>
        </w:rPr>
        <w:t>，</w:t>
      </w:r>
      <w:r>
        <w:rPr>
          <w:rFonts w:hint="eastAsia" w:ascii="宋体" w:hAnsi="宋体"/>
          <w:color w:val="auto"/>
          <w:sz w:val="24"/>
          <w:szCs w:val="24"/>
          <w:highlight w:val="none"/>
        </w:rPr>
        <w:t>视为无效投标。解密时须使用加密时的数字证书（CA或移动CA）。</w:t>
      </w:r>
    </w:p>
    <w:p w14:paraId="27E845A1">
      <w:pPr>
        <w:wordWrap w:val="0"/>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解密完成后，系统唱标，唱标内容</w:t>
      </w:r>
      <w:r>
        <w:rPr>
          <w:rFonts w:hint="eastAsia" w:ascii="宋体" w:hAnsi="宋体"/>
          <w:color w:val="auto"/>
          <w:sz w:val="24"/>
          <w:highlight w:val="none"/>
        </w:rPr>
        <w:t>包括投标人名称、投标报价和招标文件规定的需要公开的其他内容。</w:t>
      </w:r>
    </w:p>
    <w:p w14:paraId="14C40A2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唱标结束后，投标人在</w:t>
      </w:r>
      <w:r>
        <w:rPr>
          <w:rFonts w:ascii="宋体" w:hAnsi="宋体"/>
          <w:color w:val="auto"/>
          <w:sz w:val="24"/>
          <w:highlight w:val="none"/>
        </w:rPr>
        <w:t>3</w:t>
      </w:r>
      <w:r>
        <w:rPr>
          <w:rFonts w:hint="eastAsia" w:ascii="宋体" w:hAnsi="宋体"/>
          <w:color w:val="auto"/>
          <w:sz w:val="24"/>
          <w:highlight w:val="none"/>
        </w:rPr>
        <w:t>分钟内，对开标情况进行确认。</w:t>
      </w:r>
    </w:p>
    <w:p w14:paraId="3FC5694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投标人对开标过程和开标记录有疑义，以及认为采购人、采购代理机构相关工作人员有需要回避的情形的，应当场提出询问或者回避申请。投标人未参加开标的，视同认可开标结果。</w:t>
      </w:r>
    </w:p>
    <w:p w14:paraId="1363D794">
      <w:pPr>
        <w:wordWrap w:val="0"/>
        <w:spacing w:line="360" w:lineRule="auto"/>
        <w:ind w:firstLine="480" w:firstLineChars="200"/>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电子投标文件的加密和解密须为同一数字证书（CA或移动CA）。</w:t>
      </w:r>
    </w:p>
    <w:p w14:paraId="785210FE">
      <w:pPr>
        <w:wordWrap w:val="0"/>
        <w:spacing w:line="360" w:lineRule="auto"/>
        <w:ind w:firstLine="480" w:firstLineChars="200"/>
        <w:outlineLvl w:val="1"/>
        <w:rPr>
          <w:rFonts w:ascii="宋体" w:hAnsi="宋体"/>
          <w:b/>
          <w:color w:val="auto"/>
          <w:sz w:val="24"/>
          <w:szCs w:val="24"/>
          <w:highlight w:val="none"/>
        </w:rPr>
      </w:pPr>
      <w:bookmarkStart w:id="158" w:name="_Toc140237279"/>
      <w:bookmarkStart w:id="159" w:name="_Toc91323591"/>
      <w:bookmarkStart w:id="160" w:name="_Toc36566365"/>
      <w:bookmarkStart w:id="161" w:name="_Toc128372077"/>
      <w:bookmarkStart w:id="162" w:name="_Toc128372755"/>
      <w:bookmarkStart w:id="163" w:name="_Toc139965350"/>
      <w:bookmarkStart w:id="164" w:name="_Toc369249069"/>
      <w:bookmarkStart w:id="165" w:name="_Toc472459277"/>
      <w:r>
        <w:rPr>
          <w:rFonts w:hint="eastAsia" w:ascii="宋体" w:hAnsi="宋体"/>
          <w:b/>
          <w:color w:val="auto"/>
          <w:sz w:val="24"/>
          <w:szCs w:val="24"/>
          <w:highlight w:val="none"/>
        </w:rPr>
        <w:t>2.5　资格审查</w:t>
      </w:r>
      <w:bookmarkEnd w:id="158"/>
      <w:bookmarkEnd w:id="159"/>
    </w:p>
    <w:p w14:paraId="7F62E45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开标结束后，采购人依法按招标文件要求对投标人的资格进行审查。不符合资格要求的投标人，视为无效投标。</w:t>
      </w:r>
    </w:p>
    <w:p w14:paraId="0FDFF35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资格审查合格的投标人不足3家的，不得评标。</w:t>
      </w:r>
    </w:p>
    <w:p w14:paraId="1D8740E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资格审查时，采购人应当通过“信用中国”网站（https://www.creditchina.gov.cn）、“中国政府采购网”（http://www.ccgp.gov.cn）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视为无效投标。</w:t>
      </w:r>
    </w:p>
    <w:p w14:paraId="68D2824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个及以上的自然人、法人或者其他组织组成一个联合体，以一个投标人的身份共同参加政府采购活动的，采购人应当对联合体所有成员进行信用记录查询，联合体成员存在不良信用记录的，视同联合体存在不良信用记录。</w:t>
      </w:r>
    </w:p>
    <w:p w14:paraId="6EDD2194">
      <w:pPr>
        <w:wordWrap w:val="0"/>
        <w:spacing w:line="360" w:lineRule="auto"/>
        <w:ind w:firstLine="480" w:firstLineChars="200"/>
        <w:outlineLvl w:val="1"/>
        <w:rPr>
          <w:rFonts w:ascii="宋体" w:hAnsi="宋体"/>
          <w:b/>
          <w:color w:val="auto"/>
          <w:sz w:val="24"/>
          <w:szCs w:val="24"/>
          <w:highlight w:val="none"/>
        </w:rPr>
      </w:pPr>
      <w:bookmarkStart w:id="166" w:name="_Toc91323610"/>
      <w:bookmarkStart w:id="167" w:name="_Toc369249086"/>
      <w:bookmarkStart w:id="168" w:name="_Toc472459288"/>
      <w:bookmarkStart w:id="169" w:name="_Toc140237280"/>
      <w:bookmarkStart w:id="170" w:name="_Toc369249088"/>
      <w:bookmarkStart w:id="171" w:name="_Toc91323612"/>
      <w:bookmarkStart w:id="172" w:name="_Toc472459290"/>
      <w:bookmarkStart w:id="173" w:name="_Toc91323592"/>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6</w:t>
      </w:r>
      <w:r>
        <w:rPr>
          <w:rFonts w:hint="eastAsia" w:ascii="宋体" w:hAnsi="宋体"/>
          <w:b/>
          <w:color w:val="auto"/>
          <w:sz w:val="24"/>
          <w:szCs w:val="24"/>
          <w:highlight w:val="none"/>
        </w:rPr>
        <w:t>　</w:t>
      </w:r>
      <w:bookmarkEnd w:id="166"/>
      <w:bookmarkEnd w:id="167"/>
      <w:bookmarkEnd w:id="168"/>
      <w:r>
        <w:rPr>
          <w:rFonts w:hint="eastAsia" w:ascii="宋体" w:hAnsi="宋体"/>
          <w:b/>
          <w:color w:val="auto"/>
          <w:sz w:val="24"/>
          <w:szCs w:val="24"/>
          <w:highlight w:val="none"/>
        </w:rPr>
        <w:t>评标委员会</w:t>
      </w:r>
      <w:bookmarkEnd w:id="169"/>
    </w:p>
    <w:p w14:paraId="345E1CA8">
      <w:pPr>
        <w:wordWrap w:val="0"/>
        <w:spacing w:line="360" w:lineRule="auto"/>
        <w:ind w:firstLine="480" w:firstLineChars="200"/>
        <w:outlineLvl w:val="2"/>
        <w:rPr>
          <w:rFonts w:ascii="宋体" w:hAnsi="宋体"/>
          <w:b/>
          <w:color w:val="auto"/>
          <w:sz w:val="24"/>
          <w:szCs w:val="24"/>
          <w:highlight w:val="none"/>
        </w:rPr>
      </w:pPr>
      <w:bookmarkStart w:id="174" w:name="_Toc140237281"/>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6.1</w:t>
      </w:r>
      <w:r>
        <w:rPr>
          <w:rFonts w:hint="eastAsia" w:ascii="宋体" w:hAnsi="宋体"/>
          <w:b/>
          <w:color w:val="auto"/>
          <w:sz w:val="24"/>
          <w:szCs w:val="24"/>
          <w:highlight w:val="none"/>
        </w:rPr>
        <w:t>　评标委员会的组成</w:t>
      </w:r>
      <w:bookmarkEnd w:id="174"/>
    </w:p>
    <w:p w14:paraId="197E3678">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评审专家。</w:t>
      </w:r>
    </w:p>
    <w:p w14:paraId="19FC607B">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评标委员会由采购人代表和评审专家组成，成员人数应当为5人以上单数，其中评审专家不得少于成员总数的三分之二。</w:t>
      </w:r>
    </w:p>
    <w:p w14:paraId="020DFBB8">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采购预算金额在1000万元以上的采购项目、技术复杂的采购项目、社会影响较大的采购项目，评标委员会成员人数应当为7人以上单数。</w:t>
      </w:r>
    </w:p>
    <w:p w14:paraId="6D7E7BB0">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评标委员会负责评标活动，</w:t>
      </w:r>
      <w:r>
        <w:rPr>
          <w:rFonts w:hint="eastAsia" w:ascii="宋体" w:hAnsi="宋体"/>
          <w:color w:val="auto"/>
          <w:sz w:val="24"/>
          <w:szCs w:val="24"/>
          <w:highlight w:val="none"/>
        </w:rPr>
        <w:t>评标委员会成员不得参加开标活动。</w:t>
      </w:r>
      <w:bookmarkEnd w:id="170"/>
      <w:bookmarkEnd w:id="171"/>
      <w:bookmarkEnd w:id="172"/>
    </w:p>
    <w:p w14:paraId="285BF179">
      <w:pPr>
        <w:wordWrap w:val="0"/>
        <w:spacing w:line="360" w:lineRule="auto"/>
        <w:ind w:firstLine="480" w:firstLineChars="200"/>
        <w:outlineLvl w:val="2"/>
        <w:rPr>
          <w:rFonts w:ascii="宋体" w:hAnsi="宋体"/>
          <w:b/>
          <w:color w:val="auto"/>
          <w:sz w:val="24"/>
          <w:szCs w:val="24"/>
          <w:highlight w:val="none"/>
        </w:rPr>
      </w:pPr>
      <w:bookmarkStart w:id="175" w:name="_Toc91323614"/>
      <w:bookmarkStart w:id="176" w:name="_Toc472459292"/>
      <w:bookmarkStart w:id="177" w:name="_Toc140237282"/>
      <w:bookmarkStart w:id="178" w:name="_Toc369249089"/>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6.</w:t>
      </w:r>
      <w:r>
        <w:rPr>
          <w:rFonts w:hint="eastAsia" w:ascii="宋体" w:hAnsi="宋体"/>
          <w:b/>
          <w:color w:val="auto"/>
          <w:sz w:val="24"/>
          <w:szCs w:val="24"/>
          <w:highlight w:val="none"/>
        </w:rPr>
        <w:t>2　评标委员会的职责</w:t>
      </w:r>
      <w:bookmarkEnd w:id="175"/>
      <w:bookmarkEnd w:id="176"/>
      <w:bookmarkEnd w:id="177"/>
    </w:p>
    <w:p w14:paraId="6A4B73F7">
      <w:pPr>
        <w:wordWrap w:val="0"/>
        <w:spacing w:line="360" w:lineRule="auto"/>
        <w:ind w:firstLine="480" w:firstLineChars="200"/>
        <w:rPr>
          <w:rFonts w:ascii="宋体" w:hAnsi="宋体"/>
          <w:color w:val="auto"/>
          <w:sz w:val="24"/>
          <w:szCs w:val="24"/>
          <w:highlight w:val="none"/>
        </w:rPr>
      </w:pPr>
      <w:bookmarkStart w:id="179" w:name="_Toc472459293"/>
      <w:r>
        <w:rPr>
          <w:rFonts w:hint="eastAsia" w:ascii="宋体" w:hAnsi="宋体"/>
          <w:color w:val="auto"/>
          <w:sz w:val="24"/>
          <w:szCs w:val="24"/>
          <w:highlight w:val="none"/>
        </w:rPr>
        <w:t>（1）各评标成员独立审查、评价投标文件是否符合招标文件的商务、技术等实质性要求。</w:t>
      </w:r>
    </w:p>
    <w:p w14:paraId="6BACAFB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（2）要求投标人对投标文件有关事项作出澄清或者说明。</w:t>
      </w:r>
    </w:p>
    <w:p w14:paraId="5ADE937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（3）对投标文件进行比较和评价。</w:t>
      </w:r>
    </w:p>
    <w:p w14:paraId="27CB2F4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（4）根据全体评标成员签字的原始评标记录和评标结果编写评标报告。</w:t>
      </w:r>
    </w:p>
    <w:p w14:paraId="38E2108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（5）确定中标候选人名单，根据采购人委托直接确定中标人。</w:t>
      </w:r>
    </w:p>
    <w:p w14:paraId="53A12BC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（6）向采购人、采购代理机构或者有关部门报告评标中发现的违法行为。</w:t>
      </w:r>
    </w:p>
    <w:p w14:paraId="6918C96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（7）采购人代表核对评标结果。</w:t>
      </w:r>
    </w:p>
    <w:p w14:paraId="76F468E2">
      <w:pPr>
        <w:pStyle w:val="15"/>
        <w:wordWrap w:val="0"/>
        <w:ind w:firstLine="480" w:firstLineChars="200"/>
        <w:rPr>
          <w:rFonts w:ascii="宋体" w:hAnsi="宋体"/>
          <w:color w:val="auto"/>
          <w:highlight w:val="none"/>
        </w:rPr>
      </w:pPr>
      <w:r>
        <w:rPr>
          <w:rFonts w:hint="eastAsia" w:ascii="宋体" w:hAnsi="宋体"/>
          <w:color w:val="auto"/>
          <w:highlight w:val="none"/>
        </w:rPr>
        <w:t>（8）法律法规规定的其他情形。</w:t>
      </w:r>
    </w:p>
    <w:p w14:paraId="1968A3D5">
      <w:pPr>
        <w:wordWrap w:val="0"/>
        <w:spacing w:line="360" w:lineRule="auto"/>
        <w:ind w:firstLine="480" w:firstLineChars="200"/>
        <w:outlineLvl w:val="2"/>
        <w:rPr>
          <w:rFonts w:ascii="宋体" w:hAnsi="宋体"/>
          <w:b/>
          <w:color w:val="auto"/>
          <w:sz w:val="24"/>
          <w:szCs w:val="24"/>
          <w:highlight w:val="none"/>
        </w:rPr>
      </w:pPr>
      <w:bookmarkStart w:id="180" w:name="_Toc140237283"/>
      <w:bookmarkStart w:id="181" w:name="_Toc91323615"/>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6.3</w:t>
      </w:r>
      <w:r>
        <w:rPr>
          <w:rFonts w:hint="eastAsia" w:ascii="宋体" w:hAnsi="宋体"/>
          <w:b/>
          <w:color w:val="auto"/>
          <w:sz w:val="24"/>
          <w:szCs w:val="24"/>
          <w:highlight w:val="none"/>
        </w:rPr>
        <w:t>　评标委员会的义务</w:t>
      </w:r>
      <w:bookmarkEnd w:id="179"/>
      <w:bookmarkEnd w:id="180"/>
      <w:bookmarkEnd w:id="181"/>
    </w:p>
    <w:p w14:paraId="5E61F46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（1）严格遵守评标工作纪律，按照客观、公正、审慎的原则，根据招标文件规定的评标程序、评标方法和评审标准进行独立评审，对个人的评审意见承担法律责任。</w:t>
      </w:r>
    </w:p>
    <w:p w14:paraId="6EEACF7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配合</w:t>
      </w:r>
      <w:r>
        <w:rPr>
          <w:rFonts w:hint="eastAsia" w:ascii="宋体" w:hAnsi="宋体"/>
          <w:color w:val="auto"/>
          <w:sz w:val="24"/>
          <w:szCs w:val="24"/>
          <w:highlight w:val="none"/>
        </w:rPr>
        <w:t>采购人、采购代理机构</w:t>
      </w:r>
      <w:r>
        <w:rPr>
          <w:rFonts w:ascii="宋体" w:hAnsi="宋体"/>
          <w:color w:val="auto"/>
          <w:sz w:val="24"/>
          <w:szCs w:val="24"/>
          <w:highlight w:val="none"/>
        </w:rPr>
        <w:t>答复供应商</w:t>
      </w:r>
      <w:r>
        <w:rPr>
          <w:rFonts w:hint="eastAsia" w:ascii="宋体" w:hAnsi="宋体"/>
          <w:color w:val="auto"/>
          <w:sz w:val="24"/>
          <w:szCs w:val="24"/>
          <w:highlight w:val="none"/>
        </w:rPr>
        <w:t>提出</w:t>
      </w:r>
      <w:r>
        <w:rPr>
          <w:rFonts w:ascii="宋体" w:hAnsi="宋体"/>
          <w:color w:val="auto"/>
          <w:sz w:val="24"/>
          <w:szCs w:val="24"/>
          <w:highlight w:val="none"/>
        </w:rPr>
        <w:t>的询问、质疑和投诉等事项</w:t>
      </w:r>
      <w:r>
        <w:rPr>
          <w:rFonts w:hint="eastAsia" w:ascii="宋体" w:hAnsi="宋体"/>
          <w:color w:val="auto"/>
          <w:sz w:val="24"/>
          <w:szCs w:val="24"/>
          <w:highlight w:val="none"/>
        </w:rPr>
        <w:t>。</w:t>
      </w:r>
    </w:p>
    <w:p w14:paraId="4125E83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（3）不得泄露评标情况以及评标过程中获悉的国家秘密、商业秘密。</w:t>
      </w:r>
    </w:p>
    <w:p w14:paraId="664A53A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（4）发现招标文件存在歧义、重大缺陷导致评标工作无法进行，或者招标文件内容违反国家有关规定的，要停止评标工作并向采购人或者采购代理机构书面说明情况。</w:t>
      </w:r>
    </w:p>
    <w:p w14:paraId="4C7921E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（5）发现供应商具有行贿、提供虚假材料或者串通等违法行为的，应当及时向财政部门报告。</w:t>
      </w:r>
    </w:p>
    <w:p w14:paraId="5E16D07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）在评审过程中受到非法干预的，应当及时向财政、监察等部门举报。</w:t>
      </w:r>
    </w:p>
    <w:p w14:paraId="2C4869D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w:t>
      </w:r>
      <w:r>
        <w:rPr>
          <w:rFonts w:hint="eastAsia" w:ascii="宋体" w:hAnsi="宋体"/>
          <w:color w:val="auto"/>
          <w:sz w:val="24"/>
          <w:szCs w:val="24"/>
          <w:highlight w:val="none"/>
        </w:rPr>
        <w:t>）法律法规规定的其他情形。</w:t>
      </w:r>
    </w:p>
    <w:bookmarkEnd w:id="178"/>
    <w:p w14:paraId="7111BD5D">
      <w:pPr>
        <w:wordWrap w:val="0"/>
        <w:spacing w:line="360" w:lineRule="auto"/>
        <w:ind w:firstLine="480" w:firstLineChars="200"/>
        <w:outlineLvl w:val="1"/>
        <w:rPr>
          <w:rFonts w:ascii="宋体" w:hAnsi="宋体"/>
          <w:b/>
          <w:color w:val="auto"/>
          <w:sz w:val="24"/>
          <w:szCs w:val="24"/>
          <w:highlight w:val="none"/>
        </w:rPr>
      </w:pPr>
      <w:bookmarkStart w:id="182" w:name="_Toc140237284"/>
      <w:r>
        <w:rPr>
          <w:rFonts w:hint="eastAsia" w:ascii="宋体" w:hAnsi="宋体"/>
          <w:b/>
          <w:color w:val="auto"/>
          <w:sz w:val="24"/>
          <w:szCs w:val="24"/>
          <w:highlight w:val="none"/>
        </w:rPr>
        <w:t>2.</w:t>
      </w:r>
      <w:r>
        <w:rPr>
          <w:rFonts w:ascii="宋体" w:hAnsi="宋体"/>
          <w:b/>
          <w:color w:val="auto"/>
          <w:sz w:val="24"/>
          <w:szCs w:val="24"/>
          <w:highlight w:val="none"/>
        </w:rPr>
        <w:t>7</w:t>
      </w:r>
      <w:r>
        <w:rPr>
          <w:rFonts w:hint="eastAsia" w:ascii="宋体" w:hAnsi="宋体"/>
          <w:b/>
          <w:color w:val="auto"/>
          <w:sz w:val="24"/>
          <w:szCs w:val="24"/>
          <w:highlight w:val="none"/>
        </w:rPr>
        <w:t>　评标</w:t>
      </w:r>
      <w:bookmarkEnd w:id="173"/>
      <w:bookmarkEnd w:id="182"/>
      <w:bookmarkStart w:id="183" w:name="_Toc91323593"/>
    </w:p>
    <w:bookmarkEnd w:id="183"/>
    <w:p w14:paraId="509A8B93">
      <w:pPr>
        <w:wordWrap w:val="0"/>
        <w:spacing w:line="360" w:lineRule="auto"/>
        <w:ind w:firstLine="480" w:firstLineChars="200"/>
        <w:outlineLvl w:val="2"/>
        <w:rPr>
          <w:rFonts w:ascii="宋体" w:hAnsi="宋体"/>
          <w:b/>
          <w:color w:val="auto"/>
          <w:sz w:val="24"/>
          <w:szCs w:val="24"/>
          <w:highlight w:val="none"/>
        </w:rPr>
      </w:pPr>
      <w:bookmarkStart w:id="184" w:name="_Toc140237285"/>
      <w:bookmarkStart w:id="185" w:name="_Toc91323594"/>
      <w:r>
        <w:rPr>
          <w:rFonts w:hint="eastAsia" w:ascii="宋体" w:hAnsi="宋体"/>
          <w:b/>
          <w:color w:val="auto"/>
          <w:sz w:val="24"/>
          <w:szCs w:val="24"/>
          <w:highlight w:val="none"/>
        </w:rPr>
        <w:t>2.</w:t>
      </w:r>
      <w:r>
        <w:rPr>
          <w:rFonts w:ascii="宋体" w:hAnsi="宋体"/>
          <w:b/>
          <w:color w:val="auto"/>
          <w:sz w:val="24"/>
          <w:szCs w:val="24"/>
          <w:highlight w:val="none"/>
        </w:rPr>
        <w:t>7</w:t>
      </w:r>
      <w:r>
        <w:rPr>
          <w:rFonts w:hint="eastAsia" w:ascii="宋体" w:hAnsi="宋体"/>
          <w:b/>
          <w:color w:val="auto"/>
          <w:sz w:val="24"/>
          <w:szCs w:val="24"/>
          <w:highlight w:val="none"/>
        </w:rPr>
        <w:t>.1　评标工具</w:t>
      </w:r>
      <w:bookmarkEnd w:id="184"/>
    </w:p>
    <w:p w14:paraId="53E96ABB">
      <w:pPr>
        <w:wordWrap w:val="0"/>
        <w:spacing w:line="360" w:lineRule="auto"/>
        <w:ind w:firstLine="480" w:firstLineChars="200"/>
        <w:rPr>
          <w:color w:val="auto"/>
          <w:sz w:val="24"/>
          <w:highlight w:val="none"/>
        </w:rPr>
      </w:pPr>
      <w:r>
        <w:rPr>
          <w:rFonts w:hint="eastAsia"/>
          <w:color w:val="auto"/>
          <w:sz w:val="24"/>
          <w:highlight w:val="none"/>
        </w:rPr>
        <w:t>本项目使用“兰州市网上开评标系统”评标。</w:t>
      </w:r>
    </w:p>
    <w:p w14:paraId="3CB06A17">
      <w:pPr>
        <w:wordWrap w:val="0"/>
        <w:spacing w:line="360" w:lineRule="auto"/>
        <w:ind w:firstLine="480" w:firstLineChars="200"/>
        <w:outlineLvl w:val="2"/>
        <w:rPr>
          <w:rFonts w:ascii="宋体" w:hAnsi="宋体"/>
          <w:b/>
          <w:color w:val="auto"/>
          <w:sz w:val="24"/>
          <w:szCs w:val="24"/>
          <w:highlight w:val="none"/>
        </w:rPr>
      </w:pPr>
      <w:bookmarkStart w:id="186" w:name="_Toc140237286"/>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7.</w:t>
      </w:r>
      <w:r>
        <w:rPr>
          <w:rFonts w:hint="eastAsia" w:ascii="宋体" w:hAnsi="宋体"/>
          <w:b/>
          <w:color w:val="auto"/>
          <w:sz w:val="24"/>
          <w:szCs w:val="24"/>
          <w:highlight w:val="none"/>
        </w:rPr>
        <w:t>2　符合性审查</w:t>
      </w:r>
      <w:bookmarkEnd w:id="186"/>
    </w:p>
    <w:p w14:paraId="56E2CC3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评标委员会</w:t>
      </w:r>
      <w:r>
        <w:rPr>
          <w:rFonts w:hint="eastAsia" w:ascii="宋体" w:hAnsi="宋体"/>
          <w:color w:val="auto"/>
          <w:sz w:val="24"/>
          <w:szCs w:val="24"/>
          <w:highlight w:val="none"/>
        </w:rPr>
        <w:t>依据招标文件，对符合资格的投标人的投标文件进行符合性审查，以确定其是否满足招标文件的实质性要求，未通过符合性审查的投标人视为无效投标。</w:t>
      </w:r>
    </w:p>
    <w:p w14:paraId="55C26933">
      <w:pPr>
        <w:wordWrap w:val="0"/>
        <w:spacing w:line="360" w:lineRule="auto"/>
        <w:ind w:firstLine="480" w:firstLineChars="200"/>
        <w:outlineLvl w:val="2"/>
        <w:rPr>
          <w:rFonts w:ascii="宋体" w:hAnsi="宋体"/>
          <w:b/>
          <w:color w:val="auto"/>
          <w:sz w:val="24"/>
          <w:szCs w:val="24"/>
          <w:highlight w:val="none"/>
        </w:rPr>
      </w:pPr>
      <w:bookmarkStart w:id="187" w:name="_Toc140237287"/>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7.</w:t>
      </w:r>
      <w:r>
        <w:rPr>
          <w:rFonts w:hint="eastAsia" w:ascii="宋体" w:hAnsi="宋体"/>
          <w:b/>
          <w:color w:val="auto"/>
          <w:sz w:val="24"/>
          <w:szCs w:val="24"/>
          <w:highlight w:val="none"/>
        </w:rPr>
        <w:t>3　澄清、说明或者补正</w:t>
      </w:r>
      <w:bookmarkEnd w:id="187"/>
    </w:p>
    <w:p w14:paraId="1E4A9AF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对于投标文件中含义不明确、同类问题表述不一致或者有明显文字和计算错误等内容，</w:t>
      </w:r>
      <w:bookmarkStart w:id="188" w:name="_Hlk104986400"/>
      <w:r>
        <w:rPr>
          <w:rFonts w:hint="eastAsia" w:ascii="宋体" w:hAnsi="宋体"/>
          <w:color w:val="auto"/>
          <w:sz w:val="24"/>
          <w:szCs w:val="24"/>
          <w:highlight w:val="none"/>
        </w:rPr>
        <w:t>评标委员会应当以书面形式要求投标人作出必要的澄清、说明或者补正。投标人的澄清、说明或者补正不得超出投标文件的范围或者改变投标文件的实质性内容。</w:t>
      </w:r>
    </w:p>
    <w:p w14:paraId="2F282D4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w:t>
      </w:r>
      <w:bookmarkStart w:id="189" w:name="_Hlk104293115"/>
      <w:r>
        <w:rPr>
          <w:rFonts w:hint="eastAsia" w:ascii="宋体" w:hAnsi="宋体"/>
          <w:color w:val="auto"/>
          <w:sz w:val="24"/>
          <w:szCs w:val="24"/>
          <w:highlight w:val="none"/>
        </w:rPr>
        <w:t>通过“兰州市网上开评标系统”以书面形式要求投标人</w:t>
      </w:r>
      <w:bookmarkEnd w:id="189"/>
      <w:r>
        <w:rPr>
          <w:rFonts w:hint="eastAsia" w:ascii="宋体" w:hAnsi="宋体"/>
          <w:color w:val="auto"/>
          <w:sz w:val="24"/>
          <w:szCs w:val="24"/>
          <w:highlight w:val="none"/>
        </w:rPr>
        <w:t>在</w:t>
      </w:r>
      <w:bookmarkStart w:id="190" w:name="_Hlk104986058"/>
      <w:r>
        <w:rPr>
          <w:rFonts w:hint="eastAsia" w:ascii="宋体" w:hAnsi="宋体"/>
          <w:color w:val="auto"/>
          <w:sz w:val="24"/>
          <w:szCs w:val="24"/>
          <w:highlight w:val="none"/>
        </w:rPr>
        <w:t>规定时限内</w:t>
      </w:r>
      <w:bookmarkEnd w:id="190"/>
      <w:r>
        <w:rPr>
          <w:rFonts w:hint="eastAsia" w:ascii="宋体" w:hAnsi="宋体"/>
          <w:color w:val="auto"/>
          <w:sz w:val="24"/>
          <w:szCs w:val="24"/>
          <w:highlight w:val="none"/>
        </w:rPr>
        <w:t>作出澄清、说明或者补正（包含但不限于确认修正后的投标文件报价、投标报价合理性说明）。</w:t>
      </w:r>
      <w:bookmarkEnd w:id="188"/>
      <w:r>
        <w:rPr>
          <w:rFonts w:hint="eastAsia" w:ascii="宋体" w:hAnsi="宋体"/>
          <w:color w:val="auto"/>
          <w:sz w:val="24"/>
          <w:highlight w:val="none"/>
        </w:rPr>
        <w:t>投标人以数字证书（CA或移动CA）方式登录“兰州市公共资源服务系统”，</w:t>
      </w:r>
      <w:r>
        <w:rPr>
          <w:rFonts w:hint="eastAsia" w:ascii="宋体" w:hAnsi="宋体"/>
          <w:color w:val="auto"/>
          <w:sz w:val="24"/>
          <w:szCs w:val="24"/>
          <w:highlight w:val="none"/>
        </w:rPr>
        <w:t>按照评标委员会发出的系统提示信息，在规定时限内</w:t>
      </w:r>
      <w:bookmarkStart w:id="191" w:name="_Hlk104987218"/>
      <w:r>
        <w:rPr>
          <w:rFonts w:hint="eastAsia" w:ascii="宋体" w:hAnsi="宋体"/>
          <w:color w:val="auto"/>
          <w:sz w:val="24"/>
          <w:szCs w:val="24"/>
          <w:highlight w:val="none"/>
        </w:rPr>
        <w:t>通过系统</w:t>
      </w:r>
      <w:bookmarkStart w:id="192" w:name="_Hlk104293224"/>
      <w:r>
        <w:rPr>
          <w:rFonts w:hint="eastAsia" w:ascii="宋体" w:hAnsi="宋体"/>
          <w:color w:val="auto"/>
          <w:sz w:val="24"/>
          <w:szCs w:val="24"/>
          <w:highlight w:val="none"/>
        </w:rPr>
        <w:t>以书面形式</w:t>
      </w:r>
      <w:bookmarkEnd w:id="191"/>
      <w:bookmarkEnd w:id="192"/>
      <w:r>
        <w:rPr>
          <w:rFonts w:hint="eastAsia" w:ascii="宋体" w:hAnsi="宋体"/>
          <w:color w:val="auto"/>
          <w:sz w:val="24"/>
          <w:szCs w:val="24"/>
          <w:highlight w:val="none"/>
        </w:rPr>
        <w:t>澄清、说明或者补正（</w:t>
      </w:r>
      <w:bookmarkStart w:id="193" w:name="_Hlk105063541"/>
      <w:r>
        <w:rPr>
          <w:rFonts w:hint="eastAsia" w:ascii="宋体" w:hAnsi="宋体"/>
          <w:color w:val="auto"/>
          <w:sz w:val="24"/>
          <w:szCs w:val="24"/>
          <w:highlight w:val="none"/>
        </w:rPr>
        <w:t>包含但不限于确认修正后的投标文件报价、投标报价合理性说明</w:t>
      </w:r>
      <w:bookmarkEnd w:id="193"/>
      <w:r>
        <w:rPr>
          <w:rFonts w:hint="eastAsia" w:ascii="宋体" w:hAnsi="宋体"/>
          <w:color w:val="auto"/>
          <w:sz w:val="24"/>
          <w:szCs w:val="24"/>
          <w:highlight w:val="none"/>
        </w:rPr>
        <w:t>），并由</w:t>
      </w:r>
      <w:r>
        <w:rPr>
          <w:rFonts w:hint="eastAsia" w:ascii="宋体" w:hAnsi="宋体"/>
          <w:color w:val="auto"/>
          <w:sz w:val="24"/>
          <w:highlight w:val="none"/>
        </w:rPr>
        <w:t>投标人签章</w:t>
      </w:r>
      <w:r>
        <w:rPr>
          <w:rFonts w:hint="eastAsia" w:ascii="宋体" w:hAnsi="宋体"/>
          <w:color w:val="auto"/>
          <w:sz w:val="24"/>
          <w:szCs w:val="24"/>
          <w:highlight w:val="none"/>
        </w:rPr>
        <w:t>或者由法定代表人（或授权代表）签章。</w:t>
      </w:r>
    </w:p>
    <w:p w14:paraId="335EE3ED">
      <w:pPr>
        <w:wordWrap w:val="0"/>
        <w:spacing w:line="360" w:lineRule="auto"/>
        <w:ind w:firstLine="480" w:firstLineChars="200"/>
        <w:rPr>
          <w:rFonts w:ascii="宋体" w:hAnsi="宋体"/>
          <w:color w:val="auto"/>
          <w:sz w:val="24"/>
          <w:szCs w:val="24"/>
          <w:highlight w:val="none"/>
        </w:rPr>
      </w:pPr>
      <w:bookmarkStart w:id="194" w:name="_Hlk105057580"/>
      <w:r>
        <w:rPr>
          <w:rFonts w:hint="eastAsia" w:ascii="宋体" w:hAnsi="宋体"/>
          <w:color w:val="auto"/>
          <w:sz w:val="24"/>
          <w:szCs w:val="24"/>
          <w:highlight w:val="none"/>
        </w:rPr>
        <w:t>前款描述的规定时限见《投标人须知前附表》。</w:t>
      </w:r>
      <w:bookmarkEnd w:id="194"/>
      <w:bookmarkStart w:id="195" w:name="_Hlk105071426"/>
      <w:r>
        <w:rPr>
          <w:rFonts w:hint="eastAsia" w:ascii="宋体" w:hAnsi="宋体"/>
          <w:color w:val="auto"/>
          <w:sz w:val="24"/>
          <w:szCs w:val="24"/>
          <w:highlight w:val="none"/>
        </w:rPr>
        <w:t>投标人未在规定时限内澄清、说明或者补正的，视同放弃相关权利，由此引起的风险和责任由投标人承担。</w:t>
      </w:r>
      <w:bookmarkEnd w:id="195"/>
    </w:p>
    <w:p w14:paraId="5A5AC5BA">
      <w:pPr>
        <w:wordWrap w:val="0"/>
        <w:spacing w:line="360" w:lineRule="auto"/>
        <w:ind w:firstLine="480" w:firstLineChars="200"/>
        <w:outlineLvl w:val="3"/>
        <w:rPr>
          <w:rFonts w:ascii="宋体" w:hAnsi="宋体"/>
          <w:b/>
          <w:color w:val="auto"/>
          <w:sz w:val="24"/>
          <w:highlight w:val="none"/>
        </w:rPr>
      </w:pPr>
      <w:bookmarkStart w:id="196" w:name="_Hlk97818918"/>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7.</w:t>
      </w:r>
      <w:r>
        <w:rPr>
          <w:rFonts w:hint="eastAsia" w:ascii="宋体" w:hAnsi="宋体"/>
          <w:b/>
          <w:color w:val="auto"/>
          <w:sz w:val="24"/>
          <w:szCs w:val="24"/>
          <w:highlight w:val="none"/>
        </w:rPr>
        <w:t>3</w:t>
      </w:r>
      <w:r>
        <w:rPr>
          <w:rFonts w:ascii="宋体" w:hAnsi="宋体"/>
          <w:b/>
          <w:color w:val="auto"/>
          <w:sz w:val="24"/>
          <w:szCs w:val="24"/>
          <w:highlight w:val="none"/>
        </w:rPr>
        <w:t>.1</w:t>
      </w:r>
      <w:r>
        <w:rPr>
          <w:rFonts w:hint="eastAsia" w:ascii="宋体" w:hAnsi="宋体"/>
          <w:b/>
          <w:color w:val="auto"/>
          <w:sz w:val="24"/>
          <w:szCs w:val="24"/>
          <w:highlight w:val="none"/>
        </w:rPr>
        <w:t>　</w:t>
      </w:r>
      <w:r>
        <w:rPr>
          <w:rFonts w:hint="eastAsia" w:ascii="宋体" w:hAnsi="宋体"/>
          <w:b/>
          <w:color w:val="auto"/>
          <w:sz w:val="24"/>
          <w:highlight w:val="none"/>
        </w:rPr>
        <w:t>投标文件报价修正</w:t>
      </w:r>
    </w:p>
    <w:p w14:paraId="6760471C">
      <w:pPr>
        <w:wordWrap w:val="0"/>
        <w:spacing w:line="360" w:lineRule="auto"/>
        <w:ind w:firstLine="480" w:firstLineChars="200"/>
        <w:rPr>
          <w:rFonts w:ascii="宋体" w:hAnsi="宋体"/>
          <w:color w:val="auto"/>
          <w:sz w:val="24"/>
          <w:highlight w:val="none"/>
        </w:rPr>
      </w:pPr>
      <w:bookmarkStart w:id="197" w:name="_Hlk101441355"/>
      <w:r>
        <w:rPr>
          <w:rFonts w:hint="eastAsia" w:ascii="宋体" w:hAnsi="宋体"/>
          <w:color w:val="auto"/>
          <w:sz w:val="24"/>
          <w:highlight w:val="none"/>
        </w:rPr>
        <w:t>投标文件报价</w:t>
      </w:r>
      <w:bookmarkEnd w:id="196"/>
      <w:bookmarkEnd w:id="197"/>
      <w:r>
        <w:rPr>
          <w:rFonts w:hint="eastAsia" w:ascii="宋体" w:hAnsi="宋体"/>
          <w:color w:val="auto"/>
          <w:sz w:val="24"/>
          <w:highlight w:val="none"/>
        </w:rPr>
        <w:t>出现前后不一致的，评标委员会按照下列规定修正：</w:t>
      </w:r>
    </w:p>
    <w:p w14:paraId="7394F581">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（1）投标文件中开标一览表（报价表）内容与投标文件中相应内容不一致的，以开标一览表（报价表）为准。</w:t>
      </w:r>
    </w:p>
    <w:p w14:paraId="349B4B21">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（2）大写金额和小写金额不一致的，以大写金额为准。</w:t>
      </w:r>
    </w:p>
    <w:p w14:paraId="449DEECE">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79DF290D">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0136DE39">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同时出现两种以上不一致的，按照前款规定的顺序修正。修正不得超出投标文件的范围或者改变投标文件的实质性内容。</w:t>
      </w:r>
    </w:p>
    <w:p w14:paraId="30F7E5FB">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通过“兰州市网上开评标系统”以书面形式要求投标人在规定时限内确认修正后的投标文件报价。投标人以数字证书（CA或移动CA）方式登录“兰州市公共资源服务系统”，按照评标委员会发出的系统提示信息，在规定时限内通过系统以书面形式</w:t>
      </w:r>
      <w:bookmarkStart w:id="198" w:name="_Hlk105061665"/>
      <w:r>
        <w:rPr>
          <w:rFonts w:hint="eastAsia" w:ascii="宋体" w:hAnsi="宋体"/>
          <w:color w:val="auto"/>
          <w:sz w:val="24"/>
          <w:highlight w:val="none"/>
        </w:rPr>
        <w:t>确认修正后的投标文件报价</w:t>
      </w:r>
      <w:bookmarkEnd w:id="198"/>
      <w:r>
        <w:rPr>
          <w:rFonts w:hint="eastAsia" w:ascii="宋体" w:hAnsi="宋体"/>
          <w:color w:val="auto"/>
          <w:sz w:val="24"/>
          <w:highlight w:val="none"/>
        </w:rPr>
        <w:t>，并由投标人签章或者由法定代表人（或授权代表）签章。</w:t>
      </w:r>
    </w:p>
    <w:p w14:paraId="313EADA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前款描述的规定时限见《投标人须知前附表》。</w:t>
      </w:r>
      <w:r>
        <w:rPr>
          <w:rFonts w:hint="eastAsia" w:ascii="宋体" w:hAnsi="宋体"/>
          <w:color w:val="auto"/>
          <w:sz w:val="24"/>
          <w:highlight w:val="none"/>
        </w:rPr>
        <w:t>投标人</w:t>
      </w:r>
      <w:bookmarkStart w:id="199" w:name="_Hlk105071603"/>
      <w:r>
        <w:rPr>
          <w:rFonts w:hint="eastAsia" w:ascii="宋体" w:hAnsi="宋体"/>
          <w:color w:val="auto"/>
          <w:sz w:val="24"/>
          <w:highlight w:val="none"/>
        </w:rPr>
        <w:t>未在规定时限内确认修正后的投标文件报价的，视同放弃相关权利，由此引起的风险和责任由投标人承担。</w:t>
      </w:r>
      <w:bookmarkEnd w:id="199"/>
    </w:p>
    <w:p w14:paraId="4C9861A7">
      <w:pPr>
        <w:wordWrap w:val="0"/>
        <w:spacing w:line="360" w:lineRule="auto"/>
        <w:ind w:firstLine="480" w:firstLineChars="200"/>
        <w:outlineLvl w:val="3"/>
        <w:rPr>
          <w:rFonts w:ascii="宋体" w:hAnsi="宋体"/>
          <w:b/>
          <w:color w:val="auto"/>
          <w:sz w:val="24"/>
          <w:szCs w:val="24"/>
          <w:highlight w:val="none"/>
        </w:rPr>
      </w:pPr>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7.</w:t>
      </w:r>
      <w:r>
        <w:rPr>
          <w:rFonts w:hint="eastAsia" w:ascii="宋体" w:hAnsi="宋体"/>
          <w:b/>
          <w:color w:val="auto"/>
          <w:sz w:val="24"/>
          <w:szCs w:val="24"/>
          <w:highlight w:val="none"/>
        </w:rPr>
        <w:t>3</w:t>
      </w:r>
      <w:r>
        <w:rPr>
          <w:rFonts w:ascii="宋体" w:hAnsi="宋体"/>
          <w:b/>
          <w:color w:val="auto"/>
          <w:sz w:val="24"/>
          <w:szCs w:val="24"/>
          <w:highlight w:val="none"/>
        </w:rPr>
        <w:t>.2</w:t>
      </w:r>
      <w:r>
        <w:rPr>
          <w:rFonts w:hint="eastAsia" w:ascii="宋体" w:hAnsi="宋体"/>
          <w:b/>
          <w:color w:val="auto"/>
          <w:sz w:val="24"/>
          <w:szCs w:val="24"/>
          <w:highlight w:val="none"/>
        </w:rPr>
        <w:t>　</w:t>
      </w:r>
      <w:bookmarkStart w:id="200" w:name="_Hlk105062270"/>
      <w:r>
        <w:rPr>
          <w:rFonts w:hint="eastAsia" w:ascii="宋体" w:hAnsi="宋体"/>
          <w:b/>
          <w:color w:val="auto"/>
          <w:sz w:val="24"/>
          <w:szCs w:val="24"/>
          <w:highlight w:val="none"/>
        </w:rPr>
        <w:t>投标报价合理性说明</w:t>
      </w:r>
      <w:bookmarkEnd w:id="200"/>
    </w:p>
    <w:p w14:paraId="0CE7298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认为投标人的报价明显低于其他通过符合性审查投标人的报价，有可能影响产品质量或者不能诚信履约的，应当要求投标人在规定时限内进行投标报价合理性说明。投标人不能在规定时限内证明其报价合理性的，评标委员会将其作为无效投标处理。</w:t>
      </w:r>
    </w:p>
    <w:p w14:paraId="1B31311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通过“兰州市网上开评标系统”以书面形式要求投标人在规定时限内作出投标报价合理性说明。投标人以数字证书（CA或移动CA）方式登录“兰州市公共资源服务系统”，按照评标委员会发出的系统提示信息，</w:t>
      </w:r>
      <w:r>
        <w:rPr>
          <w:rFonts w:hint="eastAsia" w:ascii="宋体" w:hAnsi="宋体"/>
          <w:color w:val="auto"/>
          <w:sz w:val="24"/>
          <w:highlight w:val="none"/>
        </w:rPr>
        <w:t>在规定时</w:t>
      </w:r>
      <w:r>
        <w:rPr>
          <w:rFonts w:hint="eastAsia" w:ascii="宋体" w:hAnsi="宋体"/>
          <w:color w:val="auto"/>
          <w:sz w:val="24"/>
          <w:szCs w:val="24"/>
          <w:highlight w:val="none"/>
        </w:rPr>
        <w:t>限内</w:t>
      </w:r>
      <w:r>
        <w:rPr>
          <w:rFonts w:hint="eastAsia" w:ascii="宋体" w:hAnsi="宋体"/>
          <w:color w:val="auto"/>
          <w:sz w:val="24"/>
          <w:highlight w:val="none"/>
        </w:rPr>
        <w:t>以书面形式作出投标报价合理性说明，</w:t>
      </w:r>
      <w:r>
        <w:rPr>
          <w:rFonts w:hint="eastAsia" w:ascii="宋体" w:hAnsi="宋体"/>
          <w:color w:val="auto"/>
          <w:sz w:val="24"/>
          <w:szCs w:val="24"/>
          <w:highlight w:val="none"/>
        </w:rPr>
        <w:t>并由</w:t>
      </w:r>
      <w:r>
        <w:rPr>
          <w:rFonts w:hint="eastAsia" w:ascii="宋体" w:hAnsi="宋体"/>
          <w:color w:val="auto"/>
          <w:sz w:val="24"/>
          <w:highlight w:val="none"/>
        </w:rPr>
        <w:t>投标人签章</w:t>
      </w:r>
      <w:r>
        <w:rPr>
          <w:rFonts w:hint="eastAsia" w:ascii="宋体" w:hAnsi="宋体"/>
          <w:color w:val="auto"/>
          <w:sz w:val="24"/>
          <w:szCs w:val="24"/>
          <w:highlight w:val="none"/>
        </w:rPr>
        <w:t>或者由法定代表人（或授权代表）签章，必要时提交相关证明材料。</w:t>
      </w:r>
    </w:p>
    <w:p w14:paraId="4935A57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前款描述的规定时限见《投标人须知前附表》。投标人未</w:t>
      </w:r>
      <w:bookmarkStart w:id="201" w:name="_Hlk105074567"/>
      <w:r>
        <w:rPr>
          <w:rFonts w:hint="eastAsia" w:ascii="宋体" w:hAnsi="宋体"/>
          <w:color w:val="auto"/>
          <w:sz w:val="24"/>
          <w:szCs w:val="24"/>
          <w:highlight w:val="none"/>
        </w:rPr>
        <w:t>在规定时限内</w:t>
      </w:r>
      <w:bookmarkEnd w:id="201"/>
      <w:r>
        <w:rPr>
          <w:rFonts w:hint="eastAsia" w:ascii="宋体" w:hAnsi="宋体"/>
          <w:color w:val="auto"/>
          <w:sz w:val="24"/>
          <w:szCs w:val="24"/>
          <w:highlight w:val="none"/>
        </w:rPr>
        <w:t>证明其报价合理性的，视同放弃相关权利，由此引起的风险和责任由投标人承担。</w:t>
      </w:r>
    </w:p>
    <w:bookmarkEnd w:id="185"/>
    <w:p w14:paraId="2A1972BD">
      <w:pPr>
        <w:wordWrap w:val="0"/>
        <w:spacing w:line="360" w:lineRule="auto"/>
        <w:ind w:firstLine="480" w:firstLineChars="200"/>
        <w:outlineLvl w:val="2"/>
        <w:rPr>
          <w:rFonts w:ascii="宋体" w:hAnsi="宋体"/>
          <w:b/>
          <w:color w:val="auto"/>
          <w:sz w:val="24"/>
          <w:szCs w:val="24"/>
          <w:highlight w:val="none"/>
        </w:rPr>
      </w:pPr>
      <w:bookmarkStart w:id="202" w:name="_Toc140237288"/>
      <w:bookmarkStart w:id="203" w:name="_Toc91323622"/>
      <w:bookmarkStart w:id="204" w:name="_Toc91323595"/>
      <w:r>
        <w:rPr>
          <w:rFonts w:hint="eastAsia" w:ascii="宋体" w:hAnsi="宋体"/>
          <w:b/>
          <w:color w:val="auto"/>
          <w:sz w:val="24"/>
          <w:szCs w:val="24"/>
          <w:highlight w:val="none"/>
        </w:rPr>
        <w:t>2</w:t>
      </w:r>
      <w:r>
        <w:rPr>
          <w:rFonts w:ascii="宋体" w:hAnsi="宋体"/>
          <w:b/>
          <w:color w:val="auto"/>
          <w:sz w:val="24"/>
          <w:szCs w:val="24"/>
          <w:highlight w:val="none"/>
        </w:rPr>
        <w:t>.7.4</w:t>
      </w:r>
      <w:r>
        <w:rPr>
          <w:rFonts w:hint="eastAsia" w:ascii="宋体" w:hAnsi="宋体"/>
          <w:b/>
          <w:color w:val="auto"/>
          <w:sz w:val="24"/>
          <w:szCs w:val="24"/>
          <w:highlight w:val="none"/>
        </w:rPr>
        <w:t>　</w:t>
      </w:r>
      <w:bookmarkStart w:id="205" w:name="_Hlk105062282"/>
      <w:r>
        <w:rPr>
          <w:rFonts w:hint="eastAsia" w:ascii="宋体" w:hAnsi="宋体"/>
          <w:b/>
          <w:color w:val="auto"/>
          <w:sz w:val="24"/>
          <w:szCs w:val="24"/>
          <w:highlight w:val="none"/>
        </w:rPr>
        <w:t>演示</w:t>
      </w:r>
      <w:bookmarkEnd w:id="202"/>
      <w:bookmarkEnd w:id="205"/>
    </w:p>
    <w:p w14:paraId="2D539274">
      <w:pPr>
        <w:wordWrap w:val="0"/>
        <w:spacing w:line="360" w:lineRule="auto"/>
        <w:ind w:firstLine="480" w:firstLineChars="200"/>
        <w:rPr>
          <w:rFonts w:ascii="宋体" w:hAnsi="宋体"/>
          <w:color w:val="auto"/>
          <w:sz w:val="24"/>
          <w:szCs w:val="24"/>
          <w:highlight w:val="none"/>
        </w:rPr>
      </w:pPr>
      <w:bookmarkStart w:id="206" w:name="_Hlk105069162"/>
      <w:r>
        <w:rPr>
          <w:rFonts w:hint="eastAsia" w:ascii="宋体" w:hAnsi="宋体"/>
          <w:color w:val="auto"/>
          <w:sz w:val="24"/>
          <w:szCs w:val="24"/>
          <w:highlight w:val="none"/>
        </w:rPr>
        <w:t>本项目是否演示见《投标人须知前附表》。</w:t>
      </w:r>
    </w:p>
    <w:bookmarkEnd w:id="206"/>
    <w:p w14:paraId="7A26452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投标人根据招标文件要求，准备演示所需的相关资料</w:t>
      </w:r>
      <w:bookmarkStart w:id="207" w:name="_Hlk104992490"/>
      <w:r>
        <w:rPr>
          <w:rFonts w:hint="eastAsia" w:ascii="宋体" w:hAnsi="宋体"/>
          <w:color w:val="auto"/>
          <w:sz w:val="24"/>
          <w:szCs w:val="24"/>
          <w:highlight w:val="none"/>
        </w:rPr>
        <w:t>，并按照评标委员会的要求进行演示。</w:t>
      </w:r>
    </w:p>
    <w:p w14:paraId="2937E148">
      <w:pPr>
        <w:wordWrap w:val="0"/>
        <w:spacing w:line="360" w:lineRule="auto"/>
        <w:ind w:firstLine="480" w:firstLineChars="200"/>
        <w:rPr>
          <w:rFonts w:ascii="宋体" w:hAnsi="宋体"/>
          <w:color w:val="auto"/>
          <w:sz w:val="24"/>
          <w:szCs w:val="24"/>
          <w:highlight w:val="none"/>
        </w:rPr>
      </w:pPr>
      <w:bookmarkStart w:id="208" w:name="_Hlk105072654"/>
      <w:r>
        <w:rPr>
          <w:rFonts w:hint="eastAsia" w:ascii="宋体" w:hAnsi="宋体"/>
          <w:color w:val="auto"/>
          <w:sz w:val="24"/>
          <w:szCs w:val="24"/>
          <w:highlight w:val="none"/>
        </w:rPr>
        <w:t>评标委员会通过“兰州市网上开评标系统”</w:t>
      </w:r>
      <w:bookmarkStart w:id="209" w:name="_Hlk104297554"/>
      <w:r>
        <w:rPr>
          <w:rFonts w:hint="eastAsia" w:ascii="宋体" w:hAnsi="宋体"/>
          <w:color w:val="auto"/>
          <w:sz w:val="24"/>
          <w:szCs w:val="24"/>
          <w:highlight w:val="none"/>
        </w:rPr>
        <w:t>以书面形式要求投标人在规定时限内进行演示</w:t>
      </w:r>
      <w:bookmarkEnd w:id="209"/>
      <w:r>
        <w:rPr>
          <w:rFonts w:hint="eastAsia" w:ascii="宋体" w:hAnsi="宋体"/>
          <w:color w:val="auto"/>
          <w:sz w:val="24"/>
          <w:szCs w:val="24"/>
          <w:highlight w:val="none"/>
        </w:rPr>
        <w:t>。</w:t>
      </w:r>
      <w:r>
        <w:rPr>
          <w:rFonts w:hint="eastAsia" w:ascii="宋体" w:hAnsi="宋体"/>
          <w:color w:val="auto"/>
          <w:sz w:val="24"/>
          <w:highlight w:val="none"/>
        </w:rPr>
        <w:t>投标人以数字证书（CA或移动CA）方式登录“兰州市公共资源服务系统”，</w:t>
      </w:r>
      <w:r>
        <w:rPr>
          <w:rFonts w:hint="eastAsia" w:ascii="宋体" w:hAnsi="宋体"/>
          <w:color w:val="auto"/>
          <w:sz w:val="24"/>
          <w:szCs w:val="24"/>
          <w:highlight w:val="none"/>
        </w:rPr>
        <w:t>按照评标委员会发出的系统提示信息，在规定时限内通过系统进行演示。</w:t>
      </w:r>
      <w:bookmarkEnd w:id="208"/>
    </w:p>
    <w:p w14:paraId="5FCA413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前款描述的规定时限见《投标人须知前附表》。投标人未在规定时限内演示的，视同放弃相关权利，由此引起的风险和责任由投标人承担。</w:t>
      </w:r>
    </w:p>
    <w:bookmarkEnd w:id="207"/>
    <w:p w14:paraId="6D351F24">
      <w:pPr>
        <w:wordWrap w:val="0"/>
        <w:spacing w:line="360" w:lineRule="auto"/>
        <w:ind w:firstLine="480" w:firstLineChars="200"/>
        <w:outlineLvl w:val="2"/>
        <w:rPr>
          <w:rFonts w:ascii="宋体" w:hAnsi="宋体"/>
          <w:b/>
          <w:color w:val="auto"/>
          <w:sz w:val="24"/>
          <w:szCs w:val="24"/>
          <w:highlight w:val="none"/>
        </w:rPr>
      </w:pPr>
      <w:bookmarkStart w:id="210" w:name="_Toc140237289"/>
      <w:r>
        <w:rPr>
          <w:rFonts w:hint="eastAsia" w:ascii="宋体" w:hAnsi="宋体"/>
          <w:b/>
          <w:color w:val="auto"/>
          <w:sz w:val="24"/>
          <w:szCs w:val="24"/>
          <w:highlight w:val="none"/>
        </w:rPr>
        <w:t>2.</w:t>
      </w:r>
      <w:r>
        <w:rPr>
          <w:rFonts w:ascii="宋体" w:hAnsi="宋体"/>
          <w:b/>
          <w:color w:val="auto"/>
          <w:sz w:val="24"/>
          <w:szCs w:val="24"/>
          <w:highlight w:val="none"/>
        </w:rPr>
        <w:t>7</w:t>
      </w:r>
      <w:r>
        <w:rPr>
          <w:rFonts w:hint="eastAsia" w:ascii="宋体" w:hAnsi="宋体"/>
          <w:b/>
          <w:color w:val="auto"/>
          <w:sz w:val="24"/>
          <w:szCs w:val="24"/>
          <w:highlight w:val="none"/>
        </w:rPr>
        <w:t>.</w:t>
      </w:r>
      <w:r>
        <w:rPr>
          <w:rFonts w:ascii="宋体" w:hAnsi="宋体"/>
          <w:b/>
          <w:color w:val="auto"/>
          <w:sz w:val="24"/>
          <w:szCs w:val="24"/>
          <w:highlight w:val="none"/>
        </w:rPr>
        <w:t>5</w:t>
      </w:r>
      <w:r>
        <w:rPr>
          <w:rFonts w:hint="eastAsia" w:ascii="宋体" w:hAnsi="宋体"/>
          <w:b/>
          <w:color w:val="auto"/>
          <w:sz w:val="24"/>
          <w:szCs w:val="24"/>
          <w:highlight w:val="none"/>
        </w:rPr>
        <w:t>　评标方法</w:t>
      </w:r>
      <w:bookmarkEnd w:id="210"/>
    </w:p>
    <w:p w14:paraId="29F89673">
      <w:pPr>
        <w:wordWrap w:val="0"/>
        <w:spacing w:line="360" w:lineRule="auto"/>
        <w:ind w:firstLine="480" w:firstLineChars="200"/>
        <w:outlineLvl w:val="3"/>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7</w:t>
      </w:r>
      <w:r>
        <w:rPr>
          <w:rFonts w:hint="eastAsia" w:ascii="宋体" w:hAnsi="宋体"/>
          <w:b/>
          <w:color w:val="auto"/>
          <w:sz w:val="24"/>
          <w:szCs w:val="24"/>
          <w:highlight w:val="none"/>
        </w:rPr>
        <w:t>.</w:t>
      </w:r>
      <w:r>
        <w:rPr>
          <w:rFonts w:ascii="宋体" w:hAnsi="宋体"/>
          <w:b/>
          <w:color w:val="auto"/>
          <w:sz w:val="24"/>
          <w:szCs w:val="24"/>
          <w:highlight w:val="none"/>
        </w:rPr>
        <w:t>5</w:t>
      </w:r>
      <w:r>
        <w:rPr>
          <w:rFonts w:hint="eastAsia" w:ascii="宋体" w:hAnsi="宋体"/>
          <w:b/>
          <w:color w:val="auto"/>
          <w:sz w:val="24"/>
          <w:szCs w:val="24"/>
          <w:highlight w:val="none"/>
        </w:rPr>
        <w:t>.1　最低评标价法</w:t>
      </w:r>
      <w:bookmarkEnd w:id="203"/>
    </w:p>
    <w:p w14:paraId="40B082A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最低评标价法，是指投标文件满足招标文件全部实质性要求，且投标报价最低的投标人为中标候选人的评标方法。其中，符合《政府采购促进中小企业发展管理办法》等规定，应享受价格扣除优惠政策的投标人，</w:t>
      </w:r>
      <w:r>
        <w:rPr>
          <w:rFonts w:hint="eastAsia"/>
          <w:color w:val="auto"/>
          <w:sz w:val="24"/>
          <w:szCs w:val="24"/>
          <w:highlight w:val="none"/>
        </w:rPr>
        <w:t>以扣除后的价格参加评审。</w:t>
      </w:r>
    </w:p>
    <w:p w14:paraId="4E92434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用最低评标价法的采购项目，提供相同品牌产品的不同投标人参加同一合同项下投标的，以其中通过资格审查、符合性审查且报价最低的参加评标；报价相同的，评标委员会采取随机抽取方式确定，其他投标无效。</w:t>
      </w:r>
    </w:p>
    <w:p w14:paraId="5C2C9EA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采用最低评标价法的，评标结果按投标报价由低到高顺序排列。投标报价相同的并列。投标文件满足招标文件全部实质性要求且投标报价最低的投标人为排名第一的中标候选人。</w:t>
      </w:r>
    </w:p>
    <w:p w14:paraId="36CEBFDD">
      <w:pPr>
        <w:wordWrap w:val="0"/>
        <w:spacing w:line="360" w:lineRule="auto"/>
        <w:ind w:firstLine="480" w:firstLineChars="200"/>
        <w:outlineLvl w:val="3"/>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7</w:t>
      </w:r>
      <w:r>
        <w:rPr>
          <w:rFonts w:hint="eastAsia" w:ascii="宋体" w:hAnsi="宋体"/>
          <w:b/>
          <w:color w:val="auto"/>
          <w:sz w:val="24"/>
          <w:szCs w:val="24"/>
          <w:highlight w:val="none"/>
        </w:rPr>
        <w:t>.</w:t>
      </w:r>
      <w:r>
        <w:rPr>
          <w:rFonts w:ascii="宋体" w:hAnsi="宋体"/>
          <w:b/>
          <w:color w:val="auto"/>
          <w:sz w:val="24"/>
          <w:szCs w:val="24"/>
          <w:highlight w:val="none"/>
        </w:rPr>
        <w:t>5</w:t>
      </w:r>
      <w:r>
        <w:rPr>
          <w:rFonts w:hint="eastAsia" w:ascii="宋体" w:hAnsi="宋体"/>
          <w:b/>
          <w:color w:val="auto"/>
          <w:sz w:val="24"/>
          <w:szCs w:val="24"/>
          <w:highlight w:val="none"/>
        </w:rPr>
        <w:t>.</w:t>
      </w:r>
      <w:r>
        <w:rPr>
          <w:rFonts w:ascii="宋体" w:hAnsi="宋体"/>
          <w:b/>
          <w:color w:val="auto"/>
          <w:sz w:val="24"/>
          <w:szCs w:val="24"/>
          <w:highlight w:val="none"/>
        </w:rPr>
        <w:t>2</w:t>
      </w:r>
      <w:r>
        <w:rPr>
          <w:rFonts w:hint="eastAsia" w:ascii="宋体" w:hAnsi="宋体"/>
          <w:b/>
          <w:color w:val="auto"/>
          <w:sz w:val="24"/>
          <w:szCs w:val="24"/>
          <w:highlight w:val="none"/>
        </w:rPr>
        <w:t>　综合评分法</w:t>
      </w:r>
    </w:p>
    <w:p w14:paraId="34A3434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综合评分法，是指投标文件满足招标文件全部实质性要求，且按照评审因素的量化指标评审得分最高的投标人为中标候选人的评标方法。其中，符合《政府采购促进中小企业发展管理办法》等规定，应享受价格扣除优惠政策的投标人，</w:t>
      </w:r>
      <w:r>
        <w:rPr>
          <w:rFonts w:hint="eastAsia"/>
          <w:color w:val="auto"/>
          <w:sz w:val="24"/>
          <w:szCs w:val="24"/>
          <w:highlight w:val="none"/>
        </w:rPr>
        <w:t>以扣除后的价格参加评审。</w:t>
      </w:r>
    </w:p>
    <w:p w14:paraId="7659956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14:paraId="65C62FC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04"/>
    <w:p w14:paraId="7F2362D1">
      <w:pPr>
        <w:wordWrap w:val="0"/>
        <w:spacing w:line="360" w:lineRule="auto"/>
        <w:ind w:firstLine="480" w:firstLineChars="200"/>
        <w:outlineLvl w:val="1"/>
        <w:rPr>
          <w:rFonts w:ascii="宋体" w:hAnsi="宋体"/>
          <w:b/>
          <w:color w:val="auto"/>
          <w:sz w:val="24"/>
          <w:szCs w:val="24"/>
          <w:highlight w:val="none"/>
        </w:rPr>
      </w:pPr>
      <w:bookmarkStart w:id="211" w:name="_Toc472459299"/>
      <w:bookmarkStart w:id="212" w:name="_Toc91323625"/>
      <w:bookmarkStart w:id="213" w:name="_Toc272306897"/>
      <w:bookmarkStart w:id="214" w:name="_Toc140237290"/>
      <w:bookmarkStart w:id="215" w:name="_Toc369249094"/>
      <w:bookmarkStart w:id="216" w:name="_Toc91323596"/>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8</w:t>
      </w:r>
      <w:r>
        <w:rPr>
          <w:rFonts w:hint="eastAsia" w:ascii="宋体" w:hAnsi="宋体"/>
          <w:b/>
          <w:color w:val="auto"/>
          <w:sz w:val="24"/>
          <w:szCs w:val="24"/>
          <w:highlight w:val="none"/>
        </w:rPr>
        <w:t>　</w:t>
      </w:r>
      <w:bookmarkEnd w:id="211"/>
      <w:bookmarkEnd w:id="212"/>
      <w:bookmarkEnd w:id="213"/>
      <w:r>
        <w:rPr>
          <w:rFonts w:hint="eastAsia" w:ascii="宋体" w:hAnsi="宋体"/>
          <w:b/>
          <w:color w:val="auto"/>
          <w:sz w:val="24"/>
          <w:szCs w:val="24"/>
          <w:highlight w:val="none"/>
        </w:rPr>
        <w:t>评标结果</w:t>
      </w:r>
      <w:bookmarkEnd w:id="214"/>
    </w:p>
    <w:bookmarkEnd w:id="215"/>
    <w:p w14:paraId="0B92EC5B">
      <w:pPr>
        <w:wordWrap w:val="0"/>
        <w:spacing w:line="360" w:lineRule="auto"/>
        <w:ind w:firstLine="480" w:firstLineChars="200"/>
        <w:outlineLvl w:val="2"/>
        <w:rPr>
          <w:rFonts w:ascii="宋体" w:hAnsi="宋体"/>
          <w:b/>
          <w:color w:val="auto"/>
          <w:sz w:val="24"/>
          <w:szCs w:val="24"/>
          <w:highlight w:val="none"/>
        </w:rPr>
      </w:pPr>
      <w:bookmarkStart w:id="217" w:name="_Toc140237291"/>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8.1</w:t>
      </w:r>
      <w:r>
        <w:rPr>
          <w:rFonts w:hint="eastAsia" w:ascii="宋体" w:hAnsi="宋体"/>
          <w:b/>
          <w:color w:val="auto"/>
          <w:sz w:val="24"/>
          <w:szCs w:val="24"/>
          <w:highlight w:val="none"/>
        </w:rPr>
        <w:t>　中标</w:t>
      </w:r>
      <w:bookmarkEnd w:id="217"/>
    </w:p>
    <w:p w14:paraId="1E821F6D">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本项目确定中标人方式见《投标人须知前附表》。</w:t>
      </w:r>
    </w:p>
    <w:p w14:paraId="00FC4D34">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评标委员会确定中标候选人名单，或者经采购人委托直接确定中标人。</w:t>
      </w:r>
    </w:p>
    <w:p w14:paraId="6A2A64A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中标人确定之日起2个工作日内，采购人在“甘肃政府采购网”和“兰州市公共资源交易中心网站”发布中标公告。</w:t>
      </w:r>
    </w:p>
    <w:p w14:paraId="77638326">
      <w:pPr>
        <w:wordWrap w:val="0"/>
        <w:spacing w:line="360" w:lineRule="auto"/>
        <w:ind w:firstLine="480" w:firstLineChars="200"/>
        <w:outlineLvl w:val="2"/>
        <w:rPr>
          <w:rFonts w:ascii="宋体" w:hAnsi="宋体"/>
          <w:b/>
          <w:color w:val="auto"/>
          <w:sz w:val="24"/>
          <w:szCs w:val="24"/>
          <w:highlight w:val="none"/>
        </w:rPr>
      </w:pPr>
      <w:bookmarkStart w:id="218" w:name="_Toc140237292"/>
      <w:bookmarkStart w:id="219" w:name="_Toc91323597"/>
      <w:bookmarkStart w:id="220" w:name="_Toc128372079"/>
      <w:bookmarkStart w:id="221" w:name="_Toc128372757"/>
      <w:bookmarkStart w:id="222" w:name="_Toc369249070"/>
      <w:bookmarkStart w:id="223" w:name="_Toc36566366"/>
      <w:bookmarkStart w:id="224" w:name="_Toc472459278"/>
      <w:bookmarkStart w:id="225" w:name="_Toc139965352"/>
      <w:bookmarkStart w:id="226" w:name="_Toc91323626"/>
      <w:bookmarkStart w:id="227" w:name="_Toc369249095"/>
      <w:bookmarkStart w:id="228" w:name="_Toc472459300"/>
      <w:r>
        <w:rPr>
          <w:rFonts w:ascii="宋体" w:hAnsi="宋体"/>
          <w:b/>
          <w:color w:val="auto"/>
          <w:sz w:val="24"/>
          <w:szCs w:val="24"/>
          <w:highlight w:val="none"/>
        </w:rPr>
        <w:t>2</w:t>
      </w:r>
      <w:r>
        <w:rPr>
          <w:rFonts w:hint="eastAsia" w:ascii="宋体" w:hAnsi="宋体"/>
          <w:b/>
          <w:color w:val="auto"/>
          <w:sz w:val="24"/>
          <w:szCs w:val="24"/>
          <w:highlight w:val="none"/>
        </w:rPr>
        <w:t>.</w:t>
      </w:r>
      <w:r>
        <w:rPr>
          <w:rFonts w:ascii="宋体" w:hAnsi="宋体"/>
          <w:b/>
          <w:color w:val="auto"/>
          <w:sz w:val="24"/>
          <w:szCs w:val="24"/>
          <w:highlight w:val="none"/>
        </w:rPr>
        <w:t>8.2</w:t>
      </w:r>
      <w:r>
        <w:rPr>
          <w:rFonts w:hint="eastAsia" w:ascii="宋体" w:hAnsi="宋体"/>
          <w:b/>
          <w:color w:val="auto"/>
          <w:sz w:val="24"/>
          <w:szCs w:val="24"/>
          <w:highlight w:val="none"/>
        </w:rPr>
        <w:t>　废标</w:t>
      </w:r>
      <w:bookmarkEnd w:id="218"/>
    </w:p>
    <w:p w14:paraId="3FAB4E7A">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在招标采购中，出现下列情形之一的，应予废标：</w:t>
      </w:r>
    </w:p>
    <w:p w14:paraId="29EE79F6">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（1）符合资格条件的投标人或者对招标文件作实质性响应的投标人不足3家的。</w:t>
      </w:r>
    </w:p>
    <w:p w14:paraId="3CC98B77">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14:paraId="1AF8177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（3）投标人的报价均超过了采购预算或最高限价，采购人不能支付的。</w:t>
      </w:r>
    </w:p>
    <w:p w14:paraId="3AA82145">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（4）因重大变故，采购任务取消的。</w:t>
      </w:r>
    </w:p>
    <w:p w14:paraId="5F111806">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（5）法律法规规定的其他情形。</w:t>
      </w:r>
    </w:p>
    <w:p w14:paraId="2DD394B8">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采购人在“甘肃政府采购网”和“兰州市公共资源交易中心网站”发布废标公告。</w:t>
      </w:r>
    </w:p>
    <w:p w14:paraId="28FD17F5">
      <w:pPr>
        <w:wordWrap w:val="0"/>
        <w:spacing w:line="360" w:lineRule="auto"/>
        <w:ind w:firstLine="480" w:firstLineChars="200"/>
        <w:outlineLvl w:val="2"/>
        <w:rPr>
          <w:rFonts w:ascii="宋体" w:hAnsi="宋体"/>
          <w:b/>
          <w:color w:val="auto"/>
          <w:sz w:val="24"/>
          <w:szCs w:val="24"/>
          <w:highlight w:val="none"/>
        </w:rPr>
      </w:pPr>
      <w:bookmarkStart w:id="229" w:name="_Toc140237293"/>
      <w:r>
        <w:rPr>
          <w:rFonts w:hint="eastAsia" w:ascii="宋体" w:hAnsi="宋体"/>
          <w:b/>
          <w:color w:val="auto"/>
          <w:sz w:val="24"/>
          <w:szCs w:val="24"/>
          <w:highlight w:val="none"/>
        </w:rPr>
        <w:t>2.8.3　中标通知书</w:t>
      </w:r>
      <w:bookmarkEnd w:id="219"/>
      <w:bookmarkEnd w:id="220"/>
      <w:bookmarkEnd w:id="221"/>
      <w:bookmarkEnd w:id="222"/>
      <w:bookmarkEnd w:id="223"/>
      <w:bookmarkEnd w:id="224"/>
      <w:bookmarkEnd w:id="225"/>
      <w:bookmarkEnd w:id="229"/>
    </w:p>
    <w:p w14:paraId="108CE5E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中标公告发布同时，采购人</w:t>
      </w:r>
      <w:r>
        <w:rPr>
          <w:rFonts w:hint="eastAsia" w:ascii="宋体" w:hAnsi="宋体"/>
          <w:color w:val="auto"/>
          <w:sz w:val="24"/>
          <w:szCs w:val="24"/>
          <w:highlight w:val="none"/>
        </w:rPr>
        <w:t>通过</w:t>
      </w:r>
      <w:r>
        <w:rPr>
          <w:rFonts w:hint="eastAsia" w:ascii="宋体" w:hAnsi="宋体" w:cs="宋体"/>
          <w:color w:val="auto"/>
          <w:sz w:val="24"/>
          <w:highlight w:val="none"/>
        </w:rPr>
        <w:t>“兰州市公共资源服务系统”</w:t>
      </w:r>
      <w:r>
        <w:rPr>
          <w:rFonts w:hint="eastAsia" w:ascii="宋体" w:hAnsi="宋体"/>
          <w:color w:val="auto"/>
          <w:sz w:val="24"/>
          <w:szCs w:val="24"/>
          <w:highlight w:val="none"/>
        </w:rPr>
        <w:t>发出中标通知书。中标通知书对采购人和中标人具有同等法律效力。</w:t>
      </w:r>
    </w:p>
    <w:p w14:paraId="085D795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中标公告发布后，中标人以数字证书（CA或移动CA）方式登录“兰州市公共资源服务系统”，领取中标通知书。</w:t>
      </w:r>
    </w:p>
    <w:bookmarkEnd w:id="226"/>
    <w:bookmarkEnd w:id="227"/>
    <w:bookmarkEnd w:id="228"/>
    <w:p w14:paraId="0505841C">
      <w:pPr>
        <w:wordWrap w:val="0"/>
        <w:spacing w:line="360" w:lineRule="auto"/>
        <w:ind w:firstLine="480" w:firstLineChars="200"/>
        <w:outlineLvl w:val="1"/>
        <w:rPr>
          <w:rFonts w:ascii="宋体" w:hAnsi="宋体"/>
          <w:b/>
          <w:color w:val="auto"/>
          <w:sz w:val="24"/>
          <w:szCs w:val="24"/>
          <w:highlight w:val="none"/>
        </w:rPr>
      </w:pPr>
      <w:bookmarkStart w:id="230" w:name="_Toc140237294"/>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　合同</w:t>
      </w:r>
      <w:bookmarkEnd w:id="160"/>
      <w:bookmarkEnd w:id="161"/>
      <w:bookmarkEnd w:id="162"/>
      <w:bookmarkEnd w:id="163"/>
      <w:bookmarkEnd w:id="164"/>
      <w:bookmarkEnd w:id="165"/>
      <w:bookmarkEnd w:id="216"/>
      <w:bookmarkEnd w:id="230"/>
    </w:p>
    <w:p w14:paraId="3FA9D6CD">
      <w:pPr>
        <w:wordWrap w:val="0"/>
        <w:spacing w:line="360" w:lineRule="auto"/>
        <w:ind w:firstLine="480" w:firstLineChars="200"/>
        <w:outlineLvl w:val="2"/>
        <w:rPr>
          <w:rFonts w:ascii="宋体" w:hAnsi="宋体"/>
          <w:b/>
          <w:color w:val="auto"/>
          <w:sz w:val="24"/>
          <w:szCs w:val="24"/>
          <w:highlight w:val="none"/>
        </w:rPr>
      </w:pPr>
      <w:bookmarkStart w:id="231" w:name="_Toc472459279"/>
      <w:bookmarkStart w:id="232" w:name="_Toc139965351"/>
      <w:bookmarkStart w:id="233" w:name="_Toc128372756"/>
      <w:bookmarkStart w:id="234" w:name="_Toc36566367"/>
      <w:bookmarkStart w:id="235" w:name="_Toc128372078"/>
      <w:bookmarkStart w:id="236" w:name="_Toc369249071"/>
      <w:bookmarkStart w:id="237" w:name="_Toc91323598"/>
      <w:bookmarkStart w:id="238" w:name="_Toc140237295"/>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w:t>
      </w:r>
      <w:bookmarkEnd w:id="231"/>
      <w:bookmarkEnd w:id="232"/>
      <w:bookmarkEnd w:id="233"/>
      <w:bookmarkEnd w:id="234"/>
      <w:bookmarkEnd w:id="235"/>
      <w:bookmarkEnd w:id="236"/>
      <w:bookmarkStart w:id="239" w:name="_Toc369249072"/>
      <w:bookmarkStart w:id="240" w:name="_Toc128372758"/>
      <w:bookmarkStart w:id="241" w:name="_Toc139965353"/>
      <w:bookmarkStart w:id="242" w:name="_Toc128372080"/>
      <w:bookmarkStart w:id="243" w:name="_Toc472459280"/>
      <w:bookmarkStart w:id="244" w:name="_Toc36566368"/>
      <w:r>
        <w:rPr>
          <w:rFonts w:ascii="宋体" w:hAnsi="宋体"/>
          <w:b/>
          <w:color w:val="auto"/>
          <w:sz w:val="24"/>
          <w:szCs w:val="24"/>
          <w:highlight w:val="none"/>
        </w:rPr>
        <w:t>1</w:t>
      </w:r>
      <w:r>
        <w:rPr>
          <w:rFonts w:hint="eastAsia" w:ascii="宋体" w:hAnsi="宋体"/>
          <w:b/>
          <w:color w:val="auto"/>
          <w:sz w:val="24"/>
          <w:szCs w:val="24"/>
          <w:highlight w:val="none"/>
        </w:rPr>
        <w:t>　合同</w:t>
      </w:r>
      <w:bookmarkEnd w:id="237"/>
      <w:bookmarkEnd w:id="239"/>
      <w:bookmarkEnd w:id="240"/>
      <w:bookmarkEnd w:id="241"/>
      <w:bookmarkEnd w:id="242"/>
      <w:bookmarkEnd w:id="243"/>
      <w:bookmarkEnd w:id="244"/>
      <w:r>
        <w:rPr>
          <w:rFonts w:hint="eastAsia" w:ascii="宋体" w:hAnsi="宋体"/>
          <w:b/>
          <w:color w:val="auto"/>
          <w:sz w:val="24"/>
          <w:szCs w:val="24"/>
          <w:highlight w:val="none"/>
        </w:rPr>
        <w:t>签署</w:t>
      </w:r>
      <w:bookmarkEnd w:id="238"/>
    </w:p>
    <w:p w14:paraId="71A24BE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采购人与中标人应当在中标通知书发出之日起3</w:t>
      </w:r>
      <w:r>
        <w:rPr>
          <w:rFonts w:ascii="宋体" w:hAnsi="宋体"/>
          <w:color w:val="auto"/>
          <w:sz w:val="24"/>
          <w:szCs w:val="24"/>
          <w:highlight w:val="none"/>
        </w:rPr>
        <w:t>0</w:t>
      </w:r>
      <w:r>
        <w:rPr>
          <w:rFonts w:hint="eastAsia" w:ascii="宋体" w:hAnsi="宋体"/>
          <w:color w:val="auto"/>
          <w:sz w:val="24"/>
          <w:szCs w:val="24"/>
          <w:highlight w:val="none"/>
        </w:rPr>
        <w:t>日内，按照招标文件和中标人投标文件确定的事项签订政府采购合同。</w:t>
      </w:r>
    </w:p>
    <w:p w14:paraId="7A46465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由于中标人的原因拒绝与采购人签订政府采购合同的，视为放弃中标，取消其中标资格并将按相关规定追究其法律责任。采购人可以按照评标报告推荐的中标候选人名单排序，确定下一候选人为中标人，也可以重新开展政府采购活动。</w:t>
      </w:r>
    </w:p>
    <w:p w14:paraId="75064436">
      <w:pPr>
        <w:wordWrap w:val="0"/>
        <w:spacing w:line="360" w:lineRule="auto"/>
        <w:ind w:firstLine="480" w:firstLineChars="200"/>
        <w:outlineLvl w:val="3"/>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w:t>
      </w:r>
      <w:r>
        <w:rPr>
          <w:rFonts w:ascii="宋体" w:hAnsi="宋体"/>
          <w:b/>
          <w:color w:val="auto"/>
          <w:sz w:val="24"/>
          <w:szCs w:val="24"/>
          <w:highlight w:val="none"/>
        </w:rPr>
        <w:t>1</w:t>
      </w:r>
      <w:r>
        <w:rPr>
          <w:rFonts w:hint="eastAsia" w:ascii="宋体" w:hAnsi="宋体"/>
          <w:b/>
          <w:color w:val="auto"/>
          <w:sz w:val="24"/>
          <w:szCs w:val="24"/>
          <w:highlight w:val="none"/>
        </w:rPr>
        <w:t>.1　签订合同</w:t>
      </w:r>
    </w:p>
    <w:p w14:paraId="0C73B12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采购人不得向中标人提出任何不合理的要求，作为签订政府采购合同的条件。</w:t>
      </w:r>
      <w:bookmarkStart w:id="245" w:name="_Hlk140237185"/>
      <w:r>
        <w:rPr>
          <w:rFonts w:hint="eastAsia" w:ascii="宋体" w:hAnsi="宋体"/>
          <w:color w:val="auto"/>
          <w:sz w:val="24"/>
          <w:szCs w:val="24"/>
          <w:highlight w:val="none"/>
        </w:rPr>
        <w:t>采购人与中标人</w:t>
      </w:r>
      <w:bookmarkEnd w:id="245"/>
      <w:r>
        <w:rPr>
          <w:rFonts w:hint="eastAsia" w:ascii="宋体" w:hAnsi="宋体"/>
          <w:color w:val="auto"/>
          <w:sz w:val="24"/>
          <w:szCs w:val="24"/>
          <w:highlight w:val="none"/>
        </w:rPr>
        <w:t>所签订的政府采购合同，不得对招标文件和中标人投标文件作实质性修改不得与中标人私下订立背离政府采购合同实质性内容的任何协议。</w:t>
      </w:r>
    </w:p>
    <w:p w14:paraId="4D5FB713">
      <w:pPr>
        <w:wordWrap w:val="0"/>
        <w:spacing w:line="360" w:lineRule="auto"/>
        <w:ind w:firstLine="480" w:firstLineChars="200"/>
        <w:outlineLvl w:val="3"/>
        <w:rPr>
          <w:rFonts w:ascii="宋体" w:hAnsi="宋体"/>
          <w:b/>
          <w:color w:val="auto"/>
          <w:sz w:val="24"/>
          <w:szCs w:val="24"/>
          <w:highlight w:val="none"/>
        </w:rPr>
      </w:pPr>
      <w:bookmarkStart w:id="246" w:name="_Hlk140235720"/>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w:t>
      </w:r>
      <w:r>
        <w:rPr>
          <w:rFonts w:ascii="宋体" w:hAnsi="宋体"/>
          <w:b/>
          <w:color w:val="auto"/>
          <w:sz w:val="24"/>
          <w:szCs w:val="24"/>
          <w:highlight w:val="none"/>
        </w:rPr>
        <w:t>1</w:t>
      </w:r>
      <w:r>
        <w:rPr>
          <w:rFonts w:hint="eastAsia" w:ascii="宋体" w:hAnsi="宋体"/>
          <w:b/>
          <w:color w:val="auto"/>
          <w:sz w:val="24"/>
          <w:szCs w:val="24"/>
          <w:highlight w:val="none"/>
        </w:rPr>
        <w:t>.</w:t>
      </w:r>
      <w:r>
        <w:rPr>
          <w:rFonts w:ascii="宋体" w:hAnsi="宋体"/>
          <w:b/>
          <w:color w:val="auto"/>
          <w:sz w:val="24"/>
          <w:szCs w:val="24"/>
          <w:highlight w:val="none"/>
        </w:rPr>
        <w:t>2</w:t>
      </w:r>
      <w:r>
        <w:rPr>
          <w:rFonts w:hint="eastAsia" w:ascii="宋体" w:hAnsi="宋体"/>
          <w:b/>
          <w:color w:val="auto"/>
          <w:sz w:val="24"/>
          <w:szCs w:val="24"/>
          <w:highlight w:val="none"/>
        </w:rPr>
        <w:t>　公告合同</w:t>
      </w:r>
    </w:p>
    <w:bookmarkEnd w:id="246"/>
    <w:p w14:paraId="6BFF3D8D">
      <w:pPr>
        <w:wordWrap w:val="0"/>
        <w:spacing w:line="360" w:lineRule="auto"/>
        <w:ind w:firstLine="480" w:firstLineChars="200"/>
        <w:rPr>
          <w:rFonts w:ascii="宋体" w:hAnsi="宋体"/>
          <w:color w:val="auto"/>
          <w:sz w:val="24"/>
          <w:szCs w:val="24"/>
          <w:highlight w:val="none"/>
        </w:rPr>
      </w:pPr>
      <w:bookmarkStart w:id="247" w:name="_Hlk140237861"/>
      <w:r>
        <w:rPr>
          <w:rFonts w:hint="eastAsia" w:ascii="宋体" w:hAnsi="宋体"/>
          <w:color w:val="auto"/>
          <w:sz w:val="24"/>
          <w:szCs w:val="24"/>
          <w:highlight w:val="none"/>
        </w:rPr>
        <w:t>政府采购合同签订之日起2个工作日内，采购人应当将合同在“甘肃政府采购网”公告，但合同中涉及国家秘密、商业秘密的内容除外。</w:t>
      </w:r>
      <w:bookmarkEnd w:id="247"/>
    </w:p>
    <w:p w14:paraId="39E92869">
      <w:pPr>
        <w:wordWrap w:val="0"/>
        <w:spacing w:line="360" w:lineRule="auto"/>
        <w:ind w:firstLine="480" w:firstLineChars="200"/>
        <w:outlineLvl w:val="2"/>
        <w:rPr>
          <w:rFonts w:ascii="宋体" w:hAnsi="宋体"/>
          <w:b/>
          <w:color w:val="auto"/>
          <w:sz w:val="24"/>
          <w:szCs w:val="24"/>
          <w:highlight w:val="none"/>
        </w:rPr>
      </w:pPr>
      <w:bookmarkStart w:id="248" w:name="_Toc140237296"/>
      <w:bookmarkStart w:id="249" w:name="_Hlk140235896"/>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w:t>
      </w:r>
      <w:r>
        <w:rPr>
          <w:rFonts w:ascii="宋体" w:hAnsi="宋体"/>
          <w:b/>
          <w:color w:val="auto"/>
          <w:sz w:val="24"/>
          <w:szCs w:val="24"/>
          <w:highlight w:val="none"/>
        </w:rPr>
        <w:t>2</w:t>
      </w:r>
      <w:r>
        <w:rPr>
          <w:rFonts w:hint="eastAsia" w:ascii="宋体" w:hAnsi="宋体"/>
          <w:b/>
          <w:color w:val="auto"/>
          <w:sz w:val="24"/>
          <w:szCs w:val="24"/>
          <w:highlight w:val="none"/>
        </w:rPr>
        <w:t>　合同履行</w:t>
      </w:r>
      <w:bookmarkEnd w:id="248"/>
    </w:p>
    <w:bookmarkEnd w:id="249"/>
    <w:p w14:paraId="40C0040F">
      <w:pPr>
        <w:wordWrap w:val="0"/>
        <w:spacing w:line="360" w:lineRule="auto"/>
        <w:ind w:firstLine="480" w:firstLineChars="200"/>
        <w:outlineLvl w:val="3"/>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.2.</w:t>
      </w:r>
      <w:r>
        <w:rPr>
          <w:rFonts w:ascii="宋体" w:hAnsi="宋体"/>
          <w:b/>
          <w:color w:val="auto"/>
          <w:sz w:val="24"/>
          <w:szCs w:val="24"/>
          <w:highlight w:val="none"/>
        </w:rPr>
        <w:t>1</w:t>
      </w:r>
      <w:r>
        <w:rPr>
          <w:rFonts w:hint="eastAsia" w:ascii="宋体" w:hAnsi="宋体"/>
          <w:b/>
          <w:color w:val="auto"/>
          <w:sz w:val="24"/>
          <w:szCs w:val="24"/>
          <w:highlight w:val="none"/>
        </w:rPr>
        <w:t>　分包方式履行合同</w:t>
      </w:r>
    </w:p>
    <w:p w14:paraId="21688AF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本项目是否同意中标人采取分包方式履行合同见《投标人须知前附表》。</w:t>
      </w:r>
    </w:p>
    <w:p w14:paraId="42A8059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2EA4B5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政府采购合同分包履行的，中标人就采购项目和分包项目向采购人负责，</w:t>
      </w:r>
      <w:r>
        <w:rPr>
          <w:rFonts w:hint="eastAsia" w:ascii="宋体" w:hAnsi="宋体"/>
          <w:color w:val="auto"/>
          <w:sz w:val="24"/>
          <w:highlight w:val="none"/>
        </w:rPr>
        <w:t>分包承担主体</w:t>
      </w:r>
      <w:r>
        <w:rPr>
          <w:rFonts w:hint="eastAsia" w:ascii="宋体" w:hAnsi="宋体"/>
          <w:color w:val="auto"/>
          <w:sz w:val="24"/>
          <w:szCs w:val="24"/>
          <w:highlight w:val="none"/>
        </w:rPr>
        <w:t>就分包项目承担责任。</w:t>
      </w:r>
    </w:p>
    <w:p w14:paraId="315A17C3">
      <w:pPr>
        <w:wordWrap w:val="0"/>
        <w:spacing w:line="360" w:lineRule="auto"/>
        <w:ind w:firstLine="480" w:firstLineChars="200"/>
        <w:outlineLvl w:val="3"/>
        <w:rPr>
          <w:rFonts w:ascii="宋体" w:hAnsi="宋体"/>
          <w:b/>
          <w:color w:val="auto"/>
          <w:sz w:val="24"/>
          <w:szCs w:val="24"/>
          <w:highlight w:val="none"/>
        </w:rPr>
      </w:pPr>
      <w:bookmarkStart w:id="250" w:name="_Hlk140235858"/>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.2.2　追加标的</w:t>
      </w:r>
    </w:p>
    <w:bookmarkEnd w:id="250"/>
    <w:p w14:paraId="684E59AC">
      <w:pPr>
        <w:wordWrap w:val="0"/>
        <w:spacing w:line="360" w:lineRule="auto"/>
        <w:ind w:firstLine="480" w:firstLineChars="200"/>
        <w:rPr>
          <w:rFonts w:ascii="宋体" w:hAnsi="宋体"/>
          <w:color w:val="auto"/>
          <w:sz w:val="24"/>
          <w:szCs w:val="24"/>
          <w:highlight w:val="none"/>
        </w:rPr>
      </w:pPr>
      <w:bookmarkStart w:id="251" w:name="_Hlk140235847"/>
      <w:r>
        <w:rPr>
          <w:rFonts w:hint="eastAsia" w:ascii="宋体" w:hAnsi="宋体"/>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w:t>
      </w:r>
      <w:r>
        <w:rPr>
          <w:rFonts w:ascii="宋体" w:hAnsi="宋体"/>
          <w:color w:val="auto"/>
          <w:sz w:val="24"/>
          <w:szCs w:val="24"/>
          <w:highlight w:val="none"/>
        </w:rPr>
        <w:t>0</w:t>
      </w:r>
      <w:r>
        <w:rPr>
          <w:rFonts w:hint="eastAsia" w:ascii="宋体" w:hAnsi="宋体"/>
          <w:color w:val="auto"/>
          <w:sz w:val="24"/>
          <w:szCs w:val="24"/>
          <w:highlight w:val="none"/>
        </w:rPr>
        <w:t>%。</w:t>
      </w:r>
    </w:p>
    <w:bookmarkEnd w:id="251"/>
    <w:p w14:paraId="20D3006A">
      <w:pPr>
        <w:wordWrap w:val="0"/>
        <w:spacing w:line="360" w:lineRule="auto"/>
        <w:ind w:firstLine="480" w:firstLineChars="200"/>
        <w:outlineLvl w:val="3"/>
        <w:rPr>
          <w:rFonts w:ascii="宋体" w:hAnsi="宋体"/>
          <w:b/>
          <w:color w:val="auto"/>
          <w:sz w:val="24"/>
          <w:szCs w:val="24"/>
          <w:highlight w:val="none"/>
        </w:rPr>
      </w:pPr>
      <w:bookmarkStart w:id="252" w:name="_Hlk140235873"/>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.2.</w:t>
      </w:r>
      <w:r>
        <w:rPr>
          <w:rFonts w:ascii="宋体" w:hAnsi="宋体"/>
          <w:b/>
          <w:color w:val="auto"/>
          <w:sz w:val="24"/>
          <w:szCs w:val="24"/>
          <w:highlight w:val="none"/>
        </w:rPr>
        <w:t>3</w:t>
      </w:r>
      <w:r>
        <w:rPr>
          <w:rFonts w:hint="eastAsia" w:ascii="宋体" w:hAnsi="宋体"/>
          <w:b/>
          <w:color w:val="auto"/>
          <w:sz w:val="24"/>
          <w:szCs w:val="24"/>
          <w:highlight w:val="none"/>
        </w:rPr>
        <w:t>　履约验收</w:t>
      </w:r>
    </w:p>
    <w:p w14:paraId="59C3AFA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采购人应当按照政府采购合同规定的技术、服务、安全标准组织对中标人履约情况进行验收，并出具验收书。</w:t>
      </w:r>
    </w:p>
    <w:bookmarkEnd w:id="252"/>
    <w:p w14:paraId="4337A9DC">
      <w:pPr>
        <w:wordWrap w:val="0"/>
        <w:spacing w:line="360" w:lineRule="auto"/>
        <w:ind w:firstLine="480" w:firstLineChars="200"/>
        <w:outlineLvl w:val="2"/>
        <w:rPr>
          <w:rFonts w:ascii="宋体" w:hAnsi="宋体"/>
          <w:b/>
          <w:color w:val="auto"/>
          <w:sz w:val="24"/>
          <w:szCs w:val="24"/>
          <w:highlight w:val="none"/>
        </w:rPr>
      </w:pPr>
      <w:bookmarkStart w:id="253" w:name="_Toc91323599"/>
      <w:bookmarkStart w:id="254" w:name="_Toc140237297"/>
      <w:bookmarkStart w:id="255" w:name="_Toc128372759"/>
      <w:bookmarkStart w:id="256" w:name="_Toc139965354"/>
      <w:bookmarkStart w:id="257" w:name="_Toc36566369"/>
      <w:bookmarkStart w:id="258" w:name="_Toc472459281"/>
      <w:bookmarkStart w:id="259" w:name="_Toc369249073"/>
      <w:bookmarkStart w:id="260" w:name="_Toc128372081"/>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.3　履约保证金</w:t>
      </w:r>
      <w:bookmarkEnd w:id="253"/>
      <w:bookmarkEnd w:id="254"/>
    </w:p>
    <w:p w14:paraId="497C3C3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无。</w:t>
      </w:r>
    </w:p>
    <w:p w14:paraId="3E1F7F12">
      <w:pPr>
        <w:wordWrap w:val="0"/>
        <w:spacing w:line="360" w:lineRule="auto"/>
        <w:ind w:firstLine="480" w:firstLineChars="200"/>
        <w:outlineLvl w:val="2"/>
        <w:rPr>
          <w:rFonts w:ascii="宋体" w:hAnsi="宋体"/>
          <w:b/>
          <w:color w:val="auto"/>
          <w:sz w:val="24"/>
          <w:szCs w:val="24"/>
          <w:highlight w:val="none"/>
        </w:rPr>
      </w:pPr>
      <w:bookmarkStart w:id="261" w:name="_Toc91323601"/>
      <w:bookmarkStart w:id="262" w:name="_Toc140237298"/>
      <w:r>
        <w:rPr>
          <w:rFonts w:hint="eastAsia" w:ascii="宋体" w:hAnsi="宋体"/>
          <w:b/>
          <w:color w:val="auto"/>
          <w:sz w:val="24"/>
          <w:szCs w:val="24"/>
          <w:highlight w:val="none"/>
        </w:rPr>
        <w:t>2.</w:t>
      </w:r>
      <w:r>
        <w:rPr>
          <w:rFonts w:ascii="宋体" w:hAnsi="宋体"/>
          <w:b/>
          <w:color w:val="auto"/>
          <w:sz w:val="24"/>
          <w:szCs w:val="24"/>
          <w:highlight w:val="none"/>
        </w:rPr>
        <w:t>9</w:t>
      </w:r>
      <w:r>
        <w:rPr>
          <w:rFonts w:hint="eastAsia" w:ascii="宋体" w:hAnsi="宋体"/>
          <w:b/>
          <w:color w:val="auto"/>
          <w:sz w:val="24"/>
          <w:szCs w:val="24"/>
          <w:highlight w:val="none"/>
        </w:rPr>
        <w:t>.</w:t>
      </w:r>
      <w:bookmarkEnd w:id="255"/>
      <w:bookmarkEnd w:id="256"/>
      <w:bookmarkEnd w:id="257"/>
      <w:bookmarkEnd w:id="258"/>
      <w:bookmarkEnd w:id="259"/>
      <w:bookmarkEnd w:id="260"/>
      <w:r>
        <w:rPr>
          <w:rFonts w:ascii="宋体" w:hAnsi="宋体"/>
          <w:b/>
          <w:color w:val="auto"/>
          <w:sz w:val="24"/>
          <w:szCs w:val="24"/>
          <w:highlight w:val="none"/>
        </w:rPr>
        <w:t>4</w:t>
      </w:r>
      <w:r>
        <w:rPr>
          <w:rFonts w:hint="eastAsia" w:ascii="宋体" w:hAnsi="宋体"/>
          <w:b/>
          <w:color w:val="auto"/>
          <w:sz w:val="24"/>
          <w:szCs w:val="24"/>
          <w:highlight w:val="none"/>
        </w:rPr>
        <w:t>　其他</w:t>
      </w:r>
      <w:bookmarkEnd w:id="261"/>
      <w:r>
        <w:rPr>
          <w:rFonts w:hint="eastAsia" w:ascii="宋体" w:hAnsi="宋体"/>
          <w:b/>
          <w:color w:val="auto"/>
          <w:sz w:val="24"/>
          <w:szCs w:val="24"/>
          <w:highlight w:val="none"/>
        </w:rPr>
        <w:t>约定</w:t>
      </w:r>
      <w:bookmarkEnd w:id="262"/>
    </w:p>
    <w:p w14:paraId="595AB4F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招标文件和中标人投标文件中的未尽事宜，由采购人与中标人另行商定。</w:t>
      </w:r>
      <w:bookmarkStart w:id="263" w:name="_Toc369249074"/>
    </w:p>
    <w:p w14:paraId="14D41BFA">
      <w:pPr>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bookmarkEnd w:id="263"/>
    <w:p w14:paraId="7E82E2D5">
      <w:pPr>
        <w:wordWrap w:val="0"/>
        <w:spacing w:after="319" w:afterLines="100" w:line="360" w:lineRule="auto"/>
        <w:jc w:val="center"/>
        <w:outlineLvl w:val="0"/>
        <w:rPr>
          <w:rFonts w:ascii="华文中宋" w:hAnsi="华文中宋" w:eastAsia="华文中宋"/>
          <w:color w:val="auto"/>
          <w:sz w:val="32"/>
          <w:szCs w:val="32"/>
          <w:highlight w:val="none"/>
        </w:rPr>
      </w:pPr>
      <w:bookmarkStart w:id="264" w:name="_Toc91323609"/>
      <w:bookmarkStart w:id="265" w:name="_Toc472459287"/>
      <w:bookmarkStart w:id="266" w:name="_Toc369249085"/>
      <w:bookmarkStart w:id="267" w:name="_Toc140237299"/>
      <w:r>
        <w:rPr>
          <w:rFonts w:hint="eastAsia" w:ascii="华文中宋" w:hAnsi="华文中宋" w:eastAsia="华文中宋"/>
          <w:color w:val="auto"/>
          <w:sz w:val="32"/>
          <w:szCs w:val="32"/>
          <w:highlight w:val="none"/>
        </w:rPr>
        <w:t>第三章　评标</w:t>
      </w:r>
      <w:bookmarkEnd w:id="264"/>
      <w:bookmarkEnd w:id="265"/>
      <w:bookmarkEnd w:id="266"/>
      <w:r>
        <w:rPr>
          <w:rFonts w:hint="eastAsia" w:ascii="华文中宋" w:hAnsi="华文中宋" w:eastAsia="华文中宋"/>
          <w:color w:val="auto"/>
          <w:sz w:val="32"/>
          <w:szCs w:val="32"/>
          <w:highlight w:val="none"/>
        </w:rPr>
        <w:t>程序</w:t>
      </w:r>
      <w:bookmarkEnd w:id="267"/>
    </w:p>
    <w:p w14:paraId="7E44EFB3">
      <w:pPr>
        <w:wordWrap w:val="0"/>
        <w:spacing w:line="360" w:lineRule="auto"/>
        <w:ind w:firstLine="480" w:firstLineChars="200"/>
        <w:outlineLvl w:val="1"/>
        <w:rPr>
          <w:rFonts w:ascii="宋体" w:hAnsi="宋体"/>
          <w:b/>
          <w:color w:val="auto"/>
          <w:sz w:val="24"/>
          <w:szCs w:val="24"/>
          <w:highlight w:val="none"/>
        </w:rPr>
      </w:pPr>
      <w:bookmarkStart w:id="268" w:name="_Toc472459297"/>
      <w:bookmarkStart w:id="269" w:name="_Toc369249090"/>
      <w:bookmarkStart w:id="270" w:name="_Toc91323620"/>
      <w:bookmarkStart w:id="271" w:name="_Toc140237300"/>
      <w:bookmarkStart w:id="272" w:name="_Toc91323618"/>
      <w:bookmarkStart w:id="273" w:name="_Toc472459295"/>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1</w:t>
      </w:r>
      <w:r>
        <w:rPr>
          <w:rFonts w:hint="eastAsia" w:ascii="宋体" w:hAnsi="宋体"/>
          <w:b/>
          <w:color w:val="auto"/>
          <w:sz w:val="24"/>
          <w:szCs w:val="24"/>
          <w:highlight w:val="none"/>
        </w:rPr>
        <w:t>　</w:t>
      </w:r>
      <w:bookmarkEnd w:id="268"/>
      <w:bookmarkEnd w:id="269"/>
      <w:bookmarkEnd w:id="270"/>
      <w:r>
        <w:rPr>
          <w:rFonts w:hint="eastAsia" w:ascii="宋体" w:hAnsi="宋体"/>
          <w:b/>
          <w:color w:val="auto"/>
          <w:sz w:val="24"/>
          <w:szCs w:val="24"/>
          <w:highlight w:val="none"/>
        </w:rPr>
        <w:t>符合性审查</w:t>
      </w:r>
      <w:bookmarkEnd w:id="271"/>
    </w:p>
    <w:p w14:paraId="35AC9CA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评标委员会开展</w:t>
      </w:r>
      <w:r>
        <w:rPr>
          <w:rFonts w:hint="eastAsia" w:ascii="宋体" w:hAnsi="宋体"/>
          <w:color w:val="auto"/>
          <w:sz w:val="24"/>
          <w:szCs w:val="24"/>
          <w:highlight w:val="none"/>
        </w:rPr>
        <w:t>符合性审查，如发现下列情况之一的，其投标视为无效投标：</w:t>
      </w:r>
    </w:p>
    <w:p w14:paraId="3A0207B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（1）投标文件未按招标文件要求签章的。</w:t>
      </w:r>
    </w:p>
    <w:p w14:paraId="7AEF8E1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（2）投标文件关键内容字迹模糊、无法辨认的。</w:t>
      </w:r>
    </w:p>
    <w:p w14:paraId="5329E2B0">
      <w:pPr>
        <w:pStyle w:val="15"/>
        <w:wordWrap w:val="0"/>
        <w:spacing w:line="360" w:lineRule="auto"/>
        <w:ind w:firstLine="48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szCs w:val="24"/>
          <w:highlight w:val="none"/>
        </w:rPr>
        <w:t>投标文件含有与招标文件相悖的附加条件的。</w:t>
      </w:r>
    </w:p>
    <w:p w14:paraId="08EA62E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）投标文件未对招标文件的实质性要求作出响应的。</w:t>
      </w:r>
    </w:p>
    <w:p w14:paraId="22E170D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）投标文件报价出现前后不一致，投标人拒绝按照招标文件要求修正投标文件报价的。</w:t>
      </w:r>
    </w:p>
    <w:p w14:paraId="3DB2CD0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）投标报价超过招标文件中规定的预算金额或者最高限价的。</w:t>
      </w:r>
    </w:p>
    <w:p w14:paraId="0F709F7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w:t>
      </w:r>
      <w:r>
        <w:rPr>
          <w:rFonts w:hint="eastAsia" w:ascii="宋体" w:hAnsi="宋体"/>
          <w:color w:val="auto"/>
          <w:sz w:val="24"/>
          <w:szCs w:val="24"/>
          <w:highlight w:val="none"/>
        </w:rPr>
        <w:t>）投标有效期不足的。</w:t>
      </w:r>
    </w:p>
    <w:p w14:paraId="6EA1B5B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w:t>
      </w:r>
      <w:r>
        <w:rPr>
          <w:rFonts w:hint="eastAsia" w:ascii="宋体" w:hAnsi="宋体"/>
          <w:color w:val="auto"/>
          <w:sz w:val="24"/>
          <w:szCs w:val="24"/>
          <w:highlight w:val="none"/>
        </w:rPr>
        <w:t>）投标内容不符合国家相关强制性标准的。</w:t>
      </w:r>
    </w:p>
    <w:p w14:paraId="4CC4735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w:t>
      </w:r>
      <w:r>
        <w:rPr>
          <w:rFonts w:hint="eastAsia" w:ascii="宋体" w:hAnsi="宋体"/>
          <w:color w:val="auto"/>
          <w:sz w:val="24"/>
          <w:szCs w:val="24"/>
          <w:highlight w:val="none"/>
        </w:rPr>
        <w:t>）投标人串通投标的。</w:t>
      </w:r>
    </w:p>
    <w:p w14:paraId="278985E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10</w:t>
      </w:r>
      <w:r>
        <w:rPr>
          <w:rFonts w:hint="eastAsia" w:ascii="宋体" w:hAnsi="宋体"/>
          <w:color w:val="auto"/>
          <w:sz w:val="24"/>
          <w:szCs w:val="24"/>
          <w:highlight w:val="none"/>
        </w:rPr>
        <w:t>）法律法规规定的其他情形。</w:t>
      </w:r>
    </w:p>
    <w:p w14:paraId="61E1E832">
      <w:pPr>
        <w:wordWrap w:val="0"/>
        <w:spacing w:line="360" w:lineRule="auto"/>
        <w:ind w:firstLine="480" w:firstLineChars="200"/>
        <w:outlineLvl w:val="1"/>
        <w:rPr>
          <w:rFonts w:ascii="宋体" w:hAnsi="宋体"/>
          <w:b/>
          <w:color w:val="auto"/>
          <w:sz w:val="24"/>
          <w:szCs w:val="24"/>
          <w:highlight w:val="none"/>
        </w:rPr>
      </w:pPr>
      <w:bookmarkStart w:id="274" w:name="_Toc140237301"/>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2</w:t>
      </w:r>
      <w:r>
        <w:rPr>
          <w:rFonts w:hint="eastAsia" w:ascii="宋体" w:hAnsi="宋体"/>
          <w:b/>
          <w:color w:val="auto"/>
          <w:sz w:val="24"/>
          <w:szCs w:val="24"/>
          <w:highlight w:val="none"/>
        </w:rPr>
        <w:t>　</w:t>
      </w:r>
      <w:bookmarkStart w:id="275" w:name="_Hlk100923733"/>
      <w:r>
        <w:rPr>
          <w:rFonts w:hint="eastAsia" w:ascii="宋体" w:hAnsi="宋体"/>
          <w:b/>
          <w:color w:val="auto"/>
          <w:sz w:val="24"/>
          <w:szCs w:val="24"/>
          <w:highlight w:val="none"/>
        </w:rPr>
        <w:t>澄清、说明或者补正</w:t>
      </w:r>
      <w:bookmarkEnd w:id="274"/>
      <w:bookmarkEnd w:id="275"/>
    </w:p>
    <w:p w14:paraId="3295AFB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需要澄清、说明或者补正（包含但不限于确认修正后的投标文件报价、投标报价合理性说明）的，评标委员会通过“兰州市网上开评标系统”发出系统提示信息，投标人以数字证书（CA或移动CA）方式登录“兰州市公共资源服务系统”，按照评标委员会发出的系统提示信息，在规定时限内</w:t>
      </w:r>
      <w:bookmarkStart w:id="276" w:name="_Hlk101364448"/>
      <w:r>
        <w:rPr>
          <w:rFonts w:hint="eastAsia" w:ascii="宋体" w:hAnsi="宋体"/>
          <w:color w:val="auto"/>
          <w:sz w:val="24"/>
          <w:szCs w:val="24"/>
          <w:highlight w:val="none"/>
        </w:rPr>
        <w:t>通过系统以书面形式澄清、说明或者补正（包含但不限于确认修正后的投标文件报价、投标报价合理性说明）</w:t>
      </w:r>
      <w:bookmarkEnd w:id="276"/>
      <w:r>
        <w:rPr>
          <w:rFonts w:hint="eastAsia" w:ascii="宋体" w:hAnsi="宋体"/>
          <w:color w:val="auto"/>
          <w:sz w:val="24"/>
          <w:szCs w:val="24"/>
          <w:highlight w:val="none"/>
        </w:rPr>
        <w:t>，并由投标人签章或者由法定代表人（或授权代表）签章。</w:t>
      </w:r>
    </w:p>
    <w:p w14:paraId="3383BCE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前款描述的规定时限见《投标人须知前附表》。投标人未在规定时限内完成的，视同放弃相关权利，由此引起的风险和责任由投标人承担。</w:t>
      </w:r>
    </w:p>
    <w:p w14:paraId="5FF1C7B2">
      <w:pPr>
        <w:wordWrap w:val="0"/>
        <w:spacing w:line="360" w:lineRule="auto"/>
        <w:ind w:firstLine="480" w:firstLineChars="200"/>
        <w:outlineLvl w:val="1"/>
        <w:rPr>
          <w:rFonts w:ascii="宋体" w:hAnsi="宋体"/>
          <w:b/>
          <w:color w:val="auto"/>
          <w:sz w:val="24"/>
          <w:szCs w:val="24"/>
          <w:highlight w:val="none"/>
        </w:rPr>
      </w:pPr>
      <w:bookmarkStart w:id="277" w:name="_Toc140237302"/>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3</w:t>
      </w:r>
      <w:r>
        <w:rPr>
          <w:rFonts w:hint="eastAsia" w:ascii="宋体" w:hAnsi="宋体"/>
          <w:b/>
          <w:color w:val="auto"/>
          <w:sz w:val="24"/>
          <w:szCs w:val="24"/>
          <w:highlight w:val="none"/>
        </w:rPr>
        <w:t>　演示</w:t>
      </w:r>
      <w:bookmarkEnd w:id="277"/>
    </w:p>
    <w:p w14:paraId="5986EE3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本项目是否演示见《投标人须知前附表》。</w:t>
      </w:r>
    </w:p>
    <w:p w14:paraId="286D020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需要演示的，评标委员会通过“兰州市网上开评标系统”发出系统提示信息，</w:t>
      </w:r>
      <w:r>
        <w:rPr>
          <w:rFonts w:hint="eastAsia" w:ascii="宋体" w:hAnsi="宋体"/>
          <w:color w:val="auto"/>
          <w:sz w:val="24"/>
          <w:highlight w:val="none"/>
        </w:rPr>
        <w:t>投标人以数字证书（CA或移动CA）方式登录“兰州市公共资源服务系统”，</w:t>
      </w:r>
      <w:r>
        <w:rPr>
          <w:rFonts w:hint="eastAsia" w:ascii="宋体" w:hAnsi="宋体"/>
          <w:color w:val="auto"/>
          <w:sz w:val="24"/>
          <w:szCs w:val="24"/>
          <w:highlight w:val="none"/>
        </w:rPr>
        <w:t>按照评标委员会发出的系统提示信息，在规定时限内通过系统进行演示。</w:t>
      </w:r>
    </w:p>
    <w:p w14:paraId="78F2B44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前款描述的规定时限见《投标人须知前附表》。投标人未在规定时限内完成演示的，视同放弃相关权利，由此引起的风险和责任由投标人承担。</w:t>
      </w:r>
    </w:p>
    <w:p w14:paraId="11FB18C8">
      <w:pPr>
        <w:wordWrap w:val="0"/>
        <w:spacing w:line="360" w:lineRule="auto"/>
        <w:ind w:firstLine="480" w:firstLineChars="200"/>
        <w:outlineLvl w:val="1"/>
        <w:rPr>
          <w:rFonts w:ascii="宋体" w:hAnsi="宋体"/>
          <w:b/>
          <w:color w:val="auto"/>
          <w:sz w:val="24"/>
          <w:szCs w:val="24"/>
          <w:highlight w:val="none"/>
        </w:rPr>
      </w:pPr>
      <w:bookmarkStart w:id="278" w:name="_Toc140237303"/>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　综合评标</w:t>
      </w:r>
      <w:bookmarkEnd w:id="278"/>
    </w:p>
    <w:p w14:paraId="68F2766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评标委员会对符合性审查合格的投标文件进行商务和技术评估，综合比较与评价。</w:t>
      </w:r>
    </w:p>
    <w:p w14:paraId="38B59E78">
      <w:pPr>
        <w:wordWrap w:val="0"/>
        <w:spacing w:line="360" w:lineRule="auto"/>
        <w:ind w:firstLine="480" w:firstLineChars="200"/>
        <w:outlineLvl w:val="2"/>
        <w:rPr>
          <w:rFonts w:ascii="宋体" w:hAnsi="宋体"/>
          <w:b/>
          <w:color w:val="auto"/>
          <w:sz w:val="24"/>
          <w:szCs w:val="24"/>
          <w:highlight w:val="none"/>
        </w:rPr>
      </w:pPr>
      <w:bookmarkStart w:id="279" w:name="_Toc140237304"/>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4.1</w:t>
      </w:r>
      <w:r>
        <w:rPr>
          <w:rFonts w:hint="eastAsia" w:ascii="宋体" w:hAnsi="宋体"/>
          <w:b/>
          <w:color w:val="auto"/>
          <w:sz w:val="24"/>
          <w:szCs w:val="24"/>
          <w:highlight w:val="none"/>
        </w:rPr>
        <w:t>　评标标准</w:t>
      </w:r>
      <w:bookmarkEnd w:id="279"/>
    </w:p>
    <w:p w14:paraId="2A8D32E5">
      <w:pPr>
        <w:wordWrap w:val="0"/>
        <w:spacing w:line="360" w:lineRule="auto"/>
        <w:ind w:firstLine="480" w:firstLineChars="200"/>
        <w:rPr>
          <w:rFonts w:ascii="宋体" w:hAnsi="宋体"/>
          <w:color w:val="auto"/>
          <w:sz w:val="24"/>
          <w:szCs w:val="24"/>
          <w:highlight w:val="none"/>
        </w:rPr>
      </w:pPr>
      <w:bookmarkStart w:id="280" w:name="_Hlk116827421"/>
      <w:bookmarkStart w:id="281" w:name="_Hlk116827464"/>
      <w:r>
        <w:rPr>
          <w:rFonts w:hint="eastAsia" w:ascii="宋体" w:hAnsi="宋体"/>
          <w:color w:val="auto"/>
          <w:sz w:val="24"/>
          <w:szCs w:val="24"/>
          <w:highlight w:val="none"/>
        </w:rPr>
        <w:t>本项目评标采用</w:t>
      </w:r>
      <w:bookmarkEnd w:id="280"/>
      <w:r>
        <w:rPr>
          <w:rFonts w:hint="eastAsia" w:ascii="宋体" w:hAnsi="宋体"/>
          <w:color w:val="auto"/>
          <w:sz w:val="24"/>
          <w:szCs w:val="24"/>
          <w:highlight w:val="none"/>
        </w:rPr>
        <w:t>综合评分法。</w:t>
      </w:r>
    </w:p>
    <w:bookmarkEnd w:id="281"/>
    <w:p w14:paraId="36A0A81F">
      <w:pPr>
        <w:wordWrap w:val="0"/>
        <w:spacing w:line="360" w:lineRule="auto"/>
        <w:ind w:firstLine="480" w:firstLineChars="200"/>
        <w:outlineLvl w:val="9"/>
        <w:rPr>
          <w:rFonts w:hint="default" w:ascii="宋体" w:hAnsi="宋体" w:eastAsia="宋体"/>
          <w:b/>
          <w:color w:val="auto"/>
          <w:sz w:val="22"/>
          <w:szCs w:val="22"/>
          <w:highlight w:val="none"/>
          <w:lang w:val="en-US" w:eastAsia="zh-CN"/>
        </w:rPr>
      </w:pPr>
      <w:bookmarkStart w:id="282" w:name="_Toc140237305"/>
      <w:bookmarkStart w:id="283" w:name="_Toc91323624"/>
      <w:bookmarkStart w:id="284" w:name="_Toc91323623"/>
      <w:r>
        <w:rPr>
          <w:rFonts w:hint="eastAsia" w:ascii="宋体" w:hAnsi="宋体"/>
          <w:b/>
          <w:color w:val="auto"/>
          <w:sz w:val="24"/>
          <w:szCs w:val="24"/>
          <w:highlight w:val="none"/>
          <w:lang w:val="en-US" w:eastAsia="zh-CN"/>
        </w:rPr>
        <w:t>第一包至第八包打分办法：</w:t>
      </w:r>
    </w:p>
    <w:tbl>
      <w:tblPr>
        <w:tblStyle w:val="41"/>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826"/>
        <w:gridCol w:w="7085"/>
      </w:tblGrid>
      <w:tr w14:paraId="2F93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noWrap w:val="0"/>
            <w:vAlign w:val="center"/>
          </w:tcPr>
          <w:p w14:paraId="5F3A0BF5">
            <w:pPr>
              <w:spacing w:line="5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450" w:type="pct"/>
            <w:noWrap w:val="0"/>
            <w:vAlign w:val="center"/>
          </w:tcPr>
          <w:p w14:paraId="0FD6D671">
            <w:pPr>
              <w:spacing w:line="5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862" w:type="pct"/>
            <w:noWrap w:val="0"/>
            <w:vAlign w:val="center"/>
          </w:tcPr>
          <w:p w14:paraId="36673F9B">
            <w:pPr>
              <w:spacing w:line="5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36A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noWrap w:val="0"/>
            <w:vAlign w:val="center"/>
          </w:tcPr>
          <w:p w14:paraId="7DAE7D6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0EF1D897">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分）</w:t>
            </w:r>
          </w:p>
        </w:tc>
        <w:tc>
          <w:tcPr>
            <w:tcW w:w="450" w:type="pct"/>
            <w:noWrap w:val="0"/>
            <w:vAlign w:val="center"/>
          </w:tcPr>
          <w:p w14:paraId="36FC998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3862" w:type="pct"/>
            <w:noWrap w:val="0"/>
            <w:vAlign w:val="center"/>
          </w:tcPr>
          <w:p w14:paraId="60536CCA">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在报价评分时，满足招标文件要求且投标报价最低的有效投标报价为评标基准价，其报价得分计满分。其他投标人的报价得分统一按公式计算：报价得分＝（评标基准价/投标报价）×10</w:t>
            </w:r>
          </w:p>
        </w:tc>
      </w:tr>
      <w:tr w14:paraId="1314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86" w:type="pct"/>
            <w:vMerge w:val="restart"/>
            <w:noWrap w:val="0"/>
            <w:vAlign w:val="center"/>
          </w:tcPr>
          <w:p w14:paraId="67C5CAD0">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分）</w:t>
            </w:r>
          </w:p>
        </w:tc>
        <w:tc>
          <w:tcPr>
            <w:tcW w:w="450" w:type="pct"/>
            <w:noWrap w:val="0"/>
            <w:vAlign w:val="center"/>
          </w:tcPr>
          <w:p w14:paraId="56794711">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3862" w:type="pct"/>
            <w:noWrap w:val="0"/>
            <w:vAlign w:val="center"/>
          </w:tcPr>
          <w:p w14:paraId="6D27ED9F">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供应商提供2022年1月以来承接过财政绩效评价项目业绩，每有一个得1分，最高得8分。（提供合同扫描件）</w:t>
            </w:r>
          </w:p>
        </w:tc>
      </w:tr>
      <w:tr w14:paraId="3C8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686" w:type="pct"/>
            <w:vMerge w:val="continue"/>
            <w:noWrap w:val="0"/>
            <w:vAlign w:val="center"/>
          </w:tcPr>
          <w:p w14:paraId="7FA867F9">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50" w:type="pct"/>
            <w:noWrap w:val="0"/>
            <w:vAlign w:val="center"/>
          </w:tcPr>
          <w:p w14:paraId="6F05314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862" w:type="pct"/>
            <w:noWrap w:val="0"/>
            <w:vAlign w:val="center"/>
          </w:tcPr>
          <w:p w14:paraId="5396CD7D">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担任项目负责人的人员：</w:t>
            </w:r>
          </w:p>
          <w:p w14:paraId="3181BE9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担任项目负责人的人员</w:t>
            </w:r>
            <w:r>
              <w:rPr>
                <w:rFonts w:hint="eastAsia" w:cs="宋体"/>
                <w:color w:val="auto"/>
                <w:sz w:val="24"/>
                <w:szCs w:val="24"/>
                <w:highlight w:val="none"/>
                <w:lang w:val="en-US" w:eastAsia="zh-CN"/>
              </w:rPr>
              <w:t>须本单位正式人员，</w:t>
            </w:r>
            <w:r>
              <w:rPr>
                <w:rFonts w:hint="eastAsia" w:ascii="宋体" w:hAnsi="宋体" w:eastAsia="宋体" w:cs="宋体"/>
                <w:color w:val="auto"/>
                <w:sz w:val="24"/>
                <w:szCs w:val="24"/>
                <w:highlight w:val="none"/>
              </w:rPr>
              <w:t>具有财会、金融、税务领域高级职称或注册会计师等财税、金融行业管理部门认可的专业资质的得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lang w:val="en-US" w:eastAsia="zh-CN"/>
              </w:rPr>
              <w:t>3个项目的，每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得2</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val="en-US" w:eastAsia="zh-CN"/>
              </w:rPr>
              <w:t>内2个项目的，每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得3</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val="en-US" w:eastAsia="zh-CN"/>
              </w:rPr>
              <w:t>内1个项目的，每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具有财会、金融、税务领域中级职称的得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lang w:val="en-US" w:eastAsia="zh-CN"/>
              </w:rPr>
              <w:t>3个项目的，每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得1</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val="en-US" w:eastAsia="zh-CN"/>
              </w:rPr>
              <w:t>内2个项目的，每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得1.5</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采购包</w:t>
            </w:r>
            <w:r>
              <w:rPr>
                <w:rFonts w:hint="eastAsia" w:ascii="宋体" w:hAnsi="宋体" w:eastAsia="宋体" w:cs="宋体"/>
                <w:color w:val="auto"/>
                <w:sz w:val="24"/>
                <w:szCs w:val="24"/>
                <w:highlight w:val="none"/>
                <w:lang w:val="en-US" w:eastAsia="zh-CN"/>
              </w:rPr>
              <w:t>内1个项目的，每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得3</w:t>
            </w:r>
            <w:r>
              <w:rPr>
                <w:rFonts w:hint="eastAsia" w:ascii="宋体" w:hAnsi="宋体" w:eastAsia="宋体" w:cs="宋体"/>
                <w:color w:val="auto"/>
                <w:sz w:val="24"/>
                <w:szCs w:val="24"/>
                <w:highlight w:val="none"/>
                <w:lang w:val="en-US" w:eastAsia="zh-CN"/>
              </w:rPr>
              <w:t>分）。（提供</w:t>
            </w:r>
            <w:r>
              <w:rPr>
                <w:rFonts w:hint="eastAsia" w:cs="宋体"/>
                <w:color w:val="auto"/>
                <w:sz w:val="24"/>
                <w:szCs w:val="24"/>
                <w:highlight w:val="none"/>
                <w:lang w:val="en-US" w:eastAsia="zh-CN"/>
              </w:rPr>
              <w:t>为本单位正式员工的相关资料及证书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p>
        </w:tc>
      </w:tr>
      <w:tr w14:paraId="4288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Merge w:val="continue"/>
            <w:noWrap w:val="0"/>
            <w:vAlign w:val="center"/>
          </w:tcPr>
          <w:p w14:paraId="0BDFD7FB">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50" w:type="pct"/>
            <w:noWrap w:val="0"/>
            <w:vAlign w:val="center"/>
          </w:tcPr>
          <w:p w14:paraId="05BAB22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3862" w:type="pct"/>
            <w:noWrap w:val="0"/>
            <w:vAlign w:val="center"/>
          </w:tcPr>
          <w:p w14:paraId="0C6773F1">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项目团队除项目负责人之外的其他成员：</w:t>
            </w:r>
          </w:p>
          <w:p w14:paraId="63817CD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团队其他成员具有财会、金融、审计、财政、税务等</w:t>
            </w:r>
            <w:r>
              <w:rPr>
                <w:rFonts w:hint="eastAsia" w:ascii="宋体" w:hAnsi="宋体" w:eastAsia="宋体" w:cs="宋体"/>
                <w:color w:val="auto"/>
                <w:sz w:val="24"/>
                <w:szCs w:val="24"/>
                <w:highlight w:val="none"/>
                <w:lang w:eastAsia="zh-CN"/>
              </w:rPr>
              <w:t>专业本科及以上学历的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12分（</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包内</w:t>
            </w:r>
            <w:r>
              <w:rPr>
                <w:rFonts w:hint="eastAsia" w:ascii="宋体" w:hAnsi="宋体" w:eastAsia="宋体" w:cs="宋体"/>
                <w:color w:val="auto"/>
                <w:sz w:val="24"/>
                <w:szCs w:val="24"/>
                <w:highlight w:val="none"/>
                <w:lang w:val="en-US" w:eastAsia="zh-CN"/>
              </w:rPr>
              <w:t>3个项目的，每个项目最高得4分，每</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w:t>
            </w:r>
            <w:r>
              <w:rPr>
                <w:rFonts w:hint="eastAsia"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1分；包内2个项目的，每个项目最高得6分，</w:t>
            </w:r>
            <w:r>
              <w:rPr>
                <w:rFonts w:hint="eastAsia" w:cs="宋体"/>
                <w:color w:val="auto"/>
                <w:sz w:val="24"/>
                <w:szCs w:val="24"/>
                <w:highlight w:val="none"/>
                <w:lang w:val="en-US" w:eastAsia="zh-CN"/>
              </w:rPr>
              <w:t>每1人得</w:t>
            </w:r>
            <w:r>
              <w:rPr>
                <w:rFonts w:hint="eastAsia" w:ascii="宋体" w:hAnsi="宋体" w:eastAsia="宋体" w:cs="宋体"/>
                <w:color w:val="auto"/>
                <w:sz w:val="24"/>
                <w:szCs w:val="24"/>
                <w:highlight w:val="none"/>
                <w:lang w:val="en-US" w:eastAsia="zh-CN"/>
              </w:rPr>
              <w:t>1分；包内1个项目的，最高得12分，</w:t>
            </w:r>
            <w:r>
              <w:rPr>
                <w:rFonts w:hint="eastAsia" w:cs="宋体"/>
                <w:color w:val="auto"/>
                <w:sz w:val="24"/>
                <w:szCs w:val="24"/>
                <w:highlight w:val="none"/>
                <w:lang w:val="en-US" w:eastAsia="zh-CN"/>
              </w:rPr>
              <w:t>每1人得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rPr>
              <w:t>。（提供</w:t>
            </w:r>
            <w:r>
              <w:rPr>
                <w:rFonts w:hint="eastAsia" w:cs="宋体"/>
                <w:color w:val="auto"/>
                <w:sz w:val="24"/>
                <w:szCs w:val="24"/>
                <w:highlight w:val="none"/>
                <w:lang w:val="en-US" w:eastAsia="zh-CN"/>
              </w:rPr>
              <w:t>相关人员名单及证书扫描件，不提供不得分</w:t>
            </w:r>
            <w:r>
              <w:rPr>
                <w:rFonts w:hint="eastAsia" w:ascii="宋体" w:hAnsi="宋体" w:eastAsia="宋体" w:cs="宋体"/>
                <w:color w:val="auto"/>
                <w:sz w:val="24"/>
                <w:szCs w:val="24"/>
                <w:highlight w:val="none"/>
              </w:rPr>
              <w:t>）</w:t>
            </w:r>
          </w:p>
        </w:tc>
      </w:tr>
      <w:tr w14:paraId="1B1C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Merge w:val="restart"/>
            <w:noWrap w:val="0"/>
            <w:vAlign w:val="center"/>
          </w:tcPr>
          <w:p w14:paraId="75B83B2F">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19082EC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50" w:type="pct"/>
            <w:noWrap w:val="0"/>
            <w:vAlign w:val="center"/>
          </w:tcPr>
          <w:p w14:paraId="15E7AE1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3862" w:type="pct"/>
            <w:noWrap w:val="0"/>
            <w:vAlign w:val="center"/>
          </w:tcPr>
          <w:p w14:paraId="267D9AAD">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提供评价方案，对非指标体系部分进行评价：（采购包所含项目的评价方案有缺失的，视为无效响应。）</w:t>
            </w:r>
          </w:p>
          <w:p w14:paraId="0B190F1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1.评价目的：评价目的与项目类型、资金性质、关注重点高度相关且明确合理，得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分；基本相关、明确、合理得1分；不符合以上评分要素或没有不得分。</w:t>
            </w:r>
          </w:p>
          <w:p w14:paraId="02F946E7">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2.评价思路和重点：评价思路清晰，重点突出明确得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分，基本清晰，重点突出明确得1分，思路混乱无重点不得分。</w:t>
            </w:r>
          </w:p>
          <w:p w14:paraId="5233E12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3.评价依据和方法：评价依据和方法全面专业、科学合理、针对性强得3分；基本全面专业、科学合理，有针对性，得1分；无实质性内容或没有不得分。</w:t>
            </w:r>
          </w:p>
          <w:p w14:paraId="6AE9536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4.评价样本：项目评价样本确定科学且合理的得3分，基本科学合理得1分，不够科学合理或没有不得分。</w:t>
            </w:r>
          </w:p>
          <w:p w14:paraId="50B0FF9E">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5.创新举措：围绕评价项目，以提高评价工作质量为目标，具有切实可行的创新性举措的得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分，有举措但可行性不高得1分，没有不得分。</w:t>
            </w:r>
          </w:p>
          <w:p w14:paraId="2EBE2AAC">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6.评价人员配备：</w:t>
            </w:r>
            <w:r>
              <w:rPr>
                <w:rFonts w:hint="eastAsia" w:ascii="宋体" w:hAnsi="宋体" w:eastAsia="宋体" w:cs="宋体"/>
                <w:color w:val="auto"/>
                <w:sz w:val="24"/>
                <w:szCs w:val="24"/>
                <w:highlight w:val="none"/>
                <w:lang w:val="en"/>
              </w:rPr>
              <w:t>项目成员配备</w:t>
            </w:r>
            <w:r>
              <w:rPr>
                <w:rFonts w:hint="eastAsia" w:ascii="宋体" w:hAnsi="宋体" w:eastAsia="宋体" w:cs="宋体"/>
                <w:color w:val="auto"/>
                <w:sz w:val="24"/>
                <w:szCs w:val="24"/>
                <w:highlight w:val="none"/>
                <w:lang w:val="zh-TW" w:eastAsia="zh-TW"/>
              </w:rPr>
              <w:t>项目负责人、成员、支持（如内部稽核、质控、信息技术支撑等）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zh-TW" w:eastAsia="zh-TW"/>
              </w:rPr>
              <w:t>三类</w:t>
            </w:r>
            <w:r>
              <w:rPr>
                <w:rFonts w:hint="eastAsia" w:ascii="宋体" w:hAnsi="宋体" w:eastAsia="宋体" w:cs="宋体"/>
                <w:color w:val="auto"/>
                <w:sz w:val="24"/>
                <w:szCs w:val="24"/>
                <w:highlight w:val="none"/>
                <w:lang w:val="zh-TW"/>
              </w:rPr>
              <w:t>，分工明确，任务清晰的得</w:t>
            </w:r>
            <w:r>
              <w:rPr>
                <w:rFonts w:hint="eastAsia" w:ascii="宋体" w:hAnsi="宋体" w:eastAsia="宋体" w:cs="宋体"/>
                <w:color w:val="auto"/>
                <w:sz w:val="24"/>
                <w:szCs w:val="24"/>
                <w:highlight w:val="none"/>
              </w:rPr>
              <w:t>2分，否则不得分；如有项目相关行业领域</w:t>
            </w:r>
            <w:r>
              <w:rPr>
                <w:rFonts w:hint="eastAsia" w:ascii="宋体" w:hAnsi="宋体" w:eastAsia="宋体" w:cs="宋体"/>
                <w:color w:val="auto"/>
                <w:sz w:val="24"/>
                <w:szCs w:val="24"/>
                <w:highlight w:val="none"/>
                <w:lang w:val="zh-TW" w:eastAsia="zh-TW"/>
              </w:rPr>
              <w:t>外部协作专家团队</w:t>
            </w:r>
            <w:r>
              <w:rPr>
                <w:rFonts w:hint="eastAsia" w:ascii="宋体" w:hAnsi="宋体" w:eastAsia="宋体" w:cs="宋体"/>
                <w:color w:val="auto"/>
                <w:sz w:val="24"/>
                <w:szCs w:val="24"/>
                <w:highlight w:val="none"/>
              </w:rPr>
              <w:t>的加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8759C65">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TW"/>
              </w:rPr>
              <w:t>组织实施</w:t>
            </w:r>
            <w:r>
              <w:rPr>
                <w:rFonts w:hint="eastAsia" w:ascii="宋体" w:hAnsi="宋体" w:eastAsia="宋体" w:cs="宋体"/>
                <w:color w:val="auto"/>
                <w:sz w:val="24"/>
                <w:szCs w:val="24"/>
                <w:highlight w:val="none"/>
              </w:rPr>
              <w:t>：项目时间安排合理，控制方案及保障措施合理可行得3分；项目时间基本安排合理，控制方案及保障措施基本合理可行得1分；没有不得分。</w:t>
            </w:r>
          </w:p>
          <w:p w14:paraId="5ED6CF8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cs="宋体"/>
                <w:color w:val="auto"/>
                <w:sz w:val="24"/>
                <w:szCs w:val="24"/>
                <w:highlight w:val="none"/>
                <w:lang w:val="en-US" w:eastAsia="zh-CN"/>
              </w:rPr>
              <w:t>保密要求</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投标人为本项目提供保密承诺，承诺中标后与投标人签订保密协议并严格按照保密规定开展工作，提供承诺函得3分，不提供不得分。</w:t>
            </w:r>
          </w:p>
        </w:tc>
      </w:tr>
      <w:tr w14:paraId="1C91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Merge w:val="continue"/>
            <w:noWrap w:val="0"/>
            <w:vAlign w:val="center"/>
          </w:tcPr>
          <w:p w14:paraId="5325163D">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50" w:type="pct"/>
            <w:noWrap w:val="0"/>
            <w:vAlign w:val="center"/>
          </w:tcPr>
          <w:p w14:paraId="785E0CD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26分</w:t>
            </w:r>
          </w:p>
        </w:tc>
        <w:tc>
          <w:tcPr>
            <w:tcW w:w="3862" w:type="pct"/>
            <w:noWrap w:val="0"/>
            <w:vAlign w:val="center"/>
          </w:tcPr>
          <w:p w14:paraId="42FF50B0">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提供评价方案，对指标体系部分进行评价：（</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rPr>
              <w:t>部门整体支出绩效指标需从部门规划、运行成本、管理效率、履职效能、运行成效、可持续发展能力6个方面设置</w:t>
            </w:r>
            <w:r>
              <w:rPr>
                <w:rFonts w:hint="eastAsia" w:ascii="宋体" w:hAnsi="宋体" w:eastAsia="宋体" w:cs="宋体"/>
                <w:color w:val="auto"/>
                <w:sz w:val="24"/>
                <w:szCs w:val="24"/>
                <w:highlight w:val="none"/>
                <w:lang w:eastAsia="zh-CN"/>
              </w:rPr>
              <w:t>，过紧日子评估不需要提供指标体系</w:t>
            </w:r>
            <w:r>
              <w:rPr>
                <w:rFonts w:hint="eastAsia" w:ascii="宋体" w:hAnsi="宋体" w:eastAsia="宋体" w:cs="宋体"/>
                <w:color w:val="auto"/>
                <w:sz w:val="24"/>
                <w:szCs w:val="24"/>
                <w:highlight w:val="none"/>
              </w:rPr>
              <w:t>。采购包所含项目的评价方案</w:t>
            </w:r>
            <w:r>
              <w:rPr>
                <w:rFonts w:hint="eastAsia" w:ascii="宋体" w:hAnsi="宋体" w:eastAsia="宋体" w:cs="宋体"/>
                <w:color w:val="auto"/>
                <w:sz w:val="24"/>
                <w:szCs w:val="24"/>
                <w:highlight w:val="none"/>
                <w:lang w:eastAsia="zh-CN"/>
              </w:rPr>
              <w:t>指标体系</w:t>
            </w:r>
            <w:r>
              <w:rPr>
                <w:rFonts w:hint="eastAsia" w:ascii="宋体" w:hAnsi="宋体" w:eastAsia="宋体" w:cs="宋体"/>
                <w:color w:val="auto"/>
                <w:sz w:val="24"/>
                <w:szCs w:val="24"/>
                <w:highlight w:val="none"/>
              </w:rPr>
              <w:t>有缺失的，视为无效响应）</w:t>
            </w:r>
          </w:p>
          <w:p w14:paraId="63E8D37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1.方案中绩效指标体系相关性：</w:t>
            </w:r>
          </w:p>
          <w:p w14:paraId="48AD15B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（1）根据评价项目类型、资金性质、部门职能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关注重点等，设置与被评价对象高度相关的指标得3分；基本相关得1分，不相关不得分。</w:t>
            </w:r>
          </w:p>
          <w:p w14:paraId="363F81F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（2）对所设指标进行科学合理解释得3分；基本科学合理得1分；没有不得分。</w:t>
            </w:r>
          </w:p>
          <w:p w14:paraId="285648A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（3）指标设置权重合理，突出项目所处阶段性特点及关注重点得3分；基本合理，有一定针对性得1分；不合理或没有体现不得分。</w:t>
            </w:r>
          </w:p>
          <w:p w14:paraId="3F5A135D">
            <w:pPr>
              <w:pStyle w:val="2"/>
              <w:numPr>
                <w:ilvl w:val="0"/>
                <w:numId w:val="0"/>
              </w:numPr>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（4）评价要点与指标一一对应，突出项目个性化特点得3分；基本与指标一一对应，有一定个性化特点得1分，没有对应或不体现不得分。</w:t>
            </w:r>
          </w:p>
          <w:p w14:paraId="5C222F1A">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2.绩效指标体系完整性：</w:t>
            </w:r>
          </w:p>
          <w:p w14:paraId="5E5FC9A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（1）各项指标要素（</w:t>
            </w:r>
            <w:r>
              <w:rPr>
                <w:rFonts w:hint="eastAsia" w:ascii="宋体" w:hAnsi="宋体" w:eastAsia="宋体" w:cs="宋体"/>
                <w:color w:val="auto"/>
                <w:sz w:val="24"/>
                <w:szCs w:val="24"/>
                <w:highlight w:val="none"/>
                <w:lang w:val="zh-TW" w:eastAsia="zh-TW"/>
              </w:rPr>
              <w:t>包括指标名称、权重、解释、分值、说明、评价标准及规则、数据来源等</w:t>
            </w:r>
            <w:r>
              <w:rPr>
                <w:rFonts w:hint="eastAsia" w:ascii="宋体" w:hAnsi="宋体" w:eastAsia="宋体" w:cs="宋体"/>
                <w:color w:val="auto"/>
                <w:sz w:val="24"/>
                <w:szCs w:val="24"/>
                <w:highlight w:val="none"/>
              </w:rPr>
              <w:t>）设置的全面完整得4分；基本完整得2分；不完整不得分。</w:t>
            </w:r>
          </w:p>
          <w:p w14:paraId="54022745">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（2）指标全面覆盖评价考察关注的各个方面得4分；基本覆盖得2分；不覆盖或没有不得分。</w:t>
            </w:r>
          </w:p>
          <w:p w14:paraId="53CB6FC0">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3.绩效指标体系标准科学性：</w:t>
            </w:r>
          </w:p>
          <w:p w14:paraId="632CCB41">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（1）选取标准合理、针对性强得3分；基本合理、有一定针对性得1分；不合理或没有不得分。</w:t>
            </w:r>
          </w:p>
          <w:p w14:paraId="520EE8E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（2）主动收集行业标准、其他标准，内容全面完整、针对性强得3分；内容基本完整、有针对性得1分；不完整或没有不得分。</w:t>
            </w:r>
          </w:p>
        </w:tc>
      </w:tr>
      <w:tr w14:paraId="32E5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Merge w:val="continue"/>
            <w:noWrap w:val="0"/>
            <w:vAlign w:val="center"/>
          </w:tcPr>
          <w:p w14:paraId="066D951B">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50" w:type="pct"/>
            <w:noWrap w:val="0"/>
            <w:vAlign w:val="center"/>
          </w:tcPr>
          <w:p w14:paraId="7CFBC98A">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3862" w:type="pct"/>
            <w:noWrap w:val="0"/>
            <w:vAlign w:val="center"/>
          </w:tcPr>
          <w:p w14:paraId="5DA4BA1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问卷方案设计。调查问卷方案合理，调查对象准确、调查目的明确，调查内容全面得3分；调查问卷方案基本合理，调查对象范围基本合理，调查内容基本能体现调查目的得1分；调查问卷方案内容简单空洞，调查对象不明确或具有明显错误或没有不得分。</w:t>
            </w:r>
          </w:p>
          <w:p w14:paraId="2D06210D">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2.访谈工作方案设计。访谈工作方案合理全面、可行性强，得3分；访谈工作方案基本合理、具有一定可行性，得1分；访谈工作方案较简单空洞，目的不明确，可行性较差，或没有不得分。</w:t>
            </w:r>
          </w:p>
          <w:p w14:paraId="403813F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调查方案设计。现场调查方案合理可行，调查覆盖面达到取样要求，能充分支撑取样结果，得4分；现场调查方案基本合理，具有一定可行性，调查覆盖面基本达到取样效果，基本支撑取样结果，得2分；现场调查方案简单空洞，调查覆盖面与取样目的相差较大或没有不得分。</w:t>
            </w:r>
          </w:p>
        </w:tc>
      </w:tr>
    </w:tbl>
    <w:p w14:paraId="33ED5E33">
      <w:pPr>
        <w:wordWrap w:val="0"/>
        <w:spacing w:line="360" w:lineRule="auto"/>
        <w:ind w:firstLine="480" w:firstLineChars="200"/>
        <w:outlineLvl w:val="9"/>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第九包打分办法：</w:t>
      </w:r>
    </w:p>
    <w:tbl>
      <w:tblPr>
        <w:tblStyle w:val="41"/>
        <w:tblW w:w="5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54"/>
        <w:gridCol w:w="7239"/>
      </w:tblGrid>
      <w:tr w14:paraId="2AEB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val="0"/>
            <w:vAlign w:val="center"/>
          </w:tcPr>
          <w:p w14:paraId="4A05A8A3">
            <w:pPr>
              <w:spacing w:line="5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408" w:type="pct"/>
            <w:noWrap w:val="0"/>
            <w:vAlign w:val="center"/>
          </w:tcPr>
          <w:p w14:paraId="24BA71B4">
            <w:pPr>
              <w:spacing w:line="5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919" w:type="pct"/>
            <w:noWrap w:val="0"/>
            <w:vAlign w:val="center"/>
          </w:tcPr>
          <w:p w14:paraId="5D8A97A6">
            <w:pPr>
              <w:spacing w:line="5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585A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noWrap w:val="0"/>
            <w:vAlign w:val="center"/>
          </w:tcPr>
          <w:p w14:paraId="79EFEE8C">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2276A061">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08" w:type="pct"/>
            <w:noWrap w:val="0"/>
            <w:vAlign w:val="center"/>
          </w:tcPr>
          <w:p w14:paraId="69CFD520">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3919" w:type="pct"/>
            <w:noWrap w:val="0"/>
            <w:vAlign w:val="center"/>
          </w:tcPr>
          <w:p w14:paraId="36EDD095">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在报价评分时，满足招标文件要求且投标报价最低的有效投标报价为评标基准价，其报价得分计满分。其他投标人的报价得分统一按公式计算：报价得分＝（评标基准价/投标报价）×10</w:t>
            </w:r>
          </w:p>
        </w:tc>
      </w:tr>
      <w:tr w14:paraId="10B8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restart"/>
            <w:noWrap w:val="0"/>
            <w:vAlign w:val="center"/>
          </w:tcPr>
          <w:p w14:paraId="1206C92C">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3514EAEF">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408" w:type="pct"/>
            <w:noWrap w:val="0"/>
            <w:vAlign w:val="center"/>
          </w:tcPr>
          <w:p w14:paraId="6070DD2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39" w:type="dxa"/>
            <w:noWrap w:val="0"/>
            <w:vAlign w:val="center"/>
          </w:tcPr>
          <w:p w14:paraId="612FD37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供应商提供2022年1月以来承接过财政运行综合绩效评价项目业绩，每有1个得1分，最高得10分。（提供合同扫描件）</w:t>
            </w:r>
          </w:p>
        </w:tc>
      </w:tr>
      <w:tr w14:paraId="1816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noWrap w:val="0"/>
            <w:vAlign w:val="center"/>
          </w:tcPr>
          <w:p w14:paraId="14E883B0">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08" w:type="pct"/>
            <w:noWrap w:val="0"/>
            <w:vAlign w:val="center"/>
          </w:tcPr>
          <w:p w14:paraId="50653F5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919" w:type="pct"/>
            <w:noWrap w:val="0"/>
            <w:vAlign w:val="center"/>
          </w:tcPr>
          <w:p w14:paraId="114B69C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担任项目负责人的人员：</w:t>
            </w:r>
          </w:p>
          <w:p w14:paraId="1DB83F9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担任项目负责人的人员</w:t>
            </w:r>
            <w:r>
              <w:rPr>
                <w:rFonts w:hint="eastAsia" w:cs="宋体"/>
                <w:color w:val="auto"/>
                <w:sz w:val="24"/>
                <w:szCs w:val="24"/>
                <w:highlight w:val="none"/>
                <w:lang w:val="en-US" w:eastAsia="zh-CN"/>
              </w:rPr>
              <w:t>须本单位正式人员，</w:t>
            </w:r>
            <w:r>
              <w:rPr>
                <w:rFonts w:hint="eastAsia" w:ascii="宋体" w:hAnsi="宋体" w:eastAsia="宋体" w:cs="宋体"/>
                <w:color w:val="auto"/>
                <w:sz w:val="24"/>
                <w:szCs w:val="24"/>
                <w:highlight w:val="none"/>
              </w:rPr>
              <w:t>具有财会、金融、税务领域高级职称或注册会计师等相关行业管理部门认可的专业资质的得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具有财会、金融、税务领域中级职称的得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（提供</w:t>
            </w:r>
            <w:r>
              <w:rPr>
                <w:rFonts w:hint="eastAsia" w:cs="宋体"/>
                <w:color w:val="auto"/>
                <w:sz w:val="24"/>
                <w:szCs w:val="24"/>
                <w:highlight w:val="none"/>
                <w:lang w:val="en-US" w:eastAsia="zh-CN"/>
              </w:rPr>
              <w:t>为本单位正式员工的相关资料及证书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p>
        </w:tc>
      </w:tr>
      <w:tr w14:paraId="7521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noWrap w:val="0"/>
            <w:vAlign w:val="center"/>
          </w:tcPr>
          <w:p w14:paraId="33A7CF9A">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08" w:type="pct"/>
            <w:noWrap w:val="0"/>
            <w:vAlign w:val="center"/>
          </w:tcPr>
          <w:p w14:paraId="4AC198E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3919" w:type="pct"/>
            <w:noWrap w:val="0"/>
            <w:vAlign w:val="center"/>
          </w:tcPr>
          <w:p w14:paraId="03579D17">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项目团队除项目负责人之外的其他成员：</w:t>
            </w:r>
          </w:p>
          <w:p w14:paraId="1B785CD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项目团队其他成员具备财会、金融、审计、财政、税务等</w:t>
            </w:r>
            <w:r>
              <w:rPr>
                <w:rFonts w:hint="eastAsia" w:ascii="宋体" w:hAnsi="宋体" w:eastAsia="宋体" w:cs="宋体"/>
                <w:color w:val="auto"/>
                <w:sz w:val="24"/>
                <w:szCs w:val="24"/>
                <w:highlight w:val="none"/>
                <w:lang w:eastAsia="zh-CN"/>
              </w:rPr>
              <w:t>专业本科及以上学历的</w:t>
            </w:r>
            <w:r>
              <w:rPr>
                <w:rFonts w:hint="eastAsia" w:ascii="宋体" w:hAnsi="宋体" w:eastAsia="宋体" w:cs="宋体"/>
                <w:color w:val="auto"/>
                <w:sz w:val="24"/>
                <w:szCs w:val="24"/>
                <w:highlight w:val="none"/>
              </w:rPr>
              <w:t>，每有1人得1分，最高得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分。（提供</w:t>
            </w:r>
            <w:r>
              <w:rPr>
                <w:rFonts w:hint="eastAsia" w:cs="宋体"/>
                <w:color w:val="auto"/>
                <w:sz w:val="24"/>
                <w:szCs w:val="24"/>
                <w:highlight w:val="none"/>
                <w:lang w:val="en-US" w:eastAsia="zh-CN"/>
              </w:rPr>
              <w:t>相关证明资料扫描件，不提供或提供不全不得分</w:t>
            </w:r>
            <w:r>
              <w:rPr>
                <w:rFonts w:hint="eastAsia" w:ascii="宋体" w:hAnsi="宋体" w:eastAsia="宋体" w:cs="宋体"/>
                <w:color w:val="auto"/>
                <w:sz w:val="24"/>
                <w:szCs w:val="24"/>
                <w:highlight w:val="none"/>
              </w:rPr>
              <w:t>）</w:t>
            </w:r>
          </w:p>
        </w:tc>
      </w:tr>
      <w:tr w14:paraId="59C0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restart"/>
            <w:noWrap w:val="0"/>
            <w:vAlign w:val="center"/>
          </w:tcPr>
          <w:p w14:paraId="4472B227">
            <w:pPr>
              <w:pStyle w:val="2"/>
              <w:numPr>
                <w:ilvl w:val="0"/>
                <w:numId w:val="0"/>
              </w:numPr>
              <w:ind w:left="0" w:leftChars="0" w:firstLine="0" w:firstLineChars="0"/>
              <w:rPr>
                <w:rFonts w:hint="eastAsia" w:ascii="宋体" w:hAnsi="宋体" w:eastAsia="宋体" w:cs="宋体"/>
                <w:color w:val="auto"/>
                <w:sz w:val="24"/>
                <w:szCs w:val="24"/>
                <w:highlight w:val="none"/>
              </w:rPr>
            </w:pPr>
          </w:p>
          <w:p w14:paraId="25A6C212">
            <w:pPr>
              <w:pStyle w:val="2"/>
              <w:numPr>
                <w:ilvl w:val="0"/>
                <w:numId w:val="0"/>
              </w:numPr>
              <w:ind w:left="0" w:leftChars="0" w:firstLine="0" w:firstLineChars="0"/>
              <w:rPr>
                <w:rFonts w:hint="eastAsia" w:ascii="宋体" w:hAnsi="宋体" w:eastAsia="宋体" w:cs="宋体"/>
                <w:color w:val="auto"/>
                <w:sz w:val="24"/>
                <w:szCs w:val="24"/>
                <w:highlight w:val="none"/>
              </w:rPr>
            </w:pPr>
          </w:p>
          <w:p w14:paraId="5C3E19FA">
            <w:pPr>
              <w:pStyle w:val="2"/>
              <w:numPr>
                <w:ilvl w:val="0"/>
                <w:numId w:val="0"/>
              </w:numPr>
              <w:ind w:left="0" w:leftChars="0" w:firstLine="0" w:firstLineChars="0"/>
              <w:rPr>
                <w:rFonts w:hint="eastAsia" w:ascii="宋体" w:hAnsi="宋体" w:eastAsia="宋体" w:cs="宋体"/>
                <w:color w:val="auto"/>
                <w:sz w:val="24"/>
                <w:szCs w:val="24"/>
                <w:highlight w:val="none"/>
              </w:rPr>
            </w:pPr>
          </w:p>
          <w:p w14:paraId="7F7CBFF9">
            <w:pPr>
              <w:pStyle w:val="2"/>
              <w:numPr>
                <w:ilvl w:val="0"/>
                <w:numId w:val="0"/>
              </w:numPr>
              <w:ind w:left="0" w:leftChars="0" w:firstLine="0" w:firstLineChars="0"/>
              <w:rPr>
                <w:rFonts w:hint="eastAsia" w:ascii="宋体" w:hAnsi="宋体" w:eastAsia="宋体" w:cs="宋体"/>
                <w:color w:val="auto"/>
                <w:sz w:val="24"/>
                <w:szCs w:val="24"/>
                <w:highlight w:val="none"/>
              </w:rPr>
            </w:pPr>
          </w:p>
          <w:p w14:paraId="789AE28B">
            <w:pPr>
              <w:pStyle w:val="2"/>
              <w:numPr>
                <w:ilvl w:val="0"/>
                <w:numId w:val="0"/>
              </w:numPr>
              <w:ind w:left="0" w:leftChars="0" w:firstLine="0" w:firstLineChars="0"/>
              <w:rPr>
                <w:rFonts w:hint="eastAsia" w:ascii="宋体" w:hAnsi="宋体" w:eastAsia="宋体" w:cs="宋体"/>
                <w:color w:val="auto"/>
                <w:sz w:val="24"/>
                <w:szCs w:val="24"/>
                <w:highlight w:val="none"/>
              </w:rPr>
            </w:pPr>
          </w:p>
          <w:p w14:paraId="3D74685E">
            <w:pPr>
              <w:pStyle w:val="2"/>
              <w:numPr>
                <w:ilvl w:val="0"/>
                <w:numId w:val="0"/>
              </w:numPr>
              <w:ind w:left="0" w:leftChars="0" w:firstLine="0" w:firstLineChars="0"/>
              <w:rPr>
                <w:rFonts w:hint="eastAsia" w:ascii="宋体" w:hAnsi="宋体" w:eastAsia="宋体" w:cs="宋体"/>
                <w:color w:val="auto"/>
                <w:sz w:val="24"/>
                <w:szCs w:val="24"/>
                <w:highlight w:val="none"/>
              </w:rPr>
            </w:pPr>
          </w:p>
          <w:p w14:paraId="5523582B">
            <w:pPr>
              <w:pStyle w:val="2"/>
              <w:numPr>
                <w:ilvl w:val="0"/>
                <w:numId w:val="0"/>
              </w:numPr>
              <w:ind w:left="0" w:leftChars="0" w:firstLine="0" w:firstLineChars="0"/>
              <w:rPr>
                <w:rFonts w:hint="eastAsia" w:ascii="宋体" w:hAnsi="宋体" w:eastAsia="宋体" w:cs="宋体"/>
                <w:color w:val="auto"/>
                <w:sz w:val="24"/>
                <w:szCs w:val="24"/>
                <w:highlight w:val="none"/>
              </w:rPr>
            </w:pPr>
          </w:p>
          <w:p w14:paraId="7F9C998D">
            <w:pPr>
              <w:pStyle w:val="2"/>
              <w:numPr>
                <w:ilvl w:val="0"/>
                <w:numId w:val="0"/>
              </w:numPr>
              <w:ind w:left="0" w:leftChars="0" w:firstLine="0" w:firstLineChars="0"/>
              <w:rPr>
                <w:rFonts w:hint="eastAsia" w:ascii="宋体" w:hAnsi="宋体" w:eastAsia="宋体" w:cs="宋体"/>
                <w:color w:val="auto"/>
                <w:sz w:val="24"/>
                <w:szCs w:val="24"/>
                <w:highlight w:val="none"/>
              </w:rPr>
            </w:pPr>
          </w:p>
          <w:p w14:paraId="5CD25A0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683C8D47">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分）</w:t>
            </w:r>
          </w:p>
        </w:tc>
        <w:tc>
          <w:tcPr>
            <w:tcW w:w="408" w:type="pct"/>
            <w:noWrap w:val="0"/>
            <w:vAlign w:val="center"/>
          </w:tcPr>
          <w:p w14:paraId="11A919DE">
            <w:pPr>
              <w:pStyle w:val="2"/>
              <w:numPr>
                <w:ilvl w:val="0"/>
                <w:numId w:val="0"/>
              </w:numPr>
              <w:ind w:left="0" w:leftChars="0" w:firstLine="0" w:firstLineChars="0"/>
              <w:rPr>
                <w:rFonts w:hint="eastAsia" w:ascii="宋体" w:hAnsi="宋体" w:eastAsia="宋体" w:cs="宋体"/>
                <w:color w:val="auto"/>
                <w:sz w:val="24"/>
                <w:szCs w:val="24"/>
                <w:highlight w:val="none"/>
              </w:rPr>
            </w:pPr>
          </w:p>
          <w:p w14:paraId="7D6602E7">
            <w:pPr>
              <w:pStyle w:val="2"/>
              <w:numPr>
                <w:ilvl w:val="0"/>
                <w:numId w:val="0"/>
              </w:numPr>
              <w:ind w:left="0" w:leftChars="0" w:firstLine="0" w:firstLineChars="0"/>
              <w:rPr>
                <w:rFonts w:hint="eastAsia" w:ascii="宋体" w:hAnsi="宋体" w:eastAsia="宋体" w:cs="宋体"/>
                <w:color w:val="auto"/>
                <w:sz w:val="24"/>
                <w:szCs w:val="24"/>
                <w:highlight w:val="none"/>
              </w:rPr>
            </w:pPr>
          </w:p>
          <w:p w14:paraId="5642A01C">
            <w:pPr>
              <w:pStyle w:val="2"/>
              <w:numPr>
                <w:ilvl w:val="0"/>
                <w:numId w:val="0"/>
              </w:numPr>
              <w:ind w:left="0" w:leftChars="0" w:firstLine="0" w:firstLineChars="0"/>
              <w:rPr>
                <w:rFonts w:hint="eastAsia" w:ascii="宋体" w:hAnsi="宋体" w:eastAsia="宋体" w:cs="宋体"/>
                <w:color w:val="auto"/>
                <w:sz w:val="24"/>
                <w:szCs w:val="24"/>
                <w:highlight w:val="none"/>
              </w:rPr>
            </w:pPr>
          </w:p>
          <w:p w14:paraId="328CEE0C">
            <w:pPr>
              <w:pStyle w:val="2"/>
              <w:numPr>
                <w:ilvl w:val="0"/>
                <w:numId w:val="0"/>
              </w:numPr>
              <w:ind w:left="0" w:leftChars="0" w:firstLine="0" w:firstLineChars="0"/>
              <w:rPr>
                <w:rFonts w:hint="eastAsia" w:ascii="宋体" w:hAnsi="宋体" w:eastAsia="宋体" w:cs="宋体"/>
                <w:color w:val="auto"/>
                <w:sz w:val="24"/>
                <w:szCs w:val="24"/>
                <w:highlight w:val="none"/>
              </w:rPr>
            </w:pPr>
          </w:p>
          <w:p w14:paraId="4CB44F4A">
            <w:pPr>
              <w:pStyle w:val="2"/>
              <w:numPr>
                <w:ilvl w:val="0"/>
                <w:numId w:val="0"/>
              </w:numPr>
              <w:ind w:left="0" w:leftChars="0" w:firstLine="0" w:firstLineChars="0"/>
              <w:rPr>
                <w:rFonts w:hint="eastAsia" w:ascii="宋体" w:hAnsi="宋体" w:eastAsia="宋体" w:cs="宋体"/>
                <w:color w:val="auto"/>
                <w:sz w:val="24"/>
                <w:szCs w:val="24"/>
                <w:highlight w:val="none"/>
              </w:rPr>
            </w:pPr>
          </w:p>
          <w:p w14:paraId="6E267335">
            <w:pPr>
              <w:pStyle w:val="2"/>
              <w:numPr>
                <w:ilvl w:val="0"/>
                <w:numId w:val="0"/>
              </w:numPr>
              <w:ind w:left="0" w:leftChars="0" w:firstLine="0" w:firstLineChars="0"/>
              <w:rPr>
                <w:rFonts w:hint="eastAsia" w:ascii="宋体" w:hAnsi="宋体" w:eastAsia="宋体" w:cs="宋体"/>
                <w:color w:val="auto"/>
                <w:sz w:val="24"/>
                <w:szCs w:val="24"/>
                <w:highlight w:val="none"/>
              </w:rPr>
            </w:pPr>
          </w:p>
          <w:p w14:paraId="632A636D">
            <w:pPr>
              <w:pStyle w:val="2"/>
              <w:numPr>
                <w:ilvl w:val="0"/>
                <w:numId w:val="0"/>
              </w:numPr>
              <w:ind w:left="0" w:leftChars="0" w:firstLine="0" w:firstLineChars="0"/>
              <w:rPr>
                <w:rFonts w:hint="eastAsia" w:ascii="宋体" w:hAnsi="宋体" w:eastAsia="宋体" w:cs="宋体"/>
                <w:color w:val="auto"/>
                <w:sz w:val="24"/>
                <w:szCs w:val="24"/>
                <w:highlight w:val="none"/>
              </w:rPr>
            </w:pPr>
          </w:p>
          <w:p w14:paraId="759CD73A">
            <w:pPr>
              <w:pStyle w:val="2"/>
              <w:numPr>
                <w:ilvl w:val="0"/>
                <w:numId w:val="0"/>
              </w:numPr>
              <w:ind w:left="0" w:leftChars="0" w:firstLine="0" w:firstLineChars="0"/>
              <w:rPr>
                <w:rFonts w:hint="eastAsia" w:ascii="宋体" w:hAnsi="宋体" w:eastAsia="宋体" w:cs="宋体"/>
                <w:color w:val="auto"/>
                <w:sz w:val="24"/>
                <w:szCs w:val="24"/>
                <w:highlight w:val="none"/>
              </w:rPr>
            </w:pPr>
          </w:p>
          <w:p w14:paraId="65ADDC0B">
            <w:pPr>
              <w:pStyle w:val="2"/>
              <w:numPr>
                <w:ilvl w:val="0"/>
                <w:numId w:val="0"/>
              </w:numPr>
              <w:ind w:left="0" w:leftChars="0" w:firstLine="0" w:firstLineChars="0"/>
              <w:rPr>
                <w:rFonts w:hint="eastAsia" w:ascii="宋体" w:hAnsi="宋体" w:eastAsia="宋体" w:cs="宋体"/>
                <w:color w:val="auto"/>
                <w:sz w:val="24"/>
                <w:szCs w:val="24"/>
                <w:highlight w:val="none"/>
              </w:rPr>
            </w:pPr>
          </w:p>
          <w:p w14:paraId="379457E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919" w:type="pct"/>
            <w:noWrap w:val="0"/>
            <w:vAlign w:val="center"/>
          </w:tcPr>
          <w:p w14:paraId="464C3B8F">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提供评价方案，对非指标体系部分进行评价：</w:t>
            </w:r>
          </w:p>
          <w:p w14:paraId="2A77735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1.评价目的：评价目的与评价对象高度相关且明确合理，得3分；基本相关、明确合理得1分；不符合以上评分要素或没有不得分。</w:t>
            </w:r>
          </w:p>
          <w:p w14:paraId="3F3F08A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2.评价思路和重点：评价思路清晰，重点突出明确得3分，基本清晰，重点突出明确得1分，思路混乱无重点不得分。</w:t>
            </w:r>
          </w:p>
          <w:p w14:paraId="1B772661">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3.评价依据和方法：评价依据和方法全面专业、科学合理、针对性强得3分；基本全面专业、科学合理，有针对性，得1分；无实质性内容或没有不得分。</w:t>
            </w:r>
          </w:p>
          <w:p w14:paraId="2F5CCE9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4.评价样本：项目评价样本确定科学且合理的得3分，基本科学合理得1分，不够科学合理或没有不得分。</w:t>
            </w:r>
          </w:p>
          <w:p w14:paraId="0738771F">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5.创新举措：围绕评价对象，以提高评价工作质量为目标，具有切实可行的创新性举措的得3分，有举措但可行性不高得1分，没有不得分。</w:t>
            </w:r>
          </w:p>
          <w:p w14:paraId="54782109">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6.评价人员配备：</w:t>
            </w:r>
            <w:r>
              <w:rPr>
                <w:rFonts w:hint="eastAsia" w:ascii="宋体" w:hAnsi="宋体" w:eastAsia="宋体" w:cs="宋体"/>
                <w:color w:val="auto"/>
                <w:sz w:val="24"/>
                <w:szCs w:val="24"/>
                <w:highlight w:val="none"/>
                <w:lang w:val="en"/>
              </w:rPr>
              <w:t>项目成员配备</w:t>
            </w:r>
            <w:r>
              <w:rPr>
                <w:rFonts w:hint="eastAsia" w:ascii="宋体" w:hAnsi="宋体" w:eastAsia="宋体" w:cs="宋体"/>
                <w:color w:val="auto"/>
                <w:sz w:val="24"/>
                <w:szCs w:val="24"/>
                <w:highlight w:val="none"/>
                <w:lang w:val="zh-TW" w:eastAsia="zh-TW"/>
              </w:rPr>
              <w:t>项目负责人、成员、支持（如内部稽核、质控、信息技术支撑等）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zh-TW" w:eastAsia="zh-TW"/>
              </w:rPr>
              <w:t>三类</w:t>
            </w:r>
            <w:r>
              <w:rPr>
                <w:rFonts w:hint="eastAsia" w:ascii="宋体" w:hAnsi="宋体" w:eastAsia="宋体" w:cs="宋体"/>
                <w:color w:val="auto"/>
                <w:sz w:val="24"/>
                <w:szCs w:val="24"/>
                <w:highlight w:val="none"/>
                <w:lang w:val="zh-TW"/>
              </w:rPr>
              <w:t>，分工明确，任务清晰的得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分，否则不得分；如有项目相关行业领域</w:t>
            </w:r>
            <w:r>
              <w:rPr>
                <w:rFonts w:hint="eastAsia" w:ascii="宋体" w:hAnsi="宋体" w:eastAsia="宋体" w:cs="宋体"/>
                <w:color w:val="auto"/>
                <w:sz w:val="24"/>
                <w:szCs w:val="24"/>
                <w:highlight w:val="none"/>
                <w:lang w:val="zh-TW" w:eastAsia="zh-TW"/>
              </w:rPr>
              <w:t>外部协作专家团队</w:t>
            </w:r>
            <w:r>
              <w:rPr>
                <w:rFonts w:hint="eastAsia" w:ascii="宋体" w:hAnsi="宋体" w:eastAsia="宋体" w:cs="宋体"/>
                <w:color w:val="auto"/>
                <w:sz w:val="24"/>
                <w:szCs w:val="24"/>
                <w:highlight w:val="none"/>
              </w:rPr>
              <w:t>的加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05A89A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TW"/>
              </w:rPr>
              <w:t>组织实施</w:t>
            </w:r>
            <w:r>
              <w:rPr>
                <w:rFonts w:hint="eastAsia" w:ascii="宋体" w:hAnsi="宋体" w:eastAsia="宋体" w:cs="宋体"/>
                <w:color w:val="auto"/>
                <w:sz w:val="24"/>
                <w:szCs w:val="24"/>
                <w:highlight w:val="none"/>
              </w:rPr>
              <w:t>：项目时间安排合理，控制方案及保障措施合理可行得3分；项目时间基本安排合理，控制方案及保障措施基本合理可行得1分；没有不得分。</w:t>
            </w:r>
          </w:p>
          <w:p w14:paraId="2D638672">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cs="宋体"/>
                <w:color w:val="auto"/>
                <w:sz w:val="24"/>
                <w:szCs w:val="24"/>
                <w:highlight w:val="none"/>
                <w:lang w:val="en-US" w:eastAsia="zh-CN"/>
              </w:rPr>
              <w:t>保密要求</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投标人为本项目提供保密承诺，承诺中标后与投标人签订保密协议并严格按照保密规定开展工作，提供承诺函得3分，不提供不得分。</w:t>
            </w:r>
          </w:p>
        </w:tc>
      </w:tr>
      <w:tr w14:paraId="7448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noWrap w:val="0"/>
            <w:vAlign w:val="center"/>
          </w:tcPr>
          <w:p w14:paraId="786E4870">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08" w:type="pct"/>
            <w:noWrap w:val="0"/>
            <w:vAlign w:val="center"/>
          </w:tcPr>
          <w:p w14:paraId="1B8B3937">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919" w:type="pct"/>
            <w:noWrap w:val="0"/>
            <w:vAlign w:val="center"/>
          </w:tcPr>
          <w:p w14:paraId="6D5E13E5">
            <w:pPr>
              <w:pStyle w:val="2"/>
              <w:numPr>
                <w:ilvl w:val="0"/>
                <w:numId w:val="0"/>
              </w:numPr>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提供评价方案，对指标体系部分进行评价</w:t>
            </w:r>
            <w:r>
              <w:rPr>
                <w:rFonts w:hint="eastAsia" w:ascii="宋体" w:hAnsi="宋体" w:eastAsia="宋体" w:cs="宋体"/>
                <w:color w:val="auto"/>
                <w:sz w:val="24"/>
                <w:szCs w:val="24"/>
                <w:highlight w:val="none"/>
                <w:lang w:eastAsia="zh-CN"/>
              </w:rPr>
              <w:t>：</w:t>
            </w:r>
          </w:p>
          <w:p w14:paraId="65FA6FAE">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绩效指标体系</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性</w:t>
            </w:r>
          </w:p>
          <w:p w14:paraId="0E11D990">
            <w:pPr>
              <w:pStyle w:val="2"/>
              <w:numPr>
                <w:ilvl w:val="0"/>
                <w:numId w:val="0"/>
              </w:numPr>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立足县区实际，</w:t>
            </w:r>
            <w:r>
              <w:rPr>
                <w:rFonts w:hint="eastAsia" w:ascii="宋体" w:hAnsi="宋体" w:eastAsia="宋体" w:cs="宋体"/>
                <w:color w:val="auto"/>
                <w:sz w:val="24"/>
                <w:szCs w:val="24"/>
                <w:highlight w:val="none"/>
                <w:lang w:val="en-US"/>
              </w:rPr>
              <w:t>突出县区特点</w:t>
            </w:r>
            <w:r>
              <w:rPr>
                <w:rFonts w:hint="eastAsia" w:ascii="宋体" w:hAnsi="宋体" w:eastAsia="宋体" w:cs="宋体"/>
                <w:color w:val="auto"/>
                <w:sz w:val="24"/>
                <w:szCs w:val="24"/>
                <w:highlight w:val="none"/>
                <w:lang w:val="en-US" w:eastAsia="zh-CN"/>
              </w:rPr>
              <w:t>，结合区级财政运行的特点规律，所设指标能够多维度、多层次、全方位涵盖政府收支绩效、运行成效、管理能力和可持续发展能力等，每有一项符合得2分，本项最高得8分。</w:t>
            </w:r>
          </w:p>
          <w:p w14:paraId="1EAC99D6">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（2）对所设指标进行科学合理解释得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分；基本科学合理得1分；没有不得分。</w:t>
            </w:r>
          </w:p>
          <w:p w14:paraId="11BEED20">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（3）指标设置权重合理，</w:t>
            </w:r>
            <w:r>
              <w:rPr>
                <w:rFonts w:hint="eastAsia" w:ascii="宋体" w:hAnsi="宋体" w:eastAsia="宋体" w:cs="宋体"/>
                <w:color w:val="auto"/>
                <w:sz w:val="24"/>
                <w:szCs w:val="24"/>
                <w:highlight w:val="none"/>
                <w:lang w:eastAsia="zh-CN"/>
              </w:rPr>
              <w:t>权重符合</w:t>
            </w:r>
            <w:r>
              <w:rPr>
                <w:rFonts w:hint="eastAsia" w:ascii="宋体" w:hAnsi="宋体" w:eastAsia="宋体" w:cs="宋体"/>
                <w:color w:val="auto"/>
                <w:sz w:val="24"/>
                <w:szCs w:val="24"/>
                <w:highlight w:val="none"/>
              </w:rPr>
              <w:t>县区特点及关注重点得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分；基本合理，有一定针对性得1分；不合理或没有体现不得分。</w:t>
            </w:r>
          </w:p>
          <w:p w14:paraId="47136ED8">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2.绩效指标体系完整性：</w:t>
            </w:r>
          </w:p>
          <w:p w14:paraId="6BDE8F8E">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（1）各项指标要素（</w:t>
            </w:r>
            <w:r>
              <w:rPr>
                <w:rFonts w:hint="eastAsia" w:ascii="宋体" w:hAnsi="宋体" w:eastAsia="宋体" w:cs="宋体"/>
                <w:color w:val="auto"/>
                <w:sz w:val="24"/>
                <w:szCs w:val="24"/>
                <w:highlight w:val="none"/>
                <w:lang w:val="zh-TW" w:eastAsia="zh-TW"/>
              </w:rPr>
              <w:t>包括指标名称、权重、解释、分值、说明、评价标准及规则、数据来源等</w:t>
            </w:r>
            <w:r>
              <w:rPr>
                <w:rFonts w:hint="eastAsia" w:ascii="宋体" w:hAnsi="宋体" w:eastAsia="宋体" w:cs="宋体"/>
                <w:color w:val="auto"/>
                <w:sz w:val="24"/>
                <w:szCs w:val="24"/>
                <w:highlight w:val="none"/>
              </w:rPr>
              <w:t>）设置的全面完整得4分；基本完整得2分；不完整不得分。</w:t>
            </w:r>
          </w:p>
          <w:p w14:paraId="7A2D6B2E">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（2）指标全面覆盖评价考察关注的各个方面得4分；基本覆盖得2分；不覆盖或没有不得分。</w:t>
            </w:r>
          </w:p>
          <w:p w14:paraId="14C9274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3.绩效指标体系标准科学性：</w:t>
            </w:r>
          </w:p>
          <w:p w14:paraId="46DD1E33">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（1）选取标准合理、针对性强得3分；基本合理、有一定针对性得1分；不合理或没有不得分。</w:t>
            </w:r>
          </w:p>
          <w:p w14:paraId="15EDA8BD">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（2）主动收集行业标准、其他标准，内容全面完整、针对性强得3分；内容基本完整、有针对性得1分；不完整或没有不得分。</w:t>
            </w:r>
          </w:p>
        </w:tc>
      </w:tr>
      <w:tr w14:paraId="0807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noWrap w:val="0"/>
            <w:vAlign w:val="center"/>
          </w:tcPr>
          <w:p w14:paraId="79D829DD">
            <w:pPr>
              <w:pStyle w:val="2"/>
              <w:numPr>
                <w:ilvl w:val="0"/>
                <w:numId w:val="0"/>
              </w:numPr>
              <w:ind w:left="0" w:leftChars="0" w:firstLine="0" w:firstLineChars="0"/>
              <w:rPr>
                <w:rFonts w:hint="eastAsia" w:ascii="宋体" w:hAnsi="宋体" w:eastAsia="宋体" w:cs="宋体"/>
                <w:color w:val="auto"/>
                <w:sz w:val="24"/>
                <w:szCs w:val="24"/>
                <w:highlight w:val="none"/>
              </w:rPr>
            </w:pPr>
          </w:p>
        </w:tc>
        <w:tc>
          <w:tcPr>
            <w:tcW w:w="408" w:type="pct"/>
            <w:noWrap w:val="0"/>
            <w:vAlign w:val="center"/>
          </w:tcPr>
          <w:p w14:paraId="3A869372">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3919" w:type="pct"/>
            <w:noWrap w:val="0"/>
            <w:vAlign w:val="center"/>
          </w:tcPr>
          <w:p w14:paraId="0ECBB2E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问卷方案设计。调查问卷方案合理，调查对象准确、调查目的明确，调查内容全面得3分；调查问卷方案基本合理，调查对象范围基本合理，调查内容基本能体现调查目的得1分；调查问卷方案内容简单空洞，调查对象不明确或具有明显错误或没有不得分。</w:t>
            </w:r>
          </w:p>
          <w:p w14:paraId="255CCA1B">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2.访谈工作方案设计。访谈工作方案合理全面、可行性强，得3分；访谈工作方案基本合理、具有一定可行性，得1分；访谈工作方案较简单空洞，目的不明确，可行性较差，或没有不得分。</w:t>
            </w:r>
          </w:p>
          <w:p w14:paraId="44F14D2C">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调查方案设计。现场调查方案合理可行，调查覆盖面达到取样要求，能充分支撑取样结果，得4分；现场调查方案基本合理，具有一定可行性，调查覆盖面基本达到取样效果，基本支撑取样结果，得2分；现场调查方案简单空洞，调查覆盖面与取样目的相差较大或没有不得分。</w:t>
            </w:r>
          </w:p>
        </w:tc>
      </w:tr>
    </w:tbl>
    <w:p w14:paraId="37804231">
      <w:pPr>
        <w:pStyle w:val="2"/>
        <w:rPr>
          <w:rFonts w:hint="eastAsia"/>
          <w:b/>
          <w:bCs/>
          <w:color w:val="auto"/>
          <w:sz w:val="28"/>
          <w:szCs w:val="21"/>
          <w:highlight w:val="none"/>
          <w:lang w:val="en-US" w:eastAsia="zh-CN"/>
        </w:rPr>
      </w:pPr>
      <w:r>
        <w:rPr>
          <w:rFonts w:hint="eastAsia"/>
          <w:b/>
          <w:bCs/>
          <w:color w:val="auto"/>
          <w:sz w:val="24"/>
          <w:szCs w:val="20"/>
          <w:highlight w:val="none"/>
          <w:lang w:val="en-US" w:eastAsia="zh-CN"/>
        </w:rPr>
        <w:t>第十包打分办法：</w:t>
      </w:r>
    </w:p>
    <w:tbl>
      <w:tblPr>
        <w:tblStyle w:val="4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920"/>
        <w:gridCol w:w="7309"/>
      </w:tblGrid>
      <w:tr w14:paraId="636D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shd w:val="clear" w:color="auto" w:fill="auto"/>
            <w:vAlign w:val="center"/>
          </w:tcPr>
          <w:p w14:paraId="58E518A3">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评分因素</w:t>
            </w:r>
          </w:p>
        </w:tc>
        <w:tc>
          <w:tcPr>
            <w:tcW w:w="920" w:type="dxa"/>
            <w:shd w:val="clear" w:color="auto" w:fill="auto"/>
            <w:vAlign w:val="center"/>
          </w:tcPr>
          <w:p w14:paraId="0049819D">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分值</w:t>
            </w:r>
          </w:p>
        </w:tc>
        <w:tc>
          <w:tcPr>
            <w:tcW w:w="7309" w:type="dxa"/>
            <w:shd w:val="clear" w:color="auto" w:fill="auto"/>
            <w:vAlign w:val="center"/>
          </w:tcPr>
          <w:p w14:paraId="5F5D06FA">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评分标准</w:t>
            </w:r>
          </w:p>
        </w:tc>
      </w:tr>
      <w:tr w14:paraId="0D2D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shd w:val="clear" w:color="auto" w:fill="auto"/>
            <w:vAlign w:val="center"/>
          </w:tcPr>
          <w:p w14:paraId="7165D44E">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价格部分（10 分）</w:t>
            </w:r>
          </w:p>
        </w:tc>
        <w:tc>
          <w:tcPr>
            <w:tcW w:w="920" w:type="dxa"/>
            <w:shd w:val="clear" w:color="auto" w:fill="auto"/>
            <w:vAlign w:val="center"/>
          </w:tcPr>
          <w:p w14:paraId="7E6584CD">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10分</w:t>
            </w:r>
          </w:p>
        </w:tc>
        <w:tc>
          <w:tcPr>
            <w:tcW w:w="7309" w:type="dxa"/>
            <w:shd w:val="clear" w:color="auto" w:fill="auto"/>
            <w:vAlign w:val="center"/>
          </w:tcPr>
          <w:p w14:paraId="69B0B864">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在报价评分时，满足招标文件要求且投标报价最低的有效投标报价为评标基准价，其报价得分计满分。其他投标人的报价得分统一按公式计算：报价得分＝（评标基准价/投标报价）×10</w:t>
            </w:r>
          </w:p>
        </w:tc>
      </w:tr>
      <w:tr w14:paraId="3D3D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shd w:val="clear" w:color="auto" w:fill="auto"/>
            <w:vAlign w:val="center"/>
          </w:tcPr>
          <w:p w14:paraId="5CFCB46C">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商务部分（3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c>
          <w:tcPr>
            <w:tcW w:w="920" w:type="dxa"/>
            <w:shd w:val="clear" w:color="auto" w:fill="auto"/>
            <w:vAlign w:val="center"/>
          </w:tcPr>
          <w:p w14:paraId="357EB901">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分</w:t>
            </w:r>
          </w:p>
        </w:tc>
        <w:tc>
          <w:tcPr>
            <w:tcW w:w="7309" w:type="dxa"/>
            <w:shd w:val="clear" w:color="auto" w:fill="auto"/>
            <w:vAlign w:val="center"/>
          </w:tcPr>
          <w:p w14:paraId="32F20AB2">
            <w:pPr>
              <w:pStyle w:val="2"/>
              <w:numPr>
                <w:ilvl w:val="0"/>
                <w:numId w:val="0"/>
              </w:numPr>
              <w:ind w:left="0" w:leftChars="0" w:firstLine="0" w:firstLineChars="0"/>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z w:val="24"/>
                <w:szCs w:val="24"/>
                <w:highlight w:val="none"/>
              </w:rPr>
              <w:t>供应商提供2022年1月以来承接过全过程预算绩效管理业务类型（包括事前绩效评估、绩效目标审核、评价结果复核、绩效评价、绩效指标和标准体系建设、预算绩效管理课题研究、绩效培训等）业绩，每有一种类型得2分，最高得14分。（提供合同扫描件及开展项目类型列表）</w:t>
            </w:r>
          </w:p>
        </w:tc>
      </w:tr>
      <w:tr w14:paraId="45A4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14:paraId="4A056F72">
            <w:pPr>
              <w:rPr>
                <w:rFonts w:hint="eastAsia" w:ascii="宋体" w:hAnsi="宋体" w:eastAsia="宋体" w:cs="宋体"/>
                <w:color w:val="auto"/>
                <w:sz w:val="24"/>
                <w:szCs w:val="24"/>
                <w:highlight w:val="none"/>
                <w:vertAlign w:val="baseline"/>
              </w:rPr>
            </w:pPr>
          </w:p>
        </w:tc>
        <w:tc>
          <w:tcPr>
            <w:tcW w:w="920" w:type="dxa"/>
            <w:shd w:val="clear" w:color="auto" w:fill="auto"/>
            <w:vAlign w:val="center"/>
          </w:tcPr>
          <w:p w14:paraId="141FB5AD">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分</w:t>
            </w:r>
          </w:p>
        </w:tc>
        <w:tc>
          <w:tcPr>
            <w:tcW w:w="7309" w:type="dxa"/>
            <w:shd w:val="clear" w:color="auto" w:fill="auto"/>
            <w:vAlign w:val="center"/>
          </w:tcPr>
          <w:p w14:paraId="57EB96D4">
            <w:pPr>
              <w:pStyle w:val="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担任项目负责人的人员：</w:t>
            </w:r>
          </w:p>
          <w:p w14:paraId="494E31B4">
            <w:pPr>
              <w:pStyle w:val="2"/>
              <w:numPr>
                <w:ilvl w:val="0"/>
                <w:numId w:val="0"/>
              </w:numPr>
              <w:ind w:left="0" w:leftChars="0" w:firstLine="0" w:firstLineChars="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rPr>
              <w:t>担任项目负责人的人员</w:t>
            </w:r>
            <w:r>
              <w:rPr>
                <w:rFonts w:hint="eastAsia" w:cs="宋体"/>
                <w:color w:val="auto"/>
                <w:sz w:val="24"/>
                <w:szCs w:val="24"/>
                <w:highlight w:val="none"/>
                <w:lang w:val="en-US" w:eastAsia="zh-CN"/>
              </w:rPr>
              <w:t>须本单位正式人员，</w:t>
            </w:r>
            <w:r>
              <w:rPr>
                <w:rFonts w:hint="eastAsia" w:ascii="宋体" w:hAnsi="宋体" w:eastAsia="宋体" w:cs="宋体"/>
                <w:color w:val="auto"/>
                <w:sz w:val="24"/>
                <w:szCs w:val="24"/>
                <w:highlight w:val="none"/>
                <w:lang w:eastAsia="zh-CN"/>
              </w:rPr>
              <w:t>具有财会、金融、税务领域高级职称或注册会计师等相关行业管理部门认可的专业资质的得</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 w:eastAsia="zh-CN"/>
              </w:rPr>
              <w:t>；</w:t>
            </w:r>
            <w:r>
              <w:rPr>
                <w:rFonts w:hint="eastAsia" w:ascii="宋体" w:hAnsi="宋体" w:eastAsia="宋体" w:cs="宋体"/>
                <w:color w:val="auto"/>
                <w:sz w:val="24"/>
                <w:szCs w:val="24"/>
                <w:highlight w:val="none"/>
                <w:lang w:eastAsia="zh-CN"/>
              </w:rPr>
              <w:t>具有财会、金融、税务领域中级职称的得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（提供</w:t>
            </w:r>
            <w:r>
              <w:rPr>
                <w:rFonts w:hint="eastAsia" w:cs="宋体"/>
                <w:color w:val="auto"/>
                <w:sz w:val="24"/>
                <w:szCs w:val="24"/>
                <w:highlight w:val="none"/>
                <w:lang w:val="en-US" w:eastAsia="zh-CN"/>
              </w:rPr>
              <w:t>为本单位正式员工的相关资料及证书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p>
        </w:tc>
      </w:tr>
      <w:tr w14:paraId="1D6D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14:paraId="338E59A6">
            <w:pPr>
              <w:rPr>
                <w:rFonts w:hint="eastAsia" w:ascii="宋体" w:hAnsi="宋体" w:eastAsia="宋体" w:cs="宋体"/>
                <w:color w:val="auto"/>
                <w:sz w:val="24"/>
                <w:szCs w:val="24"/>
                <w:highlight w:val="none"/>
                <w:vertAlign w:val="baseline"/>
              </w:rPr>
            </w:pPr>
          </w:p>
        </w:tc>
        <w:tc>
          <w:tcPr>
            <w:tcW w:w="920" w:type="dxa"/>
            <w:shd w:val="clear" w:color="auto" w:fill="auto"/>
            <w:vAlign w:val="center"/>
          </w:tcPr>
          <w:p w14:paraId="632F3E82">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p>
        </w:tc>
        <w:tc>
          <w:tcPr>
            <w:tcW w:w="7309" w:type="dxa"/>
            <w:shd w:val="clear" w:color="auto" w:fill="auto"/>
            <w:vAlign w:val="center"/>
          </w:tcPr>
          <w:p w14:paraId="76BD4DBD">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项目团</w:t>
            </w:r>
            <w:r>
              <w:rPr>
                <w:rFonts w:hint="eastAsia" w:ascii="宋体" w:hAnsi="宋体" w:eastAsia="宋体" w:cs="宋体"/>
                <w:color w:val="auto"/>
                <w:sz w:val="24"/>
                <w:szCs w:val="24"/>
                <w:highlight w:val="none"/>
                <w:lang w:val="en-US" w:eastAsia="zh-CN"/>
              </w:rPr>
              <w:t>队除项目负责人之外的其他成员：</w:t>
            </w:r>
          </w:p>
          <w:p w14:paraId="00F029B1">
            <w:pPr>
              <w:pStyle w:val="2"/>
              <w:numPr>
                <w:ilvl w:val="0"/>
                <w:numId w:val="0"/>
              </w:numPr>
              <w:ind w:left="0" w:leftChars="0" w:firstLine="0" w:firstLineChars="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项目团队其他成员具备财会、金融、审计、财政、税务等专业本科及以上学历的，每有1人得1分，最高得12分。（提</w:t>
            </w:r>
            <w:r>
              <w:rPr>
                <w:rFonts w:hint="eastAsia" w:ascii="宋体" w:hAnsi="宋体" w:eastAsia="宋体" w:cs="宋体"/>
                <w:color w:val="auto"/>
                <w:sz w:val="24"/>
                <w:szCs w:val="24"/>
                <w:highlight w:val="none"/>
                <w:lang w:eastAsia="zh-CN"/>
              </w:rPr>
              <w:t>供人员专业列表及职称证书扫描件为准）</w:t>
            </w:r>
          </w:p>
        </w:tc>
      </w:tr>
      <w:tr w14:paraId="0767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shd w:val="clear" w:color="auto" w:fill="auto"/>
            <w:vAlign w:val="center"/>
          </w:tcPr>
          <w:p w14:paraId="32762DB3">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技术部分</w:t>
            </w:r>
          </w:p>
          <w:p w14:paraId="700B71BF">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58</w:t>
            </w:r>
            <w:r>
              <w:rPr>
                <w:rFonts w:hint="eastAsia" w:ascii="宋体" w:hAnsi="宋体" w:eastAsia="宋体" w:cs="宋体"/>
                <w:color w:val="auto"/>
                <w:kern w:val="2"/>
                <w:sz w:val="24"/>
                <w:szCs w:val="24"/>
                <w:highlight w:val="none"/>
              </w:rPr>
              <w:t>分）</w:t>
            </w:r>
          </w:p>
        </w:tc>
        <w:tc>
          <w:tcPr>
            <w:tcW w:w="920" w:type="dxa"/>
            <w:shd w:val="clear" w:color="auto" w:fill="auto"/>
            <w:vAlign w:val="center"/>
          </w:tcPr>
          <w:p w14:paraId="29E5B815">
            <w:pPr>
              <w:widowControl w:val="0"/>
              <w:spacing w:line="560" w:lineRule="exact"/>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16</w:t>
            </w:r>
            <w:r>
              <w:rPr>
                <w:rFonts w:hint="eastAsia" w:ascii="宋体" w:hAnsi="宋体" w:eastAsia="宋体" w:cs="宋体"/>
                <w:color w:val="auto"/>
                <w:kern w:val="2"/>
                <w:sz w:val="24"/>
                <w:szCs w:val="24"/>
                <w:highlight w:val="none"/>
              </w:rPr>
              <w:t>分</w:t>
            </w:r>
          </w:p>
        </w:tc>
        <w:tc>
          <w:tcPr>
            <w:tcW w:w="7309" w:type="dxa"/>
            <w:shd w:val="clear" w:color="auto" w:fill="auto"/>
            <w:vAlign w:val="center"/>
          </w:tcPr>
          <w:p w14:paraId="3B4DD63D">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实施步骤科学性</w:t>
            </w:r>
          </w:p>
          <w:p w14:paraId="0A9AC2D2">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步骤完整性。评价步骤清晰合理可行得4分，基本清晰合理可行得2分，步骤不清晰合理可行不得分。</w:t>
            </w:r>
          </w:p>
          <w:p w14:paraId="5AC9C401">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时间节点合理性。时间安排合理，覆盖</w:t>
            </w:r>
            <w:r>
              <w:rPr>
                <w:rFonts w:hint="eastAsia" w:ascii="宋体" w:hAnsi="宋体" w:eastAsia="宋体" w:cs="宋体"/>
                <w:color w:val="auto"/>
                <w:sz w:val="24"/>
                <w:szCs w:val="24"/>
                <w:highlight w:val="none"/>
                <w:lang w:val="en-US" w:eastAsia="zh-CN"/>
              </w:rPr>
              <w:t>8个县区得4分。</w:t>
            </w:r>
          </w:p>
          <w:p w14:paraId="676EA516">
            <w:pPr>
              <w:pStyle w:val="2"/>
              <w:numPr>
                <w:ilvl w:val="0"/>
                <w:numId w:val="0"/>
              </w:numPr>
              <w:ind w:left="0" w:leftChars="0" w:firstLine="0" w:firstLineChars="0"/>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任务分工明确性。项目成员分工明确，任务清晰的得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分，否则不得分；</w:t>
            </w:r>
          </w:p>
          <w:p w14:paraId="73EFE4FE">
            <w:pPr>
              <w:pStyle w:val="2"/>
              <w:numPr>
                <w:ilvl w:val="0"/>
                <w:numId w:val="0"/>
              </w:numPr>
              <w:ind w:left="0" w:leftChars="0" w:firstLine="0" w:firstLineChars="0"/>
              <w:rPr>
                <w:rFonts w:hint="eastAsia" w:ascii="宋体" w:hAnsi="宋体" w:eastAsia="宋体" w:cs="宋体"/>
                <w:color w:val="auto"/>
                <w:spacing w:val="4"/>
                <w:kern w:val="2"/>
                <w:sz w:val="24"/>
                <w:szCs w:val="24"/>
                <w:highlight w:val="none"/>
                <w:lang w:val="en-US" w:eastAsia="zh-CN" w:bidi="ar-SA"/>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风险防控措施。控制方案及保障措施合理可行得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分；控制方案及保障措施基本合理可行得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分；没有不得分。</w:t>
            </w:r>
          </w:p>
        </w:tc>
      </w:tr>
      <w:tr w14:paraId="46B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shd w:val="clear" w:color="auto" w:fill="auto"/>
            <w:vAlign w:val="center"/>
          </w:tcPr>
          <w:p w14:paraId="27524FC7">
            <w:pPr>
              <w:widowControl w:val="0"/>
              <w:spacing w:line="560" w:lineRule="exact"/>
              <w:ind w:firstLine="0" w:firstLineChars="0"/>
              <w:jc w:val="center"/>
              <w:textAlignment w:val="center"/>
              <w:rPr>
                <w:rFonts w:hint="eastAsia" w:ascii="宋体" w:hAnsi="宋体" w:eastAsia="宋体" w:cs="宋体"/>
                <w:color w:val="auto"/>
                <w:kern w:val="2"/>
                <w:sz w:val="24"/>
                <w:szCs w:val="24"/>
                <w:highlight w:val="none"/>
              </w:rPr>
            </w:pPr>
          </w:p>
        </w:tc>
        <w:tc>
          <w:tcPr>
            <w:tcW w:w="920" w:type="dxa"/>
            <w:shd w:val="clear" w:color="auto" w:fill="auto"/>
            <w:vAlign w:val="center"/>
          </w:tcPr>
          <w:p w14:paraId="348EE38F">
            <w:pPr>
              <w:pStyle w:val="2"/>
              <w:ind w:left="0" w:leftChars="0" w:firstLine="0" w:firstLineChars="0"/>
              <w:rPr>
                <w:rFonts w:hint="eastAsia" w:ascii="宋体" w:hAnsi="宋体" w:eastAsia="宋体" w:cs="Times New Roman"/>
                <w:color w:val="auto"/>
                <w:spacing w:val="4"/>
                <w:kern w:val="2"/>
                <w:sz w:val="24"/>
                <w:highlight w:val="none"/>
                <w:lang w:val="en-US" w:eastAsia="zh-CN" w:bidi="ar-SA"/>
              </w:rPr>
            </w:pPr>
            <w:r>
              <w:rPr>
                <w:rFonts w:hint="eastAsia"/>
                <w:color w:val="auto"/>
                <w:highlight w:val="none"/>
                <w:lang w:val="en-US" w:eastAsia="zh-CN"/>
              </w:rPr>
              <w:t>42分</w:t>
            </w:r>
          </w:p>
        </w:tc>
        <w:tc>
          <w:tcPr>
            <w:tcW w:w="7309" w:type="dxa"/>
            <w:shd w:val="clear" w:color="auto" w:fill="auto"/>
            <w:vAlign w:val="center"/>
          </w:tcPr>
          <w:p w14:paraId="1DF64750">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实施内容完备性</w:t>
            </w:r>
          </w:p>
          <w:p w14:paraId="775FF80C">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实施思路明确。对8个县区预算绩效管理制度建设、标准设立、激励约束、改革创新等建设工作有明确实施思路的得8分，实施思路基本明确得4分，思路混乱不明确不得分。</w:t>
            </w:r>
          </w:p>
          <w:p w14:paraId="593BC440">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实施方法可行。实施依据充分、方法合理科学得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分，基本充分、方法合理得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分，依据不充分、不合理不得分。</w:t>
            </w:r>
          </w:p>
          <w:p w14:paraId="6EB5F948">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实施内容完整。内容涵盖制度建设、标准设立、成本绩效、事前评估和评审结合相关内容。</w:t>
            </w:r>
          </w:p>
          <w:p w14:paraId="06BD2836">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对以上内容能进行</w:t>
            </w:r>
            <w:r>
              <w:rPr>
                <w:rFonts w:hint="eastAsia" w:ascii="宋体" w:hAnsi="宋体" w:eastAsia="宋体" w:cs="宋体"/>
                <w:color w:val="auto"/>
                <w:sz w:val="24"/>
                <w:szCs w:val="24"/>
                <w:highlight w:val="none"/>
                <w:lang w:val="zh-CN" w:eastAsia="zh-CN"/>
              </w:rPr>
              <w:t>全面、准确阐述的得</w:t>
            </w:r>
            <w:r>
              <w:rPr>
                <w:rFonts w:hint="eastAsia" w:ascii="宋体" w:hAnsi="宋体" w:eastAsia="宋体" w:cs="宋体"/>
                <w:color w:val="auto"/>
                <w:sz w:val="24"/>
                <w:szCs w:val="24"/>
                <w:highlight w:val="none"/>
                <w:lang w:val="en-US" w:eastAsia="zh-CN"/>
              </w:rPr>
              <w:t>8分，基本全面，准确阐述的得4分</w:t>
            </w:r>
            <w:r>
              <w:rPr>
                <w:rFonts w:hint="eastAsia" w:ascii="宋体" w:hAnsi="宋体" w:eastAsia="宋体" w:cs="宋体"/>
                <w:color w:val="auto"/>
                <w:sz w:val="24"/>
                <w:szCs w:val="24"/>
                <w:highlight w:val="none"/>
                <w:lang w:val="en" w:eastAsia="zh-CN"/>
              </w:rPr>
              <w:t>,否则不得分</w:t>
            </w:r>
            <w:r>
              <w:rPr>
                <w:rFonts w:hint="eastAsia" w:ascii="宋体" w:hAnsi="宋体" w:eastAsia="宋体" w:cs="宋体"/>
                <w:color w:val="auto"/>
                <w:sz w:val="24"/>
                <w:szCs w:val="24"/>
                <w:highlight w:val="none"/>
                <w:lang w:val="en-US" w:eastAsia="zh-CN"/>
              </w:rPr>
              <w:t>；</w:t>
            </w:r>
          </w:p>
          <w:p w14:paraId="3F6E7404">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能就目前掌握的县区预算绩效管理存在的普遍情况和问题提出预算绩效管理相关改进意见建议的得10分，提出改进意见但不具有针对性的得5分，无此项内容不得分。</w:t>
            </w:r>
          </w:p>
          <w:p w14:paraId="2C733947">
            <w:pPr>
              <w:pStyle w:val="2"/>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信息收集能力。实施方案中</w:t>
            </w:r>
            <w:r>
              <w:rPr>
                <w:rFonts w:hint="eastAsia" w:ascii="宋体" w:hAnsi="宋体" w:eastAsia="宋体" w:cs="宋体"/>
                <w:color w:val="auto"/>
                <w:sz w:val="24"/>
                <w:szCs w:val="24"/>
                <w:highlight w:val="none"/>
                <w:lang w:val="zh-CN" w:eastAsia="zh-CN"/>
              </w:rPr>
              <w:t>主动收集县区及其他地区预算绩效管理相关资料全面的得</w:t>
            </w:r>
            <w:r>
              <w:rPr>
                <w:rFonts w:hint="eastAsia" w:ascii="宋体" w:hAnsi="宋体" w:eastAsia="宋体" w:cs="宋体"/>
                <w:color w:val="auto"/>
                <w:sz w:val="24"/>
                <w:szCs w:val="24"/>
                <w:highlight w:val="none"/>
                <w:lang w:val="en-US" w:eastAsia="zh-CN"/>
              </w:rPr>
              <w:t>5分，基本全面得2分，不全面不得分。</w:t>
            </w:r>
          </w:p>
          <w:p w14:paraId="57E446C9">
            <w:pPr>
              <w:pStyle w:val="2"/>
              <w:numPr>
                <w:ilvl w:val="0"/>
                <w:numId w:val="0"/>
              </w:numPr>
              <w:ind w:left="0" w:leftChars="0" w:firstLine="0" w:firstLineChars="0"/>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创新举措。</w:t>
            </w:r>
            <w:r>
              <w:rPr>
                <w:rFonts w:hint="eastAsia" w:ascii="宋体" w:hAnsi="宋体" w:eastAsia="宋体" w:cs="宋体"/>
                <w:color w:val="auto"/>
                <w:sz w:val="24"/>
                <w:szCs w:val="24"/>
                <w:highlight w:val="none"/>
                <w:lang w:val="zh-CN" w:eastAsia="zh-CN"/>
              </w:rPr>
              <w:t>以提高县区预算绩效管理水平为目标，提出切实可行的创新性举措方法，得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分，有举措但可行性不高得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分，没有不得分。</w:t>
            </w:r>
          </w:p>
          <w:p w14:paraId="603193B2">
            <w:pPr>
              <w:pStyle w:val="3"/>
              <w:ind w:left="0" w:leftChars="0" w:firstLine="0" w:firstLineChars="0"/>
              <w:rPr>
                <w:rFonts w:hint="default"/>
                <w:color w:val="auto"/>
                <w:highlight w:val="none"/>
                <w:lang w:val="en-US" w:eastAsia="zh-CN"/>
              </w:rPr>
            </w:pPr>
            <w:r>
              <w:rPr>
                <w:rFonts w:hint="eastAsia" w:ascii="宋体" w:hAnsi="宋体" w:cs="宋体"/>
                <w:color w:val="auto"/>
                <w:sz w:val="24"/>
                <w:szCs w:val="24"/>
                <w:highlight w:val="none"/>
                <w:lang w:val="en-US" w:eastAsia="zh-CN"/>
              </w:rPr>
              <w:t>6.</w:t>
            </w:r>
            <w:r>
              <w:rPr>
                <w:rFonts w:hint="eastAsia" w:cs="宋体"/>
                <w:color w:val="auto"/>
                <w:sz w:val="24"/>
                <w:szCs w:val="24"/>
                <w:highlight w:val="none"/>
                <w:lang w:val="en-US" w:eastAsia="zh-CN"/>
              </w:rPr>
              <w:t>保密要求</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投标人为本项目提供保密承诺，承诺中标后与投标人签订保密协议并严格按照保密规定开展工作，提供承诺函得2分，不提供不得分。</w:t>
            </w:r>
          </w:p>
        </w:tc>
      </w:tr>
    </w:tbl>
    <w:p w14:paraId="08BB24F4">
      <w:pPr>
        <w:wordWrap w:val="0"/>
        <w:spacing w:line="360" w:lineRule="auto"/>
        <w:ind w:firstLine="480" w:firstLineChars="200"/>
        <w:outlineLvl w:val="2"/>
        <w:rPr>
          <w:rFonts w:ascii="宋体"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w:t>
      </w:r>
      <w:r>
        <w:rPr>
          <w:rFonts w:ascii="宋体" w:hAnsi="宋体"/>
          <w:b/>
          <w:color w:val="auto"/>
          <w:sz w:val="24"/>
          <w:szCs w:val="24"/>
          <w:highlight w:val="none"/>
        </w:rPr>
        <w:t>2</w:t>
      </w:r>
      <w:r>
        <w:rPr>
          <w:rFonts w:hint="eastAsia" w:ascii="宋体" w:hAnsi="宋体"/>
          <w:b/>
          <w:color w:val="auto"/>
          <w:sz w:val="24"/>
          <w:szCs w:val="24"/>
          <w:highlight w:val="none"/>
        </w:rPr>
        <w:t>　评标注意事项</w:t>
      </w:r>
      <w:bookmarkEnd w:id="282"/>
      <w:bookmarkEnd w:id="283"/>
    </w:p>
    <w:p w14:paraId="0E856CA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评标时，评标委员会应注意以下事项：</w:t>
      </w:r>
    </w:p>
    <w:p w14:paraId="2FA5E52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（1）必须落实的中小微企业优惠政策。</w:t>
      </w:r>
    </w:p>
    <w:p w14:paraId="0A54387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85" w:name="_Hlk100245848"/>
      <w:r>
        <w:rPr>
          <w:rFonts w:hint="eastAsia" w:ascii="宋体" w:hAnsi="宋体"/>
          <w:color w:val="auto"/>
          <w:sz w:val="24"/>
          <w:szCs w:val="24"/>
          <w:highlight w:val="none"/>
        </w:rPr>
        <w:t>价格扣除比例</w:t>
      </w:r>
      <w:bookmarkEnd w:id="285"/>
      <w:r>
        <w:rPr>
          <w:rFonts w:hint="eastAsia" w:ascii="宋体" w:hAnsi="宋体"/>
          <w:color w:val="auto"/>
          <w:sz w:val="24"/>
          <w:szCs w:val="24"/>
          <w:highlight w:val="none"/>
        </w:rPr>
        <w:t>对小型企业和微型企业同等对待，不作区分。即：①对符合规定的小微企业报价给予</w:t>
      </w:r>
      <w:r>
        <w:rPr>
          <w:rFonts w:ascii="宋体" w:hAnsi="宋体"/>
          <w:color w:val="auto"/>
          <w:sz w:val="24"/>
          <w:szCs w:val="24"/>
          <w:highlight w:val="none"/>
        </w:rPr>
        <w:t>12</w:t>
      </w:r>
      <w:r>
        <w:rPr>
          <w:rFonts w:hint="eastAsia" w:ascii="宋体" w:hAnsi="宋体"/>
          <w:color w:val="auto"/>
          <w:sz w:val="24"/>
          <w:szCs w:val="24"/>
          <w:highlight w:val="none"/>
        </w:rPr>
        <w:t>%的扣除，用扣除后的价格参加评审。②接受大中型企业与小微企业组成联合体或者允许大中型企业向一家或者多家小微企业分包的采购项目，对于《联合体投标协议》或者《分包意向协议》约定小微企业的合同份额占到合同总金额30%以上的，对联合体或者大中型企业的报价给予</w:t>
      </w:r>
      <w:r>
        <w:rPr>
          <w:rFonts w:ascii="宋体" w:hAnsi="宋体"/>
          <w:color w:val="auto"/>
          <w:sz w:val="24"/>
          <w:szCs w:val="24"/>
          <w:highlight w:val="none"/>
        </w:rPr>
        <w:t>4</w:t>
      </w:r>
      <w:r>
        <w:rPr>
          <w:rFonts w:hint="eastAsia" w:ascii="宋体" w:hAnsi="宋体"/>
          <w:color w:val="auto"/>
          <w:sz w:val="24"/>
          <w:szCs w:val="24"/>
          <w:highlight w:val="none"/>
        </w:rPr>
        <w:t>%的扣除，用扣除后的价格参加评审。但组成联合体或者接受分包的小微企业与联合体内其他企业、分包企业之间存在直接控股、管理关系的，不享受价格扣除优惠政策。</w:t>
      </w:r>
    </w:p>
    <w:p w14:paraId="5C073BBE">
      <w:pPr>
        <w:pStyle w:val="15"/>
        <w:wordWrap w:val="0"/>
        <w:spacing w:line="360" w:lineRule="auto"/>
        <w:ind w:firstLine="480" w:firstLineChars="200"/>
        <w:rPr>
          <w:color w:val="auto"/>
          <w:highlight w:val="none"/>
        </w:rPr>
      </w:pPr>
      <w:r>
        <w:rPr>
          <w:rFonts w:hint="eastAsia" w:ascii="宋体" w:hAnsi="宋体"/>
          <w:color w:val="auto"/>
          <w:szCs w:val="24"/>
          <w:highlight w:val="none"/>
        </w:rPr>
        <w:t>（</w:t>
      </w:r>
      <w:r>
        <w:rPr>
          <w:rFonts w:ascii="宋体" w:hAnsi="宋体"/>
          <w:color w:val="auto"/>
          <w:szCs w:val="24"/>
          <w:highlight w:val="none"/>
        </w:rPr>
        <w:t>2</w:t>
      </w:r>
      <w:r>
        <w:rPr>
          <w:rFonts w:hint="eastAsia" w:ascii="宋体" w:hAnsi="宋体"/>
          <w:color w:val="auto"/>
          <w:szCs w:val="24"/>
          <w:highlight w:val="none"/>
        </w:rPr>
        <w:t>）必须落实的</w:t>
      </w:r>
      <w:r>
        <w:rPr>
          <w:rFonts w:hint="eastAsia"/>
          <w:color w:val="auto"/>
          <w:highlight w:val="none"/>
        </w:rPr>
        <w:t>节能产品</w:t>
      </w:r>
      <w:r>
        <w:rPr>
          <w:rFonts w:hint="eastAsia" w:ascii="宋体" w:hAnsi="宋体"/>
          <w:color w:val="auto"/>
          <w:szCs w:val="24"/>
          <w:highlight w:val="none"/>
        </w:rPr>
        <w:t>采购政策。</w:t>
      </w:r>
    </w:p>
    <w:p w14:paraId="1C8BD44C">
      <w:pPr>
        <w:pStyle w:val="15"/>
        <w:wordWrap w:val="0"/>
        <w:spacing w:line="360" w:lineRule="auto"/>
        <w:ind w:firstLine="480" w:firstLineChars="200"/>
        <w:rPr>
          <w:color w:val="auto"/>
          <w:highlight w:val="none"/>
        </w:rPr>
      </w:pPr>
      <w:r>
        <w:rPr>
          <w:rFonts w:hint="eastAsia"/>
          <w:color w:val="auto"/>
          <w:highlight w:val="none"/>
        </w:rPr>
        <w:t>根据《节能产品政府采购品目清单》规定，《节能产品政府采购品目清单》内的产品，其中，“★”标注的为政府强制采购产品，非“★”标注的为政府优先采购产品。</w:t>
      </w:r>
      <w:bookmarkStart w:id="286" w:name="_Hlk101442223"/>
      <w:r>
        <w:rPr>
          <w:rFonts w:hint="eastAsia"/>
          <w:color w:val="auto"/>
          <w:highlight w:val="none"/>
        </w:rPr>
        <w:t>评审过程中</w:t>
      </w:r>
      <w:bookmarkEnd w:id="286"/>
      <w:r>
        <w:rPr>
          <w:rFonts w:hint="eastAsia"/>
          <w:color w:val="auto"/>
          <w:highlight w:val="none"/>
        </w:rPr>
        <w:t>，评标委员会应充分考虑。</w:t>
      </w:r>
    </w:p>
    <w:p w14:paraId="3B5C2D25">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3</w:t>
      </w:r>
      <w:r>
        <w:rPr>
          <w:rFonts w:hint="eastAsia" w:ascii="宋体" w:hAnsi="宋体"/>
          <w:color w:val="auto"/>
          <w:szCs w:val="24"/>
          <w:highlight w:val="none"/>
        </w:rPr>
        <w:t>）必须落实的</w:t>
      </w:r>
      <w:r>
        <w:rPr>
          <w:rFonts w:hint="eastAsia"/>
          <w:color w:val="auto"/>
          <w:highlight w:val="none"/>
        </w:rPr>
        <w:t>环境标志产品</w:t>
      </w:r>
      <w:r>
        <w:rPr>
          <w:rFonts w:hint="eastAsia" w:ascii="宋体" w:hAnsi="宋体"/>
          <w:color w:val="auto"/>
          <w:szCs w:val="24"/>
          <w:highlight w:val="none"/>
        </w:rPr>
        <w:t>采购政策。</w:t>
      </w:r>
    </w:p>
    <w:p w14:paraId="5A3CAD7F">
      <w:pPr>
        <w:pStyle w:val="15"/>
        <w:wordWrap w:val="0"/>
        <w:spacing w:line="360" w:lineRule="auto"/>
        <w:ind w:firstLine="480" w:firstLineChars="200"/>
        <w:rPr>
          <w:color w:val="auto"/>
          <w:highlight w:val="none"/>
        </w:rPr>
      </w:pPr>
      <w:r>
        <w:rPr>
          <w:rFonts w:hint="eastAsia"/>
          <w:color w:val="auto"/>
          <w:highlight w:val="none"/>
        </w:rPr>
        <w:t>根据《环境标志产品政府采购品目清单》规定，《环境标志产品政府采购品目清单》内的产品，为政府优先采购产品。评审过程中，评标委员会应充分考虑。</w:t>
      </w:r>
    </w:p>
    <w:bookmarkEnd w:id="272"/>
    <w:bookmarkEnd w:id="273"/>
    <w:bookmarkEnd w:id="284"/>
    <w:p w14:paraId="64D8BECC">
      <w:pPr>
        <w:wordWrap w:val="0"/>
        <w:spacing w:line="360" w:lineRule="auto"/>
        <w:ind w:firstLine="480" w:firstLineChars="200"/>
        <w:outlineLvl w:val="1"/>
        <w:rPr>
          <w:rFonts w:ascii="宋体" w:hAnsi="宋体"/>
          <w:b/>
          <w:color w:val="auto"/>
          <w:sz w:val="24"/>
          <w:szCs w:val="24"/>
          <w:highlight w:val="none"/>
        </w:rPr>
      </w:pPr>
      <w:bookmarkStart w:id="287" w:name="_Toc140237306"/>
      <w:r>
        <w:rPr>
          <w:rFonts w:ascii="宋体" w:hAnsi="宋体"/>
          <w:b/>
          <w:color w:val="auto"/>
          <w:sz w:val="24"/>
          <w:szCs w:val="24"/>
          <w:highlight w:val="none"/>
        </w:rPr>
        <w:t>3.5</w:t>
      </w:r>
      <w:r>
        <w:rPr>
          <w:rFonts w:hint="eastAsia" w:ascii="宋体" w:hAnsi="宋体"/>
          <w:b/>
          <w:color w:val="auto"/>
          <w:sz w:val="24"/>
          <w:szCs w:val="24"/>
          <w:highlight w:val="none"/>
        </w:rPr>
        <w:t>　确定中标人</w:t>
      </w:r>
      <w:bookmarkEnd w:id="287"/>
    </w:p>
    <w:p w14:paraId="6A1C73E5">
      <w:pPr>
        <w:wordWrap w:val="0"/>
        <w:spacing w:line="360" w:lineRule="auto"/>
        <w:ind w:firstLine="480" w:firstLineChars="200"/>
        <w:rPr>
          <w:rFonts w:ascii="宋体" w:hAnsi="宋体"/>
          <w:color w:val="auto"/>
          <w:sz w:val="24"/>
          <w:highlight w:val="none"/>
        </w:rPr>
      </w:pPr>
      <w:bookmarkStart w:id="288" w:name="_Hlk97825059"/>
      <w:r>
        <w:rPr>
          <w:rFonts w:hint="eastAsia" w:ascii="宋体" w:hAnsi="宋体"/>
          <w:color w:val="auto"/>
          <w:sz w:val="24"/>
          <w:highlight w:val="none"/>
        </w:rPr>
        <w:t>本项目确定中标人方式见《投标人须知前附表》。</w:t>
      </w:r>
    </w:p>
    <w:bookmarkEnd w:id="288"/>
    <w:p w14:paraId="60970596">
      <w:pPr>
        <w:wordWrap w:val="0"/>
        <w:spacing w:line="360" w:lineRule="auto"/>
        <w:ind w:firstLine="480" w:firstLineChars="200"/>
        <w:outlineLvl w:val="1"/>
        <w:rPr>
          <w:rFonts w:ascii="宋体" w:hAnsi="宋体"/>
          <w:b/>
          <w:color w:val="auto"/>
          <w:sz w:val="24"/>
          <w:szCs w:val="24"/>
          <w:highlight w:val="none"/>
        </w:rPr>
      </w:pPr>
      <w:bookmarkStart w:id="289" w:name="_Toc140237307"/>
      <w:r>
        <w:rPr>
          <w:rFonts w:ascii="宋体" w:hAnsi="宋体"/>
          <w:b/>
          <w:color w:val="auto"/>
          <w:sz w:val="24"/>
          <w:szCs w:val="24"/>
          <w:highlight w:val="none"/>
        </w:rPr>
        <w:t>3.6</w:t>
      </w:r>
      <w:r>
        <w:rPr>
          <w:rFonts w:hint="eastAsia" w:ascii="宋体" w:hAnsi="宋体"/>
          <w:b/>
          <w:color w:val="auto"/>
          <w:sz w:val="24"/>
          <w:szCs w:val="24"/>
          <w:highlight w:val="none"/>
        </w:rPr>
        <w:t>　编写评标报告</w:t>
      </w:r>
      <w:bookmarkEnd w:id="289"/>
    </w:p>
    <w:p w14:paraId="1CBE2CD4">
      <w:pPr>
        <w:wordWrap w:val="0"/>
        <w:spacing w:line="360" w:lineRule="auto"/>
        <w:ind w:firstLine="480" w:firstLineChars="200"/>
        <w:rPr>
          <w:color w:val="auto"/>
          <w:sz w:val="24"/>
          <w:highlight w:val="none"/>
        </w:rPr>
      </w:pPr>
      <w:bookmarkStart w:id="290" w:name="_Toc472459282"/>
      <w:bookmarkStart w:id="291" w:name="_Toc91323602"/>
      <w:bookmarkStart w:id="292" w:name="_Toc91323631"/>
      <w:bookmarkStart w:id="293" w:name="_Toc369249097"/>
      <w:bookmarkStart w:id="294" w:name="_Toc472459305"/>
      <w:r>
        <w:rPr>
          <w:rFonts w:hint="eastAsia"/>
          <w:color w:val="auto"/>
          <w:sz w:val="24"/>
          <w:highlight w:val="none"/>
        </w:rPr>
        <w:t>评标委员会对评分汇总情况进行复核，特别是对排名第一的、报价最低的、投标或相应文件被认定为无效的情形进行重点复核，并根据评审结果推荐中标候选人，或者根据采购人委托直接确定中标人，起草并签署评审报告。</w:t>
      </w:r>
    </w:p>
    <w:p w14:paraId="46CA729E">
      <w:pPr>
        <w:wordWrap w:val="0"/>
        <w:spacing w:line="360" w:lineRule="auto"/>
        <w:ind w:firstLine="480" w:firstLineChars="200"/>
        <w:rPr>
          <w:color w:val="auto"/>
          <w:sz w:val="24"/>
          <w:highlight w:val="none"/>
        </w:rPr>
      </w:pPr>
      <w:r>
        <w:rPr>
          <w:rFonts w:hint="eastAsia"/>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9E9A7A4">
      <w:pPr>
        <w:pStyle w:val="15"/>
        <w:wordWrap w:val="0"/>
        <w:rPr>
          <w:color w:val="auto"/>
          <w:highlight w:val="none"/>
        </w:rPr>
        <w:sectPr>
          <w:pgSz w:w="11906" w:h="16838"/>
          <w:pgMar w:top="1440" w:right="1797" w:bottom="1440" w:left="1797" w:header="851" w:footer="992" w:gutter="0"/>
          <w:cols w:space="720" w:num="1"/>
          <w:docGrid w:type="linesAndChars" w:linePitch="319" w:charSpace="0"/>
        </w:sectPr>
      </w:pPr>
    </w:p>
    <w:p w14:paraId="7DECB289">
      <w:pPr>
        <w:wordWrap w:val="0"/>
        <w:spacing w:after="319" w:afterLines="100" w:line="360" w:lineRule="auto"/>
        <w:jc w:val="center"/>
        <w:outlineLvl w:val="0"/>
        <w:rPr>
          <w:rFonts w:ascii="华文中宋" w:hAnsi="华文中宋" w:eastAsia="华文中宋"/>
          <w:color w:val="auto"/>
          <w:sz w:val="32"/>
          <w:szCs w:val="32"/>
          <w:highlight w:val="none"/>
        </w:rPr>
      </w:pPr>
      <w:bookmarkStart w:id="295" w:name="_Toc140237308"/>
      <w:r>
        <w:rPr>
          <w:rFonts w:hint="eastAsia" w:ascii="华文中宋" w:hAnsi="华文中宋" w:eastAsia="华文中宋"/>
          <w:color w:val="auto"/>
          <w:sz w:val="32"/>
          <w:szCs w:val="32"/>
          <w:highlight w:val="none"/>
        </w:rPr>
        <w:t>第四章</w:t>
      </w:r>
      <w:bookmarkEnd w:id="290"/>
      <w:r>
        <w:rPr>
          <w:rFonts w:hint="eastAsia" w:ascii="华文中宋" w:hAnsi="华文中宋" w:eastAsia="华文中宋"/>
          <w:color w:val="auto"/>
          <w:sz w:val="32"/>
          <w:szCs w:val="32"/>
          <w:highlight w:val="none"/>
        </w:rPr>
        <w:t>　质疑和投诉</w:t>
      </w:r>
      <w:bookmarkEnd w:id="291"/>
      <w:bookmarkEnd w:id="295"/>
    </w:p>
    <w:p w14:paraId="7C8A1CFD">
      <w:pPr>
        <w:wordWrap w:val="0"/>
        <w:spacing w:line="360" w:lineRule="auto"/>
        <w:ind w:firstLine="480" w:firstLineChars="200"/>
        <w:outlineLvl w:val="1"/>
        <w:rPr>
          <w:rFonts w:ascii="宋体" w:hAnsi="宋体"/>
          <w:b/>
          <w:color w:val="auto"/>
          <w:sz w:val="24"/>
          <w:szCs w:val="24"/>
          <w:highlight w:val="none"/>
        </w:rPr>
      </w:pPr>
      <w:bookmarkStart w:id="296" w:name="_Toc91323603"/>
      <w:bookmarkStart w:id="297" w:name="_Toc140237309"/>
      <w:r>
        <w:rPr>
          <w:rFonts w:ascii="宋体" w:hAnsi="宋体"/>
          <w:b/>
          <w:color w:val="auto"/>
          <w:sz w:val="24"/>
          <w:szCs w:val="24"/>
          <w:highlight w:val="none"/>
        </w:rPr>
        <w:t>4</w:t>
      </w:r>
      <w:r>
        <w:rPr>
          <w:rFonts w:hint="eastAsia" w:ascii="宋体" w:hAnsi="宋体"/>
          <w:b/>
          <w:color w:val="auto"/>
          <w:sz w:val="24"/>
          <w:szCs w:val="24"/>
          <w:highlight w:val="none"/>
        </w:rPr>
        <w:t>.1</w:t>
      </w:r>
      <w:bookmarkStart w:id="298" w:name="_Toc472459284"/>
      <w:bookmarkStart w:id="299" w:name="_Toc369249076"/>
      <w:r>
        <w:rPr>
          <w:rFonts w:hint="eastAsia" w:ascii="宋体" w:hAnsi="宋体"/>
          <w:b/>
          <w:color w:val="auto"/>
          <w:sz w:val="24"/>
          <w:szCs w:val="24"/>
          <w:highlight w:val="none"/>
        </w:rPr>
        <w:t>　询问</w:t>
      </w:r>
      <w:bookmarkEnd w:id="296"/>
      <w:bookmarkEnd w:id="297"/>
    </w:p>
    <w:p w14:paraId="5987136A">
      <w:pPr>
        <w:pStyle w:val="15"/>
        <w:wordWrap w:val="0"/>
        <w:spacing w:line="360" w:lineRule="auto"/>
        <w:ind w:firstLine="480" w:firstLineChars="200"/>
        <w:rPr>
          <w:color w:val="auto"/>
          <w:highlight w:val="none"/>
        </w:rPr>
      </w:pPr>
      <w:r>
        <w:rPr>
          <w:rFonts w:hint="eastAsia"/>
          <w:color w:val="auto"/>
          <w:highlight w:val="none"/>
        </w:rPr>
        <w:t>供应商对政府采购活动事项和招标文件、评标结果有疑问的，可按公开招标公告中载明的联系方式、地址，以口头或书面形式向采购人或者采购代理机构提出询问，采购人或者采购代理机构依法作出处理和答复。</w:t>
      </w:r>
    </w:p>
    <w:p w14:paraId="2E00ACF0">
      <w:pPr>
        <w:pStyle w:val="15"/>
        <w:wordWrap w:val="0"/>
        <w:spacing w:line="360" w:lineRule="auto"/>
        <w:ind w:firstLine="480" w:firstLineChars="200"/>
        <w:rPr>
          <w:color w:val="auto"/>
          <w:highlight w:val="none"/>
        </w:rPr>
      </w:pPr>
      <w:r>
        <w:rPr>
          <w:rFonts w:hint="eastAsia"/>
          <w:color w:val="auto"/>
          <w:highlight w:val="none"/>
        </w:rPr>
        <w:t>询问的内容不属于采购人委托采购代理机构事项的，采购代理机构将依法告知供应商向采购人提出询问。</w:t>
      </w:r>
    </w:p>
    <w:p w14:paraId="6AF74E73">
      <w:pPr>
        <w:wordWrap w:val="0"/>
        <w:spacing w:line="360" w:lineRule="auto"/>
        <w:ind w:firstLine="480" w:firstLineChars="200"/>
        <w:outlineLvl w:val="1"/>
        <w:rPr>
          <w:rFonts w:ascii="宋体" w:hAnsi="宋体"/>
          <w:b/>
          <w:color w:val="auto"/>
          <w:sz w:val="24"/>
          <w:szCs w:val="24"/>
          <w:highlight w:val="none"/>
        </w:rPr>
      </w:pPr>
      <w:bookmarkStart w:id="300" w:name="_Toc91323604"/>
      <w:bookmarkStart w:id="301" w:name="_Toc140237310"/>
      <w:r>
        <w:rPr>
          <w:rFonts w:ascii="宋体" w:hAnsi="宋体"/>
          <w:b/>
          <w:color w:val="auto"/>
          <w:sz w:val="24"/>
          <w:szCs w:val="24"/>
          <w:highlight w:val="none"/>
        </w:rPr>
        <w:t>4</w:t>
      </w:r>
      <w:r>
        <w:rPr>
          <w:rFonts w:hint="eastAsia" w:ascii="宋体" w:hAnsi="宋体"/>
          <w:b/>
          <w:color w:val="auto"/>
          <w:sz w:val="24"/>
          <w:szCs w:val="24"/>
          <w:highlight w:val="none"/>
        </w:rPr>
        <w:t>.2</w:t>
      </w:r>
      <w:bookmarkEnd w:id="298"/>
      <w:bookmarkEnd w:id="299"/>
      <w:bookmarkStart w:id="302" w:name="_Toc472459285"/>
      <w:bookmarkStart w:id="303" w:name="_Toc369249077"/>
      <w:r>
        <w:rPr>
          <w:rFonts w:hint="eastAsia" w:ascii="宋体" w:hAnsi="宋体"/>
          <w:b/>
          <w:color w:val="auto"/>
          <w:sz w:val="24"/>
          <w:szCs w:val="24"/>
          <w:highlight w:val="none"/>
        </w:rPr>
        <w:t>　质疑</w:t>
      </w:r>
      <w:bookmarkEnd w:id="300"/>
      <w:bookmarkEnd w:id="301"/>
    </w:p>
    <w:bookmarkEnd w:id="302"/>
    <w:bookmarkEnd w:id="303"/>
    <w:p w14:paraId="2C8974C2">
      <w:pPr>
        <w:wordWrap w:val="0"/>
        <w:spacing w:line="360" w:lineRule="auto"/>
        <w:ind w:firstLine="480" w:firstLineChars="200"/>
        <w:outlineLvl w:val="2"/>
        <w:rPr>
          <w:rFonts w:ascii="宋体" w:hAnsi="宋体"/>
          <w:b/>
          <w:color w:val="auto"/>
          <w:sz w:val="24"/>
          <w:szCs w:val="24"/>
          <w:highlight w:val="none"/>
        </w:rPr>
      </w:pPr>
      <w:bookmarkStart w:id="304" w:name="_Toc140237311"/>
      <w:bookmarkStart w:id="305" w:name="_Hlk97803087"/>
      <w:r>
        <w:rPr>
          <w:rFonts w:hint="eastAsia" w:ascii="宋体" w:hAnsi="宋体"/>
          <w:b/>
          <w:color w:val="auto"/>
          <w:sz w:val="24"/>
          <w:szCs w:val="24"/>
          <w:highlight w:val="none"/>
        </w:rPr>
        <w:t>4</w:t>
      </w:r>
      <w:r>
        <w:rPr>
          <w:rFonts w:ascii="宋体" w:hAnsi="宋体"/>
          <w:b/>
          <w:color w:val="auto"/>
          <w:sz w:val="24"/>
          <w:szCs w:val="24"/>
          <w:highlight w:val="none"/>
        </w:rPr>
        <w:t>.2.1</w:t>
      </w:r>
      <w:r>
        <w:rPr>
          <w:rFonts w:hint="eastAsia" w:ascii="宋体" w:hAnsi="宋体"/>
          <w:b/>
          <w:color w:val="auto"/>
          <w:sz w:val="24"/>
          <w:szCs w:val="24"/>
          <w:highlight w:val="none"/>
        </w:rPr>
        <w:t>　质疑人</w:t>
      </w:r>
      <w:bookmarkEnd w:id="304"/>
    </w:p>
    <w:p w14:paraId="30510E5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提出质疑的供应商应当是参与所质疑项目政府采购活动的投标人。</w:t>
      </w:r>
    </w:p>
    <w:p w14:paraId="30A10876">
      <w:pPr>
        <w:wordWrap w:val="0"/>
        <w:spacing w:line="360" w:lineRule="auto"/>
        <w:ind w:firstLine="480" w:firstLineChars="200"/>
        <w:outlineLvl w:val="2"/>
        <w:rPr>
          <w:rFonts w:ascii="宋体" w:hAnsi="宋体"/>
          <w:b/>
          <w:color w:val="auto"/>
          <w:sz w:val="24"/>
          <w:szCs w:val="24"/>
          <w:highlight w:val="none"/>
        </w:rPr>
      </w:pPr>
      <w:bookmarkStart w:id="306" w:name="_Toc140237312"/>
      <w:r>
        <w:rPr>
          <w:rFonts w:hint="eastAsia" w:ascii="宋体" w:hAnsi="宋体"/>
          <w:b/>
          <w:color w:val="auto"/>
          <w:sz w:val="24"/>
          <w:szCs w:val="24"/>
          <w:highlight w:val="none"/>
        </w:rPr>
        <w:t>4</w:t>
      </w:r>
      <w:r>
        <w:rPr>
          <w:rFonts w:ascii="宋体" w:hAnsi="宋体"/>
          <w:b/>
          <w:color w:val="auto"/>
          <w:sz w:val="24"/>
          <w:szCs w:val="24"/>
          <w:highlight w:val="none"/>
        </w:rPr>
        <w:t>.2.2</w:t>
      </w:r>
      <w:r>
        <w:rPr>
          <w:rFonts w:hint="eastAsia" w:ascii="宋体" w:hAnsi="宋体"/>
          <w:b/>
          <w:color w:val="auto"/>
          <w:sz w:val="24"/>
          <w:szCs w:val="24"/>
          <w:highlight w:val="none"/>
        </w:rPr>
        <w:t>　提出质疑</w:t>
      </w:r>
      <w:bookmarkEnd w:id="306"/>
    </w:p>
    <w:p w14:paraId="2CCE685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认为招标文件、招标过程、招标结果使自己的权益受到损害的，可以在知道或者应知其权益受到损害之日起7个工作日内，以书面形式向采购人或者采购代理机构提出质疑。对招标文件提出质疑的，应当在获取招标文件或者招标文件公告期限届满之日起7个工作日内提出。</w:t>
      </w:r>
    </w:p>
    <w:p w14:paraId="0584AFE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供应商须在法定质疑期内一次性提出针对同一采购程序环节的质疑。</w:t>
      </w:r>
    </w:p>
    <w:p w14:paraId="4E5D583B">
      <w:pPr>
        <w:wordWrap w:val="0"/>
        <w:spacing w:line="360" w:lineRule="auto"/>
        <w:ind w:firstLine="480" w:firstLineChars="200"/>
        <w:outlineLvl w:val="2"/>
        <w:rPr>
          <w:rFonts w:ascii="宋体" w:hAnsi="宋体"/>
          <w:b/>
          <w:color w:val="auto"/>
          <w:sz w:val="24"/>
          <w:szCs w:val="24"/>
          <w:highlight w:val="none"/>
        </w:rPr>
      </w:pPr>
      <w:bookmarkStart w:id="307" w:name="_Toc140237313"/>
      <w:r>
        <w:rPr>
          <w:rFonts w:hint="eastAsia" w:ascii="宋体" w:hAnsi="宋体"/>
          <w:b/>
          <w:color w:val="auto"/>
          <w:sz w:val="24"/>
          <w:szCs w:val="24"/>
          <w:highlight w:val="none"/>
        </w:rPr>
        <w:t>4</w:t>
      </w:r>
      <w:r>
        <w:rPr>
          <w:rFonts w:ascii="宋体" w:hAnsi="宋体"/>
          <w:b/>
          <w:color w:val="auto"/>
          <w:sz w:val="24"/>
          <w:szCs w:val="24"/>
          <w:highlight w:val="none"/>
        </w:rPr>
        <w:t>.2.3</w:t>
      </w:r>
      <w:r>
        <w:rPr>
          <w:rFonts w:hint="eastAsia" w:ascii="宋体" w:hAnsi="宋体"/>
          <w:b/>
          <w:color w:val="auto"/>
          <w:sz w:val="24"/>
          <w:szCs w:val="24"/>
          <w:highlight w:val="none"/>
        </w:rPr>
        <w:t>　质疑形式</w:t>
      </w:r>
      <w:bookmarkEnd w:id="307"/>
    </w:p>
    <w:p w14:paraId="6E0EC06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供应商提出质疑应当提交质疑函和必要的证明材料。质疑函应当包括下列内容：</w:t>
      </w:r>
    </w:p>
    <w:p w14:paraId="46F8EC2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14:paraId="5687F32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（2）质疑项目的名称、编号。</w:t>
      </w:r>
    </w:p>
    <w:p w14:paraId="3886E87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14:paraId="2A9209C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（4）事实依据。</w:t>
      </w:r>
    </w:p>
    <w:p w14:paraId="3F8D251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（5）必要的法律依据。</w:t>
      </w:r>
    </w:p>
    <w:p w14:paraId="24D5372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（6）提出质疑的日期。</w:t>
      </w:r>
    </w:p>
    <w:p w14:paraId="22B2A64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供应商为自然人的，应当由本人签字；供应商为法人或者其他组织的，应当由法定代表人、主要负责人签字或者盖章，并加盖公章。</w:t>
      </w:r>
    </w:p>
    <w:p w14:paraId="3AA26922">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供应商可以委托代理人进行质疑和投诉。代理人提出质疑和投诉的，应当提交供应商签署的授权委托书，授权委托书应当载明代理人的姓名或者名称、代理事项、具体权限、期限和相关事项。</w:t>
      </w:r>
    </w:p>
    <w:p w14:paraId="03A807AF">
      <w:pPr>
        <w:wordWrap w:val="0"/>
        <w:spacing w:line="360" w:lineRule="auto"/>
        <w:ind w:firstLine="480" w:firstLineChars="200"/>
        <w:outlineLvl w:val="2"/>
        <w:rPr>
          <w:rFonts w:ascii="宋体" w:hAnsi="宋体"/>
          <w:b/>
          <w:color w:val="auto"/>
          <w:sz w:val="24"/>
          <w:szCs w:val="24"/>
          <w:highlight w:val="none"/>
        </w:rPr>
      </w:pPr>
      <w:bookmarkStart w:id="308" w:name="_Toc140237314"/>
      <w:r>
        <w:rPr>
          <w:rFonts w:hint="eastAsia" w:ascii="宋体" w:hAnsi="宋体"/>
          <w:b/>
          <w:color w:val="auto"/>
          <w:sz w:val="24"/>
          <w:szCs w:val="24"/>
          <w:highlight w:val="none"/>
        </w:rPr>
        <w:t>4</w:t>
      </w:r>
      <w:r>
        <w:rPr>
          <w:rFonts w:ascii="宋体" w:hAnsi="宋体"/>
          <w:b/>
          <w:color w:val="auto"/>
          <w:sz w:val="24"/>
          <w:szCs w:val="24"/>
          <w:highlight w:val="none"/>
        </w:rPr>
        <w:t>.2.4</w:t>
      </w:r>
      <w:r>
        <w:rPr>
          <w:rFonts w:hint="eastAsia" w:ascii="宋体" w:hAnsi="宋体"/>
          <w:b/>
          <w:color w:val="auto"/>
          <w:sz w:val="24"/>
          <w:szCs w:val="24"/>
          <w:highlight w:val="none"/>
        </w:rPr>
        <w:t>　无效质疑</w:t>
      </w:r>
      <w:bookmarkEnd w:id="308"/>
    </w:p>
    <w:p w14:paraId="603B7F3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有下列情形之一的，采购人或者采购代理机构可不予受理：</w:t>
      </w:r>
    </w:p>
    <w:p w14:paraId="658D4FF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（1）未在有效期限内提出质疑的。</w:t>
      </w:r>
    </w:p>
    <w:p w14:paraId="79421D9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（2）质疑未以书面形式提出，或质疑书内容不符合招标文件要求的。</w:t>
      </w:r>
    </w:p>
    <w:p w14:paraId="7875CF5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（3）未在有效的质疑期内一次性提出针对同一采购程序环节的质疑，进行二次或多次质疑的。</w:t>
      </w:r>
    </w:p>
    <w:p w14:paraId="5A9F4FBC">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（4）法律法规规定的其他情形。</w:t>
      </w:r>
    </w:p>
    <w:p w14:paraId="2CC2BC22">
      <w:pPr>
        <w:wordWrap w:val="0"/>
        <w:spacing w:line="360" w:lineRule="auto"/>
        <w:ind w:firstLine="480" w:firstLineChars="200"/>
        <w:outlineLvl w:val="2"/>
        <w:rPr>
          <w:rFonts w:ascii="宋体" w:hAnsi="宋体"/>
          <w:b/>
          <w:color w:val="auto"/>
          <w:sz w:val="24"/>
          <w:szCs w:val="24"/>
          <w:highlight w:val="none"/>
        </w:rPr>
      </w:pPr>
      <w:bookmarkStart w:id="309" w:name="_Toc140237315"/>
      <w:r>
        <w:rPr>
          <w:rFonts w:hint="eastAsia" w:ascii="宋体" w:hAnsi="宋体"/>
          <w:b/>
          <w:color w:val="auto"/>
          <w:sz w:val="24"/>
          <w:szCs w:val="24"/>
          <w:highlight w:val="none"/>
        </w:rPr>
        <w:t>4</w:t>
      </w:r>
      <w:r>
        <w:rPr>
          <w:rFonts w:ascii="宋体" w:hAnsi="宋体"/>
          <w:b/>
          <w:color w:val="auto"/>
          <w:sz w:val="24"/>
          <w:szCs w:val="24"/>
          <w:highlight w:val="none"/>
        </w:rPr>
        <w:t>.2.5</w:t>
      </w:r>
      <w:r>
        <w:rPr>
          <w:rFonts w:hint="eastAsia" w:ascii="宋体" w:hAnsi="宋体"/>
          <w:b/>
          <w:color w:val="auto"/>
          <w:sz w:val="24"/>
          <w:szCs w:val="24"/>
          <w:highlight w:val="none"/>
        </w:rPr>
        <w:t>　质疑答复</w:t>
      </w:r>
      <w:bookmarkEnd w:id="309"/>
    </w:p>
    <w:p w14:paraId="45B8403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采购人或者采购代理机构在收到质疑函后7个工作日内作出答复，并以书面形式通知质疑供应商和其他有关供应商。</w:t>
      </w:r>
    </w:p>
    <w:bookmarkEnd w:id="305"/>
    <w:p w14:paraId="48844BFB">
      <w:pPr>
        <w:wordWrap w:val="0"/>
        <w:spacing w:line="360" w:lineRule="auto"/>
        <w:ind w:firstLine="480" w:firstLineChars="200"/>
        <w:outlineLvl w:val="1"/>
        <w:rPr>
          <w:rFonts w:ascii="宋体" w:hAnsi="宋体"/>
          <w:b/>
          <w:color w:val="auto"/>
          <w:sz w:val="24"/>
          <w:szCs w:val="24"/>
          <w:highlight w:val="none"/>
        </w:rPr>
      </w:pPr>
      <w:bookmarkStart w:id="310" w:name="_Toc30262"/>
      <w:bookmarkStart w:id="311" w:name="_Toc140237316"/>
      <w:bookmarkStart w:id="312" w:name="_Toc91323607"/>
      <w:r>
        <w:rPr>
          <w:rFonts w:ascii="宋体" w:hAnsi="宋体"/>
          <w:b/>
          <w:color w:val="auto"/>
          <w:sz w:val="24"/>
          <w:szCs w:val="24"/>
          <w:highlight w:val="none"/>
        </w:rPr>
        <w:t>4</w:t>
      </w:r>
      <w:r>
        <w:rPr>
          <w:rFonts w:hint="eastAsia" w:ascii="宋体" w:hAnsi="宋体"/>
          <w:b/>
          <w:color w:val="auto"/>
          <w:sz w:val="24"/>
          <w:szCs w:val="24"/>
          <w:highlight w:val="none"/>
        </w:rPr>
        <w:t>.</w:t>
      </w:r>
      <w:r>
        <w:rPr>
          <w:rFonts w:ascii="宋体" w:hAnsi="宋体"/>
          <w:b/>
          <w:color w:val="auto"/>
          <w:sz w:val="24"/>
          <w:szCs w:val="24"/>
          <w:highlight w:val="none"/>
        </w:rPr>
        <w:t>3</w:t>
      </w:r>
      <w:r>
        <w:rPr>
          <w:rFonts w:hint="eastAsia" w:ascii="宋体" w:hAnsi="宋体"/>
          <w:b/>
          <w:color w:val="auto"/>
          <w:sz w:val="24"/>
          <w:szCs w:val="24"/>
          <w:highlight w:val="none"/>
        </w:rPr>
        <w:t>　投诉</w:t>
      </w:r>
      <w:bookmarkEnd w:id="310"/>
      <w:bookmarkEnd w:id="311"/>
      <w:bookmarkEnd w:id="312"/>
    </w:p>
    <w:p w14:paraId="1663B96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质疑供应商对采购人、采购代理机构的答复不满意，或者采购人、采购代理机构未在规定时间内作出答复的，可以在答复期满后15个工作日内以书面形式向财政部门投诉。</w:t>
      </w:r>
    </w:p>
    <w:p w14:paraId="0ACC300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诉提交方式：可通过函件、信件等方式线下提交，也可通过点击“兰州市财政局网站”（http://czj.lanzhou.gov.cn/）“政府采购在线投诉”按钮或“兰州政府采购网”（http://czj.lanzhou.gov.cn:8089/index）“兰州政府采购在线投诉处理电子平台”按钮线上提交。</w:t>
      </w:r>
    </w:p>
    <w:p w14:paraId="565B82A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受理投诉部门：兰州市财政局</w:t>
      </w:r>
    </w:p>
    <w:p w14:paraId="0FB092D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地址：兰州市城关区中山路46号</w:t>
      </w:r>
    </w:p>
    <w:p w14:paraId="03FE2F34">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联系电话：0931-8105030</w:t>
      </w:r>
    </w:p>
    <w:p w14:paraId="4965A359">
      <w:pPr>
        <w:wordWrap w:val="0"/>
        <w:spacing w:line="360" w:lineRule="auto"/>
        <w:ind w:firstLine="480" w:firstLineChars="200"/>
        <w:outlineLvl w:val="1"/>
        <w:rPr>
          <w:rFonts w:ascii="宋体" w:hAnsi="宋体"/>
          <w:b/>
          <w:color w:val="auto"/>
          <w:sz w:val="24"/>
          <w:szCs w:val="24"/>
          <w:highlight w:val="none"/>
        </w:rPr>
      </w:pPr>
      <w:bookmarkStart w:id="313" w:name="_Toc140237317"/>
      <w:bookmarkStart w:id="314" w:name="_Toc91323608"/>
      <w:r>
        <w:rPr>
          <w:rFonts w:ascii="宋体" w:hAnsi="宋体"/>
          <w:b/>
          <w:color w:val="auto"/>
          <w:sz w:val="24"/>
          <w:szCs w:val="24"/>
          <w:highlight w:val="none"/>
        </w:rPr>
        <w:t>4</w:t>
      </w: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　行政复议或者行政诉讼</w:t>
      </w:r>
      <w:bookmarkEnd w:id="313"/>
      <w:bookmarkEnd w:id="314"/>
    </w:p>
    <w:p w14:paraId="5B3875C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投诉人对政府采购监督管理部门的投诉处理决定不服或者政府采购监督管理部门逾期未作处理的，可以依法申请行政复议或者向人民法院提起行政诉讼。</w:t>
      </w:r>
    </w:p>
    <w:p w14:paraId="30E806D6">
      <w:pPr>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6EBFB319">
      <w:pPr>
        <w:wordWrap w:val="0"/>
        <w:spacing w:after="319" w:afterLines="100" w:line="360" w:lineRule="auto"/>
        <w:jc w:val="center"/>
        <w:outlineLvl w:val="0"/>
        <w:rPr>
          <w:rFonts w:ascii="华文中宋" w:hAnsi="华文中宋" w:eastAsia="华文中宋"/>
          <w:color w:val="auto"/>
          <w:sz w:val="32"/>
          <w:szCs w:val="32"/>
          <w:highlight w:val="none"/>
        </w:rPr>
      </w:pPr>
      <w:bookmarkStart w:id="315" w:name="_Toc140237318"/>
      <w:r>
        <w:rPr>
          <w:rFonts w:hint="eastAsia" w:ascii="华文中宋" w:hAnsi="华文中宋" w:eastAsia="华文中宋"/>
          <w:color w:val="auto"/>
          <w:sz w:val="32"/>
          <w:szCs w:val="32"/>
          <w:highlight w:val="none"/>
        </w:rPr>
        <w:t>第五章　</w:t>
      </w:r>
      <w:bookmarkEnd w:id="292"/>
      <w:bookmarkEnd w:id="315"/>
      <w:r>
        <w:rPr>
          <w:rFonts w:hint="eastAsia" w:ascii="华文中宋" w:hAnsi="华文中宋" w:eastAsia="华文中宋"/>
          <w:color w:val="auto"/>
          <w:sz w:val="32"/>
          <w:szCs w:val="32"/>
          <w:highlight w:val="none"/>
        </w:rPr>
        <w:t>合同待签样本</w:t>
      </w:r>
    </w:p>
    <w:p w14:paraId="4B46B700">
      <w:pPr>
        <w:wordWrap w:val="0"/>
        <w:spacing w:line="360" w:lineRule="auto"/>
        <w:ind w:firstLine="480" w:firstLineChars="200"/>
        <w:outlineLvl w:val="1"/>
        <w:rPr>
          <w:rFonts w:ascii="宋体" w:hAnsi="宋体"/>
          <w:b/>
          <w:color w:val="auto"/>
          <w:sz w:val="24"/>
          <w:highlight w:val="none"/>
        </w:rPr>
      </w:pPr>
      <w:bookmarkStart w:id="316" w:name="_Toc140237319"/>
      <w:r>
        <w:rPr>
          <w:rFonts w:ascii="宋体" w:hAnsi="宋体"/>
          <w:b/>
          <w:color w:val="auto"/>
          <w:sz w:val="24"/>
          <w:highlight w:val="none"/>
        </w:rPr>
        <w:t>5.1</w:t>
      </w:r>
      <w:r>
        <w:rPr>
          <w:rFonts w:hint="eastAsia" w:ascii="宋体" w:hAnsi="宋体"/>
          <w:b/>
          <w:color w:val="auto"/>
          <w:sz w:val="24"/>
          <w:highlight w:val="none"/>
        </w:rPr>
        <w:t>　政府采购合同（货物类待签样本）</w:t>
      </w:r>
      <w:bookmarkEnd w:id="316"/>
    </w:p>
    <w:p w14:paraId="72E74AA5">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政府采购合同（货物类待签样本）仅作为参考，不作为最终合同，甲方有权在签订合同时对合同的相关条款及内容依法作进一步的细化和修改。样式附后。</w:t>
      </w:r>
    </w:p>
    <w:p w14:paraId="43E9AE10">
      <w:pPr>
        <w:wordWrap w:val="0"/>
        <w:spacing w:line="360" w:lineRule="auto"/>
        <w:rPr>
          <w:color w:val="auto"/>
          <w:sz w:val="24"/>
          <w:highlight w:val="none"/>
        </w:rPr>
        <w:sectPr>
          <w:pgSz w:w="11906" w:h="16838"/>
          <w:pgMar w:top="1440" w:right="1797" w:bottom="1440" w:left="1797" w:header="851" w:footer="992" w:gutter="0"/>
          <w:cols w:space="720" w:num="1"/>
          <w:docGrid w:type="linesAndChars" w:linePitch="319" w:charSpace="0"/>
        </w:sectPr>
      </w:pPr>
    </w:p>
    <w:p w14:paraId="4119A3B4">
      <w:pPr>
        <w:wordWrap w:val="0"/>
        <w:spacing w:line="720" w:lineRule="auto"/>
        <w:rPr>
          <w:rStyle w:val="95"/>
          <w:rFonts w:ascii="宋体" w:hAnsi="宋体" w:cs="宋体"/>
          <w:b w:val="0"/>
          <w:color w:val="auto"/>
          <w:sz w:val="32"/>
          <w:szCs w:val="36"/>
          <w:highlight w:val="none"/>
        </w:rPr>
      </w:pPr>
    </w:p>
    <w:p w14:paraId="0FA9FFF8">
      <w:pPr>
        <w:pStyle w:val="15"/>
        <w:wordWrap w:val="0"/>
        <w:spacing w:line="720" w:lineRule="auto"/>
        <w:rPr>
          <w:color w:val="auto"/>
          <w:sz w:val="32"/>
          <w:highlight w:val="none"/>
        </w:rPr>
      </w:pPr>
    </w:p>
    <w:p w14:paraId="07CD7CD4">
      <w:pPr>
        <w:wordWrap w:val="0"/>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政府采购合同</w:t>
      </w:r>
    </w:p>
    <w:p w14:paraId="713A792D">
      <w:pPr>
        <w:wordWrap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（货物类待签样本）</w:t>
      </w:r>
    </w:p>
    <w:p w14:paraId="6B479AF9">
      <w:pPr>
        <w:wordWrap w:val="0"/>
        <w:spacing w:line="720" w:lineRule="auto"/>
        <w:rPr>
          <w:rStyle w:val="95"/>
          <w:rFonts w:ascii="宋体" w:hAnsi="宋体" w:cs="宋体"/>
          <w:b w:val="0"/>
          <w:color w:val="auto"/>
          <w:sz w:val="32"/>
          <w:szCs w:val="36"/>
          <w:highlight w:val="none"/>
        </w:rPr>
      </w:pPr>
    </w:p>
    <w:p w14:paraId="35112464">
      <w:pPr>
        <w:pStyle w:val="15"/>
        <w:wordWrap w:val="0"/>
        <w:spacing w:line="720" w:lineRule="auto"/>
        <w:rPr>
          <w:color w:val="auto"/>
          <w:sz w:val="32"/>
          <w:highlight w:val="none"/>
        </w:rPr>
      </w:pPr>
    </w:p>
    <w:p w14:paraId="6DADD363">
      <w:pPr>
        <w:wordWrap w:val="0"/>
        <w:spacing w:line="720" w:lineRule="auto"/>
        <w:ind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w:t>
      </w:r>
    </w:p>
    <w:p w14:paraId="40936C9C">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政府采购管理部门备案编号：</w:t>
      </w:r>
      <w:r>
        <w:rPr>
          <w:rFonts w:hint="eastAsia" w:ascii="宋体" w:hAnsi="宋体" w:cs="宋体"/>
          <w:color w:val="auto"/>
          <w:sz w:val="32"/>
          <w:szCs w:val="32"/>
          <w:highlight w:val="none"/>
          <w:u w:val="single"/>
        </w:rPr>
        <w:t>　　　　　　　　　</w:t>
      </w:r>
    </w:p>
    <w:p w14:paraId="72BA6905">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招标文件编号：</w:t>
      </w:r>
      <w:r>
        <w:rPr>
          <w:rFonts w:hint="eastAsia" w:ascii="宋体" w:hAnsi="宋体" w:cs="宋体"/>
          <w:color w:val="auto"/>
          <w:sz w:val="32"/>
          <w:szCs w:val="32"/>
          <w:highlight w:val="none"/>
          <w:u w:val="single"/>
        </w:rPr>
        <w:t>　　　　　　　　　　　　　　　</w:t>
      </w:r>
    </w:p>
    <w:p w14:paraId="745BE88A">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甲方合同编号：</w:t>
      </w:r>
      <w:r>
        <w:rPr>
          <w:rFonts w:hint="eastAsia" w:ascii="宋体" w:hAnsi="宋体" w:cs="宋体"/>
          <w:color w:val="auto"/>
          <w:sz w:val="32"/>
          <w:szCs w:val="32"/>
          <w:highlight w:val="none"/>
          <w:u w:val="single"/>
        </w:rPr>
        <w:t>　　　　　　　　　　　　　　　</w:t>
      </w:r>
    </w:p>
    <w:p w14:paraId="04F4DC90">
      <w:pPr>
        <w:wordWrap w:val="0"/>
        <w:spacing w:line="720" w:lineRule="auto"/>
        <w:ind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甲方：</w:t>
      </w:r>
      <w:r>
        <w:rPr>
          <w:rFonts w:hint="eastAsia" w:ascii="宋体" w:hAnsi="宋体" w:cs="宋体"/>
          <w:color w:val="auto"/>
          <w:sz w:val="32"/>
          <w:szCs w:val="32"/>
          <w:highlight w:val="none"/>
          <w:u w:val="single"/>
        </w:rPr>
        <w:t>　　　　　　　　　　　　　　　　　　　</w:t>
      </w:r>
    </w:p>
    <w:p w14:paraId="40BE3F7A">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乙方：</w:t>
      </w:r>
      <w:r>
        <w:rPr>
          <w:rFonts w:hint="eastAsia" w:ascii="宋体" w:hAnsi="宋体" w:cs="宋体"/>
          <w:color w:val="auto"/>
          <w:sz w:val="32"/>
          <w:szCs w:val="32"/>
          <w:highlight w:val="none"/>
          <w:u w:val="single"/>
        </w:rPr>
        <w:t>　　　　　　　　　　　　　　　　　　　</w:t>
      </w:r>
    </w:p>
    <w:p w14:paraId="5D9609E1">
      <w:pPr>
        <w:wordWrap w:val="0"/>
        <w:spacing w:line="720" w:lineRule="auto"/>
        <w:rPr>
          <w:rFonts w:ascii="宋体" w:hAnsi="宋体" w:cs="宋体"/>
          <w:color w:val="auto"/>
          <w:sz w:val="32"/>
          <w:szCs w:val="32"/>
          <w:highlight w:val="none"/>
        </w:rPr>
      </w:pPr>
    </w:p>
    <w:p w14:paraId="6005DF6B">
      <w:pPr>
        <w:wordWrap w:val="0"/>
        <w:spacing w:line="72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签订时间：　　　年　　月　　日</w:t>
      </w:r>
    </w:p>
    <w:p w14:paraId="3CB9E5DE">
      <w:pPr>
        <w:pStyle w:val="20"/>
        <w:wordWrap w:val="0"/>
        <w:spacing w:line="360" w:lineRule="auto"/>
        <w:ind w:firstLine="480" w:firstLineChars="200"/>
        <w:rPr>
          <w:rFonts w:hAnsi="宋体" w:cs="宋体"/>
          <w:color w:val="auto"/>
          <w:sz w:val="24"/>
          <w:szCs w:val="24"/>
          <w:highlight w:val="none"/>
        </w:rPr>
        <w:sectPr>
          <w:pgSz w:w="11906" w:h="16838"/>
          <w:pgMar w:top="1440" w:right="1797" w:bottom="1440" w:left="1797" w:header="851" w:footer="992" w:gutter="0"/>
          <w:cols w:space="720" w:num="1"/>
          <w:docGrid w:type="linesAndChars" w:linePitch="319" w:charSpace="0"/>
        </w:sectPr>
      </w:pPr>
    </w:p>
    <w:p w14:paraId="5AB61A2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根据《中华人民共和国民法典》《中</w:t>
      </w:r>
      <w:bookmarkStart w:id="317" w:name="_Hlk98162534"/>
      <w:r>
        <w:rPr>
          <w:rFonts w:hint="eastAsia" w:hAnsi="宋体" w:cs="宋体"/>
          <w:color w:val="auto"/>
          <w:sz w:val="24"/>
          <w:szCs w:val="24"/>
          <w:highlight w:val="none"/>
        </w:rPr>
        <w:t>华人民共和国政府采购法》</w:t>
      </w:r>
      <w:bookmarkEnd w:id="317"/>
      <w:r>
        <w:rPr>
          <w:rFonts w:hint="eastAsia" w:hAnsi="宋体" w:cs="宋体"/>
          <w:color w:val="auto"/>
          <w:sz w:val="24"/>
          <w:szCs w:val="24"/>
          <w:highlight w:val="none"/>
        </w:rPr>
        <w:t>等法律法规规定，甲乙双方按照中标结果签订本合同。</w:t>
      </w:r>
    </w:p>
    <w:p w14:paraId="1717046C">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第一条　合同标的</w:t>
      </w:r>
    </w:p>
    <w:p w14:paraId="69114F1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乙方根据甲方需求提供下列货物：____________________</w:t>
      </w:r>
    </w:p>
    <w:p w14:paraId="581322F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货物名称、规格及数量详见“供货一览表”（后附）。</w:t>
      </w:r>
    </w:p>
    <w:p w14:paraId="7131CEEC">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第二条　合同总价款</w:t>
      </w:r>
    </w:p>
    <w:p w14:paraId="1EDC287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本合同项下货物总价款（中标价格）：¥</w:t>
      </w:r>
      <w:r>
        <w:rPr>
          <w:rFonts w:hint="eastAsia" w:hAnsi="宋体" w:cs="宋体"/>
          <w:color w:val="auto"/>
          <w:sz w:val="24"/>
          <w:szCs w:val="24"/>
          <w:highlight w:val="none"/>
          <w:u w:val="single"/>
        </w:rPr>
        <w:t>　　　　　　　　</w:t>
      </w:r>
      <w:r>
        <w:rPr>
          <w:rFonts w:hint="eastAsia" w:hAnsi="宋体" w:cs="宋体"/>
          <w:color w:val="auto"/>
          <w:sz w:val="24"/>
          <w:szCs w:val="24"/>
          <w:highlight w:val="none"/>
        </w:rPr>
        <w:t>元，大写：</w:t>
      </w:r>
      <w:r>
        <w:rPr>
          <w:rFonts w:hint="eastAsia" w:hAnsi="宋体" w:cs="宋体"/>
          <w:color w:val="auto"/>
          <w:sz w:val="24"/>
          <w:szCs w:val="24"/>
          <w:highlight w:val="none"/>
          <w:u w:val="single"/>
        </w:rPr>
        <w:t>　　　　　　　　　　</w:t>
      </w:r>
      <w:r>
        <w:rPr>
          <w:rFonts w:hint="eastAsia" w:hAnsi="宋体" w:cs="宋体"/>
          <w:color w:val="auto"/>
          <w:sz w:val="24"/>
          <w:szCs w:val="24"/>
          <w:highlight w:val="none"/>
        </w:rPr>
        <w:t>元。</w:t>
      </w:r>
    </w:p>
    <w:p w14:paraId="7F0983C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分项报价见供货一览表。</w:t>
      </w:r>
    </w:p>
    <w:p w14:paraId="2B11FAC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本合同总价款是货物设计、制造、包装、仓储、运输、安装及验收合格之前及保修期内备品备件等发生的所有含税费用。</w:t>
      </w:r>
    </w:p>
    <w:p w14:paraId="6BCEA43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本合同总价款还包含乙方应当提供的伴随服务/售后服务费用。</w:t>
      </w:r>
    </w:p>
    <w:p w14:paraId="717DEE5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本合同执行期间合同总价款不变。</w:t>
      </w:r>
    </w:p>
    <w:p w14:paraId="072CD02E">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第三条　组成本合同的有关文件</w:t>
      </w:r>
    </w:p>
    <w:p w14:paraId="5D3B291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下列关于兰州市政府采购_________号的招标投标文件或与本次采购活动方式相适应的文件及有关附件是本合同不可分割的组成部分，与本合同具有同等法律效力，这些文件包括但不限于：</w:t>
      </w:r>
    </w:p>
    <w:p w14:paraId="41A4098F">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（1）乙方提供的投标文件和投标报价表。</w:t>
      </w:r>
    </w:p>
    <w:p w14:paraId="4D0F814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（2）供货一览表。</w:t>
      </w:r>
    </w:p>
    <w:p w14:paraId="66DE46F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（3）交货地点一览表。</w:t>
      </w:r>
    </w:p>
    <w:p w14:paraId="7855864F">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（4）技术规格响应表。</w:t>
      </w:r>
    </w:p>
    <w:p w14:paraId="040E8C5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（5）投标承诺。</w:t>
      </w:r>
    </w:p>
    <w:p w14:paraId="3D29F6F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（6）服务承诺。</w:t>
      </w:r>
    </w:p>
    <w:p w14:paraId="0DF3242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（7）中标通知书。</w:t>
      </w:r>
    </w:p>
    <w:p w14:paraId="43BF23F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（8）甲乙双方商定的其他文件。</w:t>
      </w:r>
    </w:p>
    <w:p w14:paraId="16D3AA3A">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第四条　权利保证</w:t>
      </w:r>
    </w:p>
    <w:p w14:paraId="5136315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乙方应保证买方在使用该货物或其任何一部分时不受第三方提出侵犯其专利权、版权、商标权或其他权利的起诉。一旦出现侵权，乙方应承担全部责任。</w:t>
      </w:r>
    </w:p>
    <w:p w14:paraId="270F87E9">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第五条　质量保证</w:t>
      </w:r>
    </w:p>
    <w:p w14:paraId="19DDBD0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1.乙方所提供的货物的技术规格应与招标文件规定的技术规格及所附的“技术规格响应表”相一致；若技术性能无特殊说明，则按国家有关部门最新颁布的标准及规范为准。</w:t>
      </w:r>
    </w:p>
    <w:p w14:paraId="6AAA798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Ansi="宋体" w:cs="宋体"/>
          <w:color w:val="auto"/>
          <w:sz w:val="24"/>
          <w:szCs w:val="24"/>
          <w:highlight w:val="none"/>
        </w:rPr>
        <w:t>.</w:t>
      </w:r>
      <w:r>
        <w:rPr>
          <w:rFonts w:hint="eastAsia" w:hAnsi="宋体" w:cs="宋体"/>
          <w:color w:val="auto"/>
          <w:sz w:val="24"/>
          <w:szCs w:val="24"/>
          <w:highlight w:val="none"/>
        </w:rPr>
        <w:t>乙方所提供的货物须是全新、未使用过的原装合格正品，是中标投标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9054022">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第六条　包装要求</w:t>
      </w:r>
    </w:p>
    <w:p w14:paraId="497A172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14:paraId="6BD6A22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2.对运输条件有特殊要求的货物：必须满足国家规定标准和甲方采购需求。</w:t>
      </w:r>
    </w:p>
    <w:p w14:paraId="2417CFD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3.每一包装单元内应附详细的装箱单和质量合格凭证</w:t>
      </w:r>
    </w:p>
    <w:p w14:paraId="408C655C">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第七条　交货和验收</w:t>
      </w:r>
    </w:p>
    <w:p w14:paraId="65194B7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1.乙方应按照本合同或招标文件规定的时间和方式向甲方交付货物，交货地点由甲方指定。</w:t>
      </w:r>
    </w:p>
    <w:p w14:paraId="16720F2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如招标文件对交货时间未明确规定，则乙方应当在合同签订之日起____________日内将货物交付甲方。</w:t>
      </w:r>
    </w:p>
    <w:p w14:paraId="30BBC74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其他特殊情形：_____________________</w:t>
      </w:r>
    </w:p>
    <w:p w14:paraId="2ED8913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交付的货物应当完全符合本合同或者投标文件所响应的货物、数量和规格要求。乙方不得少交或多交货物。乙方提供的货物不符合招标投标文件和合同规定的，甲方有权拒收货物，由此引起的风险，由乙方承担。</w:t>
      </w:r>
    </w:p>
    <w:p w14:paraId="4546A03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3.货物的到货验收包括：</w:t>
      </w:r>
    </w:p>
    <w:p w14:paraId="417D96F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（1）初步验收：型号、规格、数量、外观质量、及货物包装是否完好。</w:t>
      </w:r>
    </w:p>
    <w:p w14:paraId="0A15E0B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（2）运行验收：_____________________</w:t>
      </w:r>
    </w:p>
    <w:p w14:paraId="045ABBE7">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（2）最终验收：满足采购及响应条件，支付剩余款项。</w:t>
      </w:r>
    </w:p>
    <w:p w14:paraId="27E7443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4.乙方应将所提供货物的装箱清单、用户手册、原厂保修卡、随机资料及配件、随机工具等相关资料交付给甲方；乙方不能完整交付货物及本款规定的资料及配件等，视为未按</w:t>
      </w:r>
      <w:r>
        <w:rPr>
          <w:color w:val="auto"/>
          <w:highlight w:val="none"/>
        </w:rPr>
        <w:fldChar w:fldCharType="begin"/>
      </w:r>
      <w:r>
        <w:rPr>
          <w:color w:val="auto"/>
          <w:highlight w:val="none"/>
        </w:rPr>
        <w:instrText xml:space="preserve"> HYPERLINK "http://www.diyifanwen.com/fanwen/hetongfanwen/" \t "_blank" </w:instrText>
      </w:r>
      <w:r>
        <w:rPr>
          <w:color w:val="auto"/>
          <w:highlight w:val="none"/>
        </w:rPr>
        <w:fldChar w:fldCharType="separate"/>
      </w:r>
      <w:r>
        <w:rPr>
          <w:rFonts w:hint="eastAsia" w:hAnsi="宋体" w:cs="宋体"/>
          <w:color w:val="auto"/>
          <w:sz w:val="24"/>
          <w:szCs w:val="24"/>
          <w:highlight w:val="none"/>
        </w:rPr>
        <w:t>合同</w:t>
      </w:r>
      <w:r>
        <w:rPr>
          <w:rFonts w:hint="eastAsia" w:hAnsi="宋体" w:cs="宋体"/>
          <w:color w:val="auto"/>
          <w:sz w:val="24"/>
          <w:szCs w:val="24"/>
          <w:highlight w:val="none"/>
        </w:rPr>
        <w:fldChar w:fldCharType="end"/>
      </w:r>
      <w:r>
        <w:rPr>
          <w:rFonts w:hint="eastAsia" w:hAnsi="宋体" w:cs="宋体"/>
          <w:color w:val="auto"/>
          <w:sz w:val="24"/>
          <w:szCs w:val="24"/>
          <w:highlight w:val="none"/>
        </w:rPr>
        <w:t>约定交货，乙方负责补齐，因此导致逾期交付的，由乙方承担相关的违约责任。</w:t>
      </w:r>
    </w:p>
    <w:p w14:paraId="6E30CDC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14:paraId="6152C59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6.货物和系统调试验收的标准：按行业通用标准、厂方出厂标准和乙方投标文件的响应情况（详见合同附件载明的标准，并不低于国家相关标准）。</w:t>
      </w:r>
    </w:p>
    <w:p w14:paraId="3F735FEA">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第八条　伴随服务／售后服务</w:t>
      </w:r>
    </w:p>
    <w:p w14:paraId="48336BF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1.乙方应按照国家有关法律法规规章和“三包”规定以及合同所附的“服务承诺”提供服务。</w:t>
      </w:r>
    </w:p>
    <w:p w14:paraId="77C212B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2.除前款规定外，乙方还应提供下列服务：</w:t>
      </w:r>
    </w:p>
    <w:p w14:paraId="6B55A9F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（1）货物的现场安装、调试、启动监督。</w:t>
      </w:r>
    </w:p>
    <w:p w14:paraId="506713C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（2）就货物的安装、启动、运行及维护等对甲方人员进行免费培训。</w:t>
      </w:r>
    </w:p>
    <w:p w14:paraId="1D6E43B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3.若招标文件中不包含有关伴随服务或售后服务的承诺，双方作如下约定：</w:t>
      </w:r>
    </w:p>
    <w:p w14:paraId="2A285A1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915B877">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（2）所购货物应按生产厂家的标准提供售后服务，招标文件有特殊要求的，应该按照招标文件条款执行；保修期自甲方在货物质量验收单上签字之日起计算，不得另行收取保修费用。（请分别列出：</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0152945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（3）保修期内，乙方负责对其提供的货物整机进行维修和系统维护，不再收取任何费用，但不可抗力（如火灾、雷击等）造成的故障除外。</w:t>
      </w:r>
    </w:p>
    <w:p w14:paraId="5811585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（4）货物故障报修的响应时间为：工作期间（星期一至星期五08:00-18:00）为</w:t>
      </w:r>
      <w:r>
        <w:rPr>
          <w:rFonts w:hint="eastAsia" w:hAnsi="宋体" w:cs="宋体"/>
          <w:color w:val="auto"/>
          <w:sz w:val="24"/>
          <w:szCs w:val="24"/>
          <w:highlight w:val="none"/>
          <w:u w:val="single"/>
        </w:rPr>
        <w:t>　　　</w:t>
      </w:r>
      <w:r>
        <w:rPr>
          <w:rFonts w:hint="eastAsia" w:hAnsi="宋体" w:cs="宋体"/>
          <w:color w:val="auto"/>
          <w:sz w:val="24"/>
          <w:szCs w:val="24"/>
          <w:highlight w:val="none"/>
        </w:rPr>
        <w:t>时；非工作期间为______小时。（特殊货物，例如服务器的故障响应时间为4小时）</w:t>
      </w:r>
    </w:p>
    <w:p w14:paraId="2C761AA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（5）若货物故障在检修8个工作小时后仍无法排除，乙方应在48小时内免费提供不低于故障货物规格型号档次的备用货物供甲方使用，直至故障修复。</w:t>
      </w:r>
    </w:p>
    <w:p w14:paraId="49E96E4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（6）所有货物保修服务方式均为乙方上门保修，即由乙方派员到货物使用现场维修，由此产生的一切费用均由乙方承担。</w:t>
      </w:r>
    </w:p>
    <w:p w14:paraId="1B3986E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（7）保修期后的货物维护由双方协商后，再另行签订补充协议。</w:t>
      </w:r>
    </w:p>
    <w:p w14:paraId="08F9C462">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第九条　履约保证金</w:t>
      </w:r>
    </w:p>
    <w:p w14:paraId="70EFA35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1.乙方在签订本合同之日，向甲方或甲方指定的机构交纳履约保证金</w:t>
      </w:r>
      <w:r>
        <w:rPr>
          <w:rFonts w:hint="eastAsia" w:hAnsi="宋体" w:cs="宋体"/>
          <w:color w:val="auto"/>
          <w:sz w:val="24"/>
          <w:szCs w:val="24"/>
          <w:highlight w:val="none"/>
          <w:u w:val="single"/>
        </w:rPr>
        <w:t>　　　</w:t>
      </w:r>
      <w:r>
        <w:rPr>
          <w:rFonts w:hint="eastAsia" w:hAnsi="宋体" w:cs="宋体"/>
          <w:color w:val="auto"/>
          <w:sz w:val="24"/>
          <w:szCs w:val="24"/>
          <w:highlight w:val="none"/>
        </w:rPr>
        <w:t>元。</w:t>
      </w:r>
    </w:p>
    <w:p w14:paraId="345B16B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2.履约保证金的有效期为甲乙双方签署验收单后的</w:t>
      </w:r>
      <w:r>
        <w:rPr>
          <w:rFonts w:hint="eastAsia" w:hAnsi="宋体" w:cs="宋体"/>
          <w:color w:val="auto"/>
          <w:sz w:val="24"/>
          <w:szCs w:val="24"/>
          <w:highlight w:val="none"/>
          <w:u w:val="single"/>
        </w:rPr>
        <w:t>　　　</w:t>
      </w:r>
      <w:r>
        <w:rPr>
          <w:rFonts w:hint="eastAsia" w:hAnsi="宋体" w:cs="宋体"/>
          <w:color w:val="auto"/>
          <w:sz w:val="24"/>
          <w:szCs w:val="24"/>
          <w:highlight w:val="none"/>
        </w:rPr>
        <w:t>天，如超期未退还，则按照超出时间的银行利率支付保证金本息。</w:t>
      </w:r>
    </w:p>
    <w:p w14:paraId="2583C5C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3.如乙方未能履行合同规定的义务，甲方有权扣除部分或全部履约保证金以弥补给甲方造成的损失。</w:t>
      </w:r>
    </w:p>
    <w:p w14:paraId="4B47EFF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4.履约保证金扣除甲方应得的补偿后的余额在</w:t>
      </w:r>
      <w:r>
        <w:rPr>
          <w:rFonts w:hint="eastAsia" w:hAnsi="宋体" w:cs="宋体"/>
          <w:color w:val="auto"/>
          <w:sz w:val="24"/>
          <w:szCs w:val="24"/>
          <w:highlight w:val="none"/>
          <w:u w:val="single"/>
        </w:rPr>
        <w:t>　　　</w:t>
      </w:r>
      <w:r>
        <w:rPr>
          <w:rFonts w:hint="eastAsia" w:hAnsi="宋体" w:cs="宋体"/>
          <w:color w:val="auto"/>
          <w:sz w:val="24"/>
          <w:szCs w:val="24"/>
          <w:highlight w:val="none"/>
        </w:rPr>
        <w:t>天内退还乙方。</w:t>
      </w:r>
    </w:p>
    <w:p w14:paraId="21CE7E5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5.履约保证金交纳比例</w:t>
      </w:r>
      <w:r>
        <w:rPr>
          <w:rFonts w:hint="eastAsia" w:hAnsi="宋体" w:cs="宋体"/>
          <w:color w:val="auto"/>
          <w:sz w:val="24"/>
          <w:szCs w:val="24"/>
          <w:highlight w:val="none"/>
          <w:u w:val="single"/>
        </w:rPr>
        <w:t>　　　</w:t>
      </w:r>
      <w:r>
        <w:rPr>
          <w:rFonts w:hint="eastAsia" w:hAnsi="宋体" w:cs="宋体"/>
          <w:color w:val="auto"/>
          <w:sz w:val="24"/>
          <w:szCs w:val="24"/>
          <w:highlight w:val="none"/>
        </w:rPr>
        <w:t>%。（利率以同期银行利率为准）</w:t>
      </w:r>
    </w:p>
    <w:p w14:paraId="09D0FF96">
      <w:pPr>
        <w:pStyle w:val="20"/>
        <w:wordWrap w:val="0"/>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6.履约保证金的交纳方式：支票、汇票、本票、保函等非现金形式交纳保证金。</w:t>
      </w:r>
    </w:p>
    <w:p w14:paraId="31E9D145">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第十条　货款支付</w:t>
      </w:r>
    </w:p>
    <w:p w14:paraId="720E0B3F">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1.本合同项下所有款项均以人民币支付。</w:t>
      </w:r>
    </w:p>
    <w:p w14:paraId="1FD25F2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2.本合同项下的采购资金系甲方自行支付，甲方应在乙方开具发票后的15个工作日内付款。</w:t>
      </w:r>
    </w:p>
    <w:p w14:paraId="6499515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3.如</w:t>
      </w:r>
      <w:r>
        <w:rPr>
          <w:color w:val="auto"/>
          <w:highlight w:val="none"/>
        </w:rPr>
        <w:fldChar w:fldCharType="begin"/>
      </w:r>
      <w:r>
        <w:rPr>
          <w:color w:val="auto"/>
          <w:highlight w:val="none"/>
        </w:rPr>
        <w:instrText xml:space="preserve"> HYPERLINK "http://www.diyifanwen.com/fanwen/hetongfanwen/" \t "_blank" </w:instrText>
      </w:r>
      <w:r>
        <w:rPr>
          <w:color w:val="auto"/>
          <w:highlight w:val="none"/>
        </w:rPr>
        <w:fldChar w:fldCharType="separate"/>
      </w:r>
      <w:r>
        <w:rPr>
          <w:rFonts w:hint="eastAsia" w:hAnsi="宋体" w:cs="宋体"/>
          <w:color w:val="auto"/>
          <w:sz w:val="24"/>
          <w:szCs w:val="24"/>
          <w:highlight w:val="none"/>
        </w:rPr>
        <w:t>合同</w:t>
      </w:r>
      <w:r>
        <w:rPr>
          <w:rFonts w:hint="eastAsia" w:hAnsi="宋体" w:cs="宋体"/>
          <w:color w:val="auto"/>
          <w:sz w:val="24"/>
          <w:szCs w:val="24"/>
          <w:highlight w:val="none"/>
        </w:rPr>
        <w:fldChar w:fldCharType="end"/>
      </w:r>
      <w:r>
        <w:rPr>
          <w:rFonts w:hint="eastAsia" w:hAnsi="宋体" w:cs="宋体"/>
          <w:color w:val="auto"/>
          <w:sz w:val="24"/>
          <w:szCs w:val="24"/>
          <w:highlight w:val="none"/>
        </w:rPr>
        <w:t>项下的采购资金系财政直接支付资金，甲方应在乙方开具发票后的15个工作日内向财政局提出申请。</w:t>
      </w:r>
    </w:p>
    <w:p w14:paraId="68D1EE8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4.以上第2、3款款项的支付进度以磋商文件的有关规定为准。如磋商文件未作特别规定，则付款进度应符合如下约定：</w:t>
      </w:r>
    </w:p>
    <w:p w14:paraId="58B8001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上述第2、3款均仅支付至合同总价的</w:t>
      </w:r>
      <w:r>
        <w:rPr>
          <w:rFonts w:hint="eastAsia" w:hAnsi="宋体" w:cs="宋体"/>
          <w:color w:val="auto"/>
          <w:sz w:val="24"/>
          <w:szCs w:val="24"/>
          <w:highlight w:val="none"/>
          <w:u w:val="single"/>
        </w:rPr>
        <w:t>　　　</w:t>
      </w:r>
      <w:r>
        <w:rPr>
          <w:rFonts w:hint="eastAsia" w:hAnsi="宋体" w:cs="宋体"/>
          <w:color w:val="auto"/>
          <w:sz w:val="24"/>
          <w:szCs w:val="24"/>
          <w:highlight w:val="none"/>
        </w:rPr>
        <w:t>%，余款</w:t>
      </w:r>
      <w:r>
        <w:rPr>
          <w:rFonts w:hint="eastAsia" w:hAnsi="宋体" w:cs="宋体"/>
          <w:color w:val="auto"/>
          <w:sz w:val="24"/>
          <w:szCs w:val="24"/>
          <w:highlight w:val="none"/>
          <w:u w:val="single"/>
        </w:rPr>
        <w:t>　　　</w:t>
      </w:r>
      <w:r>
        <w:rPr>
          <w:rFonts w:hint="eastAsia" w:hAnsi="宋体" w:cs="宋体"/>
          <w:color w:val="auto"/>
          <w:sz w:val="24"/>
          <w:szCs w:val="24"/>
          <w:highlight w:val="none"/>
        </w:rPr>
        <w:t>%于货物或系统运行满</w:t>
      </w:r>
      <w:r>
        <w:rPr>
          <w:rFonts w:hint="eastAsia" w:hAnsi="宋体" w:cs="宋体"/>
          <w:color w:val="auto"/>
          <w:sz w:val="24"/>
          <w:szCs w:val="24"/>
          <w:highlight w:val="none"/>
          <w:u w:val="single"/>
        </w:rPr>
        <w:t>　　　</w:t>
      </w:r>
      <w:r>
        <w:rPr>
          <w:rFonts w:hint="eastAsia" w:hAnsi="宋体" w:cs="宋体"/>
          <w:color w:val="auto"/>
          <w:sz w:val="24"/>
          <w:szCs w:val="24"/>
          <w:highlight w:val="none"/>
        </w:rPr>
        <w:t>个工作日内付清。</w:t>
      </w:r>
    </w:p>
    <w:p w14:paraId="25E94149">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第十一条　违约责任</w:t>
      </w:r>
    </w:p>
    <w:p w14:paraId="007A64D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1.甲方无正当理由拒收货物、拒付货物款的，由甲方向乙方偿付合同总价的</w:t>
      </w:r>
      <w:r>
        <w:rPr>
          <w:rFonts w:hint="eastAsia" w:hAnsi="宋体" w:cs="宋体"/>
          <w:color w:val="auto"/>
          <w:sz w:val="24"/>
          <w:szCs w:val="24"/>
          <w:highlight w:val="none"/>
          <w:u w:val="single"/>
        </w:rPr>
        <w:t>　　　</w:t>
      </w:r>
      <w:r>
        <w:rPr>
          <w:rFonts w:hint="eastAsia" w:hAnsi="宋体" w:cs="宋体"/>
          <w:color w:val="auto"/>
          <w:sz w:val="24"/>
          <w:szCs w:val="24"/>
          <w:highlight w:val="none"/>
        </w:rPr>
        <w:t>%违约金。</w:t>
      </w:r>
    </w:p>
    <w:p w14:paraId="727A4A7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2.甲方未按合同规定的期限向乙方支付货款的，每逾期1天甲方向乙方偿付欠款总额的</w:t>
      </w:r>
      <w:r>
        <w:rPr>
          <w:rFonts w:hint="eastAsia" w:hAnsi="宋体" w:cs="宋体"/>
          <w:color w:val="auto"/>
          <w:sz w:val="24"/>
          <w:szCs w:val="24"/>
          <w:highlight w:val="none"/>
          <w:u w:val="single"/>
        </w:rPr>
        <w:t>　　　</w:t>
      </w:r>
      <w:r>
        <w:rPr>
          <w:rFonts w:hint="eastAsia" w:hAnsi="宋体" w:cs="宋体"/>
          <w:color w:val="auto"/>
          <w:sz w:val="24"/>
          <w:szCs w:val="24"/>
          <w:highlight w:val="none"/>
        </w:rPr>
        <w:t>‰滞纳金，但累计滞纳金总额不超过欠款总额的</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58888FD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3.如乙方不能交付货物，甲方有权扣留全部履约保证金；同时乙方应向甲方支付合同总价__%的违约金。</w:t>
      </w:r>
    </w:p>
    <w:p w14:paraId="0A02851F">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4.乙方逾期交付货物的，每逾期1天，乙方向甲方偿付逾期交货部分货款总额的</w:t>
      </w:r>
      <w:r>
        <w:rPr>
          <w:rFonts w:hint="eastAsia" w:hAnsi="宋体" w:cs="宋体"/>
          <w:color w:val="auto"/>
          <w:sz w:val="24"/>
          <w:szCs w:val="24"/>
          <w:highlight w:val="none"/>
          <w:u w:val="single"/>
        </w:rPr>
        <w:t>　　　</w:t>
      </w:r>
      <w:r>
        <w:rPr>
          <w:rFonts w:hint="eastAsia" w:hAnsi="宋体" w:cs="宋体"/>
          <w:color w:val="auto"/>
          <w:sz w:val="24"/>
          <w:szCs w:val="24"/>
          <w:highlight w:val="none"/>
        </w:rPr>
        <w:t>‰的滞纳金。如乙方逾期交货达</w:t>
      </w:r>
      <w:r>
        <w:rPr>
          <w:rFonts w:hint="eastAsia" w:hAnsi="宋体" w:cs="宋体"/>
          <w:color w:val="auto"/>
          <w:sz w:val="24"/>
          <w:szCs w:val="24"/>
          <w:highlight w:val="none"/>
          <w:u w:val="single"/>
        </w:rPr>
        <w:t>　　　</w:t>
      </w:r>
      <w:r>
        <w:rPr>
          <w:rFonts w:hint="eastAsia" w:hAnsi="宋体" w:cs="宋体"/>
          <w:color w:val="auto"/>
          <w:sz w:val="24"/>
          <w:szCs w:val="24"/>
          <w:highlight w:val="none"/>
        </w:rPr>
        <w:t>天，甲方有权解除合同，解除合同的通知自到达乙方时生效。</w:t>
      </w:r>
    </w:p>
    <w:p w14:paraId="1DB9A63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5.乙方所交付的货物品种、型号、规格不符合合同规定的，甲方有权拒收。甲方拒收的，乙方应向甲方支付货款总额</w:t>
      </w:r>
      <w:r>
        <w:rPr>
          <w:rFonts w:hint="eastAsia" w:hAnsi="宋体" w:cs="宋体"/>
          <w:color w:val="auto"/>
          <w:sz w:val="24"/>
          <w:szCs w:val="24"/>
          <w:highlight w:val="none"/>
          <w:u w:val="single"/>
        </w:rPr>
        <w:t>　　　</w:t>
      </w:r>
      <w:r>
        <w:rPr>
          <w:rFonts w:hint="eastAsia" w:hAnsi="宋体" w:cs="宋体"/>
          <w:color w:val="auto"/>
          <w:sz w:val="24"/>
          <w:szCs w:val="24"/>
          <w:highlight w:val="none"/>
        </w:rPr>
        <w:t>%的违约金。</w:t>
      </w:r>
    </w:p>
    <w:p w14:paraId="762A6F6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14:paraId="5500EA6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7.乙方未按本合同第九条的规定向甲方交付履约保证金的，应按应交付履约保证金的</w:t>
      </w:r>
      <w:r>
        <w:rPr>
          <w:rFonts w:hint="eastAsia" w:hAnsi="宋体" w:cs="宋体"/>
          <w:color w:val="auto"/>
          <w:sz w:val="24"/>
          <w:szCs w:val="24"/>
          <w:highlight w:val="none"/>
          <w:u w:val="single"/>
        </w:rPr>
        <w:t>　　　</w:t>
      </w:r>
      <w:r>
        <w:rPr>
          <w:rFonts w:hint="eastAsia" w:hAnsi="宋体" w:cs="宋体"/>
          <w:color w:val="auto"/>
          <w:sz w:val="24"/>
          <w:szCs w:val="24"/>
          <w:highlight w:val="none"/>
        </w:rPr>
        <w:t>%向甲方支付违约金，该违约金的支付不影响乙方应承担的其他违约责任。</w:t>
      </w:r>
    </w:p>
    <w:p w14:paraId="1F2D7AE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8.乙方未按本合同的规定和“服务承诺”提供伴随服务/售后服务的，应按合同总价款的</w:t>
      </w:r>
      <w:r>
        <w:rPr>
          <w:rFonts w:hint="eastAsia" w:hAnsi="宋体" w:cs="宋体"/>
          <w:color w:val="auto"/>
          <w:sz w:val="24"/>
          <w:szCs w:val="24"/>
          <w:highlight w:val="none"/>
          <w:u w:val="single"/>
        </w:rPr>
        <w:t>　　　</w:t>
      </w:r>
      <w:r>
        <w:rPr>
          <w:rFonts w:hint="eastAsia" w:hAnsi="宋体" w:cs="宋体"/>
          <w:color w:val="auto"/>
          <w:sz w:val="24"/>
          <w:szCs w:val="24"/>
          <w:highlight w:val="none"/>
        </w:rPr>
        <w:t>%向甲方承担违约责任。</w:t>
      </w:r>
    </w:p>
    <w:p w14:paraId="2ED1226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9.乙方在承担以上第4-7款一项或多项违约责任后，仍应继续履行合同规定的义务（甲方解除合同的除外）。甲方未能及时追究乙方的任何一项违约责任并不表明甲方放弃追究乙方该项或其他违约责任。</w:t>
      </w:r>
    </w:p>
    <w:p w14:paraId="28217028">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第十二条　合同的变更和终止</w:t>
      </w:r>
    </w:p>
    <w:p w14:paraId="25D884D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除《中华人民共和国政府采购法》第四十九条、第五十条第二款规定的情形外，本合同一经签订，甲乙双方不得擅自变更、中止或终止合同。</w:t>
      </w:r>
    </w:p>
    <w:p w14:paraId="7E6D5C42">
      <w:pPr>
        <w:pStyle w:val="20"/>
        <w:wordWrap w:val="0"/>
        <w:spacing w:line="360" w:lineRule="auto"/>
        <w:ind w:firstLine="480" w:firstLineChars="200"/>
        <w:rPr>
          <w:rFonts w:hAnsi="宋体" w:cs="宋体"/>
          <w:b/>
          <w:color w:val="auto"/>
          <w:sz w:val="24"/>
          <w:szCs w:val="24"/>
          <w:highlight w:val="none"/>
        </w:rPr>
      </w:pPr>
      <w:bookmarkStart w:id="318" w:name="_Hlk116210135"/>
      <w:r>
        <w:rPr>
          <w:rFonts w:hint="eastAsia" w:hAnsi="宋体" w:cs="宋体"/>
          <w:b/>
          <w:color w:val="auto"/>
          <w:sz w:val="24"/>
          <w:szCs w:val="24"/>
          <w:highlight w:val="none"/>
        </w:rPr>
        <w:t>第十三条　</w:t>
      </w:r>
      <w:bookmarkStart w:id="319" w:name="_Hlk116210080"/>
      <w:r>
        <w:rPr>
          <w:rFonts w:hint="eastAsia" w:hAnsi="宋体" w:cs="宋体"/>
          <w:b/>
          <w:color w:val="auto"/>
          <w:sz w:val="24"/>
          <w:szCs w:val="24"/>
          <w:highlight w:val="none"/>
        </w:rPr>
        <w:t>合同的转让、分包</w:t>
      </w:r>
      <w:bookmarkEnd w:id="319"/>
    </w:p>
    <w:p w14:paraId="4479519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依据招标文件有关要求执行。</w:t>
      </w:r>
    </w:p>
    <w:bookmarkEnd w:id="318"/>
    <w:p w14:paraId="7D3C6412">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第十四条　争议的解决</w:t>
      </w:r>
    </w:p>
    <w:p w14:paraId="10D812A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4C50844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2.因履行本合同引起的或与本合同有关的争议，甲、乙双方应首先通过友好协商解决，如果协商不能解决争议，则采取以下第</w:t>
      </w:r>
      <w:r>
        <w:rPr>
          <w:rFonts w:hint="eastAsia" w:hAnsi="宋体" w:cs="宋体"/>
          <w:color w:val="auto"/>
          <w:sz w:val="24"/>
          <w:szCs w:val="24"/>
          <w:highlight w:val="none"/>
          <w:u w:val="single"/>
        </w:rPr>
        <w:t>　　　</w:t>
      </w:r>
      <w:r>
        <w:rPr>
          <w:rFonts w:hint="eastAsia" w:hAnsi="宋体" w:cs="宋体"/>
          <w:color w:val="auto"/>
          <w:sz w:val="24"/>
          <w:szCs w:val="24"/>
          <w:highlight w:val="none"/>
        </w:rPr>
        <w:t>种方式解决争议：</w:t>
      </w:r>
    </w:p>
    <w:p w14:paraId="47EFA26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（1）向甲方所在地有管辖权的人民法院提起诉讼。</w:t>
      </w:r>
    </w:p>
    <w:p w14:paraId="4F36715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（2）向</w:t>
      </w:r>
      <w:r>
        <w:rPr>
          <w:rFonts w:hint="eastAsia" w:hAnsi="宋体" w:cs="宋体"/>
          <w:color w:val="auto"/>
          <w:sz w:val="24"/>
          <w:szCs w:val="24"/>
          <w:highlight w:val="none"/>
          <w:u w:val="single"/>
        </w:rPr>
        <w:t>　　　　　　</w:t>
      </w:r>
      <w:r>
        <w:rPr>
          <w:rFonts w:hint="eastAsia" w:hAnsi="宋体" w:cs="宋体"/>
          <w:color w:val="auto"/>
          <w:sz w:val="24"/>
          <w:szCs w:val="24"/>
          <w:highlight w:val="none"/>
        </w:rPr>
        <w:t>仲裁委员会按其仲裁规则申请仲裁。</w:t>
      </w:r>
    </w:p>
    <w:p w14:paraId="76A6A5E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3.在仲裁期间，本合同应继续履行。</w:t>
      </w:r>
    </w:p>
    <w:p w14:paraId="7236F7C3">
      <w:pPr>
        <w:pStyle w:val="20"/>
        <w:wordWrap w:val="0"/>
        <w:spacing w:line="360" w:lineRule="auto"/>
        <w:ind w:firstLine="480" w:firstLineChars="200"/>
        <w:rPr>
          <w:rFonts w:hAnsi="宋体" w:cs="宋体"/>
          <w:color w:val="auto"/>
          <w:sz w:val="24"/>
          <w:szCs w:val="24"/>
          <w:highlight w:val="none"/>
        </w:rPr>
      </w:pPr>
      <w:r>
        <w:rPr>
          <w:rFonts w:hint="eastAsia" w:hAnsi="宋体" w:cs="宋体"/>
          <w:b/>
          <w:color w:val="auto"/>
          <w:sz w:val="24"/>
          <w:szCs w:val="24"/>
          <w:highlight w:val="none"/>
        </w:rPr>
        <w:t>第十五条　合同生效及其他</w:t>
      </w:r>
    </w:p>
    <w:p w14:paraId="41CBEF3F">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1.本合同自签订之日起生效。</w:t>
      </w:r>
    </w:p>
    <w:p w14:paraId="47A6240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2.本合同一式</w:t>
      </w:r>
      <w:r>
        <w:rPr>
          <w:rFonts w:hint="eastAsia" w:hAnsi="宋体" w:cs="宋体"/>
          <w:color w:val="auto"/>
          <w:sz w:val="24"/>
          <w:szCs w:val="24"/>
          <w:highlight w:val="none"/>
          <w:u w:val="single"/>
        </w:rPr>
        <w:t>　　　</w:t>
      </w:r>
      <w:r>
        <w:rPr>
          <w:rFonts w:hint="eastAsia" w:hAnsi="宋体" w:cs="宋体"/>
          <w:color w:val="auto"/>
          <w:sz w:val="24"/>
          <w:szCs w:val="24"/>
          <w:highlight w:val="none"/>
        </w:rPr>
        <w:t>份。</w:t>
      </w:r>
    </w:p>
    <w:p w14:paraId="4BC0AF6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3.其他未尽事宜由双方签订补充协议。</w:t>
      </w:r>
    </w:p>
    <w:p w14:paraId="3A14F4BB">
      <w:pPr>
        <w:pStyle w:val="20"/>
        <w:wordWrap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4</w:t>
      </w:r>
      <w:r>
        <w:rPr>
          <w:rFonts w:hint="eastAsia" w:hAnsi="宋体" w:cs="宋体"/>
          <w:color w:val="auto"/>
          <w:sz w:val="24"/>
          <w:szCs w:val="24"/>
          <w:highlight w:val="none"/>
        </w:rPr>
        <w:t>.本合同应按照中华人民共和国的现行法律进行解释。</w:t>
      </w:r>
    </w:p>
    <w:p w14:paraId="50FD714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5.合同双方应遵守《中华人民共和国妇女权益保障法》中关于“劳动和社会保障权益”的有关要求。</w:t>
      </w:r>
    </w:p>
    <w:p w14:paraId="25EF148C">
      <w:pPr>
        <w:pStyle w:val="20"/>
        <w:wordWrap w:val="0"/>
        <w:spacing w:line="360" w:lineRule="auto"/>
        <w:rPr>
          <w:rFonts w:hAnsi="宋体" w:cs="宋体"/>
          <w:color w:val="auto"/>
          <w:sz w:val="24"/>
          <w:szCs w:val="24"/>
          <w:highlight w:val="none"/>
        </w:rPr>
      </w:pPr>
    </w:p>
    <w:tbl>
      <w:tblPr>
        <w:tblStyle w:val="41"/>
        <w:tblW w:w="8580" w:type="dxa"/>
        <w:jc w:val="center"/>
        <w:tblLayout w:type="fixed"/>
        <w:tblCellMar>
          <w:top w:w="0" w:type="dxa"/>
          <w:left w:w="108" w:type="dxa"/>
          <w:bottom w:w="0" w:type="dxa"/>
          <w:right w:w="108" w:type="dxa"/>
        </w:tblCellMar>
      </w:tblPr>
      <w:tblGrid>
        <w:gridCol w:w="4290"/>
        <w:gridCol w:w="4290"/>
      </w:tblGrid>
      <w:tr w14:paraId="3E2221CA">
        <w:tblPrEx>
          <w:tblCellMar>
            <w:top w:w="0" w:type="dxa"/>
            <w:left w:w="108" w:type="dxa"/>
            <w:bottom w:w="0" w:type="dxa"/>
            <w:right w:w="108" w:type="dxa"/>
          </w:tblCellMar>
        </w:tblPrEx>
        <w:trPr>
          <w:trHeight w:val="2481" w:hRule="atLeast"/>
          <w:jc w:val="center"/>
        </w:trPr>
        <w:tc>
          <w:tcPr>
            <w:tcW w:w="4290" w:type="dxa"/>
          </w:tcPr>
          <w:p w14:paraId="5FF40657">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甲方名称（盖章）：</w:t>
            </w:r>
          </w:p>
          <w:p w14:paraId="2FA41C63">
            <w:pPr>
              <w:pStyle w:val="20"/>
              <w:wordWrap w:val="0"/>
              <w:spacing w:line="360" w:lineRule="auto"/>
              <w:rPr>
                <w:rFonts w:hAnsi="宋体" w:cs="宋体"/>
                <w:color w:val="auto"/>
                <w:spacing w:val="-22"/>
                <w:sz w:val="24"/>
                <w:szCs w:val="24"/>
                <w:highlight w:val="none"/>
              </w:rPr>
            </w:pPr>
          </w:p>
          <w:p w14:paraId="45E1C134">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法定代表人（或授权代表）（签字）：</w:t>
            </w:r>
          </w:p>
          <w:p w14:paraId="00BDCD6C">
            <w:pPr>
              <w:pStyle w:val="20"/>
              <w:wordWrap w:val="0"/>
              <w:spacing w:line="360" w:lineRule="auto"/>
              <w:rPr>
                <w:rFonts w:hAnsi="宋体" w:cs="宋体"/>
                <w:color w:val="auto"/>
                <w:spacing w:val="-22"/>
                <w:sz w:val="24"/>
                <w:szCs w:val="24"/>
                <w:highlight w:val="none"/>
              </w:rPr>
            </w:pPr>
          </w:p>
          <w:p w14:paraId="0C7E606F">
            <w:pPr>
              <w:pStyle w:val="20"/>
              <w:wordWrap w:val="0"/>
              <w:spacing w:line="360" w:lineRule="auto"/>
              <w:rPr>
                <w:rFonts w:hAnsi="宋体" w:cs="宋体"/>
                <w:color w:val="auto"/>
                <w:spacing w:val="-22"/>
                <w:sz w:val="24"/>
                <w:szCs w:val="24"/>
                <w:highlight w:val="none"/>
              </w:rPr>
            </w:pPr>
            <w:r>
              <w:rPr>
                <w:rFonts w:hint="eastAsia" w:hAnsi="宋体" w:cs="宋体"/>
                <w:color w:val="auto"/>
                <w:sz w:val="24"/>
                <w:szCs w:val="24"/>
                <w:highlight w:val="none"/>
              </w:rPr>
              <w:t>日期：　　　年　　月　　日</w:t>
            </w:r>
          </w:p>
        </w:tc>
        <w:tc>
          <w:tcPr>
            <w:tcW w:w="4290" w:type="dxa"/>
          </w:tcPr>
          <w:p w14:paraId="67463EA4">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乙方名称（盖章）：</w:t>
            </w:r>
          </w:p>
          <w:p w14:paraId="0CDE0764">
            <w:pPr>
              <w:pStyle w:val="20"/>
              <w:wordWrap w:val="0"/>
              <w:spacing w:line="360" w:lineRule="auto"/>
              <w:rPr>
                <w:rFonts w:hAnsi="宋体" w:cs="宋体"/>
                <w:color w:val="auto"/>
                <w:spacing w:val="-22"/>
                <w:sz w:val="24"/>
                <w:szCs w:val="24"/>
                <w:highlight w:val="none"/>
              </w:rPr>
            </w:pPr>
          </w:p>
          <w:p w14:paraId="3CCE2F0A">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法定代表人（或授权代表）（签字）：</w:t>
            </w:r>
          </w:p>
          <w:p w14:paraId="4CEF76D0">
            <w:pPr>
              <w:pStyle w:val="20"/>
              <w:wordWrap w:val="0"/>
              <w:spacing w:line="360" w:lineRule="auto"/>
              <w:rPr>
                <w:rFonts w:hAnsi="宋体" w:cs="宋体"/>
                <w:color w:val="auto"/>
                <w:sz w:val="24"/>
                <w:szCs w:val="24"/>
                <w:highlight w:val="none"/>
              </w:rPr>
            </w:pPr>
          </w:p>
          <w:p w14:paraId="19ADDDC9">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p>
        </w:tc>
      </w:tr>
    </w:tbl>
    <w:p w14:paraId="3E771DF2">
      <w:pPr>
        <w:wordWrap w:val="0"/>
        <w:spacing w:line="360" w:lineRule="auto"/>
        <w:rPr>
          <w:rFonts w:ascii="宋体" w:hAnsi="宋体" w:cs="宋体"/>
          <w:color w:val="auto"/>
          <w:sz w:val="24"/>
          <w:highlight w:val="none"/>
        </w:rPr>
      </w:pPr>
    </w:p>
    <w:p w14:paraId="7AC4A567">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p>
    <w:p w14:paraId="650A4E1C">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1.本范本根据《中华人民共和国政府采购法》等法律法规规定制定，项目的具体采购合同条款，由甲乙双方协商一致签订。空格处划横线。</w:t>
      </w:r>
    </w:p>
    <w:p w14:paraId="57638560">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2.收款单位名称应与本合同乙方单位名称、项目中标单位名称、开具发票单位名称相一致。</w:t>
      </w:r>
    </w:p>
    <w:p w14:paraId="2000A1B9">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3.甲方（采购单位）应盖本单位公章（不允许盖内设科室章），乙方应盖单位公章或合同专用章，合同双方应盖骑缝章。</w:t>
      </w:r>
    </w:p>
    <w:p w14:paraId="5348F49F">
      <w:pPr>
        <w:pStyle w:val="15"/>
        <w:wordWrap w:val="0"/>
        <w:spacing w:line="360" w:lineRule="auto"/>
        <w:ind w:firstLine="480" w:firstLineChars="200"/>
        <w:rPr>
          <w:color w:val="auto"/>
          <w:highlight w:val="none"/>
        </w:rPr>
      </w:pPr>
      <w:r>
        <w:rPr>
          <w:rFonts w:hint="eastAsia" w:ascii="宋体" w:hAnsi="宋体" w:cs="宋体"/>
          <w:b/>
          <w:color w:val="auto"/>
          <w:highlight w:val="none"/>
        </w:rPr>
        <w:t>4.除涉密项目外，根据《中华人民共和国政府采购法实施条例》第五十条规定，采购人应当自政府采购合同签订之日起2个工作日内，将政府采购合同在省级以上人民政府财政部门指定的媒体上公告。</w:t>
      </w:r>
    </w:p>
    <w:p w14:paraId="66289A91">
      <w:pPr>
        <w:wordWrap w:val="0"/>
        <w:spacing w:line="360" w:lineRule="auto"/>
        <w:rPr>
          <w:rFonts w:ascii="宋体" w:hAnsi="宋体"/>
          <w:color w:val="auto"/>
          <w:sz w:val="24"/>
          <w:highlight w:val="none"/>
        </w:rPr>
        <w:sectPr>
          <w:pgSz w:w="11906" w:h="16838"/>
          <w:pgMar w:top="1440" w:right="1797" w:bottom="1440" w:left="1797" w:header="851" w:footer="992" w:gutter="0"/>
          <w:cols w:space="720" w:num="1"/>
          <w:docGrid w:type="linesAndChars" w:linePitch="319" w:charSpace="0"/>
        </w:sectPr>
      </w:pPr>
    </w:p>
    <w:p w14:paraId="37539E50">
      <w:pPr>
        <w:wordWrap w:val="0"/>
        <w:spacing w:line="360" w:lineRule="auto"/>
        <w:ind w:firstLine="480" w:firstLineChars="200"/>
        <w:outlineLvl w:val="1"/>
        <w:rPr>
          <w:rFonts w:ascii="宋体" w:hAnsi="宋体"/>
          <w:b/>
          <w:color w:val="auto"/>
          <w:sz w:val="24"/>
          <w:szCs w:val="24"/>
          <w:highlight w:val="none"/>
        </w:rPr>
      </w:pPr>
      <w:bookmarkStart w:id="320" w:name="_Toc140237320"/>
      <w:r>
        <w:rPr>
          <w:rFonts w:ascii="宋体" w:hAnsi="宋体"/>
          <w:b/>
          <w:color w:val="auto"/>
          <w:sz w:val="24"/>
          <w:szCs w:val="24"/>
          <w:highlight w:val="none"/>
        </w:rPr>
        <w:t>5.2</w:t>
      </w:r>
      <w:r>
        <w:rPr>
          <w:rFonts w:hint="eastAsia" w:ascii="宋体" w:hAnsi="宋体"/>
          <w:b/>
          <w:color w:val="auto"/>
          <w:sz w:val="24"/>
          <w:szCs w:val="24"/>
          <w:highlight w:val="none"/>
        </w:rPr>
        <w:t>　政府采购合同（服务类待签样本）</w:t>
      </w:r>
      <w:bookmarkEnd w:id="320"/>
    </w:p>
    <w:p w14:paraId="1DED41A0">
      <w:pPr>
        <w:wordWrap w:val="0"/>
        <w:spacing w:line="360" w:lineRule="auto"/>
        <w:ind w:firstLine="480" w:firstLineChars="200"/>
        <w:rPr>
          <w:color w:val="auto"/>
          <w:sz w:val="24"/>
          <w:highlight w:val="none"/>
        </w:rPr>
      </w:pPr>
      <w:r>
        <w:rPr>
          <w:rFonts w:hint="eastAsia"/>
          <w:color w:val="auto"/>
          <w:sz w:val="24"/>
          <w:highlight w:val="none"/>
        </w:rPr>
        <w:t>政府采购合同（服务类待签样本）仅作为参考，不作为最终合同，甲方有权在签订合同时对合同的相关条款及内容依法作进一步的细化和修改。样式附后。</w:t>
      </w:r>
    </w:p>
    <w:p w14:paraId="514B6879">
      <w:pPr>
        <w:pStyle w:val="15"/>
        <w:wordWrap w:val="0"/>
        <w:spacing w:line="360" w:lineRule="auto"/>
        <w:rPr>
          <w:color w:val="auto"/>
          <w:sz w:val="32"/>
          <w:highlight w:val="none"/>
        </w:rPr>
        <w:sectPr>
          <w:pgSz w:w="11906" w:h="16838"/>
          <w:pgMar w:top="1440" w:right="1797" w:bottom="1440" w:left="1797" w:header="851" w:footer="992" w:gutter="0"/>
          <w:cols w:space="720" w:num="1"/>
          <w:docGrid w:type="linesAndChars" w:linePitch="319" w:charSpace="0"/>
        </w:sectPr>
      </w:pPr>
    </w:p>
    <w:p w14:paraId="11BCF85C">
      <w:pPr>
        <w:wordWrap w:val="0"/>
        <w:spacing w:line="720" w:lineRule="auto"/>
        <w:rPr>
          <w:rStyle w:val="95"/>
          <w:rFonts w:ascii="宋体" w:hAnsi="宋体" w:cs="宋体"/>
          <w:b w:val="0"/>
          <w:color w:val="auto"/>
          <w:sz w:val="32"/>
          <w:szCs w:val="36"/>
          <w:highlight w:val="none"/>
        </w:rPr>
      </w:pPr>
      <w:bookmarkStart w:id="321" w:name="_Hlk97215008"/>
    </w:p>
    <w:p w14:paraId="1990A0E4">
      <w:pPr>
        <w:pStyle w:val="15"/>
        <w:wordWrap w:val="0"/>
        <w:spacing w:line="720" w:lineRule="auto"/>
        <w:rPr>
          <w:color w:val="auto"/>
          <w:sz w:val="32"/>
          <w:highlight w:val="none"/>
        </w:rPr>
      </w:pPr>
    </w:p>
    <w:p w14:paraId="5C78F888">
      <w:pPr>
        <w:wordWrap w:val="0"/>
        <w:spacing w:line="360" w:lineRule="auto"/>
        <w:jc w:val="center"/>
        <w:rPr>
          <w:rFonts w:ascii="宋体" w:hAnsi="宋体" w:cs="宋体"/>
          <w:b/>
          <w:color w:val="auto"/>
          <w:sz w:val="72"/>
          <w:szCs w:val="72"/>
          <w:highlight w:val="none"/>
        </w:rPr>
      </w:pPr>
      <w:bookmarkStart w:id="322" w:name="_Hlk97901082"/>
      <w:r>
        <w:rPr>
          <w:rFonts w:hint="eastAsia" w:ascii="宋体" w:hAnsi="宋体" w:cs="宋体"/>
          <w:b/>
          <w:color w:val="auto"/>
          <w:sz w:val="72"/>
          <w:szCs w:val="72"/>
          <w:highlight w:val="none"/>
        </w:rPr>
        <w:t>政府采购合同</w:t>
      </w:r>
    </w:p>
    <w:p w14:paraId="27E371F8">
      <w:pPr>
        <w:wordWrap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（服务类</w:t>
      </w:r>
      <w:bookmarkStart w:id="323" w:name="_Hlk97132384"/>
      <w:r>
        <w:rPr>
          <w:rFonts w:hint="eastAsia" w:ascii="宋体" w:hAnsi="宋体" w:cs="宋体"/>
          <w:color w:val="auto"/>
          <w:sz w:val="32"/>
          <w:szCs w:val="32"/>
          <w:highlight w:val="none"/>
        </w:rPr>
        <w:t>待签</w:t>
      </w:r>
      <w:bookmarkEnd w:id="323"/>
      <w:r>
        <w:rPr>
          <w:rFonts w:hint="eastAsia" w:ascii="宋体" w:hAnsi="宋体" w:cs="宋体"/>
          <w:color w:val="auto"/>
          <w:sz w:val="32"/>
          <w:szCs w:val="32"/>
          <w:highlight w:val="none"/>
        </w:rPr>
        <w:t>样本）</w:t>
      </w:r>
      <w:bookmarkEnd w:id="321"/>
      <w:bookmarkEnd w:id="322"/>
    </w:p>
    <w:p w14:paraId="5B97F489">
      <w:pPr>
        <w:wordWrap w:val="0"/>
        <w:spacing w:line="720" w:lineRule="auto"/>
        <w:rPr>
          <w:rStyle w:val="95"/>
          <w:rFonts w:ascii="宋体" w:hAnsi="宋体" w:cs="宋体"/>
          <w:b w:val="0"/>
          <w:color w:val="auto"/>
          <w:sz w:val="32"/>
          <w:szCs w:val="36"/>
          <w:highlight w:val="none"/>
        </w:rPr>
      </w:pPr>
    </w:p>
    <w:p w14:paraId="6F8D0382">
      <w:pPr>
        <w:pStyle w:val="15"/>
        <w:wordWrap w:val="0"/>
        <w:spacing w:line="720" w:lineRule="auto"/>
        <w:rPr>
          <w:color w:val="auto"/>
          <w:sz w:val="32"/>
          <w:highlight w:val="none"/>
        </w:rPr>
      </w:pPr>
    </w:p>
    <w:p w14:paraId="0FCC86F8">
      <w:pPr>
        <w:wordWrap w:val="0"/>
        <w:spacing w:line="720" w:lineRule="auto"/>
        <w:ind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w:t>
      </w:r>
    </w:p>
    <w:p w14:paraId="34628B92">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政府采购管理部门备案编号：</w:t>
      </w:r>
      <w:r>
        <w:rPr>
          <w:rFonts w:hint="eastAsia" w:ascii="宋体" w:hAnsi="宋体" w:cs="宋体"/>
          <w:color w:val="auto"/>
          <w:sz w:val="32"/>
          <w:szCs w:val="32"/>
          <w:highlight w:val="none"/>
          <w:u w:val="single"/>
        </w:rPr>
        <w:t>　　　　　　　　　</w:t>
      </w:r>
    </w:p>
    <w:p w14:paraId="439131B6">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招标文件编号：</w:t>
      </w:r>
      <w:r>
        <w:rPr>
          <w:rFonts w:hint="eastAsia" w:ascii="宋体" w:hAnsi="宋体" w:cs="宋体"/>
          <w:color w:val="auto"/>
          <w:sz w:val="32"/>
          <w:szCs w:val="32"/>
          <w:highlight w:val="none"/>
          <w:u w:val="single"/>
        </w:rPr>
        <w:t>　　　　　　　　　　　　　　　</w:t>
      </w:r>
    </w:p>
    <w:p w14:paraId="342CEC82">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甲方合同编号：</w:t>
      </w:r>
      <w:r>
        <w:rPr>
          <w:rFonts w:hint="eastAsia" w:ascii="宋体" w:hAnsi="宋体" w:cs="宋体"/>
          <w:color w:val="auto"/>
          <w:sz w:val="32"/>
          <w:szCs w:val="32"/>
          <w:highlight w:val="none"/>
          <w:u w:val="single"/>
        </w:rPr>
        <w:t>　　　　　　　　　　　　　　　</w:t>
      </w:r>
    </w:p>
    <w:p w14:paraId="3A7A0574">
      <w:pPr>
        <w:wordWrap w:val="0"/>
        <w:spacing w:line="720" w:lineRule="auto"/>
        <w:ind w:firstLine="640" w:firstLineChars="200"/>
        <w:rPr>
          <w:rFonts w:ascii="宋体" w:hAnsi="宋体" w:cs="宋体"/>
          <w:color w:val="auto"/>
          <w:sz w:val="32"/>
          <w:szCs w:val="32"/>
          <w:highlight w:val="none"/>
          <w:u w:val="single"/>
        </w:rPr>
      </w:pPr>
      <w:r>
        <w:rPr>
          <w:rFonts w:hint="eastAsia" w:ascii="宋体" w:hAnsi="宋体" w:cs="宋体"/>
          <w:color w:val="auto"/>
          <w:sz w:val="32"/>
          <w:szCs w:val="32"/>
          <w:highlight w:val="none"/>
        </w:rPr>
        <w:t>甲方：</w:t>
      </w:r>
      <w:r>
        <w:rPr>
          <w:rFonts w:hint="eastAsia" w:ascii="宋体" w:hAnsi="宋体" w:cs="宋体"/>
          <w:color w:val="auto"/>
          <w:sz w:val="32"/>
          <w:szCs w:val="32"/>
          <w:highlight w:val="none"/>
          <w:u w:val="single"/>
        </w:rPr>
        <w:t>　　　　　　　　　　　　　　　　　　　</w:t>
      </w:r>
    </w:p>
    <w:p w14:paraId="762FFEE4">
      <w:pPr>
        <w:wordWrap w:val="0"/>
        <w:spacing w:line="72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乙方：</w:t>
      </w:r>
      <w:r>
        <w:rPr>
          <w:rFonts w:hint="eastAsia" w:ascii="宋体" w:hAnsi="宋体" w:cs="宋体"/>
          <w:color w:val="auto"/>
          <w:sz w:val="32"/>
          <w:szCs w:val="32"/>
          <w:highlight w:val="none"/>
          <w:u w:val="single"/>
        </w:rPr>
        <w:t>　　　　　　　　　　　　　　　　　　　</w:t>
      </w:r>
    </w:p>
    <w:p w14:paraId="2A52632C">
      <w:pPr>
        <w:wordWrap w:val="0"/>
        <w:spacing w:line="720" w:lineRule="auto"/>
        <w:rPr>
          <w:rFonts w:ascii="宋体" w:hAnsi="宋体" w:cs="宋体"/>
          <w:color w:val="auto"/>
          <w:sz w:val="32"/>
          <w:szCs w:val="32"/>
          <w:highlight w:val="none"/>
        </w:rPr>
      </w:pPr>
    </w:p>
    <w:p w14:paraId="35B349A7">
      <w:pPr>
        <w:wordWrap w:val="0"/>
        <w:spacing w:line="72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签订时间：　　　年　　月　　日</w:t>
      </w:r>
    </w:p>
    <w:p w14:paraId="33FECA43">
      <w:pPr>
        <w:wordWrap w:val="0"/>
        <w:spacing w:line="360" w:lineRule="auto"/>
        <w:ind w:firstLine="480" w:firstLineChars="200"/>
        <w:jc w:val="left"/>
        <w:rPr>
          <w:rFonts w:hAnsi="宋体" w:cs="宋体"/>
          <w:color w:val="auto"/>
          <w:sz w:val="24"/>
          <w:szCs w:val="24"/>
          <w:highlight w:val="none"/>
        </w:rPr>
        <w:sectPr>
          <w:pgSz w:w="11906" w:h="16838"/>
          <w:pgMar w:top="1440" w:right="1797" w:bottom="1440" w:left="1797" w:header="851" w:footer="992" w:gutter="0"/>
          <w:cols w:space="720" w:num="1"/>
          <w:docGrid w:type="linesAndChars" w:linePitch="319" w:charSpace="0"/>
        </w:sectPr>
      </w:pPr>
    </w:p>
    <w:p w14:paraId="16168F07">
      <w:pPr>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根据《中华人民共和国民法典》《中华人民共和国政府采购法》等法律法规规定，甲乙双方按照中标结果签订本合同。</w:t>
      </w:r>
    </w:p>
    <w:p w14:paraId="7A79CB5E">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第一条　合同文件</w:t>
      </w:r>
    </w:p>
    <w:p w14:paraId="2D7BCE7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下列与本次采购活动有关的文件及附件是本合同不可分割的组成部分，与本合同具有同等法律效力，这些文件包括但不限于：</w:t>
      </w:r>
    </w:p>
    <w:p w14:paraId="01AC3B5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w:t>
      </w:r>
    </w:p>
    <w:p w14:paraId="476D547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2.投标文件。</w:t>
      </w:r>
    </w:p>
    <w:p w14:paraId="484E4D9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3.乙方在投标时的书面承诺。</w:t>
      </w:r>
    </w:p>
    <w:p w14:paraId="7F03B46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4.中标通知书。</w:t>
      </w:r>
    </w:p>
    <w:p w14:paraId="4C2DD59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5.合同补充条款或说明。</w:t>
      </w:r>
    </w:p>
    <w:p w14:paraId="15682F5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6.保密协议或条款。</w:t>
      </w:r>
    </w:p>
    <w:p w14:paraId="58EBFD0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7.相关附件、图纸及电子版资料。</w:t>
      </w:r>
    </w:p>
    <w:p w14:paraId="7056139C">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第二条　合同内容</w:t>
      </w:r>
    </w:p>
    <w:p w14:paraId="313B385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服务名称：详见合同附件中《服务一览表》</w:t>
      </w:r>
    </w:p>
    <w:p w14:paraId="47EE28D1">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第三条　合同总金额</w:t>
      </w:r>
    </w:p>
    <w:p w14:paraId="16A0BC6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本合同服务总金额：¥</w:t>
      </w:r>
      <w:r>
        <w:rPr>
          <w:rFonts w:hint="eastAsia" w:hAnsi="宋体" w:cs="宋体"/>
          <w:color w:val="auto"/>
          <w:sz w:val="24"/>
          <w:szCs w:val="24"/>
          <w:highlight w:val="none"/>
          <w:u w:val="single"/>
        </w:rPr>
        <w:t>　　　　　　　</w:t>
      </w:r>
      <w:r>
        <w:rPr>
          <w:rFonts w:hint="eastAsia" w:hAnsi="宋体" w:cs="宋体"/>
          <w:color w:val="auto"/>
          <w:sz w:val="24"/>
          <w:szCs w:val="24"/>
          <w:highlight w:val="none"/>
        </w:rPr>
        <w:t>元，大写：</w:t>
      </w:r>
      <w:r>
        <w:rPr>
          <w:rFonts w:hint="eastAsia" w:hAnsi="宋体" w:cs="宋体"/>
          <w:color w:val="auto"/>
          <w:sz w:val="24"/>
          <w:szCs w:val="24"/>
          <w:highlight w:val="none"/>
          <w:u w:val="single"/>
        </w:rPr>
        <w:t>　　　　　　　　　　</w:t>
      </w:r>
      <w:r>
        <w:rPr>
          <w:rFonts w:hint="eastAsia" w:hAnsi="宋体" w:cs="宋体"/>
          <w:color w:val="auto"/>
          <w:sz w:val="24"/>
          <w:szCs w:val="24"/>
          <w:highlight w:val="none"/>
        </w:rPr>
        <w:t>元。</w:t>
      </w:r>
    </w:p>
    <w:p w14:paraId="2F67C90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分项价款在《服务一览表》中有明确规定。</w:t>
      </w:r>
    </w:p>
    <w:p w14:paraId="3B96F73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本合同总价款包括服务期间必须的日常易耗品、工具、调试费、培训费等相关费用。</w:t>
      </w:r>
    </w:p>
    <w:p w14:paraId="2995E5C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本合同执行期内因工作量变化而引起的服务费用的变动，在双方事先协商一致的前提下签订补充合同。</w:t>
      </w:r>
    </w:p>
    <w:p w14:paraId="769BAD25">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第四条　权利义务和质量保证</w:t>
      </w:r>
    </w:p>
    <w:p w14:paraId="4D4E5FB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2BA283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4AA5F683">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第五条　付款方式</w:t>
      </w:r>
    </w:p>
    <w:p w14:paraId="5BEED75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1.本合同项下所有款项均以人民币支付。</w:t>
      </w:r>
    </w:p>
    <w:p w14:paraId="74C7A64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2.乙方向甲方提交下列文件材料，经甲方审核无误后支付采购资金：</w:t>
      </w:r>
    </w:p>
    <w:p w14:paraId="2A41E54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（1）经甲方确认的发票。</w:t>
      </w:r>
    </w:p>
    <w:p w14:paraId="3D06A52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（2）经甲乙双方确认签订的《验收报告》（或按项目进度阶段性《验收报告》）。</w:t>
      </w:r>
    </w:p>
    <w:p w14:paraId="42FA650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（3）其他材料。</w:t>
      </w:r>
    </w:p>
    <w:p w14:paraId="1B03205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3.款项的支付进度以招标文件的有关规定为准。如招标文件未作特别规定，则付款进度应符合如下约定：</w:t>
      </w:r>
    </w:p>
    <w:p w14:paraId="61FCEFD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第一次验收合格后支付至合同总价的</w:t>
      </w:r>
      <w:r>
        <w:rPr>
          <w:rFonts w:hint="eastAsia" w:hAnsi="宋体" w:cs="宋体"/>
          <w:color w:val="auto"/>
          <w:sz w:val="24"/>
          <w:szCs w:val="24"/>
          <w:highlight w:val="none"/>
          <w:u w:val="single"/>
        </w:rPr>
        <w:t>　　　</w:t>
      </w:r>
      <w:r>
        <w:rPr>
          <w:rFonts w:hint="eastAsia" w:hAnsi="宋体" w:cs="宋体"/>
          <w:color w:val="auto"/>
          <w:sz w:val="24"/>
          <w:szCs w:val="24"/>
          <w:highlight w:val="none"/>
        </w:rPr>
        <w:t>%，第二次验收合格后支付至合同的</w:t>
      </w:r>
      <w:r>
        <w:rPr>
          <w:rFonts w:hint="eastAsia" w:hAnsi="宋体" w:cs="宋体"/>
          <w:color w:val="auto"/>
          <w:sz w:val="24"/>
          <w:szCs w:val="24"/>
          <w:highlight w:val="none"/>
          <w:u w:val="single"/>
        </w:rPr>
        <w:t>　　　</w:t>
      </w:r>
      <w:r>
        <w:rPr>
          <w:rFonts w:hint="eastAsia" w:hAnsi="宋体" w:cs="宋体"/>
          <w:color w:val="auto"/>
          <w:sz w:val="24"/>
          <w:szCs w:val="24"/>
          <w:highlight w:val="none"/>
        </w:rPr>
        <w:t>%，第</w:t>
      </w:r>
      <w:r>
        <w:rPr>
          <w:rFonts w:hint="eastAsia" w:hAnsi="宋体" w:cs="宋体"/>
          <w:color w:val="auto"/>
          <w:sz w:val="24"/>
          <w:szCs w:val="24"/>
          <w:highlight w:val="none"/>
          <w:u w:val="single"/>
        </w:rPr>
        <w:t>　　　</w:t>
      </w:r>
      <w:r>
        <w:rPr>
          <w:rFonts w:hint="eastAsia" w:hAnsi="宋体" w:cs="宋体"/>
          <w:color w:val="auto"/>
          <w:sz w:val="24"/>
          <w:szCs w:val="24"/>
          <w:highlight w:val="none"/>
        </w:rPr>
        <w:t>次验收合格后支付至合同总价的</w:t>
      </w:r>
      <w:r>
        <w:rPr>
          <w:rFonts w:hint="eastAsia" w:hAnsi="宋体" w:cs="宋体"/>
          <w:color w:val="auto"/>
          <w:sz w:val="24"/>
          <w:szCs w:val="24"/>
          <w:highlight w:val="none"/>
          <w:u w:val="single"/>
        </w:rPr>
        <w:t>　　　</w:t>
      </w:r>
      <w:r>
        <w:rPr>
          <w:rFonts w:hint="eastAsia" w:hAnsi="宋体" w:cs="宋体"/>
          <w:color w:val="auto"/>
          <w:sz w:val="24"/>
          <w:szCs w:val="24"/>
          <w:highlight w:val="none"/>
        </w:rPr>
        <w:t>%，余款</w:t>
      </w:r>
      <w:r>
        <w:rPr>
          <w:rFonts w:hint="eastAsia" w:hAnsi="宋体" w:cs="宋体"/>
          <w:color w:val="auto"/>
          <w:sz w:val="24"/>
          <w:szCs w:val="24"/>
          <w:highlight w:val="none"/>
          <w:u w:val="single"/>
        </w:rPr>
        <w:t>　　　</w:t>
      </w:r>
      <w:r>
        <w:rPr>
          <w:rFonts w:hint="eastAsia" w:hAnsi="宋体" w:cs="宋体"/>
          <w:color w:val="auto"/>
          <w:sz w:val="24"/>
          <w:szCs w:val="24"/>
          <w:highlight w:val="none"/>
        </w:rPr>
        <w:t>%作为质量保证金于服务运行满</w:t>
      </w:r>
      <w:r>
        <w:rPr>
          <w:rFonts w:hint="eastAsia" w:hAnsi="宋体" w:cs="宋体"/>
          <w:color w:val="auto"/>
          <w:sz w:val="24"/>
          <w:szCs w:val="24"/>
          <w:highlight w:val="none"/>
          <w:u w:val="single"/>
        </w:rPr>
        <w:t>　　　</w:t>
      </w:r>
      <w:r>
        <w:rPr>
          <w:rFonts w:hint="eastAsia" w:hAnsi="宋体" w:cs="宋体"/>
          <w:color w:val="auto"/>
          <w:sz w:val="24"/>
          <w:szCs w:val="24"/>
          <w:highlight w:val="none"/>
        </w:rPr>
        <w:t>月后，并经甲乙双方复验合格后的</w:t>
      </w:r>
      <w:r>
        <w:rPr>
          <w:rFonts w:hint="eastAsia" w:hAnsi="宋体" w:cs="宋体"/>
          <w:color w:val="auto"/>
          <w:sz w:val="24"/>
          <w:szCs w:val="24"/>
          <w:highlight w:val="none"/>
          <w:u w:val="single"/>
        </w:rPr>
        <w:t>　　　</w:t>
      </w:r>
      <w:r>
        <w:rPr>
          <w:rFonts w:hint="eastAsia" w:hAnsi="宋体" w:cs="宋体"/>
          <w:color w:val="auto"/>
          <w:sz w:val="24"/>
          <w:szCs w:val="24"/>
          <w:highlight w:val="none"/>
        </w:rPr>
        <w:t>个工作日内付清。</w:t>
      </w:r>
    </w:p>
    <w:p w14:paraId="3F8AE2F4">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第六条　履约保证金</w:t>
      </w:r>
    </w:p>
    <w:p w14:paraId="4E31732C">
      <w:pPr>
        <w:pStyle w:val="20"/>
        <w:wordWrap w:val="0"/>
        <w:spacing w:line="360" w:lineRule="auto"/>
        <w:ind w:firstLine="480" w:firstLineChars="200"/>
        <w:rPr>
          <w:rFonts w:hAnsi="宋体" w:cs="宋体"/>
          <w:color w:val="auto"/>
          <w:sz w:val="24"/>
          <w:szCs w:val="24"/>
          <w:highlight w:val="none"/>
        </w:rPr>
      </w:pPr>
      <w:bookmarkStart w:id="324" w:name="_Hlk116209554"/>
      <w:r>
        <w:rPr>
          <w:rFonts w:hint="eastAsia" w:hAnsi="宋体" w:cs="宋体"/>
          <w:color w:val="auto"/>
          <w:sz w:val="24"/>
          <w:szCs w:val="24"/>
          <w:highlight w:val="none"/>
        </w:rPr>
        <w:t>1.乙方在签订本合同之日，向甲方或甲方指定的机构交纳履约保证金</w:t>
      </w:r>
      <w:r>
        <w:rPr>
          <w:rFonts w:hint="eastAsia" w:hAnsi="宋体" w:cs="宋体"/>
          <w:color w:val="auto"/>
          <w:sz w:val="24"/>
          <w:szCs w:val="24"/>
          <w:highlight w:val="none"/>
          <w:u w:val="single"/>
        </w:rPr>
        <w:t>　　　</w:t>
      </w:r>
      <w:r>
        <w:rPr>
          <w:rFonts w:hint="eastAsia" w:hAnsi="宋体" w:cs="宋体"/>
          <w:color w:val="auto"/>
          <w:sz w:val="24"/>
          <w:szCs w:val="24"/>
          <w:highlight w:val="none"/>
        </w:rPr>
        <w:t>元。</w:t>
      </w:r>
    </w:p>
    <w:p w14:paraId="5A1C323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2.履约保证金的有效期为甲乙双方签署验收单后的</w:t>
      </w:r>
      <w:r>
        <w:rPr>
          <w:rFonts w:hint="eastAsia" w:hAnsi="宋体" w:cs="宋体"/>
          <w:color w:val="auto"/>
          <w:sz w:val="24"/>
          <w:szCs w:val="24"/>
          <w:highlight w:val="none"/>
          <w:u w:val="single"/>
        </w:rPr>
        <w:t>　　　</w:t>
      </w:r>
      <w:r>
        <w:rPr>
          <w:rFonts w:hint="eastAsia" w:hAnsi="宋体" w:cs="宋体"/>
          <w:color w:val="auto"/>
          <w:sz w:val="24"/>
          <w:szCs w:val="24"/>
          <w:highlight w:val="none"/>
        </w:rPr>
        <w:t>天，如超期未退还，则按照超出时间的银行利率支付保证金本息。</w:t>
      </w:r>
    </w:p>
    <w:p w14:paraId="06BFD3B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3.如乙方未能履行合同规定的义务，甲方有权扣除部分或全部履约保证金以弥补给甲方造成的损失。</w:t>
      </w:r>
    </w:p>
    <w:p w14:paraId="08298B2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4.履约保证金扣除甲方应得的补偿后的余额在</w:t>
      </w:r>
      <w:r>
        <w:rPr>
          <w:rFonts w:hint="eastAsia" w:hAnsi="宋体" w:cs="宋体"/>
          <w:color w:val="auto"/>
          <w:sz w:val="24"/>
          <w:szCs w:val="24"/>
          <w:highlight w:val="none"/>
          <w:u w:val="single"/>
        </w:rPr>
        <w:t>　　　</w:t>
      </w:r>
      <w:r>
        <w:rPr>
          <w:rFonts w:hint="eastAsia" w:hAnsi="宋体" w:cs="宋体"/>
          <w:color w:val="auto"/>
          <w:sz w:val="24"/>
          <w:szCs w:val="24"/>
          <w:highlight w:val="none"/>
        </w:rPr>
        <w:t>天内退还乙方。</w:t>
      </w:r>
    </w:p>
    <w:p w14:paraId="3CCC9DE1">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5.履约保证金交纳比例</w:t>
      </w:r>
      <w:r>
        <w:rPr>
          <w:rFonts w:hint="eastAsia" w:hAnsi="宋体" w:cs="宋体"/>
          <w:color w:val="auto"/>
          <w:sz w:val="24"/>
          <w:szCs w:val="24"/>
          <w:highlight w:val="none"/>
          <w:u w:val="single"/>
        </w:rPr>
        <w:t>　　　</w:t>
      </w:r>
      <w:r>
        <w:rPr>
          <w:rFonts w:hint="eastAsia" w:hAnsi="宋体" w:cs="宋体"/>
          <w:color w:val="auto"/>
          <w:sz w:val="24"/>
          <w:szCs w:val="24"/>
          <w:highlight w:val="none"/>
        </w:rPr>
        <w:t>%。（利率以同期银行利率为准）</w:t>
      </w:r>
    </w:p>
    <w:p w14:paraId="10D18F7E">
      <w:pPr>
        <w:pStyle w:val="20"/>
        <w:wordWrap w:val="0"/>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6.履约保证金的交纳方式：支票、汇票、本票、保函等非现金形式交纳保证金。</w:t>
      </w:r>
    </w:p>
    <w:bookmarkEnd w:id="324"/>
    <w:p w14:paraId="527A8494">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第七条　验收</w:t>
      </w:r>
    </w:p>
    <w:p w14:paraId="413CF74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1.服务期限：</w:t>
      </w:r>
      <w:r>
        <w:rPr>
          <w:rFonts w:hint="eastAsia" w:hAnsi="宋体" w:cs="宋体"/>
          <w:color w:val="auto"/>
          <w:sz w:val="24"/>
          <w:szCs w:val="24"/>
          <w:highlight w:val="none"/>
          <w:u w:val="single"/>
        </w:rPr>
        <w:t>　　　　　　　　　</w:t>
      </w:r>
      <w:r>
        <w:rPr>
          <w:rFonts w:hint="eastAsia" w:hAnsi="宋体" w:cs="宋体"/>
          <w:color w:val="auto"/>
          <w:sz w:val="24"/>
          <w:szCs w:val="24"/>
          <w:highlight w:val="none"/>
        </w:rPr>
        <w:t>至</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5AE6827B">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服务地点：</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58288AE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验收时间：</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266611D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验收地点：</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34C849D7">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2.乙方应对提供的服务成果作出全面自查和整理，并列出清单，作为甲方验收和使用的服务条件依据，清单应随提供的服务成果交给甲方。</w:t>
      </w:r>
    </w:p>
    <w:p w14:paraId="02C58EE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14:paraId="7009016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4.甲方可以视项目规模或复杂情况聘请专业人员参与验收，大型或复杂项目，以及涉及专业服务内容的应当邀请国家认可的第三方质量检测机构参与验收。</w:t>
      </w:r>
    </w:p>
    <w:p w14:paraId="24887896">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5.如项目实施情况需要分阶段验收，则根据实际情况分阶段出具《验收报告》。</w:t>
      </w:r>
    </w:p>
    <w:p w14:paraId="2286CFB6">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第八条　项目管理服务</w:t>
      </w:r>
    </w:p>
    <w:p w14:paraId="28DB3BF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乙方要指定不少于一人全权全程负责本项目服务的落实，包括服务的咨询、执行和后续工作。</w:t>
      </w:r>
    </w:p>
    <w:p w14:paraId="7D97DA6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项目负责人姓名：</w:t>
      </w:r>
      <w:r>
        <w:rPr>
          <w:rFonts w:hint="eastAsia" w:hAnsi="宋体" w:cs="宋体"/>
          <w:color w:val="auto"/>
          <w:sz w:val="24"/>
          <w:szCs w:val="24"/>
          <w:highlight w:val="none"/>
          <w:u w:val="single"/>
        </w:rPr>
        <w:t>　　　　　　　　　</w:t>
      </w:r>
      <w:r>
        <w:rPr>
          <w:rFonts w:hint="eastAsia" w:hAnsi="宋体" w:cs="宋体"/>
          <w:color w:val="auto"/>
          <w:sz w:val="24"/>
          <w:szCs w:val="24"/>
          <w:highlight w:val="none"/>
        </w:rPr>
        <w:t>；联系电话：</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45A193CE">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第九条　售后服务</w:t>
      </w:r>
    </w:p>
    <w:p w14:paraId="62B0144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1.乙方提供服务的质量保证期为自服务通过最终验收起</w:t>
      </w:r>
      <w:r>
        <w:rPr>
          <w:rFonts w:hint="eastAsia" w:hAnsi="宋体" w:cs="宋体"/>
          <w:color w:val="auto"/>
          <w:sz w:val="24"/>
          <w:szCs w:val="24"/>
          <w:highlight w:val="none"/>
          <w:u w:val="single"/>
        </w:rPr>
        <w:t>　　　</w:t>
      </w:r>
      <w:r>
        <w:rPr>
          <w:rFonts w:hint="eastAsia" w:hAnsi="宋体" w:cs="宋体"/>
          <w:color w:val="auto"/>
          <w:sz w:val="24"/>
          <w:szCs w:val="24"/>
          <w:highlight w:val="none"/>
        </w:rPr>
        <w:t>个月。若国家有明确规定的质量保证期高于此质量保证期的，执行国家规定。</w:t>
      </w:r>
    </w:p>
    <w:p w14:paraId="1807152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2.服务期内，乙方应提供相关服务支持。对甲方所反映的任何服务问题在</w:t>
      </w:r>
      <w:r>
        <w:rPr>
          <w:rFonts w:hint="eastAsia" w:hAnsi="宋体" w:cs="宋体"/>
          <w:color w:val="auto"/>
          <w:sz w:val="24"/>
          <w:szCs w:val="24"/>
          <w:highlight w:val="none"/>
          <w:u w:val="single"/>
        </w:rPr>
        <w:t>　　　</w:t>
      </w:r>
      <w:r>
        <w:rPr>
          <w:rFonts w:hint="eastAsia" w:hAnsi="宋体" w:cs="宋体"/>
          <w:color w:val="auto"/>
          <w:sz w:val="24"/>
          <w:szCs w:val="24"/>
          <w:highlight w:val="none"/>
        </w:rPr>
        <w:t>日（小时）之内作出及时响应，在</w:t>
      </w:r>
      <w:r>
        <w:rPr>
          <w:rFonts w:hint="eastAsia" w:hAnsi="宋体" w:cs="宋体"/>
          <w:color w:val="auto"/>
          <w:sz w:val="24"/>
          <w:szCs w:val="24"/>
          <w:highlight w:val="none"/>
          <w:u w:val="single"/>
        </w:rPr>
        <w:t>　　　</w:t>
      </w:r>
      <w:r>
        <w:rPr>
          <w:rFonts w:hint="eastAsia" w:hAnsi="宋体" w:cs="宋体"/>
          <w:color w:val="auto"/>
          <w:sz w:val="24"/>
          <w:szCs w:val="24"/>
          <w:highlight w:val="none"/>
        </w:rPr>
        <w:t>日（小时）之内赶到现场实地解决问题。若问题在</w:t>
      </w:r>
      <w:r>
        <w:rPr>
          <w:rFonts w:hint="eastAsia" w:hAnsi="宋体" w:cs="宋体"/>
          <w:color w:val="auto"/>
          <w:sz w:val="24"/>
          <w:szCs w:val="24"/>
          <w:highlight w:val="none"/>
          <w:u w:val="single"/>
        </w:rPr>
        <w:t>　　　</w:t>
      </w:r>
      <w:r>
        <w:rPr>
          <w:rFonts w:hint="eastAsia" w:hAnsi="宋体" w:cs="宋体"/>
          <w:color w:val="auto"/>
          <w:sz w:val="24"/>
          <w:szCs w:val="24"/>
          <w:highlight w:val="none"/>
        </w:rPr>
        <w:t>工作日（小时）后仍无法解决，乙方应在</w:t>
      </w:r>
      <w:r>
        <w:rPr>
          <w:rFonts w:hint="eastAsia" w:hAnsi="宋体" w:cs="宋体"/>
          <w:color w:val="auto"/>
          <w:sz w:val="24"/>
          <w:szCs w:val="24"/>
          <w:highlight w:val="none"/>
          <w:u w:val="single"/>
        </w:rPr>
        <w:t>　　　</w:t>
      </w:r>
      <w:r>
        <w:rPr>
          <w:rFonts w:hint="eastAsia" w:hAnsi="宋体" w:cs="宋体"/>
          <w:color w:val="auto"/>
          <w:sz w:val="24"/>
          <w:szCs w:val="24"/>
          <w:highlight w:val="none"/>
        </w:rPr>
        <w:t>日（小时）内免费提供服务的补偿、替换方案，直至服务恢复正常。</w:t>
      </w:r>
    </w:p>
    <w:p w14:paraId="62C4455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3.乙方必须遵守甲方的有关管理制度、操作规程。对于乙方违规操作造成甲方损失的，由乙方按照本合同第十二条的约定承担赔偿责任。</w:t>
      </w:r>
    </w:p>
    <w:p w14:paraId="1EA46329">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第十条　合同的转让、分包</w:t>
      </w:r>
    </w:p>
    <w:p w14:paraId="237CE5D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依据招标文件有关要求执行。</w:t>
      </w:r>
    </w:p>
    <w:p w14:paraId="098A9A64">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第十一条　合同的生效</w:t>
      </w:r>
    </w:p>
    <w:p w14:paraId="255198AA">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1.本合同经甲乙双方授权代表签字并加盖公章或合同专用章后生效。</w:t>
      </w:r>
    </w:p>
    <w:p w14:paraId="465A7D4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2.生效后，除《中华人民共和国政府采购法》第四十九条、第五十条第二款规定的情形外，甲乙双方不得擅自变更、中止或终止合同。</w:t>
      </w:r>
    </w:p>
    <w:p w14:paraId="188536F5">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第十二条　违约责任</w:t>
      </w:r>
    </w:p>
    <w:p w14:paraId="499A1BE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1.乙方所交付服务成果不符合本合同规定的，甲方有权拒收，乙方在得到甲方通知之日起</w:t>
      </w:r>
      <w:r>
        <w:rPr>
          <w:rFonts w:hint="eastAsia" w:hAnsi="宋体" w:cs="宋体"/>
          <w:color w:val="auto"/>
          <w:sz w:val="24"/>
          <w:szCs w:val="24"/>
          <w:highlight w:val="none"/>
          <w:u w:val="single"/>
        </w:rPr>
        <w:t>　　　</w:t>
      </w:r>
      <w:r>
        <w:rPr>
          <w:rFonts w:hint="eastAsia" w:hAnsi="宋体" w:cs="宋体"/>
          <w:color w:val="auto"/>
          <w:sz w:val="24"/>
          <w:szCs w:val="24"/>
          <w:highlight w:val="none"/>
        </w:rPr>
        <w:t>个工作日内采取补救措施，逾期仍未采取有效措施的，甲方有权要求乙方赔偿因此造成的损失或扣留履约保证金；同时乙方应向甲方支付合同总价</w:t>
      </w:r>
      <w:r>
        <w:rPr>
          <w:rFonts w:hint="eastAsia" w:hAnsi="宋体" w:cs="宋体"/>
          <w:color w:val="auto"/>
          <w:sz w:val="24"/>
          <w:szCs w:val="24"/>
          <w:highlight w:val="none"/>
          <w:u w:val="single"/>
        </w:rPr>
        <w:t>　　　</w:t>
      </w:r>
      <w:r>
        <w:rPr>
          <w:rFonts w:hint="eastAsia" w:hAnsi="宋体" w:cs="宋体"/>
          <w:color w:val="auto"/>
          <w:sz w:val="24"/>
          <w:szCs w:val="24"/>
          <w:highlight w:val="none"/>
        </w:rPr>
        <w:t>%的违约金。</w:t>
      </w:r>
    </w:p>
    <w:p w14:paraId="382CA6D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2.甲方无正当理由拒收服务，甲方应向乙方偿付拒付服务费用</w:t>
      </w:r>
      <w:r>
        <w:rPr>
          <w:rFonts w:hint="eastAsia" w:hAnsi="宋体" w:cs="宋体"/>
          <w:color w:val="auto"/>
          <w:sz w:val="24"/>
          <w:szCs w:val="24"/>
          <w:highlight w:val="none"/>
          <w:u w:val="single"/>
        </w:rPr>
        <w:t>　　　</w:t>
      </w:r>
      <w:r>
        <w:rPr>
          <w:rFonts w:hint="eastAsia" w:hAnsi="宋体" w:cs="宋体"/>
          <w:color w:val="auto"/>
          <w:sz w:val="24"/>
          <w:szCs w:val="24"/>
          <w:highlight w:val="none"/>
        </w:rPr>
        <w:t>%的违约金。</w:t>
      </w:r>
    </w:p>
    <w:p w14:paraId="240A262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3.乙方无正当理由逾期交付服务的，每逾期1天，乙方向甲方偿付合同总额的</w:t>
      </w:r>
      <w:r>
        <w:rPr>
          <w:rFonts w:hint="eastAsia" w:hAnsi="宋体" w:cs="宋体"/>
          <w:color w:val="auto"/>
          <w:sz w:val="24"/>
          <w:szCs w:val="24"/>
          <w:highlight w:val="none"/>
          <w:u w:val="single"/>
        </w:rPr>
        <w:t>　　　</w:t>
      </w:r>
      <w:r>
        <w:rPr>
          <w:rFonts w:hint="eastAsia" w:hAnsi="宋体" w:cs="宋体"/>
          <w:color w:val="auto"/>
          <w:sz w:val="24"/>
          <w:szCs w:val="24"/>
          <w:highlight w:val="none"/>
        </w:rPr>
        <w:t>‰的违约金。如乙方逾期达</w:t>
      </w:r>
      <w:r>
        <w:rPr>
          <w:rFonts w:hint="eastAsia" w:hAnsi="宋体" w:cs="宋体"/>
          <w:color w:val="auto"/>
          <w:sz w:val="24"/>
          <w:szCs w:val="24"/>
          <w:highlight w:val="none"/>
          <w:u w:val="single"/>
        </w:rPr>
        <w:t>　　　</w:t>
      </w:r>
      <w:r>
        <w:rPr>
          <w:rFonts w:hint="eastAsia" w:hAnsi="宋体" w:cs="宋体"/>
          <w:color w:val="auto"/>
          <w:sz w:val="24"/>
          <w:szCs w:val="24"/>
          <w:highlight w:val="none"/>
        </w:rPr>
        <w:t>天，甲方有权解除合同，甲方解除合同的通知自到达乙方时生效。在此情况下，乙方给甲方造成的实际损失高于违约金的，对高出违约金的部分乙方应予以赔偿。</w:t>
      </w:r>
    </w:p>
    <w:p w14:paraId="3465A28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4.甲方未按合同规定的期限向乙方支付合同款的，每逾期1天甲方向乙方偿付欠款总额的</w:t>
      </w:r>
      <w:r>
        <w:rPr>
          <w:rFonts w:hint="eastAsia" w:hAnsi="宋体" w:cs="宋体"/>
          <w:color w:val="auto"/>
          <w:sz w:val="24"/>
          <w:szCs w:val="24"/>
          <w:highlight w:val="none"/>
          <w:u w:val="single"/>
        </w:rPr>
        <w:t>　　　</w:t>
      </w:r>
      <w:r>
        <w:rPr>
          <w:rFonts w:hint="eastAsia" w:hAnsi="宋体" w:cs="宋体"/>
          <w:color w:val="auto"/>
          <w:sz w:val="24"/>
          <w:szCs w:val="24"/>
          <w:highlight w:val="none"/>
        </w:rPr>
        <w:t>‰违约金，但累计违约金总额不超过欠款总额的</w:t>
      </w:r>
      <w:r>
        <w:rPr>
          <w:rFonts w:hint="eastAsia" w:hAnsi="宋体" w:cs="宋体"/>
          <w:color w:val="auto"/>
          <w:sz w:val="24"/>
          <w:szCs w:val="24"/>
          <w:highlight w:val="none"/>
          <w:u w:val="single"/>
        </w:rPr>
        <w:t>　　　</w:t>
      </w:r>
      <w:r>
        <w:rPr>
          <w:rFonts w:hint="eastAsia" w:hAnsi="宋体" w:cs="宋体"/>
          <w:color w:val="auto"/>
          <w:sz w:val="24"/>
          <w:szCs w:val="24"/>
          <w:highlight w:val="none"/>
        </w:rPr>
        <w:t>%。</w:t>
      </w:r>
    </w:p>
    <w:p w14:paraId="3A189CB0">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5.其他未尽事宜，以《中华人民共和国民法典》《中华人民共和国政府采购法》等有关法律法规规定为准，无相关规定的，双方协商解决。</w:t>
      </w:r>
    </w:p>
    <w:p w14:paraId="5D3FD3A4">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第十三条　不可抗力</w:t>
      </w:r>
    </w:p>
    <w:p w14:paraId="74A73442">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甲、乙方中任何一方，因不可抗力不能按时或完全履行合同的，应及时通知对方，并在</w:t>
      </w:r>
      <w:r>
        <w:rPr>
          <w:rFonts w:hint="eastAsia" w:hAnsi="宋体" w:cs="宋体"/>
          <w:color w:val="auto"/>
          <w:sz w:val="24"/>
          <w:szCs w:val="24"/>
          <w:highlight w:val="none"/>
          <w:u w:val="single"/>
        </w:rPr>
        <w:t>　　　</w:t>
      </w:r>
      <w:r>
        <w:rPr>
          <w:rFonts w:hint="eastAsia" w:hAnsi="宋体" w:cs="宋体"/>
          <w:color w:val="auto"/>
          <w:sz w:val="24"/>
          <w:szCs w:val="24"/>
          <w:highlight w:val="none"/>
        </w:rPr>
        <w:t>个工作日内提供相应证明，结算服务费用。未履行的部分是否继续履行、如何履行等问题，可由双方初步协商，并向主管部门和政府采购管理部门报告。确定为不可抗力原因造成的损失，免予承担责任。</w:t>
      </w:r>
    </w:p>
    <w:p w14:paraId="4D8CC794">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第十四条　争议的解决方式</w:t>
      </w:r>
    </w:p>
    <w:p w14:paraId="2CD15F7E">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1.因服务质量问题发生争议的，应当邀请国家认可的质量检测机构对服务进行鉴定。服务符合标准的，鉴定费由甲方承担；不符合质量标准的，鉴定费由乙方承担。</w:t>
      </w:r>
    </w:p>
    <w:p w14:paraId="77493FBC">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2.在解释或者执行本合同的过程中发生争议时，双方应通过协商方式解决。</w:t>
      </w:r>
    </w:p>
    <w:p w14:paraId="501EFCC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3.经协商不能解决的争议，双方可选择以下第</w:t>
      </w:r>
      <w:r>
        <w:rPr>
          <w:rFonts w:hint="eastAsia" w:hAnsi="宋体" w:cs="宋体"/>
          <w:color w:val="auto"/>
          <w:sz w:val="24"/>
          <w:szCs w:val="24"/>
          <w:highlight w:val="none"/>
          <w:u w:val="single"/>
        </w:rPr>
        <w:t>　　　</w:t>
      </w:r>
      <w:r>
        <w:rPr>
          <w:rFonts w:hint="eastAsia" w:hAnsi="宋体" w:cs="宋体"/>
          <w:color w:val="auto"/>
          <w:sz w:val="24"/>
          <w:szCs w:val="24"/>
          <w:highlight w:val="none"/>
        </w:rPr>
        <w:t>种方式解决：</w:t>
      </w:r>
    </w:p>
    <w:p w14:paraId="4FD3D39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（1）向兰州市有管辖权的法院提起诉讼。</w:t>
      </w:r>
    </w:p>
    <w:p w14:paraId="0C68AF9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（2）向兰州仲裁委员会提出仲裁。</w:t>
      </w:r>
    </w:p>
    <w:p w14:paraId="2724A04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4.在法院审理和仲裁期间，除有争议部分外，本合同其他部分可以履行的仍应按合同条款继续履行。</w:t>
      </w:r>
    </w:p>
    <w:p w14:paraId="43267427">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第十五条　知识产权（信息化项目适用）</w:t>
      </w:r>
    </w:p>
    <w:p w14:paraId="3542CF44">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1.本合同项目的最终用户为甲方，项目成果的专利申请权、版权及其他非专利技术的所有权及使用权均归甲方所有，乙方必须向甲方提供项目的所有源代码和开发文档，甲方有权对软件进行修改。</w:t>
      </w:r>
    </w:p>
    <w:p w14:paraId="5F162809">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2.乙方对甲方提供的业务资料、技术资料应严格保密，不得扩散。</w:t>
      </w:r>
    </w:p>
    <w:p w14:paraId="700AD448">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3.未经甲方同意，乙方不得擅自将本合同项目的源代码和开发文档等资料扩散或提供给第三方使用，但甲方在本平台应用、二次开发或升级除外。</w:t>
      </w:r>
    </w:p>
    <w:p w14:paraId="6A7EC76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4.乙方保证合同项下甲方委托乙方开发的项目未侵犯任何第三方的知识产权，如出现第三方提出任何侵权主张，甲方立即通知乙方，乙方负责处理。甲方不承担任何法律责任。</w:t>
      </w:r>
    </w:p>
    <w:p w14:paraId="1CB41D46">
      <w:pPr>
        <w:pStyle w:val="20"/>
        <w:wordWrap w:val="0"/>
        <w:spacing w:line="360" w:lineRule="auto"/>
        <w:ind w:firstLine="480" w:firstLineChars="200"/>
        <w:rPr>
          <w:rFonts w:hAnsi="宋体" w:cs="宋体"/>
          <w:b/>
          <w:color w:val="auto"/>
          <w:sz w:val="24"/>
          <w:szCs w:val="24"/>
          <w:highlight w:val="none"/>
        </w:rPr>
      </w:pPr>
      <w:r>
        <w:rPr>
          <w:rFonts w:hint="eastAsia" w:hAnsi="宋体" w:cs="宋体"/>
          <w:b/>
          <w:color w:val="auto"/>
          <w:sz w:val="24"/>
          <w:szCs w:val="24"/>
          <w:highlight w:val="none"/>
        </w:rPr>
        <w:t>第十六条　其他</w:t>
      </w:r>
    </w:p>
    <w:p w14:paraId="44D3C70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1.本合同自签订之日起生效。</w:t>
      </w:r>
    </w:p>
    <w:p w14:paraId="0B86D453">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2.本合同一式</w:t>
      </w:r>
      <w:r>
        <w:rPr>
          <w:rFonts w:hint="eastAsia" w:hAnsi="宋体" w:cs="宋体"/>
          <w:color w:val="auto"/>
          <w:sz w:val="24"/>
          <w:szCs w:val="24"/>
          <w:highlight w:val="none"/>
          <w:u w:val="single"/>
        </w:rPr>
        <w:t>　　　</w:t>
      </w:r>
      <w:r>
        <w:rPr>
          <w:rFonts w:hint="eastAsia" w:hAnsi="宋体" w:cs="宋体"/>
          <w:color w:val="auto"/>
          <w:sz w:val="24"/>
          <w:szCs w:val="24"/>
          <w:highlight w:val="none"/>
        </w:rPr>
        <w:t>份。</w:t>
      </w:r>
    </w:p>
    <w:p w14:paraId="4E8C2EE5">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3.其他未尽事宜由双方签订补充协议。</w:t>
      </w:r>
    </w:p>
    <w:p w14:paraId="72EFF09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4.本合同应按照中华人民共和国的现行法律进行解释。</w:t>
      </w:r>
    </w:p>
    <w:p w14:paraId="79EEA6AD">
      <w:pPr>
        <w:pStyle w:val="20"/>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5.合同双方应遵守《中华人民共和国妇女权益保障法》中关于“劳动和社会保障权益”的有关要求。</w:t>
      </w:r>
    </w:p>
    <w:p w14:paraId="537D2D90">
      <w:pPr>
        <w:pStyle w:val="20"/>
        <w:wordWrap w:val="0"/>
        <w:spacing w:line="360" w:lineRule="auto"/>
        <w:rPr>
          <w:rFonts w:hAnsi="宋体" w:cs="宋体"/>
          <w:color w:val="auto"/>
          <w:sz w:val="24"/>
          <w:szCs w:val="24"/>
          <w:highlight w:val="none"/>
        </w:rPr>
      </w:pPr>
    </w:p>
    <w:tbl>
      <w:tblPr>
        <w:tblStyle w:val="41"/>
        <w:tblW w:w="8580" w:type="dxa"/>
        <w:jc w:val="center"/>
        <w:tblLayout w:type="fixed"/>
        <w:tblCellMar>
          <w:top w:w="0" w:type="dxa"/>
          <w:left w:w="108" w:type="dxa"/>
          <w:bottom w:w="0" w:type="dxa"/>
          <w:right w:w="108" w:type="dxa"/>
        </w:tblCellMar>
      </w:tblPr>
      <w:tblGrid>
        <w:gridCol w:w="4290"/>
        <w:gridCol w:w="4290"/>
      </w:tblGrid>
      <w:tr w14:paraId="20B8AF21">
        <w:tblPrEx>
          <w:tblCellMar>
            <w:top w:w="0" w:type="dxa"/>
            <w:left w:w="108" w:type="dxa"/>
            <w:bottom w:w="0" w:type="dxa"/>
            <w:right w:w="108" w:type="dxa"/>
          </w:tblCellMar>
        </w:tblPrEx>
        <w:trPr>
          <w:trHeight w:val="2481" w:hRule="atLeast"/>
          <w:jc w:val="center"/>
        </w:trPr>
        <w:tc>
          <w:tcPr>
            <w:tcW w:w="4290" w:type="dxa"/>
          </w:tcPr>
          <w:p w14:paraId="0449CAC1">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甲方名称（盖章）：</w:t>
            </w:r>
          </w:p>
          <w:p w14:paraId="1DF3EEA2">
            <w:pPr>
              <w:pStyle w:val="20"/>
              <w:wordWrap w:val="0"/>
              <w:spacing w:line="360" w:lineRule="auto"/>
              <w:rPr>
                <w:rFonts w:hAnsi="宋体" w:cs="宋体"/>
                <w:color w:val="auto"/>
                <w:spacing w:val="-22"/>
                <w:sz w:val="24"/>
                <w:szCs w:val="24"/>
                <w:highlight w:val="none"/>
              </w:rPr>
            </w:pPr>
          </w:p>
          <w:p w14:paraId="3216903F">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法定代表人（或授权代表）（签字）：</w:t>
            </w:r>
          </w:p>
          <w:p w14:paraId="26A8A119">
            <w:pPr>
              <w:pStyle w:val="20"/>
              <w:wordWrap w:val="0"/>
              <w:spacing w:line="360" w:lineRule="auto"/>
              <w:rPr>
                <w:rFonts w:hAnsi="宋体" w:cs="宋体"/>
                <w:color w:val="auto"/>
                <w:spacing w:val="-22"/>
                <w:sz w:val="24"/>
                <w:szCs w:val="24"/>
                <w:highlight w:val="none"/>
              </w:rPr>
            </w:pPr>
          </w:p>
          <w:p w14:paraId="2E38F840">
            <w:pPr>
              <w:pStyle w:val="20"/>
              <w:wordWrap w:val="0"/>
              <w:spacing w:line="360" w:lineRule="auto"/>
              <w:rPr>
                <w:rFonts w:hAnsi="宋体" w:cs="宋体"/>
                <w:color w:val="auto"/>
                <w:spacing w:val="-22"/>
                <w:sz w:val="24"/>
                <w:szCs w:val="24"/>
                <w:highlight w:val="none"/>
              </w:rPr>
            </w:pPr>
            <w:r>
              <w:rPr>
                <w:rFonts w:hint="eastAsia" w:hAnsi="宋体" w:cs="宋体"/>
                <w:color w:val="auto"/>
                <w:sz w:val="24"/>
                <w:szCs w:val="24"/>
                <w:highlight w:val="none"/>
              </w:rPr>
              <w:t>日期：　　　年　　月　　日</w:t>
            </w:r>
          </w:p>
        </w:tc>
        <w:tc>
          <w:tcPr>
            <w:tcW w:w="4290" w:type="dxa"/>
          </w:tcPr>
          <w:p w14:paraId="5A98839E">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乙方名称（盖章）：</w:t>
            </w:r>
          </w:p>
          <w:p w14:paraId="27FE3278">
            <w:pPr>
              <w:pStyle w:val="20"/>
              <w:wordWrap w:val="0"/>
              <w:spacing w:line="360" w:lineRule="auto"/>
              <w:rPr>
                <w:rFonts w:hAnsi="宋体" w:cs="宋体"/>
                <w:color w:val="auto"/>
                <w:spacing w:val="-22"/>
                <w:sz w:val="24"/>
                <w:szCs w:val="24"/>
                <w:highlight w:val="none"/>
              </w:rPr>
            </w:pPr>
          </w:p>
          <w:p w14:paraId="5DE2F8EA">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法定代表人（或授权代表）（签字）：</w:t>
            </w:r>
          </w:p>
          <w:p w14:paraId="6774023F">
            <w:pPr>
              <w:pStyle w:val="20"/>
              <w:wordWrap w:val="0"/>
              <w:spacing w:line="360" w:lineRule="auto"/>
              <w:rPr>
                <w:rFonts w:hAnsi="宋体" w:cs="宋体"/>
                <w:color w:val="auto"/>
                <w:sz w:val="24"/>
                <w:szCs w:val="24"/>
                <w:highlight w:val="none"/>
              </w:rPr>
            </w:pPr>
          </w:p>
          <w:p w14:paraId="68871189">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p>
        </w:tc>
      </w:tr>
    </w:tbl>
    <w:p w14:paraId="68235037">
      <w:pPr>
        <w:wordWrap w:val="0"/>
        <w:spacing w:line="360" w:lineRule="auto"/>
        <w:rPr>
          <w:rFonts w:ascii="宋体" w:hAnsi="宋体" w:cs="宋体"/>
          <w:color w:val="auto"/>
          <w:sz w:val="24"/>
          <w:highlight w:val="none"/>
        </w:rPr>
      </w:pPr>
    </w:p>
    <w:p w14:paraId="2DC935E8">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p>
    <w:p w14:paraId="1B25DCA6">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1.</w:t>
      </w:r>
      <w:bookmarkStart w:id="325" w:name="_Hlk98163175"/>
      <w:r>
        <w:rPr>
          <w:rFonts w:hint="eastAsia" w:ascii="宋体" w:hAnsi="宋体" w:cs="宋体"/>
          <w:b/>
          <w:color w:val="auto"/>
          <w:sz w:val="24"/>
          <w:highlight w:val="none"/>
        </w:rPr>
        <w:t>本范本根据《中华人民共和国政府采购法》等法律法规规定制定，项目的具体采购合同条款，由甲乙双方协商一致签订。空格处划横线。</w:t>
      </w:r>
      <w:bookmarkEnd w:id="325"/>
    </w:p>
    <w:p w14:paraId="168E9E34">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2.收款单位名称应与本合同乙方单位名称、项目中标单位名称、开具发票单位名称相一致。</w:t>
      </w:r>
    </w:p>
    <w:p w14:paraId="7857F8D2">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3.甲方应盖本单位公章（不允许盖内设科室章），乙方应盖单位公章或合同专用章，合同双方应盖骑缝章。</w:t>
      </w:r>
    </w:p>
    <w:p w14:paraId="61F17883">
      <w:pPr>
        <w:wordWrap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4.除涉密项目外，根据《中华人民共和国政府采购法实施条例》第五十条规定，采购人应当自政府采购合同签订之日起2个工作日内，将政府采购合同在省级以上人民政府财政部门指定的媒体上公告。</w:t>
      </w:r>
    </w:p>
    <w:p w14:paraId="3B69FE05">
      <w:pPr>
        <w:pStyle w:val="15"/>
        <w:wordWrap w:val="0"/>
        <w:spacing w:line="360" w:lineRule="auto"/>
        <w:rPr>
          <w:rFonts w:ascii="宋体" w:hAnsi="宋体" w:cs="宋体"/>
          <w:b/>
          <w:color w:val="auto"/>
          <w:highlight w:val="none"/>
        </w:rPr>
        <w:sectPr>
          <w:pgSz w:w="11906" w:h="16838"/>
          <w:pgMar w:top="1440" w:right="1797" w:bottom="1440" w:left="1797" w:header="851" w:footer="992" w:gutter="0"/>
          <w:cols w:space="720" w:num="1"/>
          <w:docGrid w:type="linesAndChars" w:linePitch="319" w:charSpace="0"/>
        </w:sectPr>
      </w:pPr>
    </w:p>
    <w:p w14:paraId="002C88AB">
      <w:pPr>
        <w:wordWrap w:val="0"/>
        <w:spacing w:after="319" w:afterLines="100" w:line="360" w:lineRule="auto"/>
        <w:jc w:val="center"/>
        <w:outlineLvl w:val="0"/>
        <w:rPr>
          <w:rFonts w:ascii="华文中宋" w:hAnsi="华文中宋" w:eastAsia="华文中宋"/>
          <w:color w:val="auto"/>
          <w:sz w:val="32"/>
          <w:szCs w:val="32"/>
          <w:highlight w:val="none"/>
        </w:rPr>
      </w:pPr>
      <w:bookmarkStart w:id="326" w:name="_Toc91323632"/>
      <w:bookmarkStart w:id="327" w:name="_Toc140237321"/>
      <w:r>
        <w:rPr>
          <w:rFonts w:hint="eastAsia" w:ascii="华文中宋" w:hAnsi="华文中宋" w:eastAsia="华文中宋"/>
          <w:color w:val="auto"/>
          <w:sz w:val="32"/>
          <w:szCs w:val="32"/>
          <w:highlight w:val="none"/>
        </w:rPr>
        <w:t>第六章　投标文件格式</w:t>
      </w:r>
      <w:bookmarkEnd w:id="293"/>
      <w:bookmarkEnd w:id="294"/>
      <w:bookmarkEnd w:id="326"/>
      <w:bookmarkEnd w:id="327"/>
    </w:p>
    <w:p w14:paraId="4783A711">
      <w:pPr>
        <w:pStyle w:val="15"/>
        <w:spacing w:line="360" w:lineRule="auto"/>
        <w:ind w:firstLine="480" w:firstLineChars="200"/>
        <w:rPr>
          <w:color w:val="auto"/>
          <w:highlight w:val="none"/>
        </w:rPr>
      </w:pPr>
      <w:r>
        <w:rPr>
          <w:rFonts w:hint="eastAsia"/>
          <w:color w:val="auto"/>
          <w:highlight w:val="none"/>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20AD11B1">
      <w:pPr>
        <w:wordWrap w:val="0"/>
        <w:spacing w:line="360" w:lineRule="auto"/>
        <w:ind w:firstLine="480" w:firstLineChars="200"/>
        <w:outlineLvl w:val="1"/>
        <w:rPr>
          <w:rFonts w:ascii="宋体" w:hAnsi="宋体"/>
          <w:b/>
          <w:color w:val="auto"/>
          <w:sz w:val="24"/>
          <w:highlight w:val="none"/>
        </w:rPr>
      </w:pPr>
      <w:bookmarkStart w:id="328" w:name="_Toc140237322"/>
      <w:bookmarkStart w:id="329" w:name="_Toc91323633"/>
      <w:r>
        <w:rPr>
          <w:rFonts w:ascii="宋体" w:hAnsi="宋体"/>
          <w:b/>
          <w:color w:val="auto"/>
          <w:sz w:val="24"/>
          <w:highlight w:val="none"/>
        </w:rPr>
        <w:t>6</w:t>
      </w:r>
      <w:r>
        <w:rPr>
          <w:rFonts w:hint="eastAsia" w:ascii="宋体" w:hAnsi="宋体"/>
          <w:b/>
          <w:color w:val="auto"/>
          <w:sz w:val="24"/>
          <w:highlight w:val="none"/>
        </w:rPr>
        <w:t>.1</w:t>
      </w:r>
      <w:bookmarkStart w:id="330" w:name="_Toc480368420"/>
      <w:bookmarkStart w:id="331" w:name="_Toc480371717"/>
      <w:r>
        <w:rPr>
          <w:rFonts w:hint="eastAsia" w:ascii="宋体" w:hAnsi="宋体"/>
          <w:b/>
          <w:color w:val="auto"/>
          <w:sz w:val="24"/>
          <w:highlight w:val="none"/>
        </w:rPr>
        <w:t>　封面</w:t>
      </w:r>
      <w:bookmarkEnd w:id="328"/>
      <w:bookmarkEnd w:id="329"/>
      <w:bookmarkEnd w:id="330"/>
      <w:bookmarkEnd w:id="331"/>
    </w:p>
    <w:p w14:paraId="2A8C8559">
      <w:pPr>
        <w:pStyle w:val="15"/>
        <w:wordWrap w:val="0"/>
        <w:spacing w:line="360" w:lineRule="auto"/>
        <w:ind w:firstLine="480" w:firstLineChars="200"/>
        <w:rPr>
          <w:color w:val="auto"/>
          <w:highlight w:val="none"/>
        </w:rPr>
      </w:pPr>
      <w:r>
        <w:rPr>
          <w:rFonts w:hint="eastAsia"/>
          <w:color w:val="auto"/>
          <w:highlight w:val="none"/>
        </w:rPr>
        <w:t>样式附后。</w:t>
      </w:r>
    </w:p>
    <w:p w14:paraId="48EE23CA">
      <w:pPr>
        <w:wordWrap w:val="0"/>
        <w:spacing w:line="720" w:lineRule="auto"/>
        <w:rPr>
          <w:rFonts w:ascii="宋体" w:hAnsi="宋体"/>
          <w:color w:val="auto"/>
          <w:sz w:val="28"/>
          <w:highlight w:val="none"/>
        </w:rPr>
        <w:sectPr>
          <w:pgSz w:w="11906" w:h="16838"/>
          <w:pgMar w:top="1440" w:right="1797" w:bottom="1440" w:left="1797" w:header="851" w:footer="992" w:gutter="0"/>
          <w:cols w:space="720" w:num="1"/>
          <w:docGrid w:type="linesAndChars" w:linePitch="319" w:charSpace="0"/>
        </w:sectPr>
      </w:pPr>
    </w:p>
    <w:p w14:paraId="37A3ED83">
      <w:pPr>
        <w:wordWrap w:val="0"/>
        <w:spacing w:line="720" w:lineRule="auto"/>
        <w:rPr>
          <w:rFonts w:ascii="宋体" w:hAnsi="宋体"/>
          <w:color w:val="auto"/>
          <w:sz w:val="28"/>
          <w:highlight w:val="none"/>
        </w:rPr>
      </w:pPr>
    </w:p>
    <w:p w14:paraId="26DB884B">
      <w:pPr>
        <w:wordWrap w:val="0"/>
        <w:spacing w:line="720" w:lineRule="auto"/>
        <w:rPr>
          <w:rFonts w:ascii="宋体" w:hAnsi="宋体"/>
          <w:color w:val="auto"/>
          <w:sz w:val="28"/>
          <w:highlight w:val="none"/>
        </w:rPr>
      </w:pPr>
    </w:p>
    <w:p w14:paraId="4F086695">
      <w:pPr>
        <w:wordWrap w:val="0"/>
        <w:spacing w:line="72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　标　文　件</w:t>
      </w:r>
    </w:p>
    <w:p w14:paraId="10544AF5">
      <w:pPr>
        <w:wordWrap w:val="0"/>
        <w:spacing w:line="720" w:lineRule="auto"/>
        <w:rPr>
          <w:rFonts w:ascii="宋体" w:hAnsi="宋体"/>
          <w:color w:val="auto"/>
          <w:sz w:val="28"/>
          <w:highlight w:val="none"/>
        </w:rPr>
      </w:pPr>
    </w:p>
    <w:p w14:paraId="0CCC50E7">
      <w:pPr>
        <w:wordWrap w:val="0"/>
        <w:spacing w:line="720" w:lineRule="auto"/>
        <w:rPr>
          <w:rFonts w:ascii="宋体" w:hAnsi="宋体"/>
          <w:color w:val="auto"/>
          <w:sz w:val="28"/>
          <w:highlight w:val="none"/>
        </w:rPr>
      </w:pPr>
    </w:p>
    <w:p w14:paraId="154874BA">
      <w:pPr>
        <w:wordWrap w:val="0"/>
        <w:spacing w:line="720" w:lineRule="auto"/>
        <w:ind w:firstLine="1120" w:firstLineChars="400"/>
        <w:rPr>
          <w:rFonts w:ascii="宋体" w:hAnsi="宋体" w:cs="宋体"/>
          <w:color w:val="auto"/>
          <w:sz w:val="24"/>
          <w:highlight w:val="none"/>
        </w:rPr>
      </w:pPr>
      <w:r>
        <w:rPr>
          <w:rFonts w:hint="eastAsia" w:ascii="宋体" w:hAnsi="宋体" w:cs="宋体"/>
          <w:color w:val="auto"/>
          <w:sz w:val="28"/>
          <w:szCs w:val="28"/>
          <w:highlight w:val="none"/>
        </w:rPr>
        <w:t>项目编号：</w:t>
      </w:r>
    </w:p>
    <w:p w14:paraId="17B2D000">
      <w:pPr>
        <w:wordWrap w:val="0"/>
        <w:spacing w:line="720" w:lineRule="auto"/>
        <w:ind w:firstLine="1120" w:firstLineChars="400"/>
        <w:rPr>
          <w:rFonts w:ascii="宋体" w:hAnsi="宋体" w:cs="宋体"/>
          <w:color w:val="auto"/>
          <w:sz w:val="24"/>
          <w:highlight w:val="none"/>
        </w:rPr>
      </w:pPr>
      <w:r>
        <w:rPr>
          <w:rFonts w:hint="eastAsia" w:ascii="宋体" w:hAnsi="宋体" w:cs="宋体"/>
          <w:color w:val="auto"/>
          <w:sz w:val="28"/>
          <w:szCs w:val="28"/>
          <w:highlight w:val="none"/>
        </w:rPr>
        <w:t>项目名称：</w:t>
      </w:r>
    </w:p>
    <w:p w14:paraId="41E24DF7">
      <w:pPr>
        <w:wordWrap w:val="0"/>
        <w:spacing w:line="72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分包编号：</w:t>
      </w:r>
    </w:p>
    <w:p w14:paraId="21D5DEE4">
      <w:pPr>
        <w:wordWrap w:val="0"/>
        <w:spacing w:line="720" w:lineRule="auto"/>
        <w:ind w:firstLine="1120" w:firstLineChars="400"/>
        <w:rPr>
          <w:rFonts w:ascii="宋体" w:hAnsi="宋体" w:cs="宋体"/>
          <w:b/>
          <w:color w:val="auto"/>
          <w:sz w:val="24"/>
          <w:highlight w:val="none"/>
        </w:rPr>
      </w:pPr>
      <w:r>
        <w:rPr>
          <w:rFonts w:hint="eastAsia" w:ascii="宋体" w:hAnsi="宋体" w:cs="宋体"/>
          <w:color w:val="auto"/>
          <w:sz w:val="28"/>
          <w:szCs w:val="28"/>
          <w:highlight w:val="none"/>
        </w:rPr>
        <w:t>分包名称：</w:t>
      </w:r>
    </w:p>
    <w:p w14:paraId="24D4825C">
      <w:pPr>
        <w:wordWrap w:val="0"/>
        <w:spacing w:line="720" w:lineRule="auto"/>
        <w:jc w:val="left"/>
        <w:rPr>
          <w:rFonts w:ascii="宋体" w:hAnsi="宋体" w:cs="宋体"/>
          <w:color w:val="auto"/>
          <w:sz w:val="28"/>
          <w:szCs w:val="28"/>
          <w:highlight w:val="none"/>
        </w:rPr>
      </w:pPr>
    </w:p>
    <w:p w14:paraId="0799B960">
      <w:pPr>
        <w:wordWrap w:val="0"/>
        <w:spacing w:line="720" w:lineRule="auto"/>
        <w:ind w:firstLine="1120" w:firstLineChars="400"/>
        <w:jc w:val="left"/>
        <w:rPr>
          <w:rFonts w:ascii="宋体" w:hAnsi="宋体" w:cs="宋体"/>
          <w:color w:val="auto"/>
          <w:sz w:val="28"/>
          <w:szCs w:val="28"/>
          <w:highlight w:val="none"/>
        </w:rPr>
      </w:pPr>
      <w:r>
        <w:rPr>
          <w:rFonts w:hint="eastAsia" w:ascii="宋体" w:hAnsi="宋体" w:cs="宋体"/>
          <w:color w:val="auto"/>
          <w:sz w:val="28"/>
          <w:szCs w:val="28"/>
          <w:highlight w:val="none"/>
        </w:rPr>
        <w:t>投标人（签章）：</w:t>
      </w:r>
    </w:p>
    <w:p w14:paraId="2F6942F6">
      <w:pPr>
        <w:wordWrap w:val="0"/>
        <w:spacing w:line="720" w:lineRule="auto"/>
        <w:ind w:firstLine="1120" w:firstLineChars="400"/>
        <w:jc w:val="left"/>
        <w:rPr>
          <w:rFonts w:ascii="宋体" w:hAnsi="宋体" w:cs="宋体"/>
          <w:color w:val="auto"/>
          <w:sz w:val="28"/>
          <w:szCs w:val="28"/>
          <w:highlight w:val="none"/>
        </w:rPr>
      </w:pPr>
      <w:r>
        <w:rPr>
          <w:rFonts w:hint="eastAsia" w:ascii="宋体" w:hAnsi="宋体" w:cs="宋体"/>
          <w:color w:val="auto"/>
          <w:sz w:val="28"/>
          <w:szCs w:val="28"/>
          <w:highlight w:val="none"/>
        </w:rPr>
        <w:t>投标人联系方式：</w:t>
      </w:r>
    </w:p>
    <w:p w14:paraId="743A9BD9">
      <w:pPr>
        <w:wordWrap w:val="0"/>
        <w:spacing w:line="720" w:lineRule="auto"/>
        <w:ind w:firstLine="1120" w:firstLineChars="400"/>
        <w:jc w:val="left"/>
        <w:rPr>
          <w:rFonts w:ascii="宋体" w:hAnsi="宋体" w:cs="宋体"/>
          <w:color w:val="auto"/>
          <w:sz w:val="28"/>
          <w:szCs w:val="28"/>
          <w:highlight w:val="none"/>
        </w:rPr>
      </w:pPr>
      <w:r>
        <w:rPr>
          <w:rFonts w:hint="eastAsia" w:ascii="宋体" w:hAnsi="宋体" w:cs="宋体"/>
          <w:color w:val="auto"/>
          <w:sz w:val="28"/>
          <w:szCs w:val="28"/>
          <w:highlight w:val="none"/>
        </w:rPr>
        <w:t>投标人注册地址：</w:t>
      </w:r>
    </w:p>
    <w:p w14:paraId="0779D4CA">
      <w:pPr>
        <w:wordWrap w:val="0"/>
        <w:spacing w:line="72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5E0BC0F7">
      <w:pPr>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5480AFB7">
      <w:pPr>
        <w:wordWrap w:val="0"/>
        <w:spacing w:line="360" w:lineRule="auto"/>
        <w:ind w:firstLine="480" w:firstLineChars="200"/>
        <w:outlineLvl w:val="1"/>
        <w:rPr>
          <w:rFonts w:ascii="宋体" w:hAnsi="宋体"/>
          <w:b/>
          <w:color w:val="auto"/>
          <w:sz w:val="24"/>
          <w:highlight w:val="none"/>
        </w:rPr>
      </w:pPr>
      <w:bookmarkStart w:id="332" w:name="_Toc140237323"/>
      <w:bookmarkStart w:id="333" w:name="_Toc91323634"/>
      <w:r>
        <w:rPr>
          <w:rFonts w:ascii="宋体" w:hAnsi="宋体"/>
          <w:b/>
          <w:color w:val="auto"/>
          <w:sz w:val="24"/>
          <w:highlight w:val="none"/>
        </w:rPr>
        <w:t>6</w:t>
      </w:r>
      <w:r>
        <w:rPr>
          <w:rFonts w:hint="eastAsia" w:ascii="宋体" w:hAnsi="宋体"/>
          <w:b/>
          <w:color w:val="auto"/>
          <w:sz w:val="24"/>
          <w:highlight w:val="none"/>
        </w:rPr>
        <w:t>.2　目录</w:t>
      </w:r>
      <w:bookmarkEnd w:id="332"/>
      <w:bookmarkEnd w:id="333"/>
    </w:p>
    <w:p w14:paraId="67E1F3B1">
      <w:pPr>
        <w:pStyle w:val="15"/>
        <w:wordWrap w:val="0"/>
        <w:spacing w:line="360" w:lineRule="auto"/>
        <w:ind w:firstLine="480" w:firstLineChars="200"/>
        <w:rPr>
          <w:color w:val="auto"/>
          <w:highlight w:val="none"/>
        </w:rPr>
      </w:pPr>
      <w:r>
        <w:rPr>
          <w:rFonts w:hint="eastAsia"/>
          <w:color w:val="auto"/>
          <w:highlight w:val="none"/>
        </w:rPr>
        <w:t>系统自动生成，样式附后。</w:t>
      </w:r>
    </w:p>
    <w:p w14:paraId="7630744B">
      <w:pPr>
        <w:wordWrap w:val="0"/>
        <w:spacing w:line="360" w:lineRule="auto"/>
        <w:jc w:val="center"/>
        <w:rPr>
          <w:rFonts w:ascii="宋体" w:hAnsi="宋体" w:cs="宋体"/>
          <w:b/>
          <w:color w:val="auto"/>
          <w:sz w:val="32"/>
          <w:highlight w:val="none"/>
        </w:rPr>
        <w:sectPr>
          <w:pgSz w:w="11906" w:h="16838"/>
          <w:pgMar w:top="1440" w:right="1797" w:bottom="1440" w:left="1797" w:header="851" w:footer="992" w:gutter="0"/>
          <w:cols w:space="720" w:num="1"/>
          <w:docGrid w:type="linesAndChars" w:linePitch="319" w:charSpace="0"/>
        </w:sectPr>
      </w:pPr>
      <w:bookmarkStart w:id="334" w:name="_Toc480368421"/>
      <w:bookmarkStart w:id="335" w:name="_Toc480371718"/>
    </w:p>
    <w:p w14:paraId="029951C6">
      <w:pPr>
        <w:wordWrap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目录</w:t>
      </w:r>
    </w:p>
    <w:p w14:paraId="4EE2D193">
      <w:pPr>
        <w:pStyle w:val="26"/>
        <w:tabs>
          <w:tab w:val="right" w:leader="dot" w:pos="9061"/>
        </w:tabs>
        <w:wordWrap w:val="0"/>
        <w:spacing w:line="360" w:lineRule="auto"/>
        <w:rPr>
          <w:rFonts w:ascii="宋体" w:hAnsi="宋体" w:cs="宋体"/>
          <w:color w:val="auto"/>
          <w:sz w:val="24"/>
          <w:szCs w:val="24"/>
          <w:highlight w:val="none"/>
        </w:rPr>
      </w:pPr>
    </w:p>
    <w:p w14:paraId="6E8EDA88">
      <w:pPr>
        <w:pStyle w:val="26"/>
        <w:tabs>
          <w:tab w:val="right" w:leader="dot" w:pos="9061"/>
        </w:tabs>
        <w:spacing w:line="360" w:lineRule="auto"/>
        <w:rPr>
          <w:rStyle w:val="52"/>
          <w:rFonts w:ascii="宋体" w:hAnsi="宋体" w:cs="宋体"/>
          <w:color w:val="auto"/>
          <w:sz w:val="24"/>
          <w:szCs w:val="24"/>
          <w:highlight w:val="none"/>
          <w:u w:val="none"/>
          <w:lang w:eastAsia="zh-CN"/>
        </w:rPr>
      </w:pPr>
      <w:r>
        <w:rPr>
          <w:rFonts w:hint="eastAsia" w:ascii="宋体" w:hAnsi="宋体" w:cs="宋体"/>
          <w:color w:val="auto"/>
          <w:sz w:val="24"/>
          <w:szCs w:val="24"/>
          <w:highlight w:val="none"/>
        </w:rPr>
        <w:t>1.投标人情况</w:t>
      </w:r>
    </w:p>
    <w:p w14:paraId="796273FC">
      <w:pPr>
        <w:pStyle w:val="26"/>
        <w:tabs>
          <w:tab w:val="right" w:leader="dot" w:pos="9061"/>
        </w:tabs>
        <w:wordWrap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（1）投标函</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51088FFE">
      <w:pPr>
        <w:pStyle w:val="26"/>
        <w:tabs>
          <w:tab w:val="right" w:leader="dot" w:pos="9061"/>
        </w:tabs>
        <w:wordWrap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（2）投标人基本情况</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5088F071">
      <w:pPr>
        <w:pStyle w:val="26"/>
        <w:tabs>
          <w:tab w:val="right" w:leader="dot" w:pos="9061"/>
        </w:tabs>
        <w:wordWrap w:val="0"/>
        <w:spacing w:line="360" w:lineRule="auto"/>
        <w:rPr>
          <w:rFonts w:ascii="宋体" w:hAnsi="宋体" w:cs="宋体"/>
          <w:color w:val="auto"/>
          <w:kern w:val="0"/>
          <w:sz w:val="24"/>
          <w:szCs w:val="24"/>
          <w:highlight w:val="none"/>
        </w:rPr>
      </w:pPr>
      <w:r>
        <w:rPr>
          <w:rStyle w:val="52"/>
          <w:rFonts w:hint="eastAsia" w:ascii="宋体" w:hAnsi="宋体" w:cs="宋体"/>
          <w:color w:val="auto"/>
          <w:sz w:val="24"/>
          <w:szCs w:val="24"/>
          <w:highlight w:val="none"/>
          <w:u w:val="none"/>
          <w:lang w:eastAsia="zh-CN"/>
        </w:rPr>
        <w:t>2.</w:t>
      </w:r>
      <w:r>
        <w:rPr>
          <w:rFonts w:hint="eastAsia" w:ascii="宋体" w:hAnsi="宋体" w:cs="宋体"/>
          <w:bCs/>
          <w:color w:val="auto"/>
          <w:sz w:val="24"/>
          <w:szCs w:val="24"/>
          <w:highlight w:val="none"/>
        </w:rPr>
        <w:t>资格审查响应材料</w:t>
      </w:r>
    </w:p>
    <w:p w14:paraId="307D11D8">
      <w:pPr>
        <w:pStyle w:val="26"/>
        <w:tabs>
          <w:tab w:val="right" w:leader="dot" w:pos="9061"/>
        </w:tabs>
        <w:spacing w:line="360" w:lineRule="auto"/>
        <w:rPr>
          <w:rFonts w:ascii="宋体" w:hAnsi="宋体"/>
          <w:color w:val="auto"/>
          <w:sz w:val="24"/>
          <w:szCs w:val="24"/>
          <w:highlight w:val="none"/>
        </w:rPr>
      </w:pPr>
      <w:r>
        <w:rPr>
          <w:rFonts w:hint="eastAsia" w:ascii="宋体" w:hAnsi="宋体"/>
          <w:color w:val="auto"/>
          <w:sz w:val="24"/>
          <w:szCs w:val="24"/>
          <w:highlight w:val="none"/>
        </w:rPr>
        <w:t>（1）资格承诺声明函.</w:t>
      </w:r>
      <w:r>
        <w:rPr>
          <w:rFonts w:ascii="宋体" w:hAnsi="宋体"/>
          <w:color w:val="auto"/>
          <w:sz w:val="24"/>
          <w:szCs w:val="24"/>
          <w:highlight w:val="none"/>
        </w:rPr>
        <w:t>.................................................</w:t>
      </w:r>
    </w:p>
    <w:p w14:paraId="4922496F">
      <w:p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）中小企业声明函.</w:t>
      </w:r>
      <w:r>
        <w:rPr>
          <w:rFonts w:ascii="宋体" w:hAnsi="宋体"/>
          <w:color w:val="auto"/>
          <w:sz w:val="24"/>
          <w:szCs w:val="24"/>
          <w:highlight w:val="none"/>
        </w:rPr>
        <w:t>.................................................</w:t>
      </w:r>
    </w:p>
    <w:p w14:paraId="4368097B">
      <w:pPr>
        <w:pStyle w:val="26"/>
        <w:tabs>
          <w:tab w:val="right" w:leader="dot" w:pos="9061"/>
        </w:tabs>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）其他资格证明资料.</w:t>
      </w:r>
      <w:r>
        <w:rPr>
          <w:rFonts w:ascii="宋体" w:hAnsi="宋体"/>
          <w:color w:val="auto"/>
          <w:sz w:val="24"/>
          <w:szCs w:val="24"/>
          <w:highlight w:val="none"/>
        </w:rPr>
        <w:t>...............................................</w:t>
      </w:r>
    </w:p>
    <w:p w14:paraId="09408B94">
      <w:pPr>
        <w:pStyle w:val="26"/>
        <w:tabs>
          <w:tab w:val="right" w:leader="dot" w:pos="9061"/>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"_Toc472459261" </w:instrText>
      </w:r>
      <w:r>
        <w:rPr>
          <w:color w:val="auto"/>
          <w:highlight w:val="none"/>
        </w:rPr>
        <w:fldChar w:fldCharType="separate"/>
      </w:r>
      <w:r>
        <w:rPr>
          <w:rFonts w:hint="eastAsia" w:ascii="宋体" w:hAnsi="宋体"/>
          <w:color w:val="auto"/>
          <w:sz w:val="24"/>
          <w:szCs w:val="24"/>
          <w:highlight w:val="none"/>
        </w:rPr>
        <w:t>3.综合评审响应材料</w:t>
      </w:r>
      <w:r>
        <w:rPr>
          <w:rFonts w:hint="eastAsia" w:ascii="宋体" w:hAnsi="宋体"/>
          <w:color w:val="auto"/>
          <w:sz w:val="24"/>
          <w:szCs w:val="24"/>
          <w:highlight w:val="none"/>
        </w:rPr>
        <w:fldChar w:fldCharType="end"/>
      </w:r>
    </w:p>
    <w:p w14:paraId="0C3762B8">
      <w:pPr>
        <w:pStyle w:val="26"/>
        <w:tabs>
          <w:tab w:val="right" w:leader="dot" w:pos="9061"/>
        </w:tabs>
        <w:spacing w:line="360" w:lineRule="auto"/>
        <w:rPr>
          <w:rFonts w:ascii="宋体" w:hAnsi="宋体"/>
          <w:color w:val="auto"/>
          <w:sz w:val="24"/>
          <w:szCs w:val="24"/>
          <w:highlight w:val="none"/>
        </w:rPr>
      </w:pPr>
      <w:r>
        <w:rPr>
          <w:rFonts w:hint="eastAsia" w:ascii="宋体" w:hAnsi="宋体"/>
          <w:color w:val="auto"/>
          <w:sz w:val="24"/>
          <w:szCs w:val="24"/>
          <w:highlight w:val="none"/>
        </w:rPr>
        <w:t>（1）开标一览表.</w:t>
      </w:r>
      <w:r>
        <w:rPr>
          <w:rFonts w:ascii="宋体" w:hAnsi="宋体"/>
          <w:color w:val="auto"/>
          <w:sz w:val="24"/>
          <w:szCs w:val="24"/>
          <w:highlight w:val="none"/>
        </w:rPr>
        <w:t>.....................................................</w:t>
      </w:r>
    </w:p>
    <w:p w14:paraId="43D2D7ED">
      <w:pPr>
        <w:spacing w:line="360" w:lineRule="auto"/>
        <w:rPr>
          <w:rFonts w:ascii="宋体" w:hAnsi="宋体"/>
          <w:color w:val="auto"/>
          <w:sz w:val="24"/>
          <w:szCs w:val="24"/>
          <w:highlight w:val="none"/>
        </w:rPr>
      </w:pPr>
      <w:r>
        <w:rPr>
          <w:rFonts w:hint="eastAsia" w:ascii="宋体" w:hAnsi="宋体"/>
          <w:color w:val="auto"/>
          <w:sz w:val="24"/>
          <w:szCs w:val="24"/>
          <w:highlight w:val="none"/>
        </w:rPr>
        <w:t>（2）投标明细表.</w:t>
      </w:r>
      <w:r>
        <w:rPr>
          <w:rFonts w:ascii="宋体" w:hAnsi="宋体"/>
          <w:color w:val="auto"/>
          <w:sz w:val="24"/>
          <w:szCs w:val="24"/>
          <w:highlight w:val="none"/>
        </w:rPr>
        <w:t>.....................................................</w:t>
      </w:r>
    </w:p>
    <w:p w14:paraId="0AB289F3">
      <w:pPr>
        <w:pStyle w:val="26"/>
        <w:tabs>
          <w:tab w:val="right" w:leader="dot" w:pos="9061"/>
        </w:tabs>
        <w:spacing w:line="360" w:lineRule="auto"/>
        <w:rPr>
          <w:rFonts w:ascii="宋体" w:hAnsi="宋体"/>
          <w:color w:val="auto"/>
          <w:sz w:val="24"/>
          <w:szCs w:val="24"/>
          <w:highlight w:val="none"/>
        </w:rPr>
      </w:pPr>
      <w:bookmarkStart w:id="336" w:name="_Hlk97906062"/>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）商务部分响应资料.</w:t>
      </w:r>
      <w:r>
        <w:rPr>
          <w:rFonts w:ascii="宋体" w:hAnsi="宋体"/>
          <w:color w:val="auto"/>
          <w:sz w:val="24"/>
          <w:szCs w:val="24"/>
          <w:highlight w:val="none"/>
        </w:rPr>
        <w:t>...............................................</w:t>
      </w:r>
    </w:p>
    <w:bookmarkEnd w:id="336"/>
    <w:p w14:paraId="7E62E380">
      <w:pPr>
        <w:pStyle w:val="26"/>
        <w:tabs>
          <w:tab w:val="right" w:leader="dot" w:pos="9061"/>
        </w:tabs>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）技术部分响应资料.</w:t>
      </w:r>
      <w:r>
        <w:rPr>
          <w:rFonts w:ascii="宋体" w:hAnsi="宋体"/>
          <w:color w:val="auto"/>
          <w:sz w:val="24"/>
          <w:szCs w:val="24"/>
          <w:highlight w:val="none"/>
        </w:rPr>
        <w:t>...............................................</w:t>
      </w:r>
    </w:p>
    <w:p w14:paraId="32BE967E">
      <w:pPr>
        <w:pStyle w:val="26"/>
        <w:tabs>
          <w:tab w:val="right" w:leader="dot" w:pos="9061"/>
        </w:tabs>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）其他响应资料.</w:t>
      </w:r>
      <w:r>
        <w:rPr>
          <w:rFonts w:ascii="宋体" w:hAnsi="宋体"/>
          <w:color w:val="auto"/>
          <w:sz w:val="24"/>
          <w:szCs w:val="24"/>
          <w:highlight w:val="none"/>
        </w:rPr>
        <w:t>...........</w:t>
      </w:r>
      <w:r>
        <w:rPr>
          <w:rFonts w:ascii="宋体" w:hAnsi="宋体" w:cs="宋体"/>
          <w:color w:val="auto"/>
          <w:sz w:val="24"/>
          <w:szCs w:val="24"/>
          <w:highlight w:val="none"/>
        </w:rPr>
        <w:t>........................................</w:t>
      </w:r>
    </w:p>
    <w:p w14:paraId="54A03651">
      <w:pPr>
        <w:pStyle w:val="26"/>
        <w:tabs>
          <w:tab w:val="right" w:leader="dot" w:pos="9061"/>
        </w:tabs>
        <w:wordWrap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）技术参数偏离表</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21509366">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4.</w:t>
      </w:r>
      <w:r>
        <w:rPr>
          <w:rFonts w:hint="eastAsia" w:ascii="宋体" w:hAnsi="宋体" w:cs="宋体"/>
          <w:color w:val="auto"/>
          <w:sz w:val="24"/>
          <w:szCs w:val="24"/>
          <w:highlight w:val="none"/>
        </w:rPr>
        <w:t>其他必要材料</w:t>
      </w:r>
    </w:p>
    <w:p w14:paraId="2B337EF5">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（1）投标保证金相关资料.</w:t>
      </w:r>
      <w:r>
        <w:rPr>
          <w:rStyle w:val="52"/>
          <w:rFonts w:ascii="宋体" w:hAnsi="宋体" w:cs="宋体"/>
          <w:color w:val="auto"/>
          <w:sz w:val="24"/>
          <w:szCs w:val="24"/>
          <w:highlight w:val="none"/>
          <w:u w:val="none"/>
          <w:lang w:eastAsia="zh-CN"/>
        </w:rPr>
        <w:t>.............................................</w:t>
      </w:r>
    </w:p>
    <w:p w14:paraId="719A3ABE">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（2）节能产品相关资料.</w:t>
      </w:r>
      <w:r>
        <w:rPr>
          <w:rStyle w:val="52"/>
          <w:rFonts w:ascii="宋体" w:hAnsi="宋体" w:cs="宋体"/>
          <w:color w:val="auto"/>
          <w:sz w:val="24"/>
          <w:szCs w:val="24"/>
          <w:highlight w:val="none"/>
          <w:u w:val="none"/>
          <w:lang w:eastAsia="zh-CN"/>
        </w:rPr>
        <w:t>...............................................</w:t>
      </w:r>
    </w:p>
    <w:p w14:paraId="44CC7EA3">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（3）环境标志产品相关资料.</w:t>
      </w:r>
      <w:r>
        <w:rPr>
          <w:rStyle w:val="52"/>
          <w:rFonts w:ascii="宋体" w:hAnsi="宋体" w:cs="宋体"/>
          <w:color w:val="auto"/>
          <w:sz w:val="24"/>
          <w:szCs w:val="24"/>
          <w:highlight w:val="none"/>
          <w:u w:val="none"/>
          <w:lang w:eastAsia="zh-CN"/>
        </w:rPr>
        <w:t>...........................................</w:t>
      </w:r>
    </w:p>
    <w:p w14:paraId="7423178A">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（4）联合体投标协议.</w:t>
      </w:r>
      <w:r>
        <w:rPr>
          <w:rStyle w:val="52"/>
          <w:rFonts w:ascii="宋体" w:hAnsi="宋体" w:cs="宋体"/>
          <w:color w:val="auto"/>
          <w:sz w:val="24"/>
          <w:szCs w:val="24"/>
          <w:highlight w:val="none"/>
          <w:u w:val="none"/>
          <w:lang w:eastAsia="zh-CN"/>
        </w:rPr>
        <w:t>.................................................</w:t>
      </w:r>
    </w:p>
    <w:p w14:paraId="014B11A8">
      <w:pPr>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（5）</w:t>
      </w:r>
      <w:bookmarkStart w:id="337" w:name="_Hlk134630326"/>
      <w:r>
        <w:rPr>
          <w:rStyle w:val="52"/>
          <w:rFonts w:hint="eastAsia" w:ascii="宋体" w:hAnsi="宋体" w:cs="宋体"/>
          <w:color w:val="auto"/>
          <w:sz w:val="24"/>
          <w:szCs w:val="24"/>
          <w:highlight w:val="none"/>
          <w:u w:val="none"/>
          <w:lang w:eastAsia="zh-CN"/>
        </w:rPr>
        <w:t>分包意向协议.</w:t>
      </w:r>
      <w:r>
        <w:rPr>
          <w:rStyle w:val="52"/>
          <w:rFonts w:ascii="宋体" w:hAnsi="宋体" w:cs="宋体"/>
          <w:color w:val="auto"/>
          <w:sz w:val="24"/>
          <w:szCs w:val="24"/>
          <w:highlight w:val="none"/>
          <w:u w:val="none"/>
          <w:lang w:eastAsia="zh-CN"/>
        </w:rPr>
        <w:t>...................................................</w:t>
      </w:r>
    </w:p>
    <w:p w14:paraId="37F10BB6">
      <w:pPr>
        <w:pStyle w:val="26"/>
        <w:tabs>
          <w:tab w:val="right" w:leader="dot" w:pos="9061"/>
        </w:tabs>
        <w:spacing w:line="360" w:lineRule="auto"/>
        <w:rPr>
          <w:rStyle w:val="52"/>
          <w:rFonts w:ascii="宋体" w:hAnsi="宋体" w:cs="宋体"/>
          <w:color w:val="auto"/>
          <w:sz w:val="24"/>
          <w:szCs w:val="24"/>
          <w:highlight w:val="none"/>
          <w:u w:val="none"/>
          <w:lang w:eastAsia="zh-CN"/>
        </w:rPr>
      </w:pPr>
      <w:r>
        <w:rPr>
          <w:rStyle w:val="52"/>
          <w:rFonts w:hint="eastAsia" w:ascii="宋体" w:hAnsi="宋体" w:cs="宋体"/>
          <w:color w:val="auto"/>
          <w:sz w:val="24"/>
          <w:szCs w:val="24"/>
          <w:highlight w:val="none"/>
          <w:u w:val="none"/>
          <w:lang w:eastAsia="zh-CN"/>
        </w:rPr>
        <w:t>（</w:t>
      </w:r>
      <w:r>
        <w:rPr>
          <w:rStyle w:val="52"/>
          <w:rFonts w:ascii="宋体" w:hAnsi="宋体" w:cs="宋体"/>
          <w:color w:val="auto"/>
          <w:sz w:val="24"/>
          <w:szCs w:val="24"/>
          <w:highlight w:val="none"/>
          <w:u w:val="none"/>
          <w:lang w:eastAsia="zh-CN"/>
        </w:rPr>
        <w:t>6</w:t>
      </w:r>
      <w:r>
        <w:rPr>
          <w:rStyle w:val="52"/>
          <w:rFonts w:hint="eastAsia" w:ascii="宋体" w:hAnsi="宋体" w:cs="宋体"/>
          <w:color w:val="auto"/>
          <w:sz w:val="24"/>
          <w:szCs w:val="24"/>
          <w:highlight w:val="none"/>
          <w:u w:val="none"/>
          <w:lang w:eastAsia="zh-CN"/>
        </w:rPr>
        <w:t>）</w:t>
      </w:r>
      <w:bookmarkEnd w:id="337"/>
      <w:r>
        <w:rPr>
          <w:rStyle w:val="52"/>
          <w:rFonts w:hint="eastAsia" w:ascii="宋体" w:hAnsi="宋体" w:cs="宋体"/>
          <w:color w:val="auto"/>
          <w:sz w:val="24"/>
          <w:szCs w:val="24"/>
          <w:highlight w:val="none"/>
          <w:u w:val="none"/>
          <w:lang w:eastAsia="zh-CN"/>
        </w:rPr>
        <w:t>其他需要提供的资料.</w:t>
      </w:r>
      <w:r>
        <w:rPr>
          <w:rStyle w:val="52"/>
          <w:rFonts w:ascii="宋体" w:hAnsi="宋体" w:cs="宋体"/>
          <w:color w:val="auto"/>
          <w:sz w:val="24"/>
          <w:szCs w:val="24"/>
          <w:highlight w:val="none"/>
          <w:u w:val="none"/>
          <w:lang w:eastAsia="zh-CN"/>
        </w:rPr>
        <w:t>.............................................</w:t>
      </w:r>
    </w:p>
    <w:p w14:paraId="355B0901">
      <w:pPr>
        <w:spacing w:line="360" w:lineRule="auto"/>
        <w:rPr>
          <w:color w:val="auto"/>
          <w:sz w:val="24"/>
          <w:highlight w:val="none"/>
        </w:rPr>
      </w:pPr>
    </w:p>
    <w:p w14:paraId="62D57D6E">
      <w:pPr>
        <w:wordWrap w:val="0"/>
        <w:spacing w:line="360" w:lineRule="auto"/>
        <w:ind w:firstLine="480" w:firstLineChars="200"/>
        <w:outlineLvl w:val="1"/>
        <w:rPr>
          <w:rFonts w:ascii="宋体" w:hAnsi="宋体"/>
          <w:b/>
          <w:color w:val="auto"/>
          <w:sz w:val="24"/>
          <w:highlight w:val="none"/>
        </w:rPr>
        <w:sectPr>
          <w:pgSz w:w="11906" w:h="16838"/>
          <w:pgMar w:top="1440" w:right="1797" w:bottom="1440" w:left="1797" w:header="851" w:footer="992" w:gutter="0"/>
          <w:cols w:space="720" w:num="1"/>
          <w:docGrid w:type="linesAndChars" w:linePitch="319" w:charSpace="0"/>
        </w:sectPr>
      </w:pPr>
    </w:p>
    <w:p w14:paraId="2D26567D">
      <w:pPr>
        <w:wordWrap w:val="0"/>
        <w:spacing w:line="360" w:lineRule="auto"/>
        <w:ind w:firstLine="480" w:firstLineChars="200"/>
        <w:outlineLvl w:val="1"/>
        <w:rPr>
          <w:rFonts w:ascii="宋体" w:hAnsi="宋体"/>
          <w:b/>
          <w:color w:val="auto"/>
          <w:sz w:val="24"/>
          <w:szCs w:val="24"/>
          <w:highlight w:val="none"/>
        </w:rPr>
      </w:pPr>
      <w:bookmarkStart w:id="338" w:name="_Toc140237324"/>
      <w:r>
        <w:rPr>
          <w:rFonts w:hint="eastAsia" w:ascii="宋体" w:hAnsi="宋体"/>
          <w:b/>
          <w:color w:val="auto"/>
          <w:sz w:val="24"/>
          <w:szCs w:val="24"/>
          <w:highlight w:val="none"/>
        </w:rPr>
        <w:t>6.3　投标人情况</w:t>
      </w:r>
      <w:bookmarkEnd w:id="338"/>
    </w:p>
    <w:p w14:paraId="32D0BC40">
      <w:pPr>
        <w:wordWrap w:val="0"/>
        <w:spacing w:line="360" w:lineRule="auto"/>
        <w:ind w:firstLine="480" w:firstLineChars="200"/>
        <w:outlineLvl w:val="2"/>
        <w:rPr>
          <w:rFonts w:ascii="宋体" w:hAnsi="宋体"/>
          <w:b/>
          <w:color w:val="auto"/>
          <w:sz w:val="24"/>
          <w:highlight w:val="none"/>
        </w:rPr>
      </w:pPr>
      <w:bookmarkStart w:id="339" w:name="_Toc140237325"/>
      <w:r>
        <w:rPr>
          <w:rFonts w:hint="eastAsia" w:ascii="宋体" w:hAnsi="宋体"/>
          <w:b/>
          <w:color w:val="auto"/>
          <w:sz w:val="24"/>
          <w:highlight w:val="none"/>
        </w:rPr>
        <w:t>6.3.1　投标函</w:t>
      </w:r>
      <w:bookmarkEnd w:id="339"/>
    </w:p>
    <w:p w14:paraId="0CD2A321">
      <w:pPr>
        <w:wordWrap w:val="0"/>
        <w:spacing w:line="360" w:lineRule="auto"/>
        <w:ind w:firstLine="480" w:firstLineChars="200"/>
        <w:rPr>
          <w:color w:val="auto"/>
          <w:sz w:val="24"/>
          <w:highlight w:val="none"/>
        </w:rPr>
      </w:pPr>
      <w:r>
        <w:rPr>
          <w:rFonts w:hint="eastAsia"/>
          <w:color w:val="auto"/>
          <w:sz w:val="24"/>
          <w:highlight w:val="none"/>
        </w:rPr>
        <w:t>样式附后。</w:t>
      </w:r>
    </w:p>
    <w:p w14:paraId="79885A7F">
      <w:pPr>
        <w:pStyle w:val="15"/>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41BFABD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712F56CA">
      <w:pPr>
        <w:wordWrap w:val="0"/>
        <w:spacing w:line="360" w:lineRule="auto"/>
        <w:rPr>
          <w:rFonts w:ascii="宋体" w:hAnsi="宋体" w:cs="宋体"/>
          <w:color w:val="auto"/>
          <w:sz w:val="24"/>
          <w:szCs w:val="24"/>
          <w:highlight w:val="none"/>
        </w:rPr>
      </w:pPr>
    </w:p>
    <w:p w14:paraId="40216E15">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及</w:t>
      </w:r>
      <w:r>
        <w:rPr>
          <w:rFonts w:hint="eastAsia" w:ascii="宋体" w:hAnsi="宋体" w:cs="宋体"/>
          <w:color w:val="auto"/>
          <w:sz w:val="24"/>
          <w:szCs w:val="24"/>
          <w:highlight w:val="none"/>
          <w:u w:val="single"/>
        </w:rPr>
        <w:t>（采购代理机构）</w:t>
      </w:r>
      <w:r>
        <w:rPr>
          <w:rFonts w:hint="eastAsia" w:ascii="宋体" w:hAnsi="宋体" w:cs="宋体"/>
          <w:color w:val="auto"/>
          <w:sz w:val="24"/>
          <w:szCs w:val="24"/>
          <w:highlight w:val="none"/>
        </w:rPr>
        <w:t>：</w:t>
      </w:r>
    </w:p>
    <w:p w14:paraId="5D88E847">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我方已获取贵方</w:t>
      </w:r>
      <w:bookmarkStart w:id="340" w:name="_Hlk103171908"/>
      <w:r>
        <w:rPr>
          <w:rFonts w:hint="eastAsia" w:ascii="宋体" w:hAnsi="宋体" w:cs="宋体"/>
          <w:color w:val="auto"/>
          <w:sz w:val="24"/>
          <w:szCs w:val="24"/>
          <w:highlight w:val="none"/>
        </w:rPr>
        <w:t>项目编号为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bookmarkEnd w:id="340"/>
      <w:r>
        <w:rPr>
          <w:rFonts w:hint="eastAsia" w:ascii="宋体" w:hAnsi="宋体" w:cs="宋体"/>
          <w:color w:val="auto"/>
          <w:sz w:val="24"/>
          <w:szCs w:val="24"/>
          <w:highlight w:val="none"/>
        </w:rPr>
        <w:t>招标文件。我方经认真研究上述招标文件，决定参加本次投标，并作出如下承诺：</w:t>
      </w:r>
    </w:p>
    <w:p w14:paraId="6843E50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我方完全接受招标文件中的内容，自愿按照招标文件规定的各项要求向采购人提供所需的货物（服务）。</w:t>
      </w:r>
    </w:p>
    <w:p w14:paraId="0FB61357">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我方提交电子投标文件</w:t>
      </w:r>
      <w:r>
        <w:rPr>
          <w:rFonts w:hint="eastAsia" w:hAnsi="宋体" w:cs="宋体"/>
          <w:color w:val="auto"/>
          <w:sz w:val="24"/>
          <w:szCs w:val="24"/>
          <w:highlight w:val="none"/>
          <w:u w:val="single"/>
        </w:rPr>
        <w:t>　　</w:t>
      </w:r>
      <w:r>
        <w:rPr>
          <w:rFonts w:hint="eastAsia" w:ascii="宋体" w:hAnsi="宋体" w:cs="宋体"/>
          <w:color w:val="auto"/>
          <w:sz w:val="24"/>
          <w:szCs w:val="24"/>
          <w:highlight w:val="none"/>
        </w:rPr>
        <w:t>份，对投标文件中所有资料真实性、有效性负责，同意提供贵方要求的与投标有关的任何证据或资料，保证所提供资料的真实性、合法性。</w:t>
      </w:r>
    </w:p>
    <w:p w14:paraId="5710A342">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14:paraId="3453ECB9">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.我方所提交的投标文件在90天的投标有效期内有效，在此期间我方受此约束。</w:t>
      </w:r>
    </w:p>
    <w:p w14:paraId="12AD5591">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我方完全理解采购人不一定将合同授予最低报价的投标人的行为。</w:t>
      </w:r>
    </w:p>
    <w:p w14:paraId="1EB865C8">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.如我方中标，我方将严格履行合同约定的责任义务，保证按合同约定如期完成相关工作。</w:t>
      </w:r>
    </w:p>
    <w:p w14:paraId="232575C9">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如违反上述承诺，我方投标无效，愿意接受相关部门依法作出的处罚，并承担通过“甘肃政府采购网”等相关媒体予以公布的任何风险和责任。</w:t>
      </w:r>
    </w:p>
    <w:p w14:paraId="6F246879">
      <w:pPr>
        <w:pStyle w:val="15"/>
        <w:wordWrap w:val="0"/>
        <w:spacing w:line="360" w:lineRule="auto"/>
        <w:rPr>
          <w:color w:val="auto"/>
          <w:highlight w:val="none"/>
        </w:rPr>
      </w:pPr>
    </w:p>
    <w:tbl>
      <w:tblPr>
        <w:tblStyle w:val="41"/>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4B2539A2">
        <w:tblPrEx>
          <w:tblCellMar>
            <w:top w:w="0" w:type="dxa"/>
            <w:left w:w="108" w:type="dxa"/>
            <w:bottom w:w="0" w:type="dxa"/>
            <w:right w:w="108" w:type="dxa"/>
          </w:tblCellMar>
        </w:tblPrEx>
        <w:trPr>
          <w:trHeight w:val="567" w:hRule="atLeast"/>
        </w:trPr>
        <w:tc>
          <w:tcPr>
            <w:tcW w:w="5000" w:type="pct"/>
            <w:vAlign w:val="center"/>
          </w:tcPr>
          <w:p w14:paraId="62C8DC98">
            <w:pPr>
              <w:wordWrap w:val="0"/>
              <w:spacing w:line="360" w:lineRule="auto"/>
              <w:ind w:left="3150" w:leftChars="1500"/>
              <w:rPr>
                <w:rFonts w:ascii="宋体" w:hAnsi="宋体"/>
                <w:color w:val="auto"/>
                <w:sz w:val="24"/>
                <w:szCs w:val="21"/>
                <w:highlight w:val="none"/>
              </w:rPr>
            </w:pPr>
            <w:r>
              <w:rPr>
                <w:rFonts w:hint="eastAsia" w:ascii="宋体" w:hAnsi="宋体"/>
                <w:color w:val="auto"/>
                <w:sz w:val="24"/>
                <w:szCs w:val="21"/>
                <w:highlight w:val="none"/>
              </w:rPr>
              <w:t>投标人名称（签章）：</w:t>
            </w:r>
          </w:p>
          <w:p w14:paraId="4EC3B020">
            <w:pPr>
              <w:wordWrap w:val="0"/>
              <w:spacing w:line="360" w:lineRule="auto"/>
              <w:rPr>
                <w:rFonts w:ascii="宋体" w:hAnsi="宋体"/>
                <w:color w:val="auto"/>
                <w:sz w:val="24"/>
                <w:szCs w:val="21"/>
                <w:highlight w:val="none"/>
              </w:rPr>
            </w:pPr>
          </w:p>
          <w:p w14:paraId="44488D99">
            <w:pPr>
              <w:wordWrap w:val="0"/>
              <w:spacing w:line="360" w:lineRule="auto"/>
              <w:ind w:left="3150" w:leftChars="1500"/>
              <w:rPr>
                <w:rFonts w:ascii="宋体" w:hAnsi="宋体"/>
                <w:color w:val="auto"/>
                <w:sz w:val="24"/>
                <w:szCs w:val="21"/>
                <w:highlight w:val="none"/>
              </w:rPr>
            </w:pPr>
            <w:r>
              <w:rPr>
                <w:rFonts w:hint="eastAsia" w:ascii="宋体" w:hAnsi="宋体"/>
                <w:color w:val="auto"/>
                <w:sz w:val="24"/>
                <w:szCs w:val="21"/>
                <w:highlight w:val="none"/>
              </w:rPr>
              <w:t>法定代表人（或授权代表）（签章）：</w:t>
            </w:r>
          </w:p>
          <w:p w14:paraId="2E6CF57C">
            <w:pPr>
              <w:wordWrap w:val="0"/>
              <w:spacing w:line="360" w:lineRule="auto"/>
              <w:rPr>
                <w:rFonts w:ascii="宋体" w:hAnsi="宋体"/>
                <w:color w:val="auto"/>
                <w:sz w:val="24"/>
                <w:szCs w:val="21"/>
                <w:highlight w:val="none"/>
              </w:rPr>
            </w:pPr>
          </w:p>
          <w:p w14:paraId="251253CA">
            <w:pPr>
              <w:wordWrap w:val="0"/>
              <w:spacing w:line="360" w:lineRule="auto"/>
              <w:ind w:left="3150" w:leftChars="1500"/>
              <w:rPr>
                <w:rFonts w:ascii="宋体" w:hAnsi="宋体"/>
                <w:color w:val="auto"/>
                <w:szCs w:val="21"/>
                <w:highlight w:val="none"/>
              </w:rPr>
            </w:pPr>
            <w:r>
              <w:rPr>
                <w:rFonts w:hint="eastAsia" w:ascii="宋体" w:hAnsi="宋体"/>
                <w:color w:val="auto"/>
                <w:sz w:val="24"/>
                <w:szCs w:val="21"/>
                <w:highlight w:val="none"/>
              </w:rPr>
              <w:t>日期：　　　年　　月　　日</w:t>
            </w:r>
          </w:p>
        </w:tc>
      </w:tr>
    </w:tbl>
    <w:p w14:paraId="6E20E01A">
      <w:pPr>
        <w:wordWrap w:val="0"/>
        <w:rPr>
          <w:color w:val="auto"/>
          <w:sz w:val="24"/>
          <w:highlight w:val="none"/>
        </w:rPr>
      </w:pPr>
    </w:p>
    <w:p w14:paraId="2F8FCA69">
      <w:pPr>
        <w:wordWrap w:val="0"/>
        <w:spacing w:line="360" w:lineRule="auto"/>
        <w:rPr>
          <w:rFonts w:ascii="宋体" w:hAnsi="宋体" w:cs="宋体"/>
          <w:color w:val="auto"/>
          <w:sz w:val="24"/>
          <w:szCs w:val="24"/>
          <w:highlight w:val="none"/>
        </w:rPr>
        <w:sectPr>
          <w:pgSz w:w="11906" w:h="16838"/>
          <w:pgMar w:top="1440" w:right="1797" w:bottom="1440" w:left="1797" w:header="851" w:footer="992" w:gutter="0"/>
          <w:cols w:space="720" w:num="1"/>
          <w:docGrid w:type="linesAndChars" w:linePitch="319" w:charSpace="0"/>
        </w:sectPr>
      </w:pPr>
    </w:p>
    <w:p w14:paraId="4FAA80B9">
      <w:pPr>
        <w:pStyle w:val="2"/>
        <w:tabs>
          <w:tab w:val="left" w:pos="8786"/>
        </w:tabs>
        <w:wordWrap w:val="0"/>
        <w:snapToGrid/>
        <w:spacing w:line="360" w:lineRule="auto"/>
        <w:ind w:firstLine="496" w:firstLineChars="200"/>
        <w:outlineLvl w:val="2"/>
        <w:rPr>
          <w:rFonts w:cs="宋体"/>
          <w:b/>
          <w:bCs/>
          <w:color w:val="auto"/>
          <w:highlight w:val="none"/>
          <w:lang w:eastAsia="zh-CN"/>
        </w:rPr>
      </w:pPr>
      <w:bookmarkStart w:id="341" w:name="_Toc140237326"/>
      <w:r>
        <w:rPr>
          <w:rFonts w:hint="eastAsia"/>
          <w:b/>
          <w:color w:val="auto"/>
          <w:highlight w:val="none"/>
          <w:lang w:eastAsia="zh-CN"/>
        </w:rPr>
        <w:t>6</w:t>
      </w:r>
      <w:r>
        <w:rPr>
          <w:b/>
          <w:color w:val="auto"/>
          <w:highlight w:val="none"/>
          <w:lang w:eastAsia="zh-CN"/>
        </w:rPr>
        <w:t>.3.2</w:t>
      </w:r>
      <w:r>
        <w:rPr>
          <w:rFonts w:hint="eastAsia"/>
          <w:b/>
          <w:color w:val="auto"/>
          <w:highlight w:val="none"/>
          <w:lang w:eastAsia="zh-CN"/>
        </w:rPr>
        <w:t>　</w:t>
      </w:r>
      <w:r>
        <w:rPr>
          <w:rFonts w:hint="eastAsia" w:cs="宋体"/>
          <w:b/>
          <w:bCs/>
          <w:color w:val="auto"/>
          <w:highlight w:val="none"/>
          <w:lang w:eastAsia="zh-CN"/>
        </w:rPr>
        <w:t>投标人</w:t>
      </w:r>
      <w:r>
        <w:rPr>
          <w:rFonts w:hint="eastAsia"/>
          <w:b/>
          <w:color w:val="auto"/>
          <w:highlight w:val="none"/>
          <w:lang w:eastAsia="zh-CN"/>
        </w:rPr>
        <w:t>基本</w:t>
      </w:r>
      <w:r>
        <w:rPr>
          <w:rFonts w:hint="eastAsia" w:cs="宋体"/>
          <w:b/>
          <w:bCs/>
          <w:color w:val="auto"/>
          <w:highlight w:val="none"/>
          <w:lang w:eastAsia="zh-CN"/>
        </w:rPr>
        <w:t>情况</w:t>
      </w:r>
      <w:bookmarkEnd w:id="341"/>
    </w:p>
    <w:p w14:paraId="5B191C30">
      <w:pPr>
        <w:pStyle w:val="2"/>
        <w:tabs>
          <w:tab w:val="left" w:pos="8786"/>
        </w:tabs>
        <w:wordWrap w:val="0"/>
        <w:snapToGrid/>
        <w:spacing w:line="360" w:lineRule="auto"/>
        <w:ind w:firstLine="496" w:firstLineChars="200"/>
        <w:rPr>
          <w:rFonts w:cs="宋体"/>
          <w:bCs/>
          <w:color w:val="auto"/>
          <w:highlight w:val="none"/>
          <w:lang w:eastAsia="zh-CN"/>
        </w:rPr>
      </w:pPr>
      <w:r>
        <w:rPr>
          <w:rFonts w:hint="eastAsia" w:cs="宋体"/>
          <w:bCs/>
          <w:color w:val="auto"/>
          <w:highlight w:val="none"/>
          <w:lang w:eastAsia="zh-CN"/>
        </w:rPr>
        <w:t>内容自行编制，包括但不限于：投标人简史、经营业务范围、组织机构、职工人数、专业技术人员情况、资信情况（含固定资产原值、净值、流动资金、近3年销售额与净利润及纳税等）。</w:t>
      </w:r>
    </w:p>
    <w:p w14:paraId="6D5B3540">
      <w:pPr>
        <w:wordWrap w:val="0"/>
        <w:spacing w:line="360" w:lineRule="auto"/>
        <w:ind w:firstLine="480" w:firstLineChars="200"/>
        <w:outlineLvl w:val="1"/>
        <w:rPr>
          <w:rFonts w:ascii="宋体" w:hAnsi="宋体"/>
          <w:b/>
          <w:color w:val="auto"/>
          <w:sz w:val="24"/>
          <w:highlight w:val="none"/>
        </w:rPr>
      </w:pPr>
      <w:bookmarkStart w:id="342" w:name="_Toc91323636"/>
      <w:bookmarkStart w:id="343" w:name="_Toc140237327"/>
      <w:r>
        <w:rPr>
          <w:rFonts w:ascii="宋体" w:hAnsi="宋体"/>
          <w:b/>
          <w:color w:val="auto"/>
          <w:sz w:val="24"/>
          <w:highlight w:val="none"/>
        </w:rPr>
        <w:t>6</w:t>
      </w:r>
      <w:r>
        <w:rPr>
          <w:rFonts w:hint="eastAsia" w:ascii="宋体" w:hAnsi="宋体"/>
          <w:b/>
          <w:color w:val="auto"/>
          <w:sz w:val="24"/>
          <w:highlight w:val="none"/>
        </w:rPr>
        <w:t>.4　资格审查响应材料</w:t>
      </w:r>
      <w:bookmarkEnd w:id="342"/>
      <w:bookmarkEnd w:id="343"/>
    </w:p>
    <w:p w14:paraId="5F16D3F4">
      <w:pPr>
        <w:wordWrap w:val="0"/>
        <w:spacing w:line="360" w:lineRule="auto"/>
        <w:ind w:firstLine="480" w:firstLineChars="200"/>
        <w:outlineLvl w:val="2"/>
        <w:rPr>
          <w:rFonts w:ascii="宋体" w:hAnsi="宋体"/>
          <w:b/>
          <w:color w:val="auto"/>
          <w:sz w:val="24"/>
          <w:highlight w:val="none"/>
        </w:rPr>
      </w:pPr>
      <w:bookmarkStart w:id="344" w:name="_Toc140237328"/>
      <w:r>
        <w:rPr>
          <w:rFonts w:ascii="宋体" w:hAnsi="宋体"/>
          <w:b/>
          <w:color w:val="auto"/>
          <w:sz w:val="24"/>
          <w:highlight w:val="none"/>
        </w:rPr>
        <w:t>6.4.1</w:t>
      </w:r>
      <w:r>
        <w:rPr>
          <w:rFonts w:hint="eastAsia" w:ascii="宋体" w:hAnsi="宋体"/>
          <w:b/>
          <w:color w:val="auto"/>
          <w:sz w:val="24"/>
          <w:highlight w:val="none"/>
        </w:rPr>
        <w:t>　资格承诺声明函</w:t>
      </w:r>
      <w:bookmarkEnd w:id="344"/>
    </w:p>
    <w:p w14:paraId="09CE33A7">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样式附后。</w:t>
      </w:r>
    </w:p>
    <w:p w14:paraId="00C9C993">
      <w:pPr>
        <w:pStyle w:val="58"/>
        <w:widowControl w:val="0"/>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bookmarkEnd w:id="334"/>
    <w:bookmarkEnd w:id="335"/>
    <w:p w14:paraId="0AB9B398">
      <w:pPr>
        <w:wordWrap w:val="0"/>
        <w:spacing w:line="360" w:lineRule="auto"/>
        <w:jc w:val="center"/>
        <w:rPr>
          <w:color w:val="auto"/>
          <w:sz w:val="32"/>
          <w:szCs w:val="32"/>
          <w:highlight w:val="none"/>
        </w:rPr>
      </w:pPr>
      <w:r>
        <w:rPr>
          <w:rFonts w:hint="eastAsia"/>
          <w:b/>
          <w:color w:val="auto"/>
          <w:sz w:val="32"/>
          <w:szCs w:val="32"/>
          <w:highlight w:val="none"/>
        </w:rPr>
        <w:t>资格承诺声明函</w:t>
      </w:r>
    </w:p>
    <w:p w14:paraId="112B8778">
      <w:pPr>
        <w:pStyle w:val="2"/>
        <w:tabs>
          <w:tab w:val="left" w:pos="8786"/>
        </w:tabs>
        <w:wordWrap w:val="0"/>
        <w:spacing w:line="360" w:lineRule="auto"/>
        <w:rPr>
          <w:rFonts w:cs="宋体"/>
          <w:color w:val="auto"/>
          <w:kern w:val="0"/>
          <w:szCs w:val="24"/>
          <w:highlight w:val="none"/>
          <w:lang w:eastAsia="zh-CN" w:bidi="ar"/>
        </w:rPr>
      </w:pPr>
    </w:p>
    <w:p w14:paraId="4DF8B161">
      <w:pPr>
        <w:pStyle w:val="2"/>
        <w:tabs>
          <w:tab w:val="left" w:pos="8786"/>
        </w:tabs>
        <w:wordWrap w:val="0"/>
        <w:spacing w:line="360" w:lineRule="auto"/>
        <w:rPr>
          <w:rFonts w:cs="宋体"/>
          <w:color w:val="auto"/>
          <w:kern w:val="0"/>
          <w:szCs w:val="24"/>
          <w:highlight w:val="none"/>
          <w:lang w:eastAsia="zh-CN" w:bidi="ar"/>
        </w:rPr>
      </w:pPr>
      <w:r>
        <w:rPr>
          <w:rFonts w:hint="eastAsia" w:cs="宋体"/>
          <w:color w:val="auto"/>
          <w:kern w:val="0"/>
          <w:szCs w:val="24"/>
          <w:highlight w:val="none"/>
          <w:lang w:eastAsia="zh-CN" w:bidi="ar"/>
        </w:rPr>
        <w:t>致</w:t>
      </w:r>
      <w:r>
        <w:rPr>
          <w:rFonts w:hint="eastAsia" w:cs="宋体"/>
          <w:color w:val="auto"/>
          <w:kern w:val="0"/>
          <w:szCs w:val="24"/>
          <w:highlight w:val="none"/>
          <w:u w:val="single"/>
          <w:lang w:eastAsia="zh-CN" w:bidi="ar"/>
        </w:rPr>
        <w:t>（采购人）</w:t>
      </w:r>
      <w:r>
        <w:rPr>
          <w:rFonts w:hint="eastAsia" w:cs="宋体"/>
          <w:color w:val="auto"/>
          <w:kern w:val="0"/>
          <w:szCs w:val="24"/>
          <w:highlight w:val="none"/>
          <w:lang w:eastAsia="zh-CN" w:bidi="ar"/>
        </w:rPr>
        <w:t>及</w:t>
      </w:r>
      <w:r>
        <w:rPr>
          <w:rFonts w:hint="eastAsia" w:cs="宋体"/>
          <w:color w:val="auto"/>
          <w:kern w:val="0"/>
          <w:szCs w:val="24"/>
          <w:highlight w:val="none"/>
          <w:u w:val="single"/>
          <w:lang w:eastAsia="zh-CN" w:bidi="ar"/>
        </w:rPr>
        <w:t>（采购代理机构）</w:t>
      </w:r>
      <w:r>
        <w:rPr>
          <w:rFonts w:hint="eastAsia" w:cs="宋体"/>
          <w:color w:val="auto"/>
          <w:kern w:val="0"/>
          <w:szCs w:val="24"/>
          <w:highlight w:val="none"/>
          <w:lang w:eastAsia="zh-CN" w:bidi="ar"/>
        </w:rPr>
        <w:t>：</w:t>
      </w:r>
    </w:p>
    <w:p w14:paraId="58B9A536">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按照《中华人民共和国政府采购法》第二十二条及采购文件的规定，我单位郑重声明如下：</w:t>
      </w:r>
    </w:p>
    <w:p w14:paraId="6503F3B0">
      <w:pPr>
        <w:pStyle w:val="2"/>
        <w:tabs>
          <w:tab w:val="left" w:pos="8786"/>
        </w:tabs>
        <w:wordWrap w:val="0"/>
        <w:spacing w:line="360" w:lineRule="auto"/>
        <w:ind w:firstLine="496" w:firstLineChars="200"/>
        <w:jc w:val="left"/>
        <w:rPr>
          <w:rFonts w:cs="宋体"/>
          <w:color w:val="auto"/>
          <w:kern w:val="0"/>
          <w:szCs w:val="24"/>
          <w:highlight w:val="none"/>
          <w:lang w:eastAsia="zh-CN" w:bidi="ar"/>
        </w:rPr>
      </w:pPr>
      <w:r>
        <w:rPr>
          <w:rFonts w:hint="eastAsia" w:cs="宋体"/>
          <w:color w:val="auto"/>
          <w:kern w:val="0"/>
          <w:szCs w:val="24"/>
          <w:highlight w:val="none"/>
          <w:lang w:eastAsia="zh-CN" w:bidi="ar"/>
        </w:rPr>
        <w:t>一、我单位名称为</w:t>
      </w:r>
      <w:r>
        <w:rPr>
          <w:rFonts w:hint="eastAsia" w:cs="宋体"/>
          <w:color w:val="auto"/>
          <w:kern w:val="0"/>
          <w:szCs w:val="24"/>
          <w:highlight w:val="none"/>
          <w:u w:val="single"/>
          <w:lang w:eastAsia="zh-CN" w:bidi="ar"/>
        </w:rPr>
        <w:t>　　　　　　　　　　　　　　</w:t>
      </w:r>
      <w:r>
        <w:rPr>
          <w:rFonts w:hint="eastAsia" w:cs="宋体"/>
          <w:color w:val="auto"/>
          <w:kern w:val="0"/>
          <w:szCs w:val="24"/>
          <w:highlight w:val="none"/>
          <w:lang w:eastAsia="zh-CN" w:bidi="ar"/>
        </w:rPr>
        <w:t>，注册地点为</w:t>
      </w:r>
      <w:r>
        <w:rPr>
          <w:rFonts w:hint="eastAsia" w:cs="宋体"/>
          <w:color w:val="auto"/>
          <w:kern w:val="0"/>
          <w:szCs w:val="24"/>
          <w:highlight w:val="none"/>
          <w:u w:val="single"/>
          <w:lang w:eastAsia="zh-CN" w:bidi="ar"/>
        </w:rPr>
        <w:t>　　　　　　　　　　　　　</w:t>
      </w:r>
      <w:r>
        <w:rPr>
          <w:rFonts w:hint="eastAsia" w:cs="宋体"/>
          <w:color w:val="auto"/>
          <w:kern w:val="0"/>
          <w:szCs w:val="24"/>
          <w:highlight w:val="none"/>
          <w:lang w:eastAsia="zh-CN" w:bidi="ar"/>
        </w:rPr>
        <w:t>，统一社会信用代码为</w:t>
      </w:r>
      <w:r>
        <w:rPr>
          <w:rFonts w:hint="eastAsia" w:cs="宋体"/>
          <w:color w:val="auto"/>
          <w:kern w:val="0"/>
          <w:szCs w:val="24"/>
          <w:highlight w:val="none"/>
          <w:u w:val="single"/>
          <w:lang w:eastAsia="zh-CN" w:bidi="ar"/>
        </w:rPr>
        <w:t>　　　　　　　　　　　　</w:t>
      </w:r>
      <w:r>
        <w:rPr>
          <w:rFonts w:hint="eastAsia" w:cs="宋体"/>
          <w:color w:val="auto"/>
          <w:kern w:val="0"/>
          <w:szCs w:val="24"/>
          <w:highlight w:val="none"/>
          <w:lang w:eastAsia="zh-CN" w:bidi="ar"/>
        </w:rPr>
        <w:t>，法定代表人（单位负责人）为</w:t>
      </w:r>
      <w:r>
        <w:rPr>
          <w:rFonts w:hint="eastAsia" w:cs="宋体"/>
          <w:color w:val="auto"/>
          <w:kern w:val="0"/>
          <w:szCs w:val="24"/>
          <w:highlight w:val="none"/>
          <w:u w:val="single"/>
          <w:lang w:eastAsia="zh-CN" w:bidi="ar"/>
        </w:rPr>
        <w:t>　　　　　　</w:t>
      </w:r>
      <w:r>
        <w:rPr>
          <w:rFonts w:hint="eastAsia" w:cs="宋体"/>
          <w:color w:val="auto"/>
          <w:kern w:val="0"/>
          <w:szCs w:val="24"/>
          <w:highlight w:val="none"/>
          <w:lang w:eastAsia="zh-CN" w:bidi="ar"/>
        </w:rPr>
        <w:t>。</w:t>
      </w:r>
    </w:p>
    <w:p w14:paraId="63A8966E">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二、我单位具有独立承担民事责任的能力。</w:t>
      </w:r>
    </w:p>
    <w:p w14:paraId="559FDE97">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三、我单位具有良好的商业信誉和健全的财务会计制度。</w:t>
      </w:r>
    </w:p>
    <w:p w14:paraId="712B1E85">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四、我单位具有履行合同所必需的设备和专业技术能力。</w:t>
      </w:r>
    </w:p>
    <w:p w14:paraId="1E3EC217">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五、我单位有依法缴纳税收和社会保障资金的良好记录。</w:t>
      </w:r>
    </w:p>
    <w:p w14:paraId="68A8A3E0">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14:paraId="28A3B912">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七、我单位具备法律、行政法规规定的其他条件。</w:t>
      </w:r>
    </w:p>
    <w:p w14:paraId="2BFFA236">
      <w:pPr>
        <w:pStyle w:val="2"/>
        <w:tabs>
          <w:tab w:val="left" w:pos="8786"/>
        </w:tabs>
        <w:wordWrap w:val="0"/>
        <w:spacing w:line="360" w:lineRule="auto"/>
        <w:ind w:firstLine="496" w:firstLineChars="200"/>
        <w:rPr>
          <w:rFonts w:cs="宋体"/>
          <w:color w:val="auto"/>
          <w:kern w:val="0"/>
          <w:szCs w:val="24"/>
          <w:highlight w:val="none"/>
          <w:lang w:eastAsia="zh-CN" w:bidi="ar"/>
        </w:rPr>
      </w:pPr>
      <w:r>
        <w:rPr>
          <w:rFonts w:hint="eastAsia" w:cs="宋体"/>
          <w:color w:val="auto"/>
          <w:kern w:val="0"/>
          <w:szCs w:val="24"/>
          <w:highlight w:val="none"/>
          <w:lang w:eastAsia="zh-CN" w:bidi="ar"/>
        </w:rPr>
        <w:t>我单位保证上述声明的事项都是真实的，如有虚假，我单位愿意承担相应的法律责任，并承担因此所造成的一切损失。</w:t>
      </w:r>
    </w:p>
    <w:p w14:paraId="08FEADB7">
      <w:pPr>
        <w:wordWrap w:val="0"/>
        <w:adjustRightInd w:val="0"/>
        <w:snapToGrid w:val="0"/>
        <w:spacing w:line="360" w:lineRule="auto"/>
        <w:rPr>
          <w:color w:val="auto"/>
          <w:sz w:val="24"/>
          <w:highlight w:val="none"/>
        </w:rPr>
      </w:pPr>
    </w:p>
    <w:tbl>
      <w:tblPr>
        <w:tblStyle w:val="41"/>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229EF95B">
        <w:tblPrEx>
          <w:tblCellMar>
            <w:top w:w="0" w:type="dxa"/>
            <w:left w:w="108" w:type="dxa"/>
            <w:bottom w:w="0" w:type="dxa"/>
            <w:right w:w="108" w:type="dxa"/>
          </w:tblCellMar>
        </w:tblPrEx>
        <w:trPr>
          <w:trHeight w:val="567" w:hRule="atLeast"/>
        </w:trPr>
        <w:tc>
          <w:tcPr>
            <w:tcW w:w="5000" w:type="pct"/>
            <w:vAlign w:val="center"/>
          </w:tcPr>
          <w:p w14:paraId="2D5AEC85">
            <w:pPr>
              <w:wordWrap w:val="0"/>
              <w:spacing w:line="360" w:lineRule="auto"/>
              <w:ind w:left="3150" w:leftChars="1500"/>
              <w:rPr>
                <w:rFonts w:ascii="宋体" w:hAnsi="宋体"/>
                <w:color w:val="auto"/>
                <w:sz w:val="24"/>
                <w:szCs w:val="21"/>
                <w:highlight w:val="none"/>
              </w:rPr>
            </w:pPr>
            <w:r>
              <w:rPr>
                <w:rFonts w:hint="eastAsia" w:ascii="宋体" w:hAnsi="宋体"/>
                <w:color w:val="auto"/>
                <w:sz w:val="24"/>
                <w:szCs w:val="21"/>
                <w:highlight w:val="none"/>
              </w:rPr>
              <w:t>承诺单位名称（签章）：</w:t>
            </w:r>
          </w:p>
          <w:p w14:paraId="14307626">
            <w:pPr>
              <w:wordWrap w:val="0"/>
              <w:spacing w:line="360" w:lineRule="auto"/>
              <w:rPr>
                <w:rFonts w:ascii="宋体" w:hAnsi="宋体"/>
                <w:color w:val="auto"/>
                <w:sz w:val="24"/>
                <w:szCs w:val="21"/>
                <w:highlight w:val="none"/>
              </w:rPr>
            </w:pPr>
          </w:p>
          <w:p w14:paraId="22313C64">
            <w:pPr>
              <w:wordWrap w:val="0"/>
              <w:spacing w:line="360" w:lineRule="auto"/>
              <w:ind w:left="3150" w:leftChars="1500"/>
              <w:rPr>
                <w:rFonts w:ascii="宋体" w:hAnsi="宋体"/>
                <w:color w:val="auto"/>
                <w:sz w:val="24"/>
                <w:szCs w:val="21"/>
                <w:highlight w:val="none"/>
              </w:rPr>
            </w:pPr>
            <w:r>
              <w:rPr>
                <w:rFonts w:hint="eastAsia" w:ascii="宋体" w:hAnsi="宋体"/>
                <w:color w:val="auto"/>
                <w:sz w:val="24"/>
                <w:szCs w:val="21"/>
                <w:highlight w:val="none"/>
              </w:rPr>
              <w:t>法定代表人（或授权代表）（签章）：</w:t>
            </w:r>
          </w:p>
          <w:p w14:paraId="55E67EBA">
            <w:pPr>
              <w:wordWrap w:val="0"/>
              <w:spacing w:line="360" w:lineRule="auto"/>
              <w:rPr>
                <w:rFonts w:ascii="宋体" w:hAnsi="宋体"/>
                <w:color w:val="auto"/>
                <w:sz w:val="24"/>
                <w:szCs w:val="21"/>
                <w:highlight w:val="none"/>
              </w:rPr>
            </w:pPr>
          </w:p>
          <w:p w14:paraId="06987A78">
            <w:pPr>
              <w:wordWrap w:val="0"/>
              <w:spacing w:line="360" w:lineRule="auto"/>
              <w:ind w:left="3150" w:leftChars="1500"/>
              <w:rPr>
                <w:rFonts w:ascii="宋体" w:hAnsi="宋体"/>
                <w:color w:val="auto"/>
                <w:szCs w:val="21"/>
                <w:highlight w:val="none"/>
              </w:rPr>
            </w:pPr>
            <w:r>
              <w:rPr>
                <w:rFonts w:hint="eastAsia" w:ascii="宋体" w:hAnsi="宋体"/>
                <w:color w:val="auto"/>
                <w:sz w:val="24"/>
                <w:szCs w:val="21"/>
                <w:highlight w:val="none"/>
              </w:rPr>
              <w:t>日期：　　　年　　月　　日</w:t>
            </w:r>
          </w:p>
        </w:tc>
      </w:tr>
    </w:tbl>
    <w:p w14:paraId="47D0CE88">
      <w:pPr>
        <w:pStyle w:val="2"/>
        <w:tabs>
          <w:tab w:val="left" w:pos="8786"/>
        </w:tabs>
        <w:wordWrap w:val="0"/>
        <w:spacing w:line="360" w:lineRule="auto"/>
        <w:rPr>
          <w:color w:val="auto"/>
          <w:szCs w:val="24"/>
          <w:highlight w:val="none"/>
          <w:lang w:eastAsia="zh-CN"/>
        </w:rPr>
      </w:pPr>
    </w:p>
    <w:p w14:paraId="6E835B6A">
      <w:pPr>
        <w:pStyle w:val="58"/>
        <w:widowControl w:val="0"/>
        <w:wordWrap w:val="0"/>
        <w:spacing w:line="360" w:lineRule="auto"/>
        <w:rPr>
          <w:color w:val="auto"/>
          <w:highlight w:val="none"/>
          <w:lang w:bidi="ar"/>
        </w:rPr>
        <w:sectPr>
          <w:pgSz w:w="11906" w:h="16838"/>
          <w:pgMar w:top="1440" w:right="1797" w:bottom="1440" w:left="1797" w:header="851" w:footer="992" w:gutter="0"/>
          <w:cols w:space="720" w:num="1"/>
          <w:docGrid w:type="linesAndChars" w:linePitch="319" w:charSpace="0"/>
        </w:sectPr>
      </w:pPr>
    </w:p>
    <w:p w14:paraId="22400C12">
      <w:pPr>
        <w:wordWrap w:val="0"/>
        <w:spacing w:line="360" w:lineRule="auto"/>
        <w:ind w:firstLine="480" w:firstLineChars="200"/>
        <w:outlineLvl w:val="2"/>
        <w:rPr>
          <w:rFonts w:ascii="宋体" w:hAnsi="宋体"/>
          <w:b/>
          <w:color w:val="auto"/>
          <w:sz w:val="24"/>
          <w:highlight w:val="none"/>
        </w:rPr>
      </w:pPr>
      <w:bookmarkStart w:id="345" w:name="_Toc140237329"/>
      <w:bookmarkStart w:id="346" w:name="_Toc91323637"/>
      <w:r>
        <w:rPr>
          <w:rFonts w:hint="eastAsia" w:ascii="宋体" w:hAnsi="宋体"/>
          <w:b/>
          <w:color w:val="auto"/>
          <w:sz w:val="24"/>
          <w:highlight w:val="none"/>
        </w:rPr>
        <w:t>6</w:t>
      </w:r>
      <w:r>
        <w:rPr>
          <w:rFonts w:ascii="宋体" w:hAnsi="宋体"/>
          <w:b/>
          <w:color w:val="auto"/>
          <w:sz w:val="24"/>
          <w:highlight w:val="none"/>
        </w:rPr>
        <w:t>.4.2</w:t>
      </w:r>
      <w:r>
        <w:rPr>
          <w:rFonts w:hint="eastAsia" w:ascii="宋体" w:hAnsi="宋体"/>
          <w:b/>
          <w:color w:val="auto"/>
          <w:sz w:val="24"/>
          <w:highlight w:val="none"/>
        </w:rPr>
        <w:t>　中小企业声明函</w:t>
      </w:r>
      <w:bookmarkEnd w:id="345"/>
    </w:p>
    <w:p w14:paraId="0E1BC564">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投标人为中小企业的，须提供《中小企业声明函》（样式附后）；联合体中的中小企业、签订《分包意向协议》的中小企业，均须提供《中小企业声明函》（样式附后）；投标人为残疾人福利性单位的，须提供《</w:t>
      </w:r>
      <w:bookmarkStart w:id="347" w:name="_Hlk104449928"/>
      <w:r>
        <w:rPr>
          <w:rFonts w:hint="eastAsia" w:ascii="宋体" w:hAnsi="宋体"/>
          <w:color w:val="auto"/>
          <w:sz w:val="24"/>
          <w:highlight w:val="none"/>
        </w:rPr>
        <w:t>残疾人福利性单位声明函</w:t>
      </w:r>
      <w:bookmarkEnd w:id="347"/>
      <w:r>
        <w:rPr>
          <w:rFonts w:hint="eastAsia" w:ascii="宋体" w:hAnsi="宋体"/>
          <w:color w:val="auto"/>
          <w:sz w:val="24"/>
          <w:highlight w:val="none"/>
        </w:rPr>
        <w:t>》（样式附后）；投标人为监狱企业的，</w:t>
      </w:r>
      <w:bookmarkStart w:id="348" w:name="_Hlk104388552"/>
      <w:r>
        <w:rPr>
          <w:rFonts w:hint="eastAsia" w:ascii="宋体" w:hAnsi="宋体"/>
          <w:color w:val="auto"/>
          <w:sz w:val="24"/>
          <w:highlight w:val="none"/>
        </w:rPr>
        <w:t>须提供由省级以上监狱管理局、戒毒管理局（含新疆生产建设兵团）出具的属于监狱企业的证明文件</w:t>
      </w:r>
      <w:bookmarkEnd w:id="348"/>
      <w:r>
        <w:rPr>
          <w:rFonts w:hint="eastAsia" w:ascii="宋体" w:hAnsi="宋体"/>
          <w:color w:val="auto"/>
          <w:sz w:val="24"/>
          <w:highlight w:val="none"/>
        </w:rPr>
        <w:t>（扫描件）</w:t>
      </w:r>
      <w:bookmarkStart w:id="349" w:name="_Hlk104449023"/>
      <w:r>
        <w:rPr>
          <w:rFonts w:hint="eastAsia" w:ascii="宋体" w:hAnsi="宋体"/>
          <w:color w:val="auto"/>
          <w:sz w:val="24"/>
          <w:highlight w:val="none"/>
        </w:rPr>
        <w:t>。</w:t>
      </w:r>
    </w:p>
    <w:p w14:paraId="5A703F4E">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未按要求提供的，</w:t>
      </w:r>
      <w:bookmarkEnd w:id="349"/>
      <w:r>
        <w:rPr>
          <w:rFonts w:hint="eastAsia" w:ascii="宋体" w:hAnsi="宋体"/>
          <w:color w:val="auto"/>
          <w:sz w:val="24"/>
          <w:highlight w:val="none"/>
        </w:rPr>
        <w:t>评审时不予考虑。</w:t>
      </w:r>
    </w:p>
    <w:p w14:paraId="6A4B3BD5">
      <w:pPr>
        <w:pStyle w:val="15"/>
        <w:rPr>
          <w:color w:val="auto"/>
          <w:highlight w:val="none"/>
        </w:rPr>
        <w:sectPr>
          <w:pgSz w:w="11906" w:h="16838"/>
          <w:pgMar w:top="1440" w:right="1797" w:bottom="1440" w:left="1797" w:header="851" w:footer="992" w:gutter="0"/>
          <w:cols w:space="720" w:num="1"/>
          <w:docGrid w:type="linesAndChars" w:linePitch="319" w:charSpace="0"/>
        </w:sectPr>
      </w:pPr>
    </w:p>
    <w:p w14:paraId="7A013ECD">
      <w:pPr>
        <w:wordWrap w:val="0"/>
        <w:spacing w:line="360" w:lineRule="auto"/>
        <w:jc w:val="center"/>
        <w:rPr>
          <w:rFonts w:ascii="宋体" w:hAnsi="宋体" w:cs="宋体"/>
          <w:b/>
          <w:bCs/>
          <w:color w:val="auto"/>
          <w:sz w:val="32"/>
          <w:szCs w:val="30"/>
          <w:highlight w:val="none"/>
        </w:rPr>
      </w:pPr>
      <w:r>
        <w:rPr>
          <w:rFonts w:hint="eastAsia" w:ascii="宋体" w:hAnsi="宋体" w:cs="宋体"/>
          <w:b/>
          <w:bCs/>
          <w:color w:val="auto"/>
          <w:sz w:val="32"/>
          <w:szCs w:val="30"/>
          <w:highlight w:val="none"/>
        </w:rPr>
        <w:t>中小企业声明函（工程、服务）</w:t>
      </w:r>
    </w:p>
    <w:p w14:paraId="1CD32B92">
      <w:pPr>
        <w:wordWrap w:val="0"/>
        <w:spacing w:line="360" w:lineRule="auto"/>
        <w:rPr>
          <w:rFonts w:ascii="宋体" w:hAnsi="宋体" w:cs="宋体"/>
          <w:color w:val="auto"/>
          <w:sz w:val="24"/>
          <w:szCs w:val="24"/>
          <w:highlight w:val="none"/>
        </w:rPr>
      </w:pPr>
    </w:p>
    <w:p w14:paraId="6C3B457F">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w:t>
      </w:r>
      <w:bookmarkStart w:id="350" w:name="_Hlk104472376"/>
      <w:r>
        <w:rPr>
          <w:rFonts w:hint="eastAsia" w:ascii="宋体" w:hAnsi="宋体" w:cs="宋体"/>
          <w:color w:val="auto"/>
          <w:sz w:val="24"/>
          <w:szCs w:val="24"/>
          <w:highlight w:val="none"/>
        </w:rPr>
        <w:t>含联合体中的中小企业、签订分包意向协议的中小企业</w:t>
      </w:r>
      <w:bookmarkEnd w:id="350"/>
      <w:r>
        <w:rPr>
          <w:rFonts w:hint="eastAsia" w:ascii="宋体" w:hAnsi="宋体" w:cs="宋体"/>
          <w:color w:val="auto"/>
          <w:sz w:val="24"/>
          <w:szCs w:val="24"/>
          <w:highlight w:val="none"/>
        </w:rPr>
        <w:t>）的具体情况如下：</w:t>
      </w:r>
    </w:p>
    <w:p w14:paraId="38E6019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6AD7B96C">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70F14D95">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14:paraId="743A35F3">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834AFF9">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184FD7AC">
      <w:pPr>
        <w:wordWrap w:val="0"/>
        <w:spacing w:line="360" w:lineRule="auto"/>
        <w:rPr>
          <w:rFonts w:ascii="宋体" w:hAnsi="宋体" w:cs="宋体"/>
          <w:color w:val="auto"/>
          <w:sz w:val="24"/>
          <w:szCs w:val="24"/>
          <w:highlight w:val="none"/>
        </w:rPr>
      </w:pPr>
    </w:p>
    <w:tbl>
      <w:tblPr>
        <w:tblStyle w:val="42"/>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1E8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4A11B0D5">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企业名称（签章）：</w:t>
            </w:r>
          </w:p>
          <w:p w14:paraId="23B9C2EF">
            <w:pPr>
              <w:pStyle w:val="15"/>
              <w:wordWrap w:val="0"/>
              <w:spacing w:line="360" w:lineRule="auto"/>
              <w:rPr>
                <w:color w:val="auto"/>
                <w:highlight w:val="none"/>
              </w:rPr>
            </w:pPr>
          </w:p>
          <w:p w14:paraId="2877FF5A">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olor w:val="auto"/>
                <w:sz w:val="24"/>
                <w:highlight w:val="none"/>
              </w:rPr>
              <w:t>　　　年　　月　　日</w:t>
            </w:r>
          </w:p>
        </w:tc>
      </w:tr>
    </w:tbl>
    <w:p w14:paraId="7716DACC">
      <w:pPr>
        <w:wordWrap w:val="0"/>
        <w:spacing w:line="360" w:lineRule="auto"/>
        <w:rPr>
          <w:rFonts w:ascii="宋体" w:hAnsi="宋体" w:cs="宋体"/>
          <w:color w:val="auto"/>
          <w:sz w:val="24"/>
          <w:szCs w:val="24"/>
          <w:highlight w:val="none"/>
        </w:rPr>
      </w:pPr>
    </w:p>
    <w:p w14:paraId="42D4BDF1">
      <w:pPr>
        <w:wordWrap w:val="0"/>
        <w:spacing w:line="360" w:lineRule="auto"/>
        <w:rPr>
          <w:rFonts w:ascii="宋体" w:hAnsi="宋体" w:cs="宋体"/>
          <w:color w:val="auto"/>
          <w:sz w:val="24"/>
          <w:szCs w:val="24"/>
          <w:highlight w:val="none"/>
        </w:rPr>
      </w:pPr>
    </w:p>
    <w:p w14:paraId="7687ADE0">
      <w:pPr>
        <w:pStyle w:val="15"/>
        <w:wordWrap w:val="0"/>
        <w:spacing w:line="360" w:lineRule="auto"/>
        <w:rPr>
          <w:rFonts w:ascii="宋体" w:hAnsi="宋体"/>
          <w:color w:val="auto"/>
          <w:szCs w:val="24"/>
          <w:highlight w:val="none"/>
        </w:rPr>
      </w:pPr>
    </w:p>
    <w:p w14:paraId="4E2656B9">
      <w:pPr>
        <w:wordWrap w:val="0"/>
        <w:spacing w:line="360" w:lineRule="auto"/>
        <w:rPr>
          <w:rFonts w:ascii="宋体" w:hAnsi="宋体"/>
          <w:color w:val="auto"/>
          <w:sz w:val="24"/>
          <w:szCs w:val="24"/>
          <w:highlight w:val="none"/>
        </w:rPr>
      </w:pPr>
    </w:p>
    <w:p w14:paraId="2FD9C3DC">
      <w:pPr>
        <w:wordWrap w:val="0"/>
        <w:spacing w:line="360" w:lineRule="auto"/>
        <w:rPr>
          <w:rFonts w:ascii="宋体" w:hAnsi="宋体" w:cs="宋体"/>
          <w:color w:val="auto"/>
          <w:sz w:val="24"/>
          <w:szCs w:val="24"/>
          <w:highlight w:val="none"/>
        </w:rPr>
      </w:pPr>
    </w:p>
    <w:p w14:paraId="503BA1CB">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7014B7D4">
      <w:pPr>
        <w:wordWrap w:val="0"/>
        <w:spacing w:line="360" w:lineRule="auto"/>
        <w:rPr>
          <w:rFonts w:ascii="宋体" w:hAnsi="宋体" w:cs="宋体"/>
          <w:b/>
          <w:bCs/>
          <w:color w:val="auto"/>
          <w:sz w:val="32"/>
          <w:szCs w:val="30"/>
          <w:highlight w:val="none"/>
        </w:rPr>
        <w:sectPr>
          <w:pgSz w:w="11906" w:h="16838"/>
          <w:pgMar w:top="1440" w:right="1797" w:bottom="1440" w:left="1797" w:header="851" w:footer="992" w:gutter="0"/>
          <w:cols w:space="720" w:num="1"/>
          <w:docGrid w:type="linesAndChars" w:linePitch="319" w:charSpace="0"/>
        </w:sectPr>
      </w:pPr>
    </w:p>
    <w:p w14:paraId="092C8D27">
      <w:pPr>
        <w:wordWrap w:val="0"/>
        <w:spacing w:line="360" w:lineRule="auto"/>
        <w:jc w:val="center"/>
        <w:rPr>
          <w:rFonts w:ascii="宋体" w:hAnsi="宋体" w:cs="宋体"/>
          <w:color w:val="auto"/>
          <w:sz w:val="32"/>
          <w:szCs w:val="30"/>
          <w:highlight w:val="none"/>
        </w:rPr>
      </w:pPr>
      <w:r>
        <w:rPr>
          <w:rFonts w:hint="eastAsia" w:ascii="宋体" w:hAnsi="宋体" w:cs="宋体"/>
          <w:b/>
          <w:bCs/>
          <w:color w:val="auto"/>
          <w:sz w:val="32"/>
          <w:szCs w:val="30"/>
          <w:highlight w:val="none"/>
        </w:rPr>
        <w:t>中小企业声明函（货物）</w:t>
      </w:r>
    </w:p>
    <w:p w14:paraId="0D2FBC8E">
      <w:pPr>
        <w:wordWrap w:val="0"/>
        <w:spacing w:line="360" w:lineRule="auto"/>
        <w:rPr>
          <w:rFonts w:ascii="宋体" w:hAnsi="宋体" w:cs="宋体"/>
          <w:color w:val="auto"/>
          <w:sz w:val="24"/>
          <w:szCs w:val="24"/>
          <w:highlight w:val="none"/>
        </w:rPr>
      </w:pPr>
    </w:p>
    <w:p w14:paraId="7B614D94">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EEA173B">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558A24FF">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2FBA406D">
      <w:pPr>
        <w:wordWrap w:val="0"/>
        <w:spacing w:line="360" w:lineRule="auto"/>
        <w:ind w:firstLine="480" w:firstLineChars="200"/>
        <w:rPr>
          <w:rFonts w:ascii="宋体" w:hAnsi="宋体" w:cs="宋体"/>
          <w:color w:val="auto"/>
          <w:sz w:val="24"/>
          <w:szCs w:val="24"/>
          <w:highlight w:val="none"/>
        </w:rPr>
      </w:pPr>
      <w:bookmarkStart w:id="351" w:name="_Hlk97297656"/>
      <w:r>
        <w:rPr>
          <w:rFonts w:hint="eastAsia" w:ascii="宋体" w:hAnsi="宋体" w:cs="宋体"/>
          <w:color w:val="auto"/>
          <w:sz w:val="24"/>
          <w:szCs w:val="24"/>
          <w:highlight w:val="none"/>
        </w:rPr>
        <w:t>……</w:t>
      </w:r>
      <w:bookmarkEnd w:id="351"/>
    </w:p>
    <w:p w14:paraId="17465DC2">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1878BE2">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480E1D9D">
      <w:pPr>
        <w:wordWrap w:val="0"/>
        <w:spacing w:line="360" w:lineRule="auto"/>
        <w:rPr>
          <w:color w:val="auto"/>
          <w:sz w:val="24"/>
          <w:szCs w:val="24"/>
          <w:highlight w:val="none"/>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14:paraId="4263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14:paraId="6092F8EF">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企业名称（签章）：</w:t>
            </w:r>
          </w:p>
          <w:p w14:paraId="0164D985">
            <w:pPr>
              <w:pStyle w:val="15"/>
              <w:wordWrap w:val="0"/>
              <w:spacing w:line="360" w:lineRule="auto"/>
              <w:rPr>
                <w:color w:val="auto"/>
                <w:highlight w:val="none"/>
              </w:rPr>
            </w:pPr>
          </w:p>
          <w:p w14:paraId="14F97DFD">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olor w:val="auto"/>
                <w:sz w:val="24"/>
                <w:highlight w:val="none"/>
              </w:rPr>
              <w:t>　　　年　　月　　日</w:t>
            </w:r>
          </w:p>
        </w:tc>
      </w:tr>
    </w:tbl>
    <w:p w14:paraId="6D437243">
      <w:pPr>
        <w:wordWrap w:val="0"/>
        <w:spacing w:line="360" w:lineRule="auto"/>
        <w:rPr>
          <w:rFonts w:ascii="宋体" w:hAnsi="宋体" w:cs="宋体"/>
          <w:color w:val="auto"/>
          <w:sz w:val="24"/>
          <w:szCs w:val="24"/>
          <w:highlight w:val="none"/>
        </w:rPr>
      </w:pPr>
    </w:p>
    <w:p w14:paraId="4F837537">
      <w:pPr>
        <w:wordWrap w:val="0"/>
        <w:spacing w:line="360" w:lineRule="auto"/>
        <w:rPr>
          <w:rFonts w:ascii="宋体" w:hAnsi="宋体" w:cs="宋体"/>
          <w:color w:val="auto"/>
          <w:sz w:val="24"/>
          <w:szCs w:val="24"/>
          <w:highlight w:val="none"/>
        </w:rPr>
      </w:pPr>
    </w:p>
    <w:p w14:paraId="0134A902">
      <w:pPr>
        <w:pStyle w:val="15"/>
        <w:wordWrap w:val="0"/>
        <w:spacing w:line="360" w:lineRule="auto"/>
        <w:rPr>
          <w:rFonts w:ascii="宋体" w:hAnsi="宋体"/>
          <w:color w:val="auto"/>
          <w:szCs w:val="24"/>
          <w:highlight w:val="none"/>
        </w:rPr>
      </w:pPr>
    </w:p>
    <w:p w14:paraId="5C446606">
      <w:pPr>
        <w:wordWrap w:val="0"/>
        <w:spacing w:line="360" w:lineRule="auto"/>
        <w:rPr>
          <w:rFonts w:ascii="宋体" w:hAnsi="宋体"/>
          <w:color w:val="auto"/>
          <w:sz w:val="24"/>
          <w:szCs w:val="24"/>
          <w:highlight w:val="none"/>
        </w:rPr>
      </w:pPr>
    </w:p>
    <w:p w14:paraId="470AEC24">
      <w:pPr>
        <w:pStyle w:val="15"/>
        <w:wordWrap w:val="0"/>
        <w:spacing w:line="360" w:lineRule="auto"/>
        <w:rPr>
          <w:rFonts w:ascii="宋体" w:hAnsi="宋体"/>
          <w:color w:val="auto"/>
          <w:szCs w:val="24"/>
          <w:highlight w:val="none"/>
        </w:rPr>
      </w:pPr>
    </w:p>
    <w:p w14:paraId="0911FEF8">
      <w:pPr>
        <w:wordWrap w:val="0"/>
        <w:spacing w:line="360" w:lineRule="auto"/>
        <w:rPr>
          <w:rFonts w:ascii="宋体" w:hAnsi="宋体"/>
          <w:color w:val="auto"/>
          <w:sz w:val="24"/>
          <w:szCs w:val="24"/>
          <w:highlight w:val="none"/>
        </w:rPr>
      </w:pPr>
    </w:p>
    <w:p w14:paraId="126F1410">
      <w:pPr>
        <w:wordWrap w:val="0"/>
        <w:spacing w:line="360" w:lineRule="auto"/>
        <w:rPr>
          <w:rFonts w:ascii="宋体" w:hAnsi="宋体" w:cs="宋体"/>
          <w:color w:val="auto"/>
          <w:sz w:val="24"/>
          <w:szCs w:val="24"/>
          <w:highlight w:val="none"/>
        </w:rPr>
      </w:pPr>
    </w:p>
    <w:p w14:paraId="4A61647B">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414556F0">
      <w:pPr>
        <w:pStyle w:val="15"/>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04C4237C">
      <w:pPr>
        <w:wordWrap w:val="0"/>
        <w:spacing w:line="360" w:lineRule="auto"/>
        <w:jc w:val="center"/>
        <w:rPr>
          <w:rFonts w:ascii="宋体" w:hAnsi="宋体" w:cs="宋体"/>
          <w:b/>
          <w:color w:val="auto"/>
          <w:sz w:val="32"/>
          <w:szCs w:val="24"/>
          <w:highlight w:val="none"/>
        </w:rPr>
      </w:pPr>
      <w:r>
        <w:rPr>
          <w:rFonts w:hint="eastAsia" w:ascii="宋体" w:hAnsi="宋体" w:cs="宋体"/>
          <w:b/>
          <w:color w:val="auto"/>
          <w:sz w:val="32"/>
          <w:szCs w:val="24"/>
          <w:highlight w:val="none"/>
        </w:rPr>
        <w:t>残疾人福利性单位声明函</w:t>
      </w:r>
    </w:p>
    <w:p w14:paraId="7391F182">
      <w:pPr>
        <w:wordWrap w:val="0"/>
        <w:spacing w:line="360" w:lineRule="auto"/>
        <w:ind w:firstLine="480" w:firstLineChars="200"/>
        <w:rPr>
          <w:rFonts w:ascii="宋体" w:hAnsi="宋体" w:cs="宋体"/>
          <w:color w:val="auto"/>
          <w:sz w:val="24"/>
          <w:szCs w:val="24"/>
          <w:highlight w:val="none"/>
        </w:rPr>
      </w:pPr>
    </w:p>
    <w:p w14:paraId="40EB0189">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2A6C19C">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5E332C">
      <w:pPr>
        <w:wordWrap w:val="0"/>
        <w:spacing w:line="360" w:lineRule="auto"/>
        <w:rPr>
          <w:rFonts w:ascii="宋体" w:hAnsi="宋体"/>
          <w:color w:val="auto"/>
          <w:sz w:val="24"/>
          <w:highlight w:val="none"/>
        </w:rPr>
      </w:pPr>
    </w:p>
    <w:tbl>
      <w:tblPr>
        <w:tblStyle w:val="42"/>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0FB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78" w:type="dxa"/>
          </w:tcPr>
          <w:p w14:paraId="12DDECFD">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单位名称（签章）：</w:t>
            </w:r>
          </w:p>
          <w:p w14:paraId="66D95CC1">
            <w:pPr>
              <w:pStyle w:val="15"/>
              <w:wordWrap w:val="0"/>
              <w:spacing w:line="360" w:lineRule="auto"/>
              <w:rPr>
                <w:color w:val="auto"/>
                <w:highlight w:val="none"/>
              </w:rPr>
            </w:pPr>
          </w:p>
          <w:p w14:paraId="3BC856D1">
            <w:pPr>
              <w:wordWrap w:val="0"/>
              <w:spacing w:line="360" w:lineRule="auto"/>
              <w:ind w:left="3150" w:leftChars="15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olor w:val="auto"/>
                <w:sz w:val="24"/>
                <w:highlight w:val="none"/>
              </w:rPr>
              <w:t>　　　年　　月　　日</w:t>
            </w:r>
          </w:p>
        </w:tc>
      </w:tr>
    </w:tbl>
    <w:p w14:paraId="0B446BA9">
      <w:pPr>
        <w:pStyle w:val="15"/>
        <w:wordWrap w:val="0"/>
        <w:spacing w:line="360" w:lineRule="auto"/>
        <w:rPr>
          <w:color w:val="auto"/>
          <w:highlight w:val="none"/>
        </w:rPr>
      </w:pPr>
    </w:p>
    <w:p w14:paraId="61B50259">
      <w:pPr>
        <w:pStyle w:val="15"/>
        <w:rPr>
          <w:color w:val="auto"/>
          <w:highlight w:val="none"/>
        </w:rPr>
        <w:sectPr>
          <w:pgSz w:w="11906" w:h="16838"/>
          <w:pgMar w:top="1440" w:right="1797" w:bottom="1440" w:left="1797" w:header="851" w:footer="992" w:gutter="0"/>
          <w:cols w:space="720" w:num="1"/>
          <w:docGrid w:type="linesAndChars" w:linePitch="319" w:charSpace="0"/>
        </w:sectPr>
      </w:pPr>
    </w:p>
    <w:p w14:paraId="507C2C72">
      <w:pPr>
        <w:wordWrap w:val="0"/>
        <w:spacing w:line="360" w:lineRule="auto"/>
        <w:ind w:firstLine="480" w:firstLineChars="200"/>
        <w:outlineLvl w:val="2"/>
        <w:rPr>
          <w:rFonts w:ascii="宋体" w:hAnsi="宋体"/>
          <w:b/>
          <w:color w:val="auto"/>
          <w:sz w:val="24"/>
          <w:highlight w:val="none"/>
        </w:rPr>
      </w:pPr>
      <w:bookmarkStart w:id="352" w:name="_Toc140237330"/>
      <w:r>
        <w:rPr>
          <w:rFonts w:hint="eastAsia" w:ascii="宋体" w:hAnsi="宋体"/>
          <w:b/>
          <w:color w:val="auto"/>
          <w:sz w:val="24"/>
          <w:highlight w:val="none"/>
        </w:rPr>
        <w:t>6</w:t>
      </w:r>
      <w:r>
        <w:rPr>
          <w:rFonts w:ascii="宋体" w:hAnsi="宋体"/>
          <w:b/>
          <w:color w:val="auto"/>
          <w:sz w:val="24"/>
          <w:highlight w:val="none"/>
        </w:rPr>
        <w:t>.4.3</w:t>
      </w:r>
      <w:r>
        <w:rPr>
          <w:rFonts w:hint="eastAsia" w:ascii="宋体" w:hAnsi="宋体"/>
          <w:b/>
          <w:color w:val="auto"/>
          <w:sz w:val="24"/>
          <w:highlight w:val="none"/>
        </w:rPr>
        <w:t>　其他资格证明资料</w:t>
      </w:r>
      <w:bookmarkEnd w:id="352"/>
    </w:p>
    <w:p w14:paraId="46C1F9DD">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投标人认为与投标相关的其他资格证明资料。</w:t>
      </w:r>
    </w:p>
    <w:p w14:paraId="1A9B7512">
      <w:pPr>
        <w:wordWrap w:val="0"/>
        <w:spacing w:line="360" w:lineRule="auto"/>
        <w:ind w:firstLine="480" w:firstLineChars="200"/>
        <w:outlineLvl w:val="1"/>
        <w:rPr>
          <w:rFonts w:ascii="宋体" w:hAnsi="宋体"/>
          <w:b/>
          <w:color w:val="auto"/>
          <w:sz w:val="24"/>
          <w:highlight w:val="none"/>
        </w:rPr>
      </w:pPr>
      <w:bookmarkStart w:id="353" w:name="_Toc140237331"/>
      <w:r>
        <w:rPr>
          <w:rFonts w:ascii="宋体" w:hAnsi="宋体"/>
          <w:b/>
          <w:color w:val="auto"/>
          <w:sz w:val="24"/>
          <w:highlight w:val="none"/>
        </w:rPr>
        <w:t>6</w:t>
      </w:r>
      <w:r>
        <w:rPr>
          <w:rFonts w:hint="eastAsia" w:ascii="宋体" w:hAnsi="宋体"/>
          <w:b/>
          <w:color w:val="auto"/>
          <w:sz w:val="24"/>
          <w:highlight w:val="none"/>
        </w:rPr>
        <w:t>.5　综合评审响应材料</w:t>
      </w:r>
      <w:bookmarkEnd w:id="346"/>
      <w:bookmarkEnd w:id="353"/>
    </w:p>
    <w:p w14:paraId="58E6E896">
      <w:pPr>
        <w:wordWrap w:val="0"/>
        <w:spacing w:line="360" w:lineRule="auto"/>
        <w:ind w:firstLine="480" w:firstLineChars="200"/>
        <w:outlineLvl w:val="2"/>
        <w:rPr>
          <w:rFonts w:ascii="宋体" w:hAnsi="宋体"/>
          <w:b/>
          <w:color w:val="auto"/>
          <w:sz w:val="24"/>
          <w:highlight w:val="none"/>
        </w:rPr>
      </w:pPr>
      <w:bookmarkStart w:id="354" w:name="_Toc140237332"/>
      <w:r>
        <w:rPr>
          <w:rFonts w:hint="eastAsia" w:ascii="宋体" w:hAnsi="宋体"/>
          <w:b/>
          <w:color w:val="auto"/>
          <w:sz w:val="24"/>
          <w:highlight w:val="none"/>
        </w:rPr>
        <w:t>6</w:t>
      </w:r>
      <w:r>
        <w:rPr>
          <w:rFonts w:ascii="宋体" w:hAnsi="宋体"/>
          <w:b/>
          <w:color w:val="auto"/>
          <w:sz w:val="24"/>
          <w:highlight w:val="none"/>
        </w:rPr>
        <w:t>.5.1</w:t>
      </w:r>
      <w:r>
        <w:rPr>
          <w:rFonts w:hint="eastAsia" w:ascii="宋体" w:hAnsi="宋体"/>
          <w:b/>
          <w:color w:val="auto"/>
          <w:sz w:val="24"/>
          <w:highlight w:val="none"/>
        </w:rPr>
        <w:t>　</w:t>
      </w:r>
      <w:bookmarkStart w:id="355" w:name="_Hlk102138421"/>
      <w:r>
        <w:rPr>
          <w:rFonts w:hint="eastAsia" w:ascii="宋体" w:hAnsi="宋体"/>
          <w:b/>
          <w:color w:val="auto"/>
          <w:sz w:val="24"/>
          <w:highlight w:val="none"/>
        </w:rPr>
        <w:t>开标一览表</w:t>
      </w:r>
      <w:bookmarkEnd w:id="354"/>
      <w:bookmarkEnd w:id="355"/>
    </w:p>
    <w:p w14:paraId="2D75B369">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响应招标文件要求。</w:t>
      </w:r>
      <w:bookmarkStart w:id="356" w:name="_Hlk102138089"/>
      <w:r>
        <w:rPr>
          <w:rFonts w:hint="eastAsia" w:ascii="宋体" w:hAnsi="宋体"/>
          <w:color w:val="auto"/>
          <w:sz w:val="24"/>
          <w:highlight w:val="none"/>
        </w:rPr>
        <w:t>《开标一览表》</w:t>
      </w:r>
      <w:bookmarkEnd w:id="356"/>
      <w:bookmarkStart w:id="357" w:name="_Hlk97897082"/>
      <w:r>
        <w:rPr>
          <w:rFonts w:hint="eastAsia" w:ascii="宋体" w:hAnsi="宋体"/>
          <w:color w:val="auto"/>
          <w:sz w:val="24"/>
          <w:highlight w:val="none"/>
        </w:rPr>
        <w:t>（样式附后）。</w:t>
      </w:r>
      <w:bookmarkEnd w:id="357"/>
    </w:p>
    <w:p w14:paraId="6B3576CA">
      <w:pPr>
        <w:pStyle w:val="15"/>
        <w:wordWrap w:val="0"/>
        <w:rPr>
          <w:color w:val="auto"/>
          <w:highlight w:val="none"/>
        </w:rPr>
        <w:sectPr>
          <w:pgSz w:w="11906" w:h="16838"/>
          <w:pgMar w:top="1440" w:right="1797" w:bottom="1440" w:left="1797" w:header="851" w:footer="992" w:gutter="0"/>
          <w:cols w:space="720" w:num="1"/>
          <w:docGrid w:type="linesAndChars" w:linePitch="319" w:charSpace="0"/>
        </w:sectPr>
      </w:pPr>
    </w:p>
    <w:p w14:paraId="54B972EF">
      <w:pPr>
        <w:wordWrap w:val="0"/>
        <w:spacing w:line="360" w:lineRule="auto"/>
        <w:jc w:val="center"/>
        <w:rPr>
          <w:rFonts w:ascii="宋体" w:hAnsi="宋体" w:cs="宋体"/>
          <w:b/>
          <w:color w:val="auto"/>
          <w:sz w:val="32"/>
          <w:highlight w:val="none"/>
        </w:rPr>
      </w:pPr>
      <w:bookmarkStart w:id="358" w:name="_Hlk140759200"/>
      <w:r>
        <w:rPr>
          <w:rFonts w:hint="eastAsia" w:ascii="宋体" w:hAnsi="宋体" w:cs="宋体"/>
          <w:b/>
          <w:color w:val="auto"/>
          <w:sz w:val="32"/>
          <w:highlight w:val="none"/>
        </w:rPr>
        <w:t>开标一览表</w:t>
      </w:r>
    </w:p>
    <w:tbl>
      <w:tblPr>
        <w:tblStyle w:val="41"/>
        <w:tblW w:w="5000" w:type="pct"/>
        <w:tblInd w:w="0" w:type="dxa"/>
        <w:tblLayout w:type="autofit"/>
        <w:tblCellMar>
          <w:top w:w="0" w:type="dxa"/>
          <w:left w:w="108" w:type="dxa"/>
          <w:bottom w:w="0" w:type="dxa"/>
          <w:right w:w="108" w:type="dxa"/>
        </w:tblCellMar>
      </w:tblPr>
      <w:tblGrid>
        <w:gridCol w:w="1810"/>
        <w:gridCol w:w="6718"/>
      </w:tblGrid>
      <w:tr w14:paraId="35E240BE">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697B2FB6">
            <w:pPr>
              <w:wordWrap w:val="0"/>
              <w:jc w:val="center"/>
              <w:rPr>
                <w:rFonts w:ascii="宋体" w:hAnsi="宋体" w:cs="宋体"/>
                <w:b/>
                <w:color w:val="auto"/>
                <w:sz w:val="24"/>
                <w:szCs w:val="24"/>
                <w:highlight w:val="none"/>
                <w:u w:val="single"/>
              </w:rPr>
            </w:pPr>
            <w:r>
              <w:rPr>
                <w:rFonts w:hint="eastAsia" w:ascii="宋体" w:hAnsi="宋体" w:cs="宋体"/>
                <w:b/>
                <w:color w:val="auto"/>
                <w:sz w:val="24"/>
                <w:szCs w:val="24"/>
                <w:highlight w:val="none"/>
              </w:rPr>
              <w:t>项目信息</w:t>
            </w:r>
          </w:p>
        </w:tc>
      </w:tr>
      <w:tr w14:paraId="763047B1">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43DA9AE1">
            <w:pPr>
              <w:wordWrap w:val="0"/>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14:paraId="34748C1F">
            <w:pPr>
              <w:wordWrap w:val="0"/>
              <w:jc w:val="left"/>
              <w:rPr>
                <w:rFonts w:ascii="宋体" w:hAnsi="宋体" w:cs="宋体"/>
                <w:color w:val="auto"/>
                <w:sz w:val="24"/>
                <w:szCs w:val="24"/>
                <w:highlight w:val="none"/>
                <w:u w:val="single"/>
              </w:rPr>
            </w:pPr>
          </w:p>
        </w:tc>
      </w:tr>
      <w:tr w14:paraId="64870E76">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53B479D">
            <w:pPr>
              <w:wordWrap w:val="0"/>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14:paraId="3E3724AE">
            <w:pPr>
              <w:wordWrap w:val="0"/>
              <w:jc w:val="left"/>
              <w:rPr>
                <w:rFonts w:ascii="宋体" w:hAnsi="宋体" w:cs="宋体"/>
                <w:color w:val="auto"/>
                <w:sz w:val="24"/>
                <w:szCs w:val="24"/>
                <w:highlight w:val="none"/>
                <w:u w:val="single"/>
              </w:rPr>
            </w:pPr>
          </w:p>
        </w:tc>
      </w:tr>
      <w:tr w14:paraId="0DB57D2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2C42AA3F">
            <w:pPr>
              <w:wordWrap w:val="0"/>
              <w:jc w:val="center"/>
              <w:rPr>
                <w:rFonts w:ascii="宋体" w:hAnsi="宋体" w:cs="宋体"/>
                <w:color w:val="auto"/>
                <w:sz w:val="24"/>
                <w:szCs w:val="24"/>
                <w:highlight w:val="none"/>
              </w:rPr>
            </w:pPr>
            <w:r>
              <w:rPr>
                <w:rFonts w:hint="eastAsia" w:ascii="宋体" w:hAnsi="宋体" w:cs="宋体"/>
                <w:color w:val="auto"/>
                <w:sz w:val="24"/>
                <w:szCs w:val="24"/>
                <w:highlight w:val="none"/>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14:paraId="148A0383">
            <w:pPr>
              <w:wordWrap w:val="0"/>
              <w:jc w:val="left"/>
              <w:rPr>
                <w:rFonts w:ascii="宋体" w:hAnsi="宋体" w:cs="宋体"/>
                <w:color w:val="auto"/>
                <w:sz w:val="24"/>
                <w:szCs w:val="24"/>
                <w:highlight w:val="none"/>
                <w:u w:val="single"/>
              </w:rPr>
            </w:pPr>
          </w:p>
        </w:tc>
      </w:tr>
      <w:tr w14:paraId="25200E2A">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68EFC5D">
            <w:pPr>
              <w:wordWrap w:val="0"/>
              <w:jc w:val="center"/>
              <w:rPr>
                <w:rFonts w:ascii="宋体" w:hAnsi="宋体" w:cs="宋体"/>
                <w:color w:val="auto"/>
                <w:sz w:val="24"/>
                <w:szCs w:val="24"/>
                <w:highlight w:val="none"/>
              </w:rPr>
            </w:pPr>
            <w:r>
              <w:rPr>
                <w:rFonts w:hint="eastAsia" w:ascii="宋体" w:hAnsi="宋体" w:cs="宋体"/>
                <w:color w:val="auto"/>
                <w:sz w:val="24"/>
                <w:szCs w:val="24"/>
                <w:highlight w:val="none"/>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14:paraId="3674424B">
            <w:pPr>
              <w:wordWrap w:val="0"/>
              <w:jc w:val="left"/>
              <w:rPr>
                <w:rFonts w:ascii="宋体" w:hAnsi="宋体" w:cs="宋体"/>
                <w:color w:val="auto"/>
                <w:sz w:val="24"/>
                <w:szCs w:val="24"/>
                <w:highlight w:val="none"/>
                <w:u w:val="single"/>
              </w:rPr>
            </w:pPr>
          </w:p>
        </w:tc>
      </w:tr>
      <w:tr w14:paraId="39A8891F">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59CC2FB5">
            <w:pPr>
              <w:wordWrap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3939" w:type="pct"/>
            <w:tcBorders>
              <w:top w:val="single" w:color="auto" w:sz="4" w:space="0"/>
              <w:left w:val="single" w:color="auto" w:sz="4" w:space="0"/>
              <w:bottom w:val="single" w:color="auto" w:sz="4" w:space="0"/>
              <w:right w:val="single" w:color="auto" w:sz="4" w:space="0"/>
            </w:tcBorders>
            <w:vAlign w:val="center"/>
          </w:tcPr>
          <w:p w14:paraId="094F136A">
            <w:pPr>
              <w:wordWrap w:val="0"/>
              <w:jc w:val="left"/>
              <w:rPr>
                <w:rFonts w:ascii="宋体" w:hAnsi="宋体" w:cs="宋体"/>
                <w:color w:val="auto"/>
                <w:sz w:val="24"/>
                <w:szCs w:val="24"/>
                <w:highlight w:val="none"/>
                <w:u w:val="single"/>
              </w:rPr>
            </w:pPr>
          </w:p>
        </w:tc>
      </w:tr>
      <w:tr w14:paraId="73F7BD05">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1A14C45">
            <w:pPr>
              <w:wordWrap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投标报价</w:t>
            </w:r>
          </w:p>
        </w:tc>
      </w:tr>
      <w:tr w14:paraId="3A24D0E4">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21B4D60">
            <w:pPr>
              <w:wordWrap w:val="0"/>
              <w:jc w:val="center"/>
              <w:rPr>
                <w:rFonts w:ascii="宋体" w:hAnsi="宋体" w:cs="宋体"/>
                <w:color w:val="auto"/>
                <w:sz w:val="24"/>
                <w:szCs w:val="24"/>
                <w:highlight w:val="none"/>
              </w:rPr>
            </w:pPr>
            <w:r>
              <w:rPr>
                <w:rFonts w:ascii="宋体" w:hAnsi="宋体" w:cs="宋体"/>
                <w:color w:val="auto"/>
                <w:sz w:val="24"/>
                <w:szCs w:val="24"/>
                <w:highlight w:val="none"/>
              </w:rPr>
              <w:t>大写</w:t>
            </w:r>
            <w:r>
              <w:rPr>
                <w:rFonts w:hint="eastAsia" w:ascii="宋体" w:hAnsi="宋体" w:cs="宋体"/>
                <w:color w:val="auto"/>
                <w:sz w:val="24"/>
                <w:szCs w:val="24"/>
                <w:highlight w:val="none"/>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6C74065B">
            <w:pPr>
              <w:wordWrap w:val="0"/>
              <w:jc w:val="left"/>
              <w:rPr>
                <w:rFonts w:ascii="宋体" w:hAnsi="宋体" w:cs="宋体"/>
                <w:color w:val="auto"/>
                <w:sz w:val="24"/>
                <w:szCs w:val="24"/>
                <w:highlight w:val="none"/>
              </w:rPr>
            </w:pPr>
          </w:p>
        </w:tc>
      </w:tr>
      <w:tr w14:paraId="76D47F3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16E80BD">
            <w:pPr>
              <w:wordWrap w:val="0"/>
              <w:jc w:val="center"/>
              <w:rPr>
                <w:rFonts w:ascii="宋体" w:hAnsi="宋体" w:cs="宋体"/>
                <w:color w:val="auto"/>
                <w:sz w:val="24"/>
                <w:szCs w:val="24"/>
                <w:highlight w:val="none"/>
              </w:rPr>
            </w:pPr>
            <w:r>
              <w:rPr>
                <w:rFonts w:ascii="宋体" w:hAnsi="宋体" w:cs="宋体"/>
                <w:color w:val="auto"/>
                <w:sz w:val="24"/>
                <w:szCs w:val="24"/>
                <w:highlight w:val="none"/>
              </w:rPr>
              <w:t>小写</w:t>
            </w:r>
            <w:r>
              <w:rPr>
                <w:rFonts w:hint="eastAsia" w:ascii="宋体" w:hAnsi="宋体" w:cs="宋体"/>
                <w:color w:val="auto"/>
                <w:sz w:val="24"/>
                <w:szCs w:val="24"/>
                <w:highlight w:val="none"/>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774D9831">
            <w:pPr>
              <w:wordWrap w:val="0"/>
              <w:jc w:val="left"/>
              <w:rPr>
                <w:rFonts w:ascii="宋体" w:hAnsi="宋体" w:cs="宋体"/>
                <w:color w:val="auto"/>
                <w:sz w:val="24"/>
                <w:szCs w:val="24"/>
                <w:highlight w:val="none"/>
              </w:rPr>
            </w:pPr>
          </w:p>
        </w:tc>
      </w:tr>
    </w:tbl>
    <w:p w14:paraId="51216514">
      <w:pPr>
        <w:spacing w:line="360" w:lineRule="auto"/>
        <w:rPr>
          <w:rFonts w:ascii="宋体" w:hAnsi="宋体"/>
          <w:b/>
          <w:color w:val="auto"/>
          <w:sz w:val="24"/>
          <w:szCs w:val="24"/>
          <w:highlight w:val="none"/>
        </w:rPr>
      </w:pPr>
      <w:bookmarkStart w:id="359" w:name="_Hlk140759240"/>
    </w:p>
    <w:p w14:paraId="092F931A">
      <w:pPr>
        <w:spacing w:line="360" w:lineRule="auto"/>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1.投标报价须包括本项目所需一切费用，否则视为无效。</w:t>
      </w:r>
    </w:p>
    <w:p w14:paraId="012AEF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报价须与《投标明细表》中的合计总价一致。</w:t>
      </w:r>
    </w:p>
    <w:p w14:paraId="67448DF3">
      <w:pPr>
        <w:pStyle w:val="15"/>
        <w:spacing w:line="360" w:lineRule="auto"/>
        <w:ind w:firstLine="480" w:firstLineChars="200"/>
        <w:rPr>
          <w:rFonts w:ascii="宋体" w:hAnsi="宋体"/>
          <w:color w:val="auto"/>
          <w:szCs w:val="24"/>
          <w:highlight w:val="none"/>
        </w:rPr>
      </w:pPr>
      <w:r>
        <w:rPr>
          <w:rFonts w:ascii="宋体" w:hAnsi="宋体"/>
          <w:color w:val="auto"/>
          <w:szCs w:val="24"/>
          <w:highlight w:val="none"/>
        </w:rPr>
        <w:t>3</w:t>
      </w:r>
      <w:r>
        <w:rPr>
          <w:rFonts w:hint="eastAsia" w:ascii="宋体" w:hAnsi="宋体"/>
          <w:color w:val="auto"/>
          <w:szCs w:val="24"/>
          <w:highlight w:val="none"/>
        </w:rPr>
        <w:t>.只能按一种方案报价，否则视为无效。</w:t>
      </w:r>
    </w:p>
    <w:p w14:paraId="4C069E76">
      <w:pPr>
        <w:spacing w:line="360" w:lineRule="auto"/>
        <w:rPr>
          <w:color w:val="auto"/>
          <w:highlight w:val="none"/>
        </w:rPr>
      </w:pPr>
    </w:p>
    <w:tbl>
      <w:tblPr>
        <w:tblStyle w:val="41"/>
        <w:tblW w:w="5000" w:type="pct"/>
        <w:jc w:val="center"/>
        <w:tblLayout w:type="autofit"/>
        <w:tblCellMar>
          <w:top w:w="0" w:type="dxa"/>
          <w:left w:w="108" w:type="dxa"/>
          <w:bottom w:w="0" w:type="dxa"/>
          <w:right w:w="108" w:type="dxa"/>
        </w:tblCellMar>
      </w:tblPr>
      <w:tblGrid>
        <w:gridCol w:w="8528"/>
      </w:tblGrid>
      <w:tr w14:paraId="5B707560">
        <w:tblPrEx>
          <w:tblCellMar>
            <w:top w:w="0" w:type="dxa"/>
            <w:left w:w="108" w:type="dxa"/>
            <w:bottom w:w="0" w:type="dxa"/>
            <w:right w:w="108" w:type="dxa"/>
          </w:tblCellMar>
        </w:tblPrEx>
        <w:trPr>
          <w:trHeight w:val="567" w:hRule="atLeast"/>
          <w:jc w:val="center"/>
        </w:trPr>
        <w:tc>
          <w:tcPr>
            <w:tcW w:w="5000" w:type="pct"/>
            <w:vAlign w:val="center"/>
          </w:tcPr>
          <w:p w14:paraId="34F9EB7C">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投标人名称（签章）：</w:t>
            </w:r>
          </w:p>
          <w:p w14:paraId="72CBCCFC">
            <w:pPr>
              <w:wordWrap w:val="0"/>
              <w:spacing w:line="360" w:lineRule="auto"/>
              <w:rPr>
                <w:rFonts w:ascii="宋体" w:hAnsi="宋体"/>
                <w:color w:val="auto"/>
                <w:sz w:val="24"/>
                <w:szCs w:val="24"/>
                <w:highlight w:val="none"/>
              </w:rPr>
            </w:pPr>
          </w:p>
          <w:p w14:paraId="0F83D0B1">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法定代表人（或授权代表）（签章）：</w:t>
            </w:r>
          </w:p>
          <w:p w14:paraId="4EE9D491">
            <w:pPr>
              <w:wordWrap w:val="0"/>
              <w:spacing w:line="360" w:lineRule="auto"/>
              <w:rPr>
                <w:rFonts w:ascii="宋体" w:hAnsi="宋体"/>
                <w:color w:val="auto"/>
                <w:sz w:val="24"/>
                <w:szCs w:val="24"/>
                <w:highlight w:val="none"/>
              </w:rPr>
            </w:pPr>
          </w:p>
          <w:p w14:paraId="7B8C9657">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日期：　　　年　　月　　日</w:t>
            </w:r>
          </w:p>
        </w:tc>
      </w:tr>
    </w:tbl>
    <w:p w14:paraId="0453C1C4">
      <w:pPr>
        <w:pStyle w:val="15"/>
        <w:spacing w:line="360" w:lineRule="auto"/>
        <w:rPr>
          <w:rFonts w:ascii="宋体" w:hAnsi="宋体"/>
          <w:color w:val="auto"/>
          <w:highlight w:val="none"/>
        </w:rPr>
      </w:pPr>
    </w:p>
    <w:bookmarkEnd w:id="358"/>
    <w:bookmarkEnd w:id="359"/>
    <w:p w14:paraId="56E4B185">
      <w:pPr>
        <w:ind w:firstLine="420" w:firstLineChars="200"/>
        <w:rPr>
          <w:color w:val="auto"/>
          <w:highlight w:val="none"/>
        </w:rPr>
        <w:sectPr>
          <w:pgSz w:w="11906" w:h="16838"/>
          <w:pgMar w:top="1440" w:right="1797" w:bottom="1440" w:left="1797" w:header="851" w:footer="992" w:gutter="0"/>
          <w:cols w:space="720" w:num="1"/>
          <w:docGrid w:type="linesAndChars" w:linePitch="319" w:charSpace="0"/>
        </w:sectPr>
      </w:pPr>
      <w:r>
        <w:rPr>
          <w:rFonts w:hint="eastAsia"/>
          <w:color w:val="auto"/>
          <w:highlight w:val="none"/>
        </w:rPr>
        <w:t>供应商应针对采购包提交报价。采购包总报价和每个项目的单独报价均不得超过预算金额，采购包所含项目的报价有缺失或超过预算金额，视为无效响应。</w:t>
      </w:r>
    </w:p>
    <w:p w14:paraId="7007F2A7">
      <w:pPr>
        <w:wordWrap w:val="0"/>
        <w:spacing w:line="360" w:lineRule="auto"/>
        <w:ind w:firstLine="480" w:firstLineChars="200"/>
        <w:outlineLvl w:val="2"/>
        <w:rPr>
          <w:rFonts w:ascii="宋体" w:hAnsi="宋体"/>
          <w:b/>
          <w:color w:val="auto"/>
          <w:sz w:val="24"/>
          <w:highlight w:val="none"/>
        </w:rPr>
      </w:pPr>
      <w:bookmarkStart w:id="360" w:name="_Toc140237333"/>
      <w:r>
        <w:rPr>
          <w:rFonts w:hint="eastAsia" w:ascii="宋体" w:hAnsi="宋体"/>
          <w:b/>
          <w:color w:val="auto"/>
          <w:sz w:val="24"/>
          <w:highlight w:val="none"/>
        </w:rPr>
        <w:t>6</w:t>
      </w:r>
      <w:r>
        <w:rPr>
          <w:rFonts w:ascii="宋体" w:hAnsi="宋体"/>
          <w:b/>
          <w:color w:val="auto"/>
          <w:sz w:val="24"/>
          <w:highlight w:val="none"/>
        </w:rPr>
        <w:t>.5.2</w:t>
      </w:r>
      <w:r>
        <w:rPr>
          <w:rFonts w:hint="eastAsia" w:ascii="宋体" w:hAnsi="宋体"/>
          <w:b/>
          <w:color w:val="auto"/>
          <w:sz w:val="24"/>
          <w:highlight w:val="none"/>
        </w:rPr>
        <w:t>　投标明细表</w:t>
      </w:r>
      <w:bookmarkEnd w:id="360"/>
    </w:p>
    <w:p w14:paraId="7BF4D31F">
      <w:pPr>
        <w:pStyle w:val="15"/>
        <w:spacing w:line="360" w:lineRule="auto"/>
        <w:ind w:firstLine="480" w:firstLineChars="200"/>
        <w:rPr>
          <w:color w:val="auto"/>
          <w:highlight w:val="none"/>
        </w:rPr>
      </w:pPr>
      <w:r>
        <w:rPr>
          <w:rFonts w:hint="eastAsia"/>
          <w:color w:val="auto"/>
          <w:highlight w:val="none"/>
        </w:rPr>
        <w:t>响应招标文件要求。《投标明细表》（样式附后），投标人可根据项目具体情况自行编制。</w:t>
      </w:r>
    </w:p>
    <w:p w14:paraId="4C3C67B6">
      <w:pPr>
        <w:wordWrap w:val="0"/>
        <w:spacing w:line="360" w:lineRule="auto"/>
        <w:jc w:val="center"/>
        <w:rPr>
          <w:rFonts w:ascii="宋体" w:hAnsi="宋体" w:cs="宋体"/>
          <w:b/>
          <w:color w:val="auto"/>
          <w:sz w:val="32"/>
          <w:szCs w:val="32"/>
          <w:highlight w:val="none"/>
        </w:rPr>
        <w:sectPr>
          <w:pgSz w:w="11906" w:h="16838"/>
          <w:pgMar w:top="1440" w:right="1797" w:bottom="1440" w:left="1797" w:header="851" w:footer="992" w:gutter="0"/>
          <w:cols w:space="720" w:num="1"/>
          <w:docGrid w:type="linesAndChars" w:linePitch="319" w:charSpace="0"/>
        </w:sectPr>
      </w:pPr>
    </w:p>
    <w:p w14:paraId="0D2ED83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投标明细表（货物类）</w:t>
      </w:r>
    </w:p>
    <w:tbl>
      <w:tblPr>
        <w:tblStyle w:val="41"/>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14:paraId="45C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14:paraId="59287B2F">
            <w:pPr>
              <w:rPr>
                <w:rFonts w:ascii="宋体" w:hAnsi="宋体" w:cs="宋体"/>
                <w:color w:val="auto"/>
                <w:szCs w:val="21"/>
                <w:highlight w:val="none"/>
              </w:rPr>
            </w:pPr>
            <w:r>
              <w:rPr>
                <w:rFonts w:hint="eastAsia" w:ascii="宋体" w:hAnsi="宋体" w:cs="宋体"/>
                <w:color w:val="auto"/>
                <w:szCs w:val="21"/>
                <w:highlight w:val="none"/>
              </w:rPr>
              <w:t>项目编号：</w:t>
            </w:r>
          </w:p>
          <w:p w14:paraId="010A9A70">
            <w:pPr>
              <w:wordWrap w:val="0"/>
              <w:rPr>
                <w:rFonts w:ascii="宋体" w:hAnsi="宋体" w:cs="宋体"/>
                <w:b/>
                <w:color w:val="auto"/>
                <w:szCs w:val="21"/>
                <w:highlight w:val="none"/>
              </w:rPr>
            </w:pPr>
            <w:r>
              <w:rPr>
                <w:rFonts w:hint="eastAsia" w:ascii="宋体" w:hAnsi="宋体" w:cs="宋体"/>
                <w:color w:val="auto"/>
                <w:szCs w:val="21"/>
                <w:highlight w:val="none"/>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14:paraId="0ED35E6E">
            <w:pPr>
              <w:wordWrap w:val="0"/>
              <w:rPr>
                <w:rFonts w:ascii="宋体" w:hAnsi="宋体" w:cs="宋体"/>
                <w:color w:val="auto"/>
                <w:szCs w:val="21"/>
                <w:highlight w:val="none"/>
              </w:rPr>
            </w:pPr>
            <w:r>
              <w:rPr>
                <w:rFonts w:hint="eastAsia" w:ascii="宋体" w:hAnsi="宋体" w:cs="宋体"/>
                <w:color w:val="auto"/>
                <w:szCs w:val="21"/>
                <w:highlight w:val="none"/>
              </w:rPr>
              <w:t>项目名称：</w:t>
            </w:r>
          </w:p>
          <w:p w14:paraId="5DDA6E16">
            <w:pPr>
              <w:wordWrap w:val="0"/>
              <w:rPr>
                <w:rFonts w:ascii="宋体" w:hAnsi="宋体" w:cs="宋体"/>
                <w:b/>
                <w:color w:val="auto"/>
                <w:szCs w:val="21"/>
                <w:highlight w:val="none"/>
              </w:rPr>
            </w:pPr>
            <w:r>
              <w:rPr>
                <w:rFonts w:hint="eastAsia" w:ascii="宋体" w:hAnsi="宋体" w:cs="宋体"/>
                <w:color w:val="auto"/>
                <w:szCs w:val="21"/>
                <w:highlight w:val="none"/>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bottom"/>
          </w:tcPr>
          <w:p w14:paraId="1FBE3C51">
            <w:pPr>
              <w:jc w:val="right"/>
              <w:rPr>
                <w:rFonts w:ascii="宋体" w:hAnsi="宋体" w:cs="宋体"/>
                <w:color w:val="auto"/>
                <w:szCs w:val="21"/>
                <w:highlight w:val="none"/>
              </w:rPr>
            </w:pPr>
          </w:p>
          <w:p w14:paraId="601CA406">
            <w:pPr>
              <w:jc w:val="right"/>
              <w:rPr>
                <w:rFonts w:ascii="宋体" w:hAnsi="宋体" w:cs="宋体"/>
                <w:color w:val="auto"/>
                <w:sz w:val="16"/>
                <w:szCs w:val="21"/>
                <w:highlight w:val="none"/>
              </w:rPr>
            </w:pPr>
            <w:r>
              <w:rPr>
                <w:rFonts w:hint="eastAsia" w:ascii="宋体" w:hAnsi="宋体" w:cs="宋体"/>
                <w:color w:val="auto"/>
                <w:szCs w:val="21"/>
                <w:highlight w:val="none"/>
              </w:rPr>
              <w:t>单位：元</w:t>
            </w:r>
          </w:p>
        </w:tc>
      </w:tr>
      <w:tr w14:paraId="291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14:paraId="740E339A">
            <w:pPr>
              <w:wordWrap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01" w:type="dxa"/>
            <w:vMerge w:val="restart"/>
            <w:tcBorders>
              <w:top w:val="single" w:color="auto" w:sz="4" w:space="0"/>
            </w:tcBorders>
            <w:tcMar>
              <w:top w:w="15" w:type="dxa"/>
              <w:left w:w="15" w:type="dxa"/>
              <w:bottom w:w="0" w:type="dxa"/>
              <w:right w:w="15" w:type="dxa"/>
            </w:tcMar>
            <w:vAlign w:val="center"/>
          </w:tcPr>
          <w:p w14:paraId="5FDE9527">
            <w:pPr>
              <w:wordWrap w:val="0"/>
              <w:jc w:val="center"/>
              <w:rPr>
                <w:rFonts w:ascii="宋体" w:hAnsi="宋体" w:cs="宋体"/>
                <w:b/>
                <w:color w:val="auto"/>
                <w:szCs w:val="21"/>
                <w:highlight w:val="none"/>
              </w:rPr>
            </w:pPr>
            <w:r>
              <w:rPr>
                <w:rFonts w:hint="eastAsia" w:ascii="宋体" w:hAnsi="宋体" w:cs="宋体"/>
                <w:b/>
                <w:color w:val="auto"/>
                <w:szCs w:val="21"/>
                <w:highlight w:val="none"/>
              </w:rPr>
              <w:t>投标产品产地</w:t>
            </w:r>
          </w:p>
        </w:tc>
        <w:tc>
          <w:tcPr>
            <w:tcW w:w="501" w:type="dxa"/>
            <w:vMerge w:val="restart"/>
            <w:tcBorders>
              <w:top w:val="single" w:color="auto" w:sz="4" w:space="0"/>
            </w:tcBorders>
            <w:tcMar>
              <w:top w:w="15" w:type="dxa"/>
              <w:left w:w="15" w:type="dxa"/>
              <w:bottom w:w="0" w:type="dxa"/>
              <w:right w:w="15" w:type="dxa"/>
            </w:tcMar>
            <w:vAlign w:val="center"/>
          </w:tcPr>
          <w:p w14:paraId="790CDCE5">
            <w:pPr>
              <w:wordWrap w:val="0"/>
              <w:jc w:val="center"/>
              <w:rPr>
                <w:rFonts w:ascii="宋体" w:hAnsi="宋体" w:cs="宋体"/>
                <w:b/>
                <w:color w:val="auto"/>
                <w:szCs w:val="21"/>
                <w:highlight w:val="none"/>
              </w:rPr>
            </w:pPr>
            <w:r>
              <w:rPr>
                <w:rFonts w:hint="eastAsia" w:ascii="宋体" w:hAnsi="宋体" w:cs="宋体"/>
                <w:b/>
                <w:color w:val="auto"/>
                <w:szCs w:val="21"/>
                <w:highlight w:val="none"/>
              </w:rPr>
              <w:t>投标产品名称</w:t>
            </w:r>
          </w:p>
        </w:tc>
        <w:tc>
          <w:tcPr>
            <w:tcW w:w="500" w:type="dxa"/>
            <w:vMerge w:val="restart"/>
            <w:tcBorders>
              <w:top w:val="single" w:color="auto" w:sz="4" w:space="0"/>
            </w:tcBorders>
            <w:tcMar>
              <w:top w:w="15" w:type="dxa"/>
              <w:left w:w="15" w:type="dxa"/>
              <w:bottom w:w="0" w:type="dxa"/>
              <w:right w:w="15" w:type="dxa"/>
            </w:tcMar>
            <w:vAlign w:val="center"/>
          </w:tcPr>
          <w:p w14:paraId="7D833453">
            <w:pPr>
              <w:wordWrap w:val="0"/>
              <w:jc w:val="center"/>
              <w:rPr>
                <w:rFonts w:ascii="宋体" w:hAnsi="宋体" w:cs="宋体"/>
                <w:b/>
                <w:color w:val="auto"/>
                <w:szCs w:val="21"/>
                <w:highlight w:val="none"/>
              </w:rPr>
            </w:pPr>
            <w:r>
              <w:rPr>
                <w:rFonts w:hint="eastAsia" w:ascii="宋体" w:hAnsi="宋体" w:cs="宋体"/>
                <w:b/>
                <w:color w:val="auto"/>
                <w:szCs w:val="21"/>
                <w:highlight w:val="none"/>
              </w:rPr>
              <w:t>品牌</w:t>
            </w:r>
          </w:p>
        </w:tc>
        <w:tc>
          <w:tcPr>
            <w:tcW w:w="501" w:type="dxa"/>
            <w:vMerge w:val="restart"/>
            <w:tcBorders>
              <w:top w:val="single" w:color="auto" w:sz="4" w:space="0"/>
            </w:tcBorders>
            <w:tcMar>
              <w:top w:w="15" w:type="dxa"/>
              <w:left w:w="15" w:type="dxa"/>
              <w:bottom w:w="0" w:type="dxa"/>
              <w:right w:w="15" w:type="dxa"/>
            </w:tcMar>
            <w:vAlign w:val="center"/>
          </w:tcPr>
          <w:p w14:paraId="2D7B4D2A">
            <w:pPr>
              <w:wordWrap w:val="0"/>
              <w:jc w:val="center"/>
              <w:rPr>
                <w:rFonts w:ascii="宋体" w:hAnsi="宋体" w:cs="宋体"/>
                <w:b/>
                <w:color w:val="auto"/>
                <w:szCs w:val="21"/>
                <w:highlight w:val="none"/>
              </w:rPr>
            </w:pPr>
            <w:r>
              <w:rPr>
                <w:rFonts w:hint="eastAsia" w:ascii="宋体" w:hAnsi="宋体" w:cs="宋体"/>
                <w:b/>
                <w:color w:val="auto"/>
                <w:szCs w:val="21"/>
                <w:highlight w:val="none"/>
              </w:rPr>
              <w:t>型号</w:t>
            </w:r>
          </w:p>
        </w:tc>
        <w:tc>
          <w:tcPr>
            <w:tcW w:w="501" w:type="dxa"/>
            <w:vMerge w:val="restart"/>
            <w:tcBorders>
              <w:top w:val="single" w:color="auto" w:sz="4" w:space="0"/>
            </w:tcBorders>
            <w:tcMar>
              <w:top w:w="15" w:type="dxa"/>
              <w:left w:w="15" w:type="dxa"/>
              <w:bottom w:w="0" w:type="dxa"/>
              <w:right w:w="15" w:type="dxa"/>
            </w:tcMar>
            <w:vAlign w:val="center"/>
          </w:tcPr>
          <w:p w14:paraId="6E4C0538">
            <w:pPr>
              <w:wordWrap w:val="0"/>
              <w:jc w:val="center"/>
              <w:rPr>
                <w:rFonts w:ascii="宋体" w:hAnsi="宋体" w:cs="宋体"/>
                <w:b/>
                <w:color w:val="auto"/>
                <w:szCs w:val="21"/>
                <w:highlight w:val="none"/>
              </w:rPr>
            </w:pPr>
            <w:r>
              <w:rPr>
                <w:rFonts w:hint="eastAsia" w:ascii="宋体" w:hAnsi="宋体" w:cs="宋体"/>
                <w:b/>
                <w:color w:val="auto"/>
                <w:szCs w:val="21"/>
                <w:highlight w:val="none"/>
              </w:rPr>
              <w:t>基本配置</w:t>
            </w:r>
          </w:p>
        </w:tc>
        <w:tc>
          <w:tcPr>
            <w:tcW w:w="501" w:type="dxa"/>
            <w:vMerge w:val="restart"/>
            <w:tcBorders>
              <w:top w:val="single" w:color="auto" w:sz="4" w:space="0"/>
            </w:tcBorders>
            <w:tcMar>
              <w:top w:w="15" w:type="dxa"/>
              <w:left w:w="15" w:type="dxa"/>
              <w:bottom w:w="0" w:type="dxa"/>
              <w:right w:w="15" w:type="dxa"/>
            </w:tcMar>
            <w:vAlign w:val="center"/>
          </w:tcPr>
          <w:p w14:paraId="757121B0">
            <w:pPr>
              <w:wordWrap w:val="0"/>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00" w:type="dxa"/>
            <w:vMerge w:val="restart"/>
            <w:tcBorders>
              <w:top w:val="single" w:color="auto" w:sz="4" w:space="0"/>
            </w:tcBorders>
            <w:tcMar>
              <w:top w:w="15" w:type="dxa"/>
              <w:left w:w="15" w:type="dxa"/>
              <w:bottom w:w="0" w:type="dxa"/>
              <w:right w:w="15" w:type="dxa"/>
            </w:tcMar>
            <w:vAlign w:val="center"/>
          </w:tcPr>
          <w:p w14:paraId="10264FF5">
            <w:pPr>
              <w:wordWrap w:val="0"/>
              <w:jc w:val="center"/>
              <w:rPr>
                <w:rFonts w:ascii="宋体" w:hAnsi="宋体" w:cs="宋体"/>
                <w:b/>
                <w:color w:val="auto"/>
                <w:szCs w:val="21"/>
                <w:highlight w:val="none"/>
              </w:rPr>
            </w:pPr>
            <w:r>
              <w:rPr>
                <w:rFonts w:hint="eastAsia" w:ascii="宋体" w:hAnsi="宋体" w:cs="宋体"/>
                <w:b/>
                <w:color w:val="auto"/>
                <w:szCs w:val="21"/>
                <w:highlight w:val="none"/>
              </w:rPr>
              <w:t>数量单位</w:t>
            </w:r>
          </w:p>
        </w:tc>
        <w:tc>
          <w:tcPr>
            <w:tcW w:w="501" w:type="dxa"/>
            <w:vMerge w:val="restart"/>
            <w:tcBorders>
              <w:top w:val="single" w:color="auto" w:sz="4" w:space="0"/>
            </w:tcBorders>
            <w:tcMar>
              <w:top w:w="15" w:type="dxa"/>
              <w:left w:w="15" w:type="dxa"/>
              <w:bottom w:w="0" w:type="dxa"/>
              <w:right w:w="15" w:type="dxa"/>
            </w:tcMar>
            <w:vAlign w:val="center"/>
          </w:tcPr>
          <w:p w14:paraId="28D61697">
            <w:pPr>
              <w:wordWrap w:val="0"/>
              <w:jc w:val="center"/>
              <w:rPr>
                <w:rFonts w:ascii="宋体" w:hAnsi="宋体" w:cs="宋体"/>
                <w:b/>
                <w:color w:val="auto"/>
                <w:szCs w:val="21"/>
                <w:highlight w:val="none"/>
              </w:rPr>
            </w:pPr>
            <w:r>
              <w:rPr>
                <w:rFonts w:hint="eastAsia" w:ascii="宋体" w:hAnsi="宋体" w:cs="宋体"/>
                <w:b/>
                <w:color w:val="auto"/>
                <w:szCs w:val="21"/>
                <w:highlight w:val="none"/>
              </w:rPr>
              <w:t>投标单价</w:t>
            </w:r>
          </w:p>
        </w:tc>
        <w:tc>
          <w:tcPr>
            <w:tcW w:w="501" w:type="dxa"/>
            <w:vMerge w:val="restart"/>
            <w:tcBorders>
              <w:top w:val="single" w:color="auto" w:sz="4" w:space="0"/>
            </w:tcBorders>
            <w:tcMar>
              <w:top w:w="15" w:type="dxa"/>
              <w:left w:w="15" w:type="dxa"/>
              <w:bottom w:w="0" w:type="dxa"/>
              <w:right w:w="15" w:type="dxa"/>
            </w:tcMar>
            <w:vAlign w:val="center"/>
          </w:tcPr>
          <w:p w14:paraId="382D5541">
            <w:pPr>
              <w:wordWrap w:val="0"/>
              <w:jc w:val="center"/>
              <w:rPr>
                <w:rFonts w:ascii="宋体" w:hAnsi="宋体" w:cs="宋体"/>
                <w:b/>
                <w:color w:val="auto"/>
                <w:szCs w:val="21"/>
                <w:highlight w:val="none"/>
              </w:rPr>
            </w:pPr>
            <w:r>
              <w:rPr>
                <w:rFonts w:hint="eastAsia" w:ascii="宋体" w:hAnsi="宋体" w:cs="宋体"/>
                <w:b/>
                <w:color w:val="auto"/>
                <w:szCs w:val="21"/>
                <w:highlight w:val="none"/>
              </w:rPr>
              <w:t>投标总价</w:t>
            </w:r>
          </w:p>
        </w:tc>
        <w:tc>
          <w:tcPr>
            <w:tcW w:w="3004" w:type="dxa"/>
            <w:gridSpan w:val="6"/>
            <w:tcBorders>
              <w:top w:val="single" w:color="auto" w:sz="4" w:space="0"/>
            </w:tcBorders>
            <w:tcMar>
              <w:top w:w="15" w:type="dxa"/>
              <w:left w:w="15" w:type="dxa"/>
              <w:bottom w:w="0" w:type="dxa"/>
              <w:right w:w="15" w:type="dxa"/>
            </w:tcMar>
            <w:vAlign w:val="center"/>
          </w:tcPr>
          <w:p w14:paraId="3E2C7382">
            <w:pPr>
              <w:wordWrap w:val="0"/>
              <w:jc w:val="center"/>
              <w:rPr>
                <w:rFonts w:ascii="宋体" w:hAnsi="宋体" w:cs="宋体"/>
                <w:b/>
                <w:color w:val="auto"/>
                <w:szCs w:val="21"/>
                <w:highlight w:val="none"/>
              </w:rPr>
            </w:pPr>
            <w:r>
              <w:rPr>
                <w:rFonts w:hint="eastAsia" w:ascii="宋体" w:hAnsi="宋体" w:cs="宋体"/>
                <w:b/>
                <w:color w:val="auto"/>
                <w:szCs w:val="21"/>
                <w:highlight w:val="none"/>
              </w:rPr>
              <w:t>投标单价组成</w:t>
            </w:r>
          </w:p>
        </w:tc>
        <w:tc>
          <w:tcPr>
            <w:tcW w:w="501" w:type="dxa"/>
            <w:vMerge w:val="restart"/>
            <w:tcBorders>
              <w:top w:val="single" w:color="auto" w:sz="4" w:space="0"/>
            </w:tcBorders>
            <w:tcMar>
              <w:top w:w="15" w:type="dxa"/>
              <w:left w:w="15" w:type="dxa"/>
              <w:bottom w:w="0" w:type="dxa"/>
              <w:right w:w="15" w:type="dxa"/>
            </w:tcMar>
            <w:vAlign w:val="center"/>
          </w:tcPr>
          <w:p w14:paraId="4A581459">
            <w:pPr>
              <w:wordWrap w:val="0"/>
              <w:jc w:val="center"/>
              <w:rPr>
                <w:rFonts w:ascii="宋体" w:hAnsi="宋体" w:cs="宋体"/>
                <w:b/>
                <w:color w:val="auto"/>
                <w:szCs w:val="21"/>
                <w:highlight w:val="none"/>
              </w:rPr>
            </w:pPr>
            <w:r>
              <w:rPr>
                <w:rFonts w:hint="eastAsia" w:ascii="宋体" w:hAnsi="宋体" w:cs="宋体"/>
                <w:b/>
                <w:color w:val="auto"/>
                <w:szCs w:val="21"/>
                <w:highlight w:val="none"/>
              </w:rPr>
              <w:t>交货日期</w:t>
            </w:r>
          </w:p>
        </w:tc>
        <w:tc>
          <w:tcPr>
            <w:tcW w:w="501" w:type="dxa"/>
            <w:vMerge w:val="restart"/>
            <w:tcBorders>
              <w:top w:val="single" w:color="auto" w:sz="4" w:space="0"/>
            </w:tcBorders>
            <w:tcMar>
              <w:top w:w="15" w:type="dxa"/>
              <w:left w:w="15" w:type="dxa"/>
              <w:bottom w:w="0" w:type="dxa"/>
              <w:right w:w="15" w:type="dxa"/>
            </w:tcMar>
            <w:vAlign w:val="center"/>
          </w:tcPr>
          <w:p w14:paraId="3011772B">
            <w:pPr>
              <w:wordWrap w:val="0"/>
              <w:jc w:val="center"/>
              <w:rPr>
                <w:rFonts w:ascii="宋体" w:hAnsi="宋体" w:cs="宋体"/>
                <w:b/>
                <w:color w:val="auto"/>
                <w:szCs w:val="21"/>
                <w:highlight w:val="none"/>
              </w:rPr>
            </w:pPr>
            <w:r>
              <w:rPr>
                <w:rFonts w:hint="eastAsia" w:ascii="宋体" w:hAnsi="宋体" w:cs="宋体"/>
                <w:b/>
                <w:color w:val="auto"/>
                <w:szCs w:val="21"/>
                <w:highlight w:val="none"/>
              </w:rPr>
              <w:t>交货地点</w:t>
            </w:r>
          </w:p>
        </w:tc>
      </w:tr>
      <w:tr w14:paraId="06F3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14:paraId="3A21CB0C">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3D776892">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28F38162">
            <w:pPr>
              <w:wordWrap w:val="0"/>
              <w:jc w:val="center"/>
              <w:rPr>
                <w:rFonts w:ascii="宋体" w:hAnsi="宋体" w:cs="宋体"/>
                <w:color w:val="auto"/>
                <w:szCs w:val="21"/>
                <w:highlight w:val="none"/>
              </w:rPr>
            </w:pPr>
          </w:p>
        </w:tc>
        <w:tc>
          <w:tcPr>
            <w:tcW w:w="500" w:type="dxa"/>
            <w:vMerge w:val="continue"/>
            <w:tcMar>
              <w:top w:w="15" w:type="dxa"/>
              <w:left w:w="15" w:type="dxa"/>
              <w:bottom w:w="0" w:type="dxa"/>
              <w:right w:w="15" w:type="dxa"/>
            </w:tcMar>
            <w:vAlign w:val="center"/>
          </w:tcPr>
          <w:p w14:paraId="20B74600">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320526B9">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0AAB4DF1">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68D9DC02">
            <w:pPr>
              <w:wordWrap w:val="0"/>
              <w:jc w:val="center"/>
              <w:rPr>
                <w:rFonts w:ascii="宋体" w:hAnsi="宋体" w:cs="宋体"/>
                <w:color w:val="auto"/>
                <w:szCs w:val="21"/>
                <w:highlight w:val="none"/>
              </w:rPr>
            </w:pPr>
          </w:p>
        </w:tc>
        <w:tc>
          <w:tcPr>
            <w:tcW w:w="500" w:type="dxa"/>
            <w:vMerge w:val="continue"/>
            <w:tcMar>
              <w:top w:w="15" w:type="dxa"/>
              <w:left w:w="15" w:type="dxa"/>
              <w:bottom w:w="0" w:type="dxa"/>
              <w:right w:w="15" w:type="dxa"/>
            </w:tcMar>
            <w:vAlign w:val="center"/>
          </w:tcPr>
          <w:p w14:paraId="08DA212E">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33379D21">
            <w:pPr>
              <w:wordWrap w:val="0"/>
              <w:jc w:val="center"/>
              <w:rPr>
                <w:rFonts w:ascii="宋体" w:hAnsi="宋体" w:cs="宋体"/>
                <w:color w:val="auto"/>
                <w:szCs w:val="21"/>
                <w:highlight w:val="none"/>
              </w:rPr>
            </w:pPr>
          </w:p>
        </w:tc>
        <w:tc>
          <w:tcPr>
            <w:tcW w:w="501" w:type="dxa"/>
            <w:vMerge w:val="continue"/>
            <w:tcMar>
              <w:top w:w="15" w:type="dxa"/>
              <w:left w:w="15" w:type="dxa"/>
              <w:bottom w:w="0" w:type="dxa"/>
              <w:right w:w="15" w:type="dxa"/>
            </w:tcMar>
            <w:vAlign w:val="center"/>
          </w:tcPr>
          <w:p w14:paraId="7793D666">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7D94F7F8">
            <w:pPr>
              <w:wordWrap w:val="0"/>
              <w:jc w:val="center"/>
              <w:rPr>
                <w:rFonts w:ascii="宋体" w:hAnsi="宋体" w:cs="宋体"/>
                <w:b/>
                <w:color w:val="auto"/>
                <w:szCs w:val="21"/>
                <w:highlight w:val="none"/>
              </w:rPr>
            </w:pPr>
            <w:r>
              <w:rPr>
                <w:rFonts w:hint="eastAsia" w:ascii="宋体" w:hAnsi="宋体" w:cs="宋体"/>
                <w:b/>
                <w:color w:val="auto"/>
                <w:szCs w:val="21"/>
                <w:highlight w:val="none"/>
              </w:rPr>
              <w:t>产品单价</w:t>
            </w:r>
          </w:p>
        </w:tc>
        <w:tc>
          <w:tcPr>
            <w:tcW w:w="501" w:type="dxa"/>
            <w:tcMar>
              <w:top w:w="15" w:type="dxa"/>
              <w:left w:w="15" w:type="dxa"/>
              <w:bottom w:w="0" w:type="dxa"/>
              <w:right w:w="15" w:type="dxa"/>
            </w:tcMar>
            <w:vAlign w:val="center"/>
          </w:tcPr>
          <w:p w14:paraId="56F9DB1B">
            <w:pPr>
              <w:wordWrap w:val="0"/>
              <w:jc w:val="center"/>
              <w:rPr>
                <w:rFonts w:ascii="宋体" w:hAnsi="宋体" w:cs="宋体"/>
                <w:b/>
                <w:color w:val="auto"/>
                <w:szCs w:val="21"/>
                <w:highlight w:val="none"/>
              </w:rPr>
            </w:pPr>
            <w:r>
              <w:rPr>
                <w:rFonts w:hint="eastAsia" w:ascii="宋体" w:hAnsi="宋体" w:cs="宋体"/>
                <w:b/>
                <w:color w:val="auto"/>
                <w:szCs w:val="21"/>
                <w:highlight w:val="none"/>
              </w:rPr>
              <w:t>运费</w:t>
            </w:r>
          </w:p>
        </w:tc>
        <w:tc>
          <w:tcPr>
            <w:tcW w:w="501" w:type="dxa"/>
            <w:tcMar>
              <w:top w:w="15" w:type="dxa"/>
              <w:left w:w="15" w:type="dxa"/>
              <w:bottom w:w="0" w:type="dxa"/>
              <w:right w:w="15" w:type="dxa"/>
            </w:tcMar>
            <w:vAlign w:val="center"/>
          </w:tcPr>
          <w:p w14:paraId="4A5777F2">
            <w:pPr>
              <w:wordWrap w:val="0"/>
              <w:jc w:val="center"/>
              <w:rPr>
                <w:rFonts w:ascii="宋体" w:hAnsi="宋体" w:cs="宋体"/>
                <w:b/>
                <w:color w:val="auto"/>
                <w:szCs w:val="21"/>
                <w:highlight w:val="none"/>
              </w:rPr>
            </w:pPr>
            <w:r>
              <w:rPr>
                <w:rFonts w:hint="eastAsia" w:ascii="宋体" w:hAnsi="宋体" w:cs="宋体"/>
                <w:b/>
                <w:color w:val="auto"/>
                <w:szCs w:val="21"/>
                <w:highlight w:val="none"/>
              </w:rPr>
              <w:t>保险费</w:t>
            </w:r>
          </w:p>
        </w:tc>
        <w:tc>
          <w:tcPr>
            <w:tcW w:w="501" w:type="dxa"/>
            <w:tcMar>
              <w:top w:w="15" w:type="dxa"/>
              <w:left w:w="15" w:type="dxa"/>
              <w:bottom w:w="0" w:type="dxa"/>
              <w:right w:w="15" w:type="dxa"/>
            </w:tcMar>
            <w:vAlign w:val="center"/>
          </w:tcPr>
          <w:p w14:paraId="18A1504A">
            <w:pPr>
              <w:wordWrap w:val="0"/>
              <w:jc w:val="center"/>
              <w:rPr>
                <w:rFonts w:ascii="宋体" w:hAnsi="宋体" w:cs="宋体"/>
                <w:b/>
                <w:color w:val="auto"/>
                <w:szCs w:val="21"/>
                <w:highlight w:val="none"/>
              </w:rPr>
            </w:pPr>
            <w:r>
              <w:rPr>
                <w:rFonts w:hint="eastAsia" w:ascii="宋体" w:hAnsi="宋体" w:cs="宋体"/>
                <w:b/>
                <w:color w:val="auto"/>
                <w:szCs w:val="21"/>
                <w:highlight w:val="none"/>
              </w:rPr>
              <w:t>安装调试费</w:t>
            </w:r>
          </w:p>
        </w:tc>
        <w:tc>
          <w:tcPr>
            <w:tcW w:w="500" w:type="dxa"/>
            <w:tcMar>
              <w:top w:w="15" w:type="dxa"/>
              <w:left w:w="15" w:type="dxa"/>
              <w:bottom w:w="0" w:type="dxa"/>
              <w:right w:w="15" w:type="dxa"/>
            </w:tcMar>
            <w:vAlign w:val="center"/>
          </w:tcPr>
          <w:p w14:paraId="7F91E465">
            <w:pPr>
              <w:wordWrap w:val="0"/>
              <w:jc w:val="center"/>
              <w:rPr>
                <w:rFonts w:ascii="宋体" w:hAnsi="宋体" w:cs="宋体"/>
                <w:b/>
                <w:color w:val="auto"/>
                <w:szCs w:val="21"/>
                <w:highlight w:val="none"/>
              </w:rPr>
            </w:pPr>
            <w:r>
              <w:rPr>
                <w:rFonts w:hint="eastAsia" w:ascii="宋体" w:hAnsi="宋体" w:cs="宋体"/>
                <w:b/>
                <w:color w:val="auto"/>
                <w:szCs w:val="21"/>
                <w:highlight w:val="none"/>
              </w:rPr>
              <w:t>税金</w:t>
            </w:r>
          </w:p>
        </w:tc>
        <w:tc>
          <w:tcPr>
            <w:tcW w:w="501" w:type="dxa"/>
            <w:tcMar>
              <w:top w:w="15" w:type="dxa"/>
              <w:left w:w="15" w:type="dxa"/>
              <w:bottom w:w="0" w:type="dxa"/>
              <w:right w:w="15" w:type="dxa"/>
            </w:tcMar>
            <w:vAlign w:val="center"/>
          </w:tcPr>
          <w:p w14:paraId="1AF3FBC4">
            <w:pPr>
              <w:wordWrap w:val="0"/>
              <w:jc w:val="center"/>
              <w:rPr>
                <w:rFonts w:ascii="宋体" w:hAnsi="宋体" w:cs="宋体"/>
                <w:b/>
                <w:color w:val="auto"/>
                <w:szCs w:val="21"/>
                <w:highlight w:val="none"/>
              </w:rPr>
            </w:pPr>
            <w:r>
              <w:rPr>
                <w:rFonts w:hint="eastAsia" w:ascii="宋体" w:hAnsi="宋体" w:cs="宋体"/>
                <w:b/>
                <w:color w:val="auto"/>
                <w:szCs w:val="21"/>
                <w:highlight w:val="none"/>
              </w:rPr>
              <w:t>其他费用</w:t>
            </w:r>
          </w:p>
        </w:tc>
        <w:tc>
          <w:tcPr>
            <w:tcW w:w="501" w:type="dxa"/>
            <w:vMerge w:val="continue"/>
            <w:vAlign w:val="center"/>
          </w:tcPr>
          <w:p w14:paraId="1D0E5876">
            <w:pPr>
              <w:wordWrap w:val="0"/>
              <w:jc w:val="center"/>
              <w:rPr>
                <w:rFonts w:ascii="宋体" w:hAnsi="宋体" w:cs="宋体"/>
                <w:color w:val="auto"/>
                <w:szCs w:val="21"/>
                <w:highlight w:val="none"/>
              </w:rPr>
            </w:pPr>
          </w:p>
        </w:tc>
        <w:tc>
          <w:tcPr>
            <w:tcW w:w="501" w:type="dxa"/>
            <w:vMerge w:val="continue"/>
            <w:vAlign w:val="center"/>
          </w:tcPr>
          <w:p w14:paraId="4A645A91">
            <w:pPr>
              <w:wordWrap w:val="0"/>
              <w:jc w:val="center"/>
              <w:rPr>
                <w:rFonts w:ascii="宋体" w:hAnsi="宋体" w:cs="宋体"/>
                <w:color w:val="auto"/>
                <w:szCs w:val="21"/>
                <w:highlight w:val="none"/>
              </w:rPr>
            </w:pPr>
          </w:p>
        </w:tc>
      </w:tr>
      <w:tr w14:paraId="0F5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FCDB1A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124AFED">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501" w:type="dxa"/>
            <w:tcMar>
              <w:top w:w="15" w:type="dxa"/>
              <w:left w:w="15" w:type="dxa"/>
              <w:bottom w:w="0" w:type="dxa"/>
              <w:right w:w="15" w:type="dxa"/>
            </w:tcMar>
            <w:vAlign w:val="center"/>
          </w:tcPr>
          <w:p w14:paraId="077DFEA7">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500" w:type="dxa"/>
            <w:tcMar>
              <w:top w:w="15" w:type="dxa"/>
              <w:left w:w="15" w:type="dxa"/>
              <w:bottom w:w="0" w:type="dxa"/>
              <w:right w:w="15" w:type="dxa"/>
            </w:tcMar>
            <w:vAlign w:val="center"/>
          </w:tcPr>
          <w:p w14:paraId="079F0132">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501" w:type="dxa"/>
            <w:tcMar>
              <w:top w:w="15" w:type="dxa"/>
              <w:left w:w="15" w:type="dxa"/>
              <w:bottom w:w="0" w:type="dxa"/>
              <w:right w:w="15" w:type="dxa"/>
            </w:tcMar>
            <w:vAlign w:val="center"/>
          </w:tcPr>
          <w:p w14:paraId="79FD9B4D">
            <w:pPr>
              <w:wordWrap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501" w:type="dxa"/>
            <w:tcMar>
              <w:top w:w="15" w:type="dxa"/>
              <w:left w:w="15" w:type="dxa"/>
              <w:bottom w:w="0" w:type="dxa"/>
              <w:right w:w="15" w:type="dxa"/>
            </w:tcMar>
            <w:vAlign w:val="center"/>
          </w:tcPr>
          <w:p w14:paraId="113BC566">
            <w:pPr>
              <w:wordWrap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501" w:type="dxa"/>
            <w:tcMar>
              <w:top w:w="15" w:type="dxa"/>
              <w:left w:w="15" w:type="dxa"/>
              <w:bottom w:w="0" w:type="dxa"/>
              <w:right w:w="15" w:type="dxa"/>
            </w:tcMar>
            <w:vAlign w:val="center"/>
          </w:tcPr>
          <w:p w14:paraId="3D10873D">
            <w:pPr>
              <w:wordWrap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500" w:type="dxa"/>
            <w:tcMar>
              <w:top w:w="15" w:type="dxa"/>
              <w:left w:w="15" w:type="dxa"/>
              <w:bottom w:w="0" w:type="dxa"/>
              <w:right w:w="15" w:type="dxa"/>
            </w:tcMar>
            <w:vAlign w:val="center"/>
          </w:tcPr>
          <w:p w14:paraId="3E20F6F1">
            <w:pPr>
              <w:wordWrap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501" w:type="dxa"/>
            <w:tcMar>
              <w:top w:w="15" w:type="dxa"/>
              <w:left w:w="15" w:type="dxa"/>
              <w:bottom w:w="0" w:type="dxa"/>
              <w:right w:w="15" w:type="dxa"/>
            </w:tcMar>
            <w:vAlign w:val="center"/>
          </w:tcPr>
          <w:p w14:paraId="11AE55D8">
            <w:pPr>
              <w:wordWrap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501" w:type="dxa"/>
            <w:tcMar>
              <w:top w:w="15" w:type="dxa"/>
              <w:left w:w="15" w:type="dxa"/>
              <w:bottom w:w="0" w:type="dxa"/>
              <w:right w:w="15" w:type="dxa"/>
            </w:tcMar>
            <w:vAlign w:val="center"/>
          </w:tcPr>
          <w:p w14:paraId="681FEE39">
            <w:pPr>
              <w:wordWrap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500" w:type="dxa"/>
            <w:tcMar>
              <w:top w:w="15" w:type="dxa"/>
              <w:left w:w="15" w:type="dxa"/>
              <w:bottom w:w="0" w:type="dxa"/>
              <w:right w:w="15" w:type="dxa"/>
            </w:tcMar>
            <w:vAlign w:val="center"/>
          </w:tcPr>
          <w:p w14:paraId="2C02E7BC">
            <w:pPr>
              <w:wordWrap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501" w:type="dxa"/>
            <w:tcMar>
              <w:top w:w="15" w:type="dxa"/>
              <w:left w:w="15" w:type="dxa"/>
              <w:bottom w:w="0" w:type="dxa"/>
              <w:right w:w="15" w:type="dxa"/>
            </w:tcMar>
            <w:vAlign w:val="center"/>
          </w:tcPr>
          <w:p w14:paraId="0680E7C6">
            <w:pPr>
              <w:wordWrap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501" w:type="dxa"/>
            <w:tcMar>
              <w:top w:w="15" w:type="dxa"/>
              <w:left w:w="15" w:type="dxa"/>
              <w:bottom w:w="0" w:type="dxa"/>
              <w:right w:w="15" w:type="dxa"/>
            </w:tcMar>
            <w:vAlign w:val="center"/>
          </w:tcPr>
          <w:p w14:paraId="1A484D8E">
            <w:pPr>
              <w:wordWrap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501" w:type="dxa"/>
            <w:tcMar>
              <w:top w:w="15" w:type="dxa"/>
              <w:left w:w="15" w:type="dxa"/>
              <w:bottom w:w="0" w:type="dxa"/>
              <w:right w:w="15" w:type="dxa"/>
            </w:tcMar>
            <w:vAlign w:val="center"/>
          </w:tcPr>
          <w:p w14:paraId="62D40405">
            <w:pPr>
              <w:wordWrap w:val="0"/>
              <w:jc w:val="center"/>
              <w:rPr>
                <w:rFonts w:ascii="宋体" w:hAnsi="宋体" w:cs="宋体"/>
                <w:color w:val="auto"/>
                <w:szCs w:val="21"/>
                <w:highlight w:val="none"/>
              </w:rPr>
            </w:pPr>
            <w:r>
              <w:rPr>
                <w:rFonts w:hint="eastAsia" w:ascii="宋体" w:hAnsi="宋体" w:cs="宋体"/>
                <w:color w:val="auto"/>
                <w:szCs w:val="21"/>
                <w:highlight w:val="none"/>
              </w:rPr>
              <w:t>13</w:t>
            </w:r>
          </w:p>
        </w:tc>
        <w:tc>
          <w:tcPr>
            <w:tcW w:w="500" w:type="dxa"/>
            <w:tcMar>
              <w:top w:w="15" w:type="dxa"/>
              <w:left w:w="15" w:type="dxa"/>
              <w:bottom w:w="0" w:type="dxa"/>
              <w:right w:w="15" w:type="dxa"/>
            </w:tcMar>
            <w:vAlign w:val="center"/>
          </w:tcPr>
          <w:p w14:paraId="7AAB1FEF">
            <w:pPr>
              <w:wordWrap w:val="0"/>
              <w:jc w:val="center"/>
              <w:rPr>
                <w:rFonts w:ascii="宋体" w:hAnsi="宋体" w:cs="宋体"/>
                <w:color w:val="auto"/>
                <w:szCs w:val="21"/>
                <w:highlight w:val="none"/>
              </w:rPr>
            </w:pPr>
            <w:r>
              <w:rPr>
                <w:rFonts w:hint="eastAsia" w:ascii="宋体" w:hAnsi="宋体" w:cs="宋体"/>
                <w:color w:val="auto"/>
                <w:szCs w:val="21"/>
                <w:highlight w:val="none"/>
              </w:rPr>
              <w:t>14</w:t>
            </w:r>
          </w:p>
        </w:tc>
        <w:tc>
          <w:tcPr>
            <w:tcW w:w="501" w:type="dxa"/>
            <w:tcMar>
              <w:top w:w="15" w:type="dxa"/>
              <w:left w:w="15" w:type="dxa"/>
              <w:bottom w:w="0" w:type="dxa"/>
              <w:right w:w="15" w:type="dxa"/>
            </w:tcMar>
            <w:vAlign w:val="center"/>
          </w:tcPr>
          <w:p w14:paraId="11F51827">
            <w:pPr>
              <w:wordWrap w:val="0"/>
              <w:jc w:val="center"/>
              <w:rPr>
                <w:rFonts w:ascii="宋体" w:hAnsi="宋体" w:cs="宋体"/>
                <w:color w:val="auto"/>
                <w:szCs w:val="21"/>
                <w:highlight w:val="none"/>
              </w:rPr>
            </w:pPr>
            <w:r>
              <w:rPr>
                <w:rFonts w:hint="eastAsia" w:ascii="宋体" w:hAnsi="宋体" w:cs="宋体"/>
                <w:color w:val="auto"/>
                <w:szCs w:val="21"/>
                <w:highlight w:val="none"/>
              </w:rPr>
              <w:t>15</w:t>
            </w:r>
          </w:p>
        </w:tc>
        <w:tc>
          <w:tcPr>
            <w:tcW w:w="501" w:type="dxa"/>
            <w:tcMar>
              <w:top w:w="15" w:type="dxa"/>
              <w:left w:w="15" w:type="dxa"/>
              <w:bottom w:w="0" w:type="dxa"/>
              <w:right w:w="15" w:type="dxa"/>
            </w:tcMar>
            <w:vAlign w:val="center"/>
          </w:tcPr>
          <w:p w14:paraId="02AC3B41">
            <w:pPr>
              <w:wordWrap w:val="0"/>
              <w:jc w:val="center"/>
              <w:rPr>
                <w:rFonts w:ascii="宋体" w:hAnsi="宋体" w:cs="宋体"/>
                <w:color w:val="auto"/>
                <w:szCs w:val="21"/>
                <w:highlight w:val="none"/>
              </w:rPr>
            </w:pPr>
            <w:r>
              <w:rPr>
                <w:rFonts w:hint="eastAsia" w:ascii="宋体" w:hAnsi="宋体" w:cs="宋体"/>
                <w:color w:val="auto"/>
                <w:szCs w:val="21"/>
                <w:highlight w:val="none"/>
              </w:rPr>
              <w:t>16</w:t>
            </w:r>
          </w:p>
        </w:tc>
        <w:tc>
          <w:tcPr>
            <w:tcW w:w="501" w:type="dxa"/>
            <w:tcMar>
              <w:top w:w="15" w:type="dxa"/>
              <w:left w:w="15" w:type="dxa"/>
              <w:bottom w:w="0" w:type="dxa"/>
              <w:right w:w="15" w:type="dxa"/>
            </w:tcMar>
            <w:vAlign w:val="center"/>
          </w:tcPr>
          <w:p w14:paraId="2469F11A">
            <w:pPr>
              <w:wordWrap w:val="0"/>
              <w:jc w:val="center"/>
              <w:rPr>
                <w:rFonts w:ascii="宋体" w:hAnsi="宋体" w:cs="宋体"/>
                <w:color w:val="auto"/>
                <w:szCs w:val="21"/>
                <w:highlight w:val="none"/>
              </w:rPr>
            </w:pPr>
            <w:r>
              <w:rPr>
                <w:rFonts w:hint="eastAsia" w:ascii="宋体" w:hAnsi="宋体" w:cs="宋体"/>
                <w:color w:val="auto"/>
                <w:szCs w:val="21"/>
                <w:highlight w:val="none"/>
              </w:rPr>
              <w:t>17</w:t>
            </w:r>
          </w:p>
        </w:tc>
      </w:tr>
      <w:tr w14:paraId="4EE9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03FF761F">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501" w:type="dxa"/>
            <w:tcMar>
              <w:top w:w="15" w:type="dxa"/>
              <w:left w:w="15" w:type="dxa"/>
              <w:bottom w:w="0" w:type="dxa"/>
              <w:right w:w="15" w:type="dxa"/>
            </w:tcMar>
            <w:vAlign w:val="center"/>
          </w:tcPr>
          <w:p w14:paraId="7A632A5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95D77AC">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21C4D06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67B23B5">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D15A40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2419E9F">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7A6EEE95">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CC3CC8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E894CCD">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0454297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BC6AD2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FED16CA">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59045FC">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4AD99F1A">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9B97806">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B3E2DE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B74122C">
            <w:pPr>
              <w:wordWrap w:val="0"/>
              <w:jc w:val="center"/>
              <w:rPr>
                <w:rFonts w:ascii="宋体" w:hAnsi="宋体" w:cs="宋体"/>
                <w:color w:val="auto"/>
                <w:szCs w:val="21"/>
                <w:highlight w:val="none"/>
              </w:rPr>
            </w:pPr>
          </w:p>
        </w:tc>
      </w:tr>
      <w:tr w14:paraId="7AE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7DBFC9BD">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501" w:type="dxa"/>
            <w:tcMar>
              <w:top w:w="15" w:type="dxa"/>
              <w:left w:w="15" w:type="dxa"/>
              <w:bottom w:w="0" w:type="dxa"/>
              <w:right w:w="15" w:type="dxa"/>
            </w:tcMar>
            <w:vAlign w:val="center"/>
          </w:tcPr>
          <w:p w14:paraId="41AB606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669E3C49">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5F7BB9CC">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893BBED">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69D2D6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6E33B4F">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2667015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8AB56EC">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032804A">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C70679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F428AA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6CE2C7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E8CBE7A">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087421B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6A3E49B0">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29DC777">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9FA1AF7">
            <w:pPr>
              <w:wordWrap w:val="0"/>
              <w:jc w:val="center"/>
              <w:rPr>
                <w:rFonts w:ascii="宋体" w:hAnsi="宋体" w:cs="宋体"/>
                <w:color w:val="auto"/>
                <w:szCs w:val="21"/>
                <w:highlight w:val="none"/>
              </w:rPr>
            </w:pPr>
          </w:p>
        </w:tc>
      </w:tr>
      <w:tr w14:paraId="354E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0EC84BF">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501" w:type="dxa"/>
            <w:tcMar>
              <w:top w:w="15" w:type="dxa"/>
              <w:left w:w="15" w:type="dxa"/>
              <w:bottom w:w="0" w:type="dxa"/>
              <w:right w:w="15" w:type="dxa"/>
            </w:tcMar>
            <w:vAlign w:val="center"/>
          </w:tcPr>
          <w:p w14:paraId="6CAD8AE5">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8B66887">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8D4EE4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BC57DC5">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276CAF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254CB0E">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19FEBED1">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CEB0C86">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04C5E26">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4CC4C01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30A9FA8">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99BAD5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45512F5">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EC5179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A2807B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CBC4F3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F38E8F9">
            <w:pPr>
              <w:wordWrap w:val="0"/>
              <w:jc w:val="center"/>
              <w:rPr>
                <w:rFonts w:ascii="宋体" w:hAnsi="宋体" w:cs="宋体"/>
                <w:color w:val="auto"/>
                <w:szCs w:val="21"/>
                <w:highlight w:val="none"/>
              </w:rPr>
            </w:pPr>
          </w:p>
        </w:tc>
      </w:tr>
      <w:tr w14:paraId="5F1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1A7B8234">
            <w:pPr>
              <w:wordWrap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501" w:type="dxa"/>
            <w:tcMar>
              <w:top w:w="15" w:type="dxa"/>
              <w:left w:w="15" w:type="dxa"/>
              <w:bottom w:w="0" w:type="dxa"/>
              <w:right w:w="15" w:type="dxa"/>
            </w:tcMar>
            <w:vAlign w:val="center"/>
          </w:tcPr>
          <w:p w14:paraId="0F3EB81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4284056">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47390D1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2B904B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EF627D6">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4630A4C">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68EB90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C5C72CC">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1ACB341">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965B8D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E706C49">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9F73377">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B7E3B50">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14B65929">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2873F5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9964826">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655A9539">
            <w:pPr>
              <w:wordWrap w:val="0"/>
              <w:jc w:val="center"/>
              <w:rPr>
                <w:rFonts w:ascii="宋体" w:hAnsi="宋体" w:cs="宋体"/>
                <w:color w:val="auto"/>
                <w:szCs w:val="21"/>
                <w:highlight w:val="none"/>
              </w:rPr>
            </w:pPr>
          </w:p>
        </w:tc>
      </w:tr>
      <w:tr w14:paraId="277F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E1B7AD1">
            <w:pPr>
              <w:wordWrap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501" w:type="dxa"/>
            <w:tcMar>
              <w:top w:w="15" w:type="dxa"/>
              <w:left w:w="15" w:type="dxa"/>
              <w:bottom w:w="0" w:type="dxa"/>
              <w:right w:w="15" w:type="dxa"/>
            </w:tcMar>
            <w:vAlign w:val="center"/>
          </w:tcPr>
          <w:p w14:paraId="3F437380">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9B2CB98">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7B3954B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6174E4A6">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C74963C">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FB46524">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4699251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7C31C04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BAAF9A1">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09375D0C">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BF95AB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81B0C8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60BB96C4">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1793B83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90FF09A">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38E01C4">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49E66A0F">
            <w:pPr>
              <w:wordWrap w:val="0"/>
              <w:jc w:val="center"/>
              <w:rPr>
                <w:rFonts w:ascii="宋体" w:hAnsi="宋体" w:cs="宋体"/>
                <w:color w:val="auto"/>
                <w:szCs w:val="21"/>
                <w:highlight w:val="none"/>
              </w:rPr>
            </w:pPr>
          </w:p>
        </w:tc>
      </w:tr>
      <w:tr w14:paraId="6B22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666ACB0">
            <w:pPr>
              <w:wordWrap w:val="0"/>
              <w:jc w:val="center"/>
              <w:rPr>
                <w:rFonts w:ascii="宋体" w:hAnsi="宋体" w:cs="宋体"/>
                <w:color w:val="auto"/>
                <w:szCs w:val="21"/>
                <w:highlight w:val="none"/>
              </w:rPr>
            </w:pPr>
            <w:r>
              <w:rPr>
                <w:rFonts w:hint="eastAsia" w:ascii="宋体" w:hAnsi="宋体" w:cs="宋体"/>
                <w:color w:val="auto"/>
                <w:szCs w:val="24"/>
                <w:highlight w:val="none"/>
              </w:rPr>
              <w:t>……</w:t>
            </w:r>
          </w:p>
        </w:tc>
        <w:tc>
          <w:tcPr>
            <w:tcW w:w="501" w:type="dxa"/>
            <w:tcMar>
              <w:top w:w="15" w:type="dxa"/>
              <w:left w:w="15" w:type="dxa"/>
              <w:bottom w:w="0" w:type="dxa"/>
              <w:right w:w="15" w:type="dxa"/>
            </w:tcMar>
            <w:vAlign w:val="center"/>
          </w:tcPr>
          <w:p w14:paraId="0BFBDAC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58056514">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203871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C6304A7">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DB65F72">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8787E05">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618744FB">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D6E2FB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272A6EB5">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21E5D1B3">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8AA7F7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0FE9D8D9">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930A8AB">
            <w:pPr>
              <w:wordWrap w:val="0"/>
              <w:jc w:val="center"/>
              <w:rPr>
                <w:rFonts w:ascii="宋体" w:hAnsi="宋体" w:cs="宋体"/>
                <w:color w:val="auto"/>
                <w:szCs w:val="21"/>
                <w:highlight w:val="none"/>
              </w:rPr>
            </w:pPr>
          </w:p>
        </w:tc>
        <w:tc>
          <w:tcPr>
            <w:tcW w:w="500" w:type="dxa"/>
            <w:tcMar>
              <w:top w:w="15" w:type="dxa"/>
              <w:left w:w="15" w:type="dxa"/>
              <w:bottom w:w="0" w:type="dxa"/>
              <w:right w:w="15" w:type="dxa"/>
            </w:tcMar>
            <w:vAlign w:val="center"/>
          </w:tcPr>
          <w:p w14:paraId="7AC3658F">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51C1D0E">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1293708A">
            <w:pPr>
              <w:wordWrap w:val="0"/>
              <w:jc w:val="center"/>
              <w:rPr>
                <w:rFonts w:ascii="宋体" w:hAnsi="宋体" w:cs="宋体"/>
                <w:color w:val="auto"/>
                <w:szCs w:val="21"/>
                <w:highlight w:val="none"/>
              </w:rPr>
            </w:pPr>
          </w:p>
        </w:tc>
        <w:tc>
          <w:tcPr>
            <w:tcW w:w="501" w:type="dxa"/>
            <w:tcMar>
              <w:top w:w="15" w:type="dxa"/>
              <w:left w:w="15" w:type="dxa"/>
              <w:bottom w:w="0" w:type="dxa"/>
              <w:right w:w="15" w:type="dxa"/>
            </w:tcMar>
            <w:vAlign w:val="center"/>
          </w:tcPr>
          <w:p w14:paraId="3D51186D">
            <w:pPr>
              <w:wordWrap w:val="0"/>
              <w:jc w:val="center"/>
              <w:rPr>
                <w:rFonts w:ascii="宋体" w:hAnsi="宋体" w:cs="宋体"/>
                <w:color w:val="auto"/>
                <w:szCs w:val="21"/>
                <w:highlight w:val="none"/>
              </w:rPr>
            </w:pPr>
          </w:p>
        </w:tc>
      </w:tr>
      <w:tr w14:paraId="4A4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6E73069">
            <w:pPr>
              <w:wordWrap w:val="0"/>
              <w:jc w:val="center"/>
              <w:rPr>
                <w:rFonts w:ascii="宋体" w:hAnsi="宋体" w:cs="宋体"/>
                <w:b/>
                <w:color w:val="auto"/>
                <w:szCs w:val="21"/>
                <w:highlight w:val="none"/>
              </w:rPr>
            </w:pPr>
            <w:r>
              <w:rPr>
                <w:rFonts w:hint="eastAsia" w:ascii="宋体" w:hAnsi="宋体" w:cs="宋体"/>
                <w:b/>
                <w:color w:val="auto"/>
                <w:szCs w:val="21"/>
                <w:highlight w:val="none"/>
              </w:rPr>
              <w:t>合计总价</w:t>
            </w:r>
          </w:p>
        </w:tc>
        <w:tc>
          <w:tcPr>
            <w:tcW w:w="8513" w:type="dxa"/>
            <w:gridSpan w:val="17"/>
            <w:tcMar>
              <w:top w:w="15" w:type="dxa"/>
              <w:left w:w="15" w:type="dxa"/>
              <w:bottom w:w="0" w:type="dxa"/>
              <w:right w:w="15" w:type="dxa"/>
            </w:tcMar>
            <w:vAlign w:val="center"/>
          </w:tcPr>
          <w:p w14:paraId="5E38F619">
            <w:pPr>
              <w:wordWrap w:val="0"/>
              <w:jc w:val="center"/>
              <w:rPr>
                <w:rFonts w:ascii="宋体" w:hAnsi="宋体" w:cs="宋体"/>
                <w:color w:val="auto"/>
                <w:szCs w:val="21"/>
                <w:highlight w:val="none"/>
              </w:rPr>
            </w:pPr>
          </w:p>
        </w:tc>
      </w:tr>
    </w:tbl>
    <w:p w14:paraId="7AB99AE9">
      <w:pPr>
        <w:wordWrap w:val="0"/>
        <w:spacing w:line="360" w:lineRule="auto"/>
        <w:rPr>
          <w:rFonts w:ascii="宋体" w:hAnsi="宋体" w:cs="宋体"/>
          <w:color w:val="auto"/>
          <w:sz w:val="24"/>
          <w:szCs w:val="32"/>
          <w:highlight w:val="none"/>
        </w:rPr>
      </w:pPr>
      <w:bookmarkStart w:id="361" w:name="_Toc22989_WPSOffice_Level2"/>
      <w:bookmarkStart w:id="362" w:name="_Toc11241_WPSOffice_Level2"/>
    </w:p>
    <w:tbl>
      <w:tblPr>
        <w:tblStyle w:val="41"/>
        <w:tblW w:w="5000" w:type="pct"/>
        <w:jc w:val="center"/>
        <w:tblLayout w:type="autofit"/>
        <w:tblCellMar>
          <w:top w:w="0" w:type="dxa"/>
          <w:left w:w="108" w:type="dxa"/>
          <w:bottom w:w="0" w:type="dxa"/>
          <w:right w:w="108" w:type="dxa"/>
        </w:tblCellMar>
      </w:tblPr>
      <w:tblGrid>
        <w:gridCol w:w="8528"/>
      </w:tblGrid>
      <w:tr w14:paraId="38A1DAC5">
        <w:tblPrEx>
          <w:tblCellMar>
            <w:top w:w="0" w:type="dxa"/>
            <w:left w:w="108" w:type="dxa"/>
            <w:bottom w:w="0" w:type="dxa"/>
            <w:right w:w="108" w:type="dxa"/>
          </w:tblCellMar>
        </w:tblPrEx>
        <w:trPr>
          <w:trHeight w:val="567" w:hRule="atLeast"/>
          <w:jc w:val="center"/>
        </w:trPr>
        <w:tc>
          <w:tcPr>
            <w:tcW w:w="5000" w:type="pct"/>
            <w:vAlign w:val="center"/>
          </w:tcPr>
          <w:p w14:paraId="3D78CE89">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投标人名称（签章）：</w:t>
            </w:r>
          </w:p>
          <w:p w14:paraId="5E983B34">
            <w:pPr>
              <w:wordWrap w:val="0"/>
              <w:spacing w:line="360" w:lineRule="auto"/>
              <w:rPr>
                <w:rFonts w:ascii="宋体" w:hAnsi="宋体"/>
                <w:color w:val="auto"/>
                <w:sz w:val="24"/>
                <w:szCs w:val="24"/>
                <w:highlight w:val="none"/>
              </w:rPr>
            </w:pPr>
          </w:p>
          <w:p w14:paraId="11242724">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法定代表人（或授权代表）（签章）：</w:t>
            </w:r>
          </w:p>
          <w:p w14:paraId="32FE3D1C">
            <w:pPr>
              <w:wordWrap w:val="0"/>
              <w:spacing w:line="360" w:lineRule="auto"/>
              <w:rPr>
                <w:rFonts w:ascii="宋体" w:hAnsi="宋体"/>
                <w:color w:val="auto"/>
                <w:sz w:val="24"/>
                <w:szCs w:val="24"/>
                <w:highlight w:val="none"/>
              </w:rPr>
            </w:pPr>
          </w:p>
          <w:p w14:paraId="5E7B3B61">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日期：　　　年　　月　　日</w:t>
            </w:r>
          </w:p>
        </w:tc>
      </w:tr>
    </w:tbl>
    <w:p w14:paraId="34528BF0">
      <w:pPr>
        <w:pStyle w:val="15"/>
        <w:spacing w:line="360" w:lineRule="auto"/>
        <w:rPr>
          <w:rFonts w:ascii="仿宋" w:hAnsi="仿宋" w:eastAsia="仿宋"/>
          <w:color w:val="auto"/>
          <w:highlight w:val="none"/>
        </w:rPr>
      </w:pPr>
    </w:p>
    <w:p w14:paraId="71467A71">
      <w:pPr>
        <w:rPr>
          <w:color w:val="auto"/>
          <w:highlight w:val="none"/>
        </w:rPr>
        <w:sectPr>
          <w:pgSz w:w="11906" w:h="16838"/>
          <w:pgMar w:top="1440" w:right="1797" w:bottom="1440" w:left="1797" w:header="851" w:footer="992" w:gutter="0"/>
          <w:cols w:space="720" w:num="1"/>
          <w:docGrid w:type="linesAndChars" w:linePitch="319" w:charSpace="0"/>
        </w:sectPr>
      </w:pPr>
    </w:p>
    <w:p w14:paraId="72864D82">
      <w:pPr>
        <w:wordWrap w:val="0"/>
        <w:spacing w:line="360" w:lineRule="auto"/>
        <w:jc w:val="center"/>
        <w:rPr>
          <w:rFonts w:ascii="宋体" w:hAnsi="宋体" w:cs="宋体"/>
          <w:b/>
          <w:color w:val="auto"/>
          <w:sz w:val="24"/>
          <w:highlight w:val="none"/>
        </w:rPr>
      </w:pPr>
      <w:r>
        <w:rPr>
          <w:rFonts w:hint="eastAsia" w:ascii="宋体" w:hAnsi="宋体" w:cs="宋体"/>
          <w:b/>
          <w:color w:val="auto"/>
          <w:sz w:val="32"/>
          <w:szCs w:val="32"/>
          <w:highlight w:val="none"/>
        </w:rPr>
        <w:t>投标明细表（服务类）</w:t>
      </w:r>
    </w:p>
    <w:bookmarkEnd w:id="361"/>
    <w:bookmarkEnd w:id="362"/>
    <w:tbl>
      <w:tblPr>
        <w:tblStyle w:val="41"/>
        <w:tblW w:w="8955" w:type="dxa"/>
        <w:jc w:val="center"/>
        <w:tblLayout w:type="fixed"/>
        <w:tblCellMar>
          <w:top w:w="0" w:type="dxa"/>
          <w:left w:w="108" w:type="dxa"/>
          <w:bottom w:w="0" w:type="dxa"/>
          <w:right w:w="108" w:type="dxa"/>
        </w:tblCellMar>
      </w:tblPr>
      <w:tblGrid>
        <w:gridCol w:w="734"/>
        <w:gridCol w:w="2962"/>
        <w:gridCol w:w="2963"/>
        <w:gridCol w:w="1148"/>
        <w:gridCol w:w="1148"/>
      </w:tblGrid>
      <w:tr w14:paraId="39F346F5">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14:paraId="255873D5">
            <w:pPr>
              <w:rPr>
                <w:rFonts w:ascii="宋体" w:hAnsi="宋体" w:cs="宋体"/>
                <w:color w:val="auto"/>
                <w:szCs w:val="21"/>
                <w:highlight w:val="none"/>
              </w:rPr>
            </w:pPr>
            <w:r>
              <w:rPr>
                <w:rFonts w:hint="eastAsia" w:ascii="宋体" w:hAnsi="宋体" w:cs="宋体"/>
                <w:color w:val="auto"/>
                <w:szCs w:val="21"/>
                <w:highlight w:val="none"/>
              </w:rPr>
              <w:t>项目编号：</w:t>
            </w:r>
          </w:p>
          <w:p w14:paraId="4D6072BE">
            <w:pPr>
              <w:wordWrap w:val="0"/>
              <w:rPr>
                <w:rFonts w:ascii="宋体" w:hAnsi="宋体" w:cs="宋体"/>
                <w:b/>
                <w:color w:val="auto"/>
                <w:szCs w:val="21"/>
                <w:highlight w:val="none"/>
              </w:rPr>
            </w:pPr>
            <w:r>
              <w:rPr>
                <w:rFonts w:hint="eastAsia"/>
                <w:color w:val="auto"/>
                <w:highlight w:val="none"/>
              </w:rPr>
              <w:t>分包</w:t>
            </w:r>
            <w:r>
              <w:rPr>
                <w:rFonts w:hint="eastAsia" w:ascii="宋体" w:hAnsi="宋体" w:cs="宋体"/>
                <w:color w:val="auto"/>
                <w:szCs w:val="21"/>
                <w:highlight w:val="none"/>
              </w:rPr>
              <w:t>编号</w:t>
            </w:r>
            <w:r>
              <w:rPr>
                <w:rFonts w:hint="eastAsia"/>
                <w:color w:val="auto"/>
                <w:highlight w:val="none"/>
              </w:rPr>
              <w:t>：</w:t>
            </w:r>
          </w:p>
        </w:tc>
        <w:tc>
          <w:tcPr>
            <w:tcW w:w="4111" w:type="dxa"/>
            <w:gridSpan w:val="2"/>
            <w:tcBorders>
              <w:top w:val="nil"/>
              <w:left w:val="nil"/>
              <w:bottom w:val="single" w:color="auto" w:sz="4" w:space="0"/>
              <w:right w:val="nil"/>
            </w:tcBorders>
            <w:vAlign w:val="center"/>
          </w:tcPr>
          <w:p w14:paraId="081EBDFD">
            <w:pPr>
              <w:rPr>
                <w:rFonts w:ascii="宋体" w:hAnsi="宋体" w:cs="宋体"/>
                <w:color w:val="auto"/>
                <w:szCs w:val="21"/>
                <w:highlight w:val="none"/>
              </w:rPr>
            </w:pPr>
            <w:r>
              <w:rPr>
                <w:rFonts w:hint="eastAsia" w:ascii="宋体" w:hAnsi="宋体" w:cs="宋体"/>
                <w:color w:val="auto"/>
                <w:szCs w:val="21"/>
                <w:highlight w:val="none"/>
              </w:rPr>
              <w:t>项目名称：</w:t>
            </w:r>
          </w:p>
          <w:p w14:paraId="1E6B5A05">
            <w:pPr>
              <w:wordWrap w:val="0"/>
              <w:rPr>
                <w:rFonts w:ascii="宋体" w:hAnsi="宋体" w:cs="宋体"/>
                <w:b/>
                <w:color w:val="auto"/>
                <w:szCs w:val="21"/>
                <w:highlight w:val="none"/>
              </w:rPr>
            </w:pPr>
            <w:r>
              <w:rPr>
                <w:rFonts w:hint="eastAsia" w:ascii="宋体" w:hAnsi="宋体" w:cs="宋体"/>
                <w:color w:val="auto"/>
                <w:szCs w:val="21"/>
                <w:highlight w:val="none"/>
              </w:rPr>
              <w:t>分包</w:t>
            </w:r>
            <w:r>
              <w:rPr>
                <w:rFonts w:hint="eastAsia"/>
                <w:color w:val="auto"/>
                <w:highlight w:val="none"/>
              </w:rPr>
              <w:t>名称</w:t>
            </w:r>
            <w:r>
              <w:rPr>
                <w:rFonts w:hint="eastAsia" w:ascii="宋体" w:hAnsi="宋体" w:cs="宋体"/>
                <w:color w:val="auto"/>
                <w:szCs w:val="21"/>
                <w:highlight w:val="none"/>
              </w:rPr>
              <w:t>：</w:t>
            </w:r>
          </w:p>
        </w:tc>
        <w:tc>
          <w:tcPr>
            <w:tcW w:w="1148" w:type="dxa"/>
            <w:tcBorders>
              <w:top w:val="nil"/>
              <w:left w:val="nil"/>
              <w:bottom w:val="single" w:color="auto" w:sz="4" w:space="0"/>
              <w:right w:val="nil"/>
            </w:tcBorders>
            <w:vAlign w:val="bottom"/>
          </w:tcPr>
          <w:p w14:paraId="176933C2">
            <w:pPr>
              <w:wordWrap w:val="0"/>
              <w:jc w:val="right"/>
              <w:rPr>
                <w:rFonts w:ascii="宋体" w:hAnsi="宋体" w:cs="宋体"/>
                <w:b/>
                <w:color w:val="auto"/>
                <w:szCs w:val="21"/>
                <w:highlight w:val="none"/>
              </w:rPr>
            </w:pPr>
            <w:r>
              <w:rPr>
                <w:rFonts w:hint="eastAsia" w:ascii="宋体" w:hAnsi="宋体" w:cs="宋体"/>
                <w:color w:val="auto"/>
                <w:szCs w:val="21"/>
                <w:highlight w:val="none"/>
              </w:rPr>
              <w:t>单位：元</w:t>
            </w:r>
          </w:p>
        </w:tc>
      </w:tr>
      <w:tr w14:paraId="7763BFB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4F608A9">
            <w:pPr>
              <w:wordWrap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962" w:type="dxa"/>
            <w:tcBorders>
              <w:top w:val="single" w:color="auto" w:sz="4" w:space="0"/>
              <w:left w:val="single" w:color="auto" w:sz="4" w:space="0"/>
              <w:bottom w:val="single" w:color="auto" w:sz="4" w:space="0"/>
              <w:right w:val="single" w:color="auto" w:sz="4" w:space="0"/>
            </w:tcBorders>
            <w:vAlign w:val="center"/>
          </w:tcPr>
          <w:p w14:paraId="2DB70533">
            <w:pPr>
              <w:wordWrap w:val="0"/>
              <w:jc w:val="cente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14:paraId="614F4C25">
            <w:pPr>
              <w:wordWrap w:val="0"/>
              <w:jc w:val="center"/>
              <w:rPr>
                <w:rFonts w:ascii="宋体" w:hAnsi="宋体" w:cs="宋体"/>
                <w:b/>
                <w:color w:val="auto"/>
                <w:szCs w:val="21"/>
                <w:highlight w:val="none"/>
              </w:rPr>
            </w:pPr>
            <w:r>
              <w:rPr>
                <w:rFonts w:hint="eastAsia" w:ascii="宋体" w:hAnsi="宋体" w:cs="宋体"/>
                <w:b/>
                <w:color w:val="auto"/>
                <w:szCs w:val="21"/>
                <w:highlight w:val="none"/>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14:paraId="3A290062">
            <w:pPr>
              <w:wordWrap w:val="0"/>
              <w:jc w:val="center"/>
              <w:rPr>
                <w:rFonts w:ascii="宋体" w:hAnsi="宋体" w:cs="宋体"/>
                <w:b/>
                <w:color w:val="auto"/>
                <w:szCs w:val="21"/>
                <w:highlight w:val="none"/>
              </w:rPr>
            </w:pPr>
            <w:r>
              <w:rPr>
                <w:rFonts w:hint="eastAsia" w:ascii="宋体" w:hAnsi="宋体" w:cs="宋体"/>
                <w:b/>
                <w:color w:val="auto"/>
                <w:szCs w:val="21"/>
                <w:highlight w:val="none"/>
              </w:rPr>
              <w:t>服务量</w:t>
            </w:r>
          </w:p>
        </w:tc>
        <w:tc>
          <w:tcPr>
            <w:tcW w:w="1148" w:type="dxa"/>
            <w:tcBorders>
              <w:top w:val="single" w:color="auto" w:sz="4" w:space="0"/>
              <w:left w:val="single" w:color="auto" w:sz="4" w:space="0"/>
              <w:bottom w:val="single" w:color="auto" w:sz="4" w:space="0"/>
              <w:right w:val="single" w:color="auto" w:sz="4" w:space="0"/>
            </w:tcBorders>
            <w:vAlign w:val="center"/>
          </w:tcPr>
          <w:p w14:paraId="52007A61">
            <w:pPr>
              <w:wordWrap w:val="0"/>
              <w:jc w:val="center"/>
              <w:rPr>
                <w:rFonts w:ascii="宋体" w:hAnsi="宋体" w:cs="宋体"/>
                <w:b/>
                <w:color w:val="auto"/>
                <w:szCs w:val="21"/>
                <w:highlight w:val="none"/>
              </w:rPr>
            </w:pPr>
            <w:r>
              <w:rPr>
                <w:rFonts w:hint="eastAsia" w:ascii="宋体" w:hAnsi="宋体" w:cs="宋体"/>
                <w:b/>
                <w:color w:val="auto"/>
                <w:szCs w:val="21"/>
                <w:highlight w:val="none"/>
              </w:rPr>
              <w:t>投标总价</w:t>
            </w:r>
          </w:p>
        </w:tc>
      </w:tr>
      <w:tr w14:paraId="20968D22">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8BEBF93">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962" w:type="dxa"/>
            <w:tcBorders>
              <w:top w:val="single" w:color="auto" w:sz="4" w:space="0"/>
              <w:left w:val="single" w:color="auto" w:sz="4" w:space="0"/>
              <w:bottom w:val="single" w:color="auto" w:sz="4" w:space="0"/>
              <w:right w:val="single" w:color="auto" w:sz="4" w:space="0"/>
            </w:tcBorders>
            <w:vAlign w:val="center"/>
          </w:tcPr>
          <w:p w14:paraId="58C83A0D">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1467E1C9">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04DA66C">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DF6653B">
            <w:pPr>
              <w:wordWrap w:val="0"/>
              <w:jc w:val="center"/>
              <w:rPr>
                <w:rFonts w:ascii="宋体" w:hAnsi="宋体" w:cs="宋体"/>
                <w:color w:val="auto"/>
                <w:szCs w:val="21"/>
                <w:highlight w:val="none"/>
              </w:rPr>
            </w:pPr>
          </w:p>
        </w:tc>
      </w:tr>
      <w:tr w14:paraId="2B7D1C5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AB11F34">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962" w:type="dxa"/>
            <w:tcBorders>
              <w:top w:val="single" w:color="auto" w:sz="4" w:space="0"/>
              <w:left w:val="single" w:color="auto" w:sz="4" w:space="0"/>
              <w:bottom w:val="single" w:color="auto" w:sz="4" w:space="0"/>
              <w:right w:val="single" w:color="auto" w:sz="4" w:space="0"/>
            </w:tcBorders>
            <w:vAlign w:val="center"/>
          </w:tcPr>
          <w:p w14:paraId="0806DD2B">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0A5F74D8">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B123B1E">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572ADA9">
            <w:pPr>
              <w:wordWrap w:val="0"/>
              <w:jc w:val="center"/>
              <w:rPr>
                <w:rFonts w:ascii="宋体" w:hAnsi="宋体" w:cs="宋体"/>
                <w:color w:val="auto"/>
                <w:szCs w:val="21"/>
                <w:highlight w:val="none"/>
              </w:rPr>
            </w:pPr>
          </w:p>
        </w:tc>
      </w:tr>
      <w:tr w14:paraId="622ED1AB">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9B4F750">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962" w:type="dxa"/>
            <w:tcBorders>
              <w:top w:val="single" w:color="auto" w:sz="4" w:space="0"/>
              <w:left w:val="single" w:color="auto" w:sz="4" w:space="0"/>
              <w:bottom w:val="single" w:color="auto" w:sz="4" w:space="0"/>
              <w:right w:val="single" w:color="auto" w:sz="4" w:space="0"/>
            </w:tcBorders>
            <w:vAlign w:val="center"/>
          </w:tcPr>
          <w:p w14:paraId="2E80C3BB">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1CE1A697">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7C0B78A">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74DE3F3">
            <w:pPr>
              <w:wordWrap w:val="0"/>
              <w:jc w:val="center"/>
              <w:rPr>
                <w:rFonts w:ascii="宋体" w:hAnsi="宋体" w:cs="宋体"/>
                <w:color w:val="auto"/>
                <w:szCs w:val="21"/>
                <w:highlight w:val="none"/>
              </w:rPr>
            </w:pPr>
          </w:p>
        </w:tc>
      </w:tr>
      <w:tr w14:paraId="10679CAC">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92E78A5">
            <w:pPr>
              <w:wordWrap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962" w:type="dxa"/>
            <w:tcBorders>
              <w:top w:val="single" w:color="auto" w:sz="4" w:space="0"/>
              <w:left w:val="single" w:color="auto" w:sz="4" w:space="0"/>
              <w:bottom w:val="single" w:color="auto" w:sz="4" w:space="0"/>
              <w:right w:val="single" w:color="auto" w:sz="4" w:space="0"/>
            </w:tcBorders>
            <w:vAlign w:val="center"/>
          </w:tcPr>
          <w:p w14:paraId="46D71E85">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45BAA038">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3A15E42">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0A9E29F">
            <w:pPr>
              <w:wordWrap w:val="0"/>
              <w:jc w:val="center"/>
              <w:rPr>
                <w:rFonts w:ascii="宋体" w:hAnsi="宋体" w:cs="宋体"/>
                <w:color w:val="auto"/>
                <w:szCs w:val="21"/>
                <w:highlight w:val="none"/>
              </w:rPr>
            </w:pPr>
          </w:p>
        </w:tc>
      </w:tr>
      <w:tr w14:paraId="2F1042EA">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1F21AB8">
            <w:pPr>
              <w:wordWrap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962" w:type="dxa"/>
            <w:tcBorders>
              <w:top w:val="single" w:color="auto" w:sz="4" w:space="0"/>
              <w:left w:val="single" w:color="auto" w:sz="4" w:space="0"/>
              <w:bottom w:val="single" w:color="auto" w:sz="4" w:space="0"/>
              <w:right w:val="single" w:color="auto" w:sz="4" w:space="0"/>
            </w:tcBorders>
            <w:vAlign w:val="center"/>
          </w:tcPr>
          <w:p w14:paraId="6FF7FEF0">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17FC299D">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FD51938">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D35411F">
            <w:pPr>
              <w:wordWrap w:val="0"/>
              <w:jc w:val="center"/>
              <w:rPr>
                <w:rFonts w:ascii="宋体" w:hAnsi="宋体" w:cs="宋体"/>
                <w:color w:val="auto"/>
                <w:szCs w:val="21"/>
                <w:highlight w:val="none"/>
              </w:rPr>
            </w:pPr>
          </w:p>
        </w:tc>
      </w:tr>
      <w:tr w14:paraId="011FF9C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DE3E034">
            <w:pPr>
              <w:wordWrap w:val="0"/>
              <w:jc w:val="center"/>
              <w:rPr>
                <w:rFonts w:ascii="宋体" w:hAnsi="宋体" w:cs="宋体"/>
                <w:color w:val="auto"/>
                <w:szCs w:val="21"/>
                <w:highlight w:val="none"/>
              </w:rPr>
            </w:pPr>
            <w:r>
              <w:rPr>
                <w:rFonts w:hint="eastAsia" w:ascii="宋体" w:hAnsi="宋体" w:cs="宋体"/>
                <w:color w:val="auto"/>
                <w:szCs w:val="24"/>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4A1CF286">
            <w:pPr>
              <w:wordWrap w:val="0"/>
              <w:jc w:val="center"/>
              <w:rPr>
                <w:rFonts w:ascii="宋体" w:hAnsi="宋体" w:cs="宋体"/>
                <w:color w:val="auto"/>
                <w:szCs w:val="21"/>
                <w:highlight w:val="none"/>
              </w:rPr>
            </w:pPr>
          </w:p>
        </w:tc>
        <w:tc>
          <w:tcPr>
            <w:tcW w:w="2963" w:type="dxa"/>
            <w:tcBorders>
              <w:top w:val="single" w:color="auto" w:sz="4" w:space="0"/>
              <w:left w:val="single" w:color="auto" w:sz="4" w:space="0"/>
              <w:bottom w:val="single" w:color="auto" w:sz="4" w:space="0"/>
              <w:right w:val="single" w:color="auto" w:sz="4" w:space="0"/>
            </w:tcBorders>
            <w:vAlign w:val="center"/>
          </w:tcPr>
          <w:p w14:paraId="5390CB08">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4C9CF44">
            <w:pPr>
              <w:wordWrap w:val="0"/>
              <w:jc w:val="center"/>
              <w:rPr>
                <w:rFonts w:ascii="宋体" w:hAnsi="宋体" w:cs="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D2149FA">
            <w:pPr>
              <w:wordWrap w:val="0"/>
              <w:jc w:val="center"/>
              <w:rPr>
                <w:rFonts w:ascii="宋体" w:hAnsi="宋体" w:cs="宋体"/>
                <w:color w:val="auto"/>
                <w:szCs w:val="21"/>
                <w:highlight w:val="none"/>
              </w:rPr>
            </w:pPr>
          </w:p>
        </w:tc>
      </w:tr>
      <w:tr w14:paraId="64F8E6FD">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2BE07CE">
            <w:pPr>
              <w:wordWrap w:val="0"/>
              <w:jc w:val="center"/>
              <w:rPr>
                <w:rFonts w:ascii="宋体" w:hAnsi="宋体" w:cs="宋体"/>
                <w:b/>
                <w:color w:val="auto"/>
                <w:szCs w:val="21"/>
                <w:highlight w:val="none"/>
              </w:rPr>
            </w:pPr>
            <w:r>
              <w:rPr>
                <w:rFonts w:hint="eastAsia" w:ascii="宋体" w:hAnsi="宋体" w:cs="宋体"/>
                <w:b/>
                <w:color w:val="auto"/>
                <w:szCs w:val="21"/>
                <w:highlight w:val="none"/>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14:paraId="0F3E52BD">
            <w:pPr>
              <w:wordWrap w:val="0"/>
              <w:jc w:val="center"/>
              <w:rPr>
                <w:rFonts w:ascii="宋体" w:hAnsi="宋体" w:cs="宋体"/>
                <w:color w:val="auto"/>
                <w:szCs w:val="21"/>
                <w:highlight w:val="none"/>
              </w:rPr>
            </w:pPr>
          </w:p>
        </w:tc>
      </w:tr>
    </w:tbl>
    <w:p w14:paraId="3BC258F1">
      <w:pPr>
        <w:spacing w:line="360" w:lineRule="auto"/>
        <w:rPr>
          <w:rFonts w:ascii="宋体" w:hAnsi="宋体" w:cs="宋体"/>
          <w:color w:val="auto"/>
          <w:sz w:val="24"/>
          <w:szCs w:val="32"/>
          <w:highlight w:val="none"/>
        </w:rPr>
      </w:pPr>
    </w:p>
    <w:tbl>
      <w:tblPr>
        <w:tblStyle w:val="41"/>
        <w:tblW w:w="5000" w:type="pct"/>
        <w:jc w:val="center"/>
        <w:tblLayout w:type="autofit"/>
        <w:tblCellMar>
          <w:top w:w="0" w:type="dxa"/>
          <w:left w:w="108" w:type="dxa"/>
          <w:bottom w:w="0" w:type="dxa"/>
          <w:right w:w="108" w:type="dxa"/>
        </w:tblCellMar>
      </w:tblPr>
      <w:tblGrid>
        <w:gridCol w:w="8528"/>
      </w:tblGrid>
      <w:tr w14:paraId="04C3F2B3">
        <w:tblPrEx>
          <w:tblCellMar>
            <w:top w:w="0" w:type="dxa"/>
            <w:left w:w="108" w:type="dxa"/>
            <w:bottom w:w="0" w:type="dxa"/>
            <w:right w:w="108" w:type="dxa"/>
          </w:tblCellMar>
        </w:tblPrEx>
        <w:trPr>
          <w:trHeight w:val="567" w:hRule="atLeast"/>
          <w:jc w:val="center"/>
        </w:trPr>
        <w:tc>
          <w:tcPr>
            <w:tcW w:w="5000" w:type="pct"/>
            <w:vAlign w:val="center"/>
          </w:tcPr>
          <w:p w14:paraId="29DAF802">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投标人名称（签章）：</w:t>
            </w:r>
          </w:p>
          <w:p w14:paraId="50693220">
            <w:pPr>
              <w:wordWrap w:val="0"/>
              <w:spacing w:line="360" w:lineRule="auto"/>
              <w:rPr>
                <w:rFonts w:ascii="宋体" w:hAnsi="宋体"/>
                <w:color w:val="auto"/>
                <w:sz w:val="24"/>
                <w:szCs w:val="24"/>
                <w:highlight w:val="none"/>
              </w:rPr>
            </w:pPr>
          </w:p>
          <w:p w14:paraId="6EB4E7D0">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法定代表人（或授权代表）（签章）：</w:t>
            </w:r>
          </w:p>
          <w:p w14:paraId="2D2E0FDF">
            <w:pPr>
              <w:wordWrap w:val="0"/>
              <w:spacing w:line="360" w:lineRule="auto"/>
              <w:rPr>
                <w:rFonts w:ascii="宋体" w:hAnsi="宋体"/>
                <w:color w:val="auto"/>
                <w:sz w:val="24"/>
                <w:szCs w:val="24"/>
                <w:highlight w:val="none"/>
              </w:rPr>
            </w:pPr>
          </w:p>
          <w:p w14:paraId="5B23BAD9">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日期：　　　年　　月　　日</w:t>
            </w:r>
          </w:p>
        </w:tc>
      </w:tr>
    </w:tbl>
    <w:p w14:paraId="6C4264A9">
      <w:pPr>
        <w:spacing w:line="360" w:lineRule="auto"/>
        <w:rPr>
          <w:color w:val="auto"/>
          <w:highlight w:val="none"/>
        </w:rPr>
      </w:pPr>
    </w:p>
    <w:p w14:paraId="066ABCCA">
      <w:pPr>
        <w:spacing w:line="560" w:lineRule="exact"/>
        <w:ind w:firstLine="480"/>
        <w:rPr>
          <w:rFonts w:ascii="宋体" w:hAnsi="宋体"/>
          <w:color w:val="auto"/>
          <w:szCs w:val="24"/>
          <w:highlight w:val="none"/>
        </w:rPr>
      </w:pPr>
      <w:r>
        <w:rPr>
          <w:rFonts w:hint="eastAsia" w:ascii="宋体" w:hAnsi="宋体"/>
          <w:color w:val="auto"/>
          <w:szCs w:val="24"/>
          <w:highlight w:val="none"/>
        </w:rPr>
        <w:t>供应商应针对采购包提交报价。采购包总报价和每个项目的单独报价均不得超过预算金额，采购包所含项目的报价有缺失或超过预算金额，视为无效响应。</w:t>
      </w:r>
    </w:p>
    <w:p w14:paraId="0AC4E83B">
      <w:pPr>
        <w:tabs>
          <w:tab w:val="left" w:pos="2940"/>
        </w:tabs>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48D7C46F">
      <w:pPr>
        <w:wordWrap w:val="0"/>
        <w:spacing w:line="360" w:lineRule="auto"/>
        <w:ind w:firstLine="480" w:firstLineChars="200"/>
        <w:outlineLvl w:val="2"/>
        <w:rPr>
          <w:rFonts w:ascii="宋体" w:hAnsi="宋体"/>
          <w:b/>
          <w:color w:val="auto"/>
          <w:sz w:val="24"/>
          <w:szCs w:val="24"/>
          <w:highlight w:val="none"/>
        </w:rPr>
      </w:pPr>
      <w:bookmarkStart w:id="363" w:name="_Toc140237334"/>
      <w:r>
        <w:rPr>
          <w:rFonts w:hint="eastAsia" w:ascii="宋体" w:hAnsi="宋体"/>
          <w:b/>
          <w:color w:val="auto"/>
          <w:sz w:val="24"/>
          <w:szCs w:val="24"/>
          <w:highlight w:val="none"/>
        </w:rPr>
        <w:t>6</w:t>
      </w:r>
      <w:r>
        <w:rPr>
          <w:rFonts w:ascii="宋体" w:hAnsi="宋体"/>
          <w:b/>
          <w:color w:val="auto"/>
          <w:sz w:val="24"/>
          <w:szCs w:val="24"/>
          <w:highlight w:val="none"/>
        </w:rPr>
        <w:t>.5.3</w:t>
      </w:r>
      <w:r>
        <w:rPr>
          <w:rFonts w:hint="eastAsia" w:ascii="宋体" w:hAnsi="宋体"/>
          <w:b/>
          <w:color w:val="auto"/>
          <w:sz w:val="24"/>
          <w:szCs w:val="24"/>
          <w:highlight w:val="none"/>
        </w:rPr>
        <w:t>　商务部分响应资料</w:t>
      </w:r>
      <w:bookmarkEnd w:id="363"/>
    </w:p>
    <w:p w14:paraId="1897B616">
      <w:pPr>
        <w:wordWrap w:val="0"/>
        <w:spacing w:line="360" w:lineRule="auto"/>
        <w:ind w:firstLine="480" w:firstLineChars="200"/>
        <w:rPr>
          <w:color w:val="auto"/>
          <w:sz w:val="24"/>
          <w:highlight w:val="none"/>
        </w:rPr>
      </w:pPr>
      <w:bookmarkStart w:id="364" w:name="_Hlk97887047"/>
      <w:r>
        <w:rPr>
          <w:rFonts w:hint="eastAsia"/>
          <w:color w:val="auto"/>
          <w:sz w:val="24"/>
          <w:highlight w:val="none"/>
        </w:rPr>
        <w:t>响应招标文件要求。内容自行编制。</w:t>
      </w:r>
    </w:p>
    <w:bookmarkEnd w:id="364"/>
    <w:p w14:paraId="0F3122B7">
      <w:pPr>
        <w:wordWrap w:val="0"/>
        <w:spacing w:line="360" w:lineRule="auto"/>
        <w:ind w:firstLine="480" w:firstLineChars="200"/>
        <w:outlineLvl w:val="2"/>
        <w:rPr>
          <w:rFonts w:ascii="宋体" w:hAnsi="宋体"/>
          <w:b/>
          <w:color w:val="auto"/>
          <w:sz w:val="24"/>
          <w:szCs w:val="24"/>
          <w:highlight w:val="none"/>
        </w:rPr>
      </w:pPr>
      <w:bookmarkStart w:id="365" w:name="_Toc140237335"/>
      <w:r>
        <w:rPr>
          <w:rFonts w:hint="eastAsia" w:ascii="宋体" w:hAnsi="宋体"/>
          <w:b/>
          <w:color w:val="auto"/>
          <w:sz w:val="24"/>
          <w:szCs w:val="24"/>
          <w:highlight w:val="none"/>
        </w:rPr>
        <w:t>6</w:t>
      </w:r>
      <w:r>
        <w:rPr>
          <w:rFonts w:ascii="宋体" w:hAnsi="宋体"/>
          <w:b/>
          <w:color w:val="auto"/>
          <w:sz w:val="24"/>
          <w:szCs w:val="24"/>
          <w:highlight w:val="none"/>
        </w:rPr>
        <w:t>.5.4</w:t>
      </w:r>
      <w:r>
        <w:rPr>
          <w:rFonts w:hint="eastAsia" w:ascii="宋体" w:hAnsi="宋体"/>
          <w:b/>
          <w:color w:val="auto"/>
          <w:sz w:val="24"/>
          <w:szCs w:val="24"/>
          <w:highlight w:val="none"/>
        </w:rPr>
        <w:t>　技术部分响应资料</w:t>
      </w:r>
      <w:bookmarkEnd w:id="365"/>
    </w:p>
    <w:p w14:paraId="6B0D8D36">
      <w:pPr>
        <w:wordWrap w:val="0"/>
        <w:spacing w:line="360" w:lineRule="auto"/>
        <w:ind w:firstLine="480" w:firstLineChars="200"/>
        <w:rPr>
          <w:color w:val="auto"/>
          <w:sz w:val="24"/>
          <w:highlight w:val="none"/>
        </w:rPr>
      </w:pPr>
      <w:r>
        <w:rPr>
          <w:rFonts w:hint="eastAsia"/>
          <w:color w:val="auto"/>
          <w:sz w:val="24"/>
          <w:highlight w:val="none"/>
        </w:rPr>
        <w:t>响应招标文件要求。内容自行编制。</w:t>
      </w:r>
    </w:p>
    <w:p w14:paraId="01EF3C71">
      <w:pPr>
        <w:wordWrap w:val="0"/>
        <w:spacing w:line="360" w:lineRule="auto"/>
        <w:ind w:firstLine="480" w:firstLineChars="200"/>
        <w:outlineLvl w:val="2"/>
        <w:rPr>
          <w:rFonts w:ascii="宋体" w:hAnsi="宋体"/>
          <w:b/>
          <w:color w:val="auto"/>
          <w:sz w:val="24"/>
          <w:szCs w:val="24"/>
          <w:highlight w:val="none"/>
        </w:rPr>
      </w:pPr>
      <w:bookmarkStart w:id="366" w:name="_Toc140237336"/>
      <w:r>
        <w:rPr>
          <w:rFonts w:hint="eastAsia" w:ascii="宋体" w:hAnsi="宋体"/>
          <w:b/>
          <w:color w:val="auto"/>
          <w:sz w:val="24"/>
          <w:szCs w:val="24"/>
          <w:highlight w:val="none"/>
        </w:rPr>
        <w:t>6</w:t>
      </w:r>
      <w:r>
        <w:rPr>
          <w:rFonts w:ascii="宋体" w:hAnsi="宋体"/>
          <w:b/>
          <w:color w:val="auto"/>
          <w:sz w:val="24"/>
          <w:szCs w:val="24"/>
          <w:highlight w:val="none"/>
        </w:rPr>
        <w:t>.5.5</w:t>
      </w:r>
      <w:r>
        <w:rPr>
          <w:rFonts w:hint="eastAsia" w:ascii="宋体" w:hAnsi="宋体"/>
          <w:b/>
          <w:color w:val="auto"/>
          <w:sz w:val="24"/>
          <w:szCs w:val="24"/>
          <w:highlight w:val="none"/>
        </w:rPr>
        <w:t>　其他响应资料</w:t>
      </w:r>
      <w:bookmarkEnd w:id="366"/>
    </w:p>
    <w:p w14:paraId="51EE7D36">
      <w:pPr>
        <w:wordWrap w:val="0"/>
        <w:spacing w:line="360" w:lineRule="auto"/>
        <w:ind w:firstLine="480" w:firstLineChars="200"/>
        <w:rPr>
          <w:color w:val="auto"/>
          <w:sz w:val="24"/>
          <w:highlight w:val="none"/>
        </w:rPr>
      </w:pPr>
      <w:r>
        <w:rPr>
          <w:rFonts w:hint="eastAsia"/>
          <w:color w:val="auto"/>
          <w:sz w:val="24"/>
          <w:highlight w:val="none"/>
        </w:rPr>
        <w:t>响应招标文件要求。内容自行编制。</w:t>
      </w:r>
    </w:p>
    <w:p w14:paraId="4546695F">
      <w:pPr>
        <w:wordWrap w:val="0"/>
        <w:spacing w:line="360" w:lineRule="auto"/>
        <w:ind w:firstLine="480" w:firstLineChars="200"/>
        <w:outlineLvl w:val="2"/>
        <w:rPr>
          <w:rFonts w:ascii="宋体" w:hAnsi="宋体"/>
          <w:b/>
          <w:color w:val="auto"/>
          <w:sz w:val="24"/>
          <w:szCs w:val="24"/>
          <w:highlight w:val="none"/>
        </w:rPr>
      </w:pPr>
      <w:bookmarkStart w:id="367" w:name="_Toc140237337"/>
      <w:r>
        <w:rPr>
          <w:rFonts w:hint="eastAsia" w:ascii="宋体" w:hAnsi="宋体"/>
          <w:b/>
          <w:color w:val="auto"/>
          <w:sz w:val="24"/>
          <w:szCs w:val="24"/>
          <w:highlight w:val="none"/>
        </w:rPr>
        <w:t>6</w:t>
      </w:r>
      <w:r>
        <w:rPr>
          <w:rFonts w:ascii="宋体" w:hAnsi="宋体"/>
          <w:b/>
          <w:color w:val="auto"/>
          <w:sz w:val="24"/>
          <w:szCs w:val="24"/>
          <w:highlight w:val="none"/>
        </w:rPr>
        <w:t>.5.6</w:t>
      </w:r>
      <w:r>
        <w:rPr>
          <w:rFonts w:hint="eastAsia" w:ascii="宋体" w:hAnsi="宋体"/>
          <w:b/>
          <w:color w:val="auto"/>
          <w:sz w:val="24"/>
          <w:szCs w:val="24"/>
          <w:highlight w:val="none"/>
        </w:rPr>
        <w:t>　技术参数偏离表</w:t>
      </w:r>
      <w:bookmarkEnd w:id="367"/>
    </w:p>
    <w:p w14:paraId="39452972">
      <w:pPr>
        <w:wordWrap w:val="0"/>
        <w:spacing w:line="360" w:lineRule="auto"/>
        <w:ind w:firstLine="480" w:firstLineChars="200"/>
        <w:rPr>
          <w:color w:val="auto"/>
          <w:sz w:val="24"/>
          <w:highlight w:val="none"/>
        </w:rPr>
      </w:pPr>
      <w:bookmarkStart w:id="368" w:name="_Toc25172_WPSOffice_Level2"/>
      <w:bookmarkStart w:id="369" w:name="_Toc13287_WPSOffice_Level2"/>
      <w:r>
        <w:rPr>
          <w:rFonts w:hint="eastAsia"/>
          <w:color w:val="auto"/>
          <w:sz w:val="24"/>
          <w:highlight w:val="none"/>
        </w:rPr>
        <w:t>响应招标文件要求。《技术参数偏离表》</w:t>
      </w:r>
      <w:r>
        <w:rPr>
          <w:rFonts w:hint="eastAsia" w:ascii="宋体" w:hAnsi="宋体"/>
          <w:color w:val="auto"/>
          <w:sz w:val="24"/>
          <w:szCs w:val="24"/>
          <w:highlight w:val="none"/>
        </w:rPr>
        <w:t>样式附后。</w:t>
      </w:r>
    </w:p>
    <w:p w14:paraId="37C6F082">
      <w:pPr>
        <w:wordWrap w:val="0"/>
        <w:spacing w:line="360" w:lineRule="auto"/>
        <w:jc w:val="center"/>
        <w:rPr>
          <w:rFonts w:ascii="宋体" w:hAnsi="宋体" w:cs="宋体"/>
          <w:b/>
          <w:color w:val="auto"/>
          <w:sz w:val="32"/>
          <w:szCs w:val="28"/>
          <w:highlight w:val="none"/>
        </w:rPr>
        <w:sectPr>
          <w:pgSz w:w="11906" w:h="16838"/>
          <w:pgMar w:top="1440" w:right="1797" w:bottom="1440" w:left="1797" w:header="851" w:footer="992" w:gutter="0"/>
          <w:cols w:space="720" w:num="1"/>
          <w:docGrid w:type="linesAndChars" w:linePitch="319" w:charSpace="0"/>
        </w:sectPr>
      </w:pPr>
    </w:p>
    <w:p w14:paraId="006ABCAC">
      <w:pPr>
        <w:wordWrap w:val="0"/>
        <w:spacing w:line="360" w:lineRule="auto"/>
        <w:jc w:val="center"/>
        <w:rPr>
          <w:rFonts w:ascii="宋体" w:hAnsi="宋体" w:cs="宋体"/>
          <w:b/>
          <w:color w:val="auto"/>
          <w:sz w:val="32"/>
          <w:szCs w:val="28"/>
          <w:highlight w:val="none"/>
        </w:rPr>
      </w:pPr>
      <w:r>
        <w:rPr>
          <w:rFonts w:hint="eastAsia" w:ascii="宋体" w:hAnsi="宋体" w:cs="宋体"/>
          <w:b/>
          <w:color w:val="auto"/>
          <w:sz w:val="32"/>
          <w:szCs w:val="28"/>
          <w:highlight w:val="none"/>
        </w:rPr>
        <w:t>技术参数偏离表</w:t>
      </w:r>
      <w:bookmarkEnd w:id="368"/>
      <w:bookmarkEnd w:id="369"/>
    </w:p>
    <w:tbl>
      <w:tblPr>
        <w:tblStyle w:val="41"/>
        <w:tblpPr w:leftFromText="180" w:rightFromText="180" w:vertAnchor="text" w:horzAnchor="page" w:tblpXSpec="center" w:tblpY="165"/>
        <w:tblOverlap w:val="never"/>
        <w:tblW w:w="8926" w:type="dxa"/>
        <w:jc w:val="center"/>
        <w:tblLayout w:type="fixed"/>
        <w:tblCellMar>
          <w:top w:w="0" w:type="dxa"/>
          <w:left w:w="0" w:type="dxa"/>
          <w:bottom w:w="0" w:type="dxa"/>
          <w:right w:w="0" w:type="dxa"/>
        </w:tblCellMar>
      </w:tblPr>
      <w:tblGrid>
        <w:gridCol w:w="851"/>
        <w:gridCol w:w="3331"/>
        <w:gridCol w:w="3331"/>
        <w:gridCol w:w="1413"/>
      </w:tblGrid>
      <w:tr w14:paraId="0C84DF5A">
        <w:tblPrEx>
          <w:tblCellMar>
            <w:top w:w="0" w:type="dxa"/>
            <w:left w:w="0" w:type="dxa"/>
            <w:bottom w:w="0" w:type="dxa"/>
            <w:right w:w="0" w:type="dxa"/>
          </w:tblCellMar>
        </w:tblPrEx>
        <w:trPr>
          <w:cantSplit/>
          <w:trHeight w:val="794" w:hRule="atLeast"/>
          <w:jc w:val="center"/>
        </w:trPr>
        <w:tc>
          <w:tcPr>
            <w:tcW w:w="4182" w:type="dxa"/>
            <w:gridSpan w:val="2"/>
            <w:tcBorders>
              <w:bottom w:val="single" w:color="auto" w:sz="4" w:space="0"/>
            </w:tcBorders>
            <w:tcMar>
              <w:top w:w="15" w:type="dxa"/>
              <w:left w:w="15" w:type="dxa"/>
              <w:bottom w:w="0" w:type="dxa"/>
              <w:right w:w="15" w:type="dxa"/>
            </w:tcMar>
            <w:vAlign w:val="center"/>
          </w:tcPr>
          <w:p w14:paraId="19D4D3E6">
            <w:pPr>
              <w:wordWrap w:val="0"/>
              <w:rPr>
                <w:rFonts w:ascii="宋体" w:hAnsi="宋体" w:cs="宋体"/>
                <w:bCs/>
                <w:color w:val="auto"/>
                <w:szCs w:val="21"/>
                <w:highlight w:val="none"/>
              </w:rPr>
            </w:pPr>
            <w:bookmarkStart w:id="370" w:name="_Toc91323638"/>
            <w:r>
              <w:rPr>
                <w:rFonts w:hint="eastAsia" w:ascii="宋体" w:hAnsi="宋体" w:cs="宋体"/>
                <w:bCs/>
                <w:color w:val="auto"/>
                <w:szCs w:val="21"/>
                <w:highlight w:val="none"/>
              </w:rPr>
              <w:t>项目编号：</w:t>
            </w:r>
          </w:p>
          <w:p w14:paraId="14D1E7FD">
            <w:pPr>
              <w:wordWrap w:val="0"/>
              <w:rPr>
                <w:rFonts w:ascii="宋体" w:hAnsi="宋体" w:cs="宋体"/>
                <w:b/>
                <w:color w:val="auto"/>
                <w:szCs w:val="21"/>
                <w:highlight w:val="none"/>
              </w:rPr>
            </w:pPr>
            <w:r>
              <w:rPr>
                <w:rFonts w:hint="eastAsia" w:ascii="宋体" w:hAnsi="宋体"/>
                <w:color w:val="auto"/>
                <w:szCs w:val="21"/>
                <w:highlight w:val="none"/>
              </w:rPr>
              <w:t>分包</w:t>
            </w:r>
            <w:r>
              <w:rPr>
                <w:rFonts w:hint="eastAsia" w:ascii="宋体" w:hAnsi="宋体" w:cs="宋体"/>
                <w:bCs/>
                <w:color w:val="auto"/>
                <w:szCs w:val="21"/>
                <w:highlight w:val="none"/>
              </w:rPr>
              <w:t>编号</w:t>
            </w:r>
            <w:r>
              <w:rPr>
                <w:rFonts w:hint="eastAsia" w:ascii="宋体" w:hAnsi="宋体"/>
                <w:color w:val="auto"/>
                <w:szCs w:val="21"/>
                <w:highlight w:val="none"/>
              </w:rPr>
              <w:t>：</w:t>
            </w:r>
          </w:p>
        </w:tc>
        <w:tc>
          <w:tcPr>
            <w:tcW w:w="4744" w:type="dxa"/>
            <w:gridSpan w:val="2"/>
            <w:tcBorders>
              <w:bottom w:val="single" w:color="auto" w:sz="4" w:space="0"/>
            </w:tcBorders>
            <w:tcMar>
              <w:top w:w="15" w:type="dxa"/>
              <w:left w:w="15" w:type="dxa"/>
              <w:bottom w:w="0" w:type="dxa"/>
              <w:right w:w="15" w:type="dxa"/>
            </w:tcMar>
            <w:vAlign w:val="center"/>
          </w:tcPr>
          <w:p w14:paraId="53BD9430">
            <w:pPr>
              <w:wordWrap w:val="0"/>
              <w:rPr>
                <w:rFonts w:ascii="宋体" w:hAnsi="宋体" w:cs="宋体"/>
                <w:bCs/>
                <w:color w:val="auto"/>
                <w:szCs w:val="21"/>
                <w:highlight w:val="none"/>
              </w:rPr>
            </w:pPr>
            <w:r>
              <w:rPr>
                <w:rFonts w:hint="eastAsia" w:ascii="宋体" w:hAnsi="宋体" w:cs="宋体"/>
                <w:bCs/>
                <w:color w:val="auto"/>
                <w:szCs w:val="21"/>
                <w:highlight w:val="none"/>
              </w:rPr>
              <w:t>项目名称：</w:t>
            </w:r>
          </w:p>
          <w:p w14:paraId="2AEACB45">
            <w:pPr>
              <w:wordWrap w:val="0"/>
              <w:rPr>
                <w:rFonts w:ascii="宋体" w:hAnsi="宋体" w:cs="宋体"/>
                <w:b/>
                <w:color w:val="auto"/>
                <w:szCs w:val="21"/>
                <w:highlight w:val="none"/>
              </w:rPr>
            </w:pPr>
            <w:r>
              <w:rPr>
                <w:rFonts w:hint="eastAsia" w:ascii="宋体" w:hAnsi="宋体" w:cs="宋体"/>
                <w:bCs/>
                <w:color w:val="auto"/>
                <w:szCs w:val="21"/>
                <w:highlight w:val="none"/>
              </w:rPr>
              <w:t>分包名称：</w:t>
            </w:r>
          </w:p>
        </w:tc>
      </w:tr>
      <w:tr w14:paraId="0C04AC77">
        <w:tblPrEx>
          <w:tblCellMar>
            <w:top w:w="0" w:type="dxa"/>
            <w:left w:w="0" w:type="dxa"/>
            <w:bottom w:w="0" w:type="dxa"/>
            <w:right w:w="0" w:type="dxa"/>
          </w:tblCellMar>
        </w:tblPrEx>
        <w:trPr>
          <w:cantSplit/>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92588">
            <w:pPr>
              <w:wordWrap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A1C832">
            <w:pPr>
              <w:wordWrap w:val="0"/>
              <w:jc w:val="center"/>
              <w:rPr>
                <w:rFonts w:ascii="宋体" w:hAnsi="宋体" w:cs="宋体"/>
                <w:b/>
                <w:color w:val="auto"/>
                <w:szCs w:val="21"/>
                <w:highlight w:val="none"/>
              </w:rPr>
            </w:pPr>
            <w:bookmarkStart w:id="371" w:name="_Hlk140833394"/>
            <w:r>
              <w:rPr>
                <w:rFonts w:hint="eastAsia" w:ascii="宋体" w:hAnsi="宋体" w:cs="宋体"/>
                <w:b/>
                <w:color w:val="auto"/>
                <w:szCs w:val="21"/>
                <w:highlight w:val="none"/>
              </w:rPr>
              <w:t>技术参数要求</w:t>
            </w:r>
            <w:bookmarkEnd w:id="371"/>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89EE52">
            <w:pPr>
              <w:wordWrap w:val="0"/>
              <w:jc w:val="center"/>
              <w:rPr>
                <w:rFonts w:ascii="宋体" w:hAnsi="宋体"/>
                <w:b/>
                <w:color w:val="auto"/>
                <w:szCs w:val="21"/>
                <w:highlight w:val="none"/>
              </w:rPr>
            </w:pPr>
            <w:bookmarkStart w:id="372" w:name="_Hlk140831808"/>
            <w:r>
              <w:rPr>
                <w:rFonts w:hint="eastAsia" w:ascii="宋体" w:hAnsi="宋体"/>
                <w:b/>
                <w:color w:val="auto"/>
                <w:szCs w:val="21"/>
                <w:highlight w:val="none"/>
              </w:rPr>
              <w:t>投标技术参数</w:t>
            </w:r>
            <w:bookmarkEnd w:id="372"/>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88968E">
            <w:pPr>
              <w:wordWrap w:val="0"/>
              <w:jc w:val="center"/>
              <w:rPr>
                <w:rFonts w:ascii="宋体" w:hAnsi="宋体" w:cs="宋体"/>
                <w:b/>
                <w:color w:val="auto"/>
                <w:szCs w:val="21"/>
                <w:highlight w:val="none"/>
              </w:rPr>
            </w:pPr>
            <w:bookmarkStart w:id="373" w:name="_Hlk140831728"/>
            <w:r>
              <w:rPr>
                <w:rFonts w:hint="eastAsia" w:ascii="宋体" w:hAnsi="宋体" w:cs="宋体"/>
                <w:b/>
                <w:color w:val="auto"/>
                <w:szCs w:val="21"/>
                <w:highlight w:val="none"/>
              </w:rPr>
              <w:t>偏离情况</w:t>
            </w:r>
            <w:bookmarkEnd w:id="373"/>
          </w:p>
        </w:tc>
      </w:tr>
      <w:tr w14:paraId="214F12B6">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913C5">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582B6F">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70402">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B1B3E5">
            <w:pPr>
              <w:wordWrap w:val="0"/>
              <w:jc w:val="center"/>
              <w:rPr>
                <w:rFonts w:ascii="宋体" w:hAnsi="宋体" w:cs="宋体"/>
                <w:color w:val="auto"/>
                <w:szCs w:val="21"/>
                <w:highlight w:val="none"/>
              </w:rPr>
            </w:pPr>
          </w:p>
        </w:tc>
      </w:tr>
      <w:tr w14:paraId="1D28516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DA4A2">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F1D6DB">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C8114">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096DC">
            <w:pPr>
              <w:wordWrap w:val="0"/>
              <w:jc w:val="center"/>
              <w:rPr>
                <w:rFonts w:ascii="宋体" w:hAnsi="宋体" w:cs="宋体"/>
                <w:color w:val="auto"/>
                <w:szCs w:val="21"/>
                <w:highlight w:val="none"/>
              </w:rPr>
            </w:pPr>
          </w:p>
        </w:tc>
      </w:tr>
      <w:tr w14:paraId="6894C07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7FAAB">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E83D93">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8F06DF">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076404">
            <w:pPr>
              <w:wordWrap w:val="0"/>
              <w:jc w:val="center"/>
              <w:rPr>
                <w:rFonts w:ascii="宋体" w:hAnsi="宋体" w:cs="宋体"/>
                <w:color w:val="auto"/>
                <w:szCs w:val="21"/>
                <w:highlight w:val="none"/>
              </w:rPr>
            </w:pPr>
          </w:p>
        </w:tc>
      </w:tr>
      <w:tr w14:paraId="3513C0F4">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8C5B0">
            <w:pPr>
              <w:wordWrap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4C1B6">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78359D">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ADA15A">
            <w:pPr>
              <w:wordWrap w:val="0"/>
              <w:jc w:val="center"/>
              <w:rPr>
                <w:rFonts w:ascii="宋体" w:hAnsi="宋体" w:cs="宋体"/>
                <w:color w:val="auto"/>
                <w:szCs w:val="21"/>
                <w:highlight w:val="none"/>
              </w:rPr>
            </w:pPr>
          </w:p>
        </w:tc>
      </w:tr>
      <w:tr w14:paraId="7D1C961C">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E2083">
            <w:pPr>
              <w:wordWrap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92338E">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D0B2FD">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6F7D0A">
            <w:pPr>
              <w:wordWrap w:val="0"/>
              <w:jc w:val="center"/>
              <w:rPr>
                <w:rFonts w:ascii="宋体" w:hAnsi="宋体" w:cs="宋体"/>
                <w:color w:val="auto"/>
                <w:szCs w:val="21"/>
                <w:highlight w:val="none"/>
              </w:rPr>
            </w:pPr>
          </w:p>
        </w:tc>
      </w:tr>
      <w:tr w14:paraId="5128C2D1">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B7BA30">
            <w:pPr>
              <w:wordWrap w:val="0"/>
              <w:jc w:val="center"/>
              <w:rPr>
                <w:rFonts w:ascii="宋体" w:hAnsi="宋体" w:cs="宋体"/>
                <w:color w:val="auto"/>
                <w:szCs w:val="21"/>
                <w:highlight w:val="none"/>
              </w:rPr>
            </w:pPr>
            <w:r>
              <w:rPr>
                <w:rFonts w:hint="eastAsia" w:ascii="宋体" w:hAnsi="宋体" w:cs="宋体"/>
                <w:color w:val="auto"/>
                <w:szCs w:val="24"/>
                <w:highlight w:val="none"/>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EB3C1">
            <w:pPr>
              <w:wordWrap w:val="0"/>
              <w:jc w:val="center"/>
              <w:rPr>
                <w:rFonts w:ascii="宋体" w:hAnsi="宋体" w:cs="宋体"/>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2D7AC">
            <w:pPr>
              <w:wordWrap w:val="0"/>
              <w:jc w:val="center"/>
              <w:rPr>
                <w:rFonts w:ascii="宋体" w:hAnsi="宋体" w:cs="宋体"/>
                <w:color w:val="auto"/>
                <w:szCs w:val="21"/>
                <w:highlight w:val="none"/>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488BD2">
            <w:pPr>
              <w:wordWrap w:val="0"/>
              <w:jc w:val="center"/>
              <w:rPr>
                <w:rFonts w:ascii="宋体" w:hAnsi="宋体" w:cs="宋体"/>
                <w:color w:val="auto"/>
                <w:szCs w:val="21"/>
                <w:highlight w:val="none"/>
              </w:rPr>
            </w:pPr>
          </w:p>
        </w:tc>
      </w:tr>
    </w:tbl>
    <w:p w14:paraId="23C6A95D">
      <w:pPr>
        <w:spacing w:line="360" w:lineRule="auto"/>
        <w:rPr>
          <w:rFonts w:ascii="宋体" w:hAnsi="宋体"/>
          <w:color w:val="auto"/>
          <w:sz w:val="24"/>
          <w:highlight w:val="none"/>
        </w:rPr>
      </w:pPr>
    </w:p>
    <w:p w14:paraId="175C1BAC">
      <w:pPr>
        <w:pStyle w:val="15"/>
        <w:spacing w:line="360" w:lineRule="auto"/>
        <w:rPr>
          <w:rFonts w:ascii="宋体" w:hAnsi="宋体"/>
          <w:color w:val="auto"/>
          <w:highlight w:val="none"/>
        </w:rPr>
      </w:pPr>
      <w:r>
        <w:rPr>
          <w:rFonts w:hint="eastAsia" w:ascii="宋体" w:hAnsi="宋体"/>
          <w:b/>
          <w:color w:val="auto"/>
          <w:highlight w:val="none"/>
        </w:rPr>
        <w:t>注：</w:t>
      </w:r>
      <w:r>
        <w:rPr>
          <w:rFonts w:hint="eastAsia" w:ascii="宋体" w:hAnsi="宋体"/>
          <w:color w:val="auto"/>
          <w:highlight w:val="none"/>
        </w:rPr>
        <w:t>1.“技术参数要求”栏应逐项列明招标文件要求的各项技术参数。</w:t>
      </w:r>
    </w:p>
    <w:p w14:paraId="439E4284">
      <w:pPr>
        <w:pStyle w:val="15"/>
        <w:spacing w:line="360" w:lineRule="auto"/>
        <w:ind w:firstLine="48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“投标技术参数”栏应对应填写投标产品的实际技术参数。</w:t>
      </w:r>
    </w:p>
    <w:p w14:paraId="296AA22A">
      <w:pPr>
        <w:pStyle w:val="15"/>
        <w:spacing w:line="360" w:lineRule="auto"/>
        <w:ind w:firstLine="48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.“偏离情况”栏应如实填写正偏离、负偏离或无偏离。</w:t>
      </w:r>
    </w:p>
    <w:p w14:paraId="7ADBE16C">
      <w:pPr>
        <w:pStyle w:val="15"/>
        <w:spacing w:line="360" w:lineRule="auto"/>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w:t>
      </w:r>
      <w:bookmarkStart w:id="374" w:name="_Hlk140841482"/>
      <w:r>
        <w:rPr>
          <w:rFonts w:hint="eastAsia" w:ascii="宋体" w:hAnsi="宋体"/>
          <w:color w:val="auto"/>
          <w:highlight w:val="none"/>
        </w:rPr>
        <w:t>投标人应提供所填投标技术参数</w:t>
      </w:r>
      <w:bookmarkEnd w:id="374"/>
      <w:r>
        <w:rPr>
          <w:rFonts w:hint="eastAsia" w:ascii="宋体" w:hAnsi="宋体"/>
          <w:color w:val="auto"/>
          <w:highlight w:val="none"/>
        </w:rPr>
        <w:t>的相应佐证资料，以供审查。</w:t>
      </w:r>
    </w:p>
    <w:p w14:paraId="6063E6F7">
      <w:pPr>
        <w:pStyle w:val="15"/>
        <w:spacing w:line="360" w:lineRule="auto"/>
        <w:ind w:firstLine="48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投标人所填投标技术参数完全复制技术参数要求的，视为无效投标。</w:t>
      </w:r>
    </w:p>
    <w:p w14:paraId="73A07FF2">
      <w:pPr>
        <w:spacing w:line="360" w:lineRule="auto"/>
        <w:rPr>
          <w:color w:val="auto"/>
          <w:sz w:val="24"/>
          <w:highlight w:val="none"/>
        </w:rPr>
      </w:pPr>
    </w:p>
    <w:tbl>
      <w:tblPr>
        <w:tblStyle w:val="41"/>
        <w:tblW w:w="5000" w:type="pct"/>
        <w:jc w:val="center"/>
        <w:tblLayout w:type="autofit"/>
        <w:tblCellMar>
          <w:top w:w="0" w:type="dxa"/>
          <w:left w:w="108" w:type="dxa"/>
          <w:bottom w:w="0" w:type="dxa"/>
          <w:right w:w="108" w:type="dxa"/>
        </w:tblCellMar>
      </w:tblPr>
      <w:tblGrid>
        <w:gridCol w:w="8528"/>
      </w:tblGrid>
      <w:tr w14:paraId="5F5E1232">
        <w:tblPrEx>
          <w:tblCellMar>
            <w:top w:w="0" w:type="dxa"/>
            <w:left w:w="108" w:type="dxa"/>
            <w:bottom w:w="0" w:type="dxa"/>
            <w:right w:w="108" w:type="dxa"/>
          </w:tblCellMar>
        </w:tblPrEx>
        <w:trPr>
          <w:trHeight w:val="567" w:hRule="atLeast"/>
          <w:jc w:val="center"/>
        </w:trPr>
        <w:tc>
          <w:tcPr>
            <w:tcW w:w="5000" w:type="pct"/>
            <w:vAlign w:val="center"/>
          </w:tcPr>
          <w:p w14:paraId="6F596E88">
            <w:pPr>
              <w:wordWrap w:val="0"/>
              <w:spacing w:line="360" w:lineRule="auto"/>
              <w:ind w:left="3150" w:leftChars="1500"/>
              <w:rPr>
                <w:rFonts w:ascii="宋体" w:hAnsi="宋体"/>
                <w:color w:val="auto"/>
                <w:sz w:val="24"/>
                <w:szCs w:val="24"/>
                <w:highlight w:val="none"/>
              </w:rPr>
            </w:pPr>
            <w:bookmarkStart w:id="375" w:name="_Hlk140760042"/>
            <w:r>
              <w:rPr>
                <w:rFonts w:hint="eastAsia" w:ascii="宋体" w:hAnsi="宋体"/>
                <w:color w:val="auto"/>
                <w:sz w:val="24"/>
                <w:szCs w:val="24"/>
                <w:highlight w:val="none"/>
              </w:rPr>
              <w:t>投标人名称（签章）：</w:t>
            </w:r>
          </w:p>
          <w:p w14:paraId="54F24EEA">
            <w:pPr>
              <w:wordWrap w:val="0"/>
              <w:spacing w:line="360" w:lineRule="auto"/>
              <w:rPr>
                <w:rFonts w:ascii="宋体" w:hAnsi="宋体"/>
                <w:color w:val="auto"/>
                <w:sz w:val="24"/>
                <w:szCs w:val="24"/>
                <w:highlight w:val="none"/>
              </w:rPr>
            </w:pPr>
          </w:p>
          <w:p w14:paraId="6ECA5C6B">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法定代表人（或授权代表）（签章）：</w:t>
            </w:r>
          </w:p>
          <w:p w14:paraId="644866E9">
            <w:pPr>
              <w:wordWrap w:val="0"/>
              <w:spacing w:line="360" w:lineRule="auto"/>
              <w:rPr>
                <w:rFonts w:ascii="宋体" w:hAnsi="宋体"/>
                <w:color w:val="auto"/>
                <w:sz w:val="24"/>
                <w:szCs w:val="24"/>
                <w:highlight w:val="none"/>
              </w:rPr>
            </w:pPr>
          </w:p>
          <w:p w14:paraId="48A0E42B">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日期：　　　年　　月　　日</w:t>
            </w:r>
          </w:p>
        </w:tc>
      </w:tr>
      <w:bookmarkEnd w:id="375"/>
    </w:tbl>
    <w:p w14:paraId="36ECFA6E">
      <w:pPr>
        <w:spacing w:line="360" w:lineRule="auto"/>
        <w:rPr>
          <w:rFonts w:ascii="宋体" w:hAnsi="宋体"/>
          <w:color w:val="auto"/>
          <w:sz w:val="24"/>
          <w:highlight w:val="none"/>
        </w:rPr>
      </w:pPr>
    </w:p>
    <w:p w14:paraId="2A139CFF">
      <w:pPr>
        <w:pStyle w:val="15"/>
        <w:rPr>
          <w:color w:val="auto"/>
          <w:highlight w:val="none"/>
        </w:rPr>
        <w:sectPr>
          <w:pgSz w:w="11906" w:h="16838"/>
          <w:pgMar w:top="1440" w:right="1797" w:bottom="1440" w:left="1797" w:header="851" w:footer="992" w:gutter="0"/>
          <w:cols w:space="720" w:num="1"/>
          <w:docGrid w:type="linesAndChars" w:linePitch="319" w:charSpace="0"/>
        </w:sectPr>
      </w:pPr>
    </w:p>
    <w:p w14:paraId="6A169503">
      <w:pPr>
        <w:wordWrap w:val="0"/>
        <w:spacing w:line="360" w:lineRule="auto"/>
        <w:ind w:firstLine="480" w:firstLineChars="200"/>
        <w:outlineLvl w:val="1"/>
        <w:rPr>
          <w:rFonts w:ascii="宋体" w:hAnsi="宋体"/>
          <w:b/>
          <w:color w:val="auto"/>
          <w:sz w:val="24"/>
          <w:szCs w:val="24"/>
          <w:highlight w:val="none"/>
        </w:rPr>
      </w:pPr>
      <w:bookmarkStart w:id="376" w:name="_Toc140237338"/>
      <w:r>
        <w:rPr>
          <w:rFonts w:ascii="宋体" w:hAnsi="宋体"/>
          <w:b/>
          <w:color w:val="auto"/>
          <w:sz w:val="24"/>
          <w:szCs w:val="24"/>
          <w:highlight w:val="none"/>
        </w:rPr>
        <w:t>6</w:t>
      </w:r>
      <w:r>
        <w:rPr>
          <w:rFonts w:hint="eastAsia" w:ascii="宋体" w:hAnsi="宋体"/>
          <w:b/>
          <w:color w:val="auto"/>
          <w:sz w:val="24"/>
          <w:szCs w:val="24"/>
          <w:highlight w:val="none"/>
        </w:rPr>
        <w:t>.6　</w:t>
      </w:r>
      <w:bookmarkStart w:id="377" w:name="_Hlk97906270"/>
      <w:r>
        <w:rPr>
          <w:rFonts w:hint="eastAsia" w:ascii="宋体" w:hAnsi="宋体"/>
          <w:b/>
          <w:color w:val="auto"/>
          <w:sz w:val="24"/>
          <w:szCs w:val="24"/>
          <w:highlight w:val="none"/>
        </w:rPr>
        <w:t>其他必要</w:t>
      </w:r>
      <w:bookmarkEnd w:id="370"/>
      <w:bookmarkEnd w:id="377"/>
      <w:bookmarkStart w:id="378" w:name="_Hlk97216832"/>
      <w:r>
        <w:rPr>
          <w:rFonts w:hint="eastAsia" w:ascii="宋体" w:hAnsi="宋体"/>
          <w:b/>
          <w:color w:val="auto"/>
          <w:sz w:val="24"/>
          <w:szCs w:val="24"/>
          <w:highlight w:val="none"/>
        </w:rPr>
        <w:t>材料</w:t>
      </w:r>
      <w:bookmarkEnd w:id="376"/>
    </w:p>
    <w:p w14:paraId="7F5F8FB8">
      <w:pPr>
        <w:wordWrap w:val="0"/>
        <w:spacing w:line="360" w:lineRule="auto"/>
        <w:ind w:firstLine="480" w:firstLineChars="200"/>
        <w:outlineLvl w:val="2"/>
        <w:rPr>
          <w:rFonts w:ascii="宋体" w:hAnsi="宋体"/>
          <w:b/>
          <w:color w:val="auto"/>
          <w:sz w:val="24"/>
          <w:szCs w:val="24"/>
          <w:highlight w:val="none"/>
        </w:rPr>
      </w:pPr>
      <w:bookmarkStart w:id="379" w:name="_Toc140237339"/>
      <w:r>
        <w:rPr>
          <w:rFonts w:hint="eastAsia" w:ascii="宋体" w:hAnsi="宋体"/>
          <w:b/>
          <w:color w:val="auto"/>
          <w:sz w:val="24"/>
          <w:szCs w:val="24"/>
          <w:highlight w:val="none"/>
        </w:rPr>
        <w:t>6</w:t>
      </w:r>
      <w:r>
        <w:rPr>
          <w:rFonts w:ascii="宋体" w:hAnsi="宋体"/>
          <w:b/>
          <w:color w:val="auto"/>
          <w:sz w:val="24"/>
          <w:szCs w:val="24"/>
          <w:highlight w:val="none"/>
        </w:rPr>
        <w:t>.6.1</w:t>
      </w:r>
      <w:r>
        <w:rPr>
          <w:rFonts w:hint="eastAsia" w:ascii="宋体" w:hAnsi="宋体"/>
          <w:b/>
          <w:color w:val="auto"/>
          <w:sz w:val="24"/>
          <w:szCs w:val="24"/>
          <w:highlight w:val="none"/>
        </w:rPr>
        <w:t>　投标保证金相关资料</w:t>
      </w:r>
      <w:bookmarkEnd w:id="379"/>
    </w:p>
    <w:p w14:paraId="10197ACF">
      <w:pPr>
        <w:wordWrap w:val="0"/>
        <w:spacing w:line="360" w:lineRule="auto"/>
        <w:ind w:firstLine="480" w:firstLineChars="200"/>
        <w:rPr>
          <w:rFonts w:ascii="宋体" w:hAnsi="宋体"/>
          <w:color w:val="auto"/>
          <w:sz w:val="24"/>
          <w:szCs w:val="24"/>
          <w:highlight w:val="none"/>
        </w:rPr>
      </w:pPr>
      <w:bookmarkStart w:id="380" w:name="_Hlk100939265"/>
      <w:r>
        <w:rPr>
          <w:rFonts w:hint="eastAsia" w:ascii="宋体" w:hAnsi="宋体"/>
          <w:color w:val="auto"/>
          <w:sz w:val="24"/>
          <w:szCs w:val="24"/>
          <w:highlight w:val="none"/>
        </w:rPr>
        <w:t>本项目投标保证金见《投标人须知前附表》。</w:t>
      </w:r>
      <w:bookmarkEnd w:id="380"/>
      <w:r>
        <w:rPr>
          <w:rFonts w:hint="eastAsia" w:ascii="宋体" w:hAnsi="宋体"/>
          <w:color w:val="auto"/>
          <w:sz w:val="24"/>
          <w:szCs w:val="24"/>
          <w:highlight w:val="none"/>
        </w:rPr>
        <w:t>若有，须提供。</w:t>
      </w:r>
    </w:p>
    <w:bookmarkEnd w:id="378"/>
    <w:p w14:paraId="3C891F81">
      <w:pPr>
        <w:wordWrap w:val="0"/>
        <w:spacing w:line="360" w:lineRule="auto"/>
        <w:ind w:firstLine="480" w:firstLineChars="200"/>
        <w:outlineLvl w:val="2"/>
        <w:rPr>
          <w:rFonts w:ascii="宋体" w:hAnsi="宋体"/>
          <w:b/>
          <w:color w:val="auto"/>
          <w:sz w:val="24"/>
          <w:szCs w:val="24"/>
          <w:highlight w:val="none"/>
        </w:rPr>
      </w:pPr>
      <w:bookmarkStart w:id="381" w:name="_Toc140237340"/>
      <w:r>
        <w:rPr>
          <w:rFonts w:hint="eastAsia" w:ascii="宋体" w:hAnsi="宋体"/>
          <w:b/>
          <w:color w:val="auto"/>
          <w:sz w:val="24"/>
          <w:szCs w:val="24"/>
          <w:highlight w:val="none"/>
        </w:rPr>
        <w:t>6</w:t>
      </w:r>
      <w:r>
        <w:rPr>
          <w:rFonts w:ascii="宋体" w:hAnsi="宋体"/>
          <w:b/>
          <w:color w:val="auto"/>
          <w:sz w:val="24"/>
          <w:szCs w:val="24"/>
          <w:highlight w:val="none"/>
        </w:rPr>
        <w:t>.6.2</w:t>
      </w:r>
      <w:r>
        <w:rPr>
          <w:rFonts w:hint="eastAsia" w:ascii="宋体" w:hAnsi="宋体"/>
          <w:b/>
          <w:color w:val="auto"/>
          <w:sz w:val="24"/>
          <w:szCs w:val="24"/>
          <w:highlight w:val="none"/>
        </w:rPr>
        <w:t>　节能产品相关资料</w:t>
      </w:r>
      <w:bookmarkEnd w:id="381"/>
    </w:p>
    <w:p w14:paraId="738A7C9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节能产品是指财政部、国家发展和改革委员会公布的现行《节能产品政府采购品目清单》内的产品，其中，</w:t>
      </w:r>
      <w:r>
        <w:rPr>
          <w:rFonts w:hint="eastAsia"/>
          <w:color w:val="auto"/>
          <w:sz w:val="24"/>
          <w:szCs w:val="24"/>
          <w:highlight w:val="none"/>
        </w:rPr>
        <w:t>“★”标注的为政府强制采购产品，非“★”标注的为政府优先采购产品。</w:t>
      </w:r>
    </w:p>
    <w:p w14:paraId="22D9A55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若有，须按下列要求提供：</w:t>
      </w:r>
    </w:p>
    <w:p w14:paraId="12A7B16D">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（1）国家确定的认证机构出具的、处于有效期之内的节能产品认证证书。</w:t>
      </w:r>
    </w:p>
    <w:p w14:paraId="464E6163">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2</w:t>
      </w:r>
      <w:r>
        <w:rPr>
          <w:rFonts w:hint="eastAsia" w:ascii="宋体" w:hAnsi="宋体"/>
          <w:color w:val="auto"/>
          <w:szCs w:val="24"/>
          <w:highlight w:val="none"/>
        </w:rPr>
        <w:t>）提供《节能产品政府采购品目清单》中相关内容页，并对相关内容作圈记。</w:t>
      </w:r>
    </w:p>
    <w:p w14:paraId="47FAF50C">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未按要求提供的，评审时不予考虑。</w:t>
      </w:r>
    </w:p>
    <w:p w14:paraId="01979E49">
      <w:pPr>
        <w:wordWrap w:val="0"/>
        <w:spacing w:line="360" w:lineRule="auto"/>
        <w:ind w:firstLine="480" w:firstLineChars="200"/>
        <w:outlineLvl w:val="2"/>
        <w:rPr>
          <w:rFonts w:ascii="宋体" w:hAnsi="宋体"/>
          <w:b/>
          <w:color w:val="auto"/>
          <w:sz w:val="24"/>
          <w:szCs w:val="24"/>
          <w:highlight w:val="none"/>
        </w:rPr>
      </w:pPr>
      <w:bookmarkStart w:id="382" w:name="_Toc140237341"/>
      <w:r>
        <w:rPr>
          <w:rFonts w:hint="eastAsia" w:ascii="宋体" w:hAnsi="宋体"/>
          <w:b/>
          <w:color w:val="auto"/>
          <w:sz w:val="24"/>
          <w:szCs w:val="24"/>
          <w:highlight w:val="none"/>
        </w:rPr>
        <w:t>6</w:t>
      </w:r>
      <w:r>
        <w:rPr>
          <w:rFonts w:ascii="宋体" w:hAnsi="宋体"/>
          <w:b/>
          <w:color w:val="auto"/>
          <w:sz w:val="24"/>
          <w:szCs w:val="24"/>
          <w:highlight w:val="none"/>
        </w:rPr>
        <w:t>.6.3</w:t>
      </w:r>
      <w:r>
        <w:rPr>
          <w:rFonts w:hint="eastAsia" w:ascii="宋体" w:hAnsi="宋体"/>
          <w:b/>
          <w:color w:val="auto"/>
          <w:sz w:val="24"/>
          <w:szCs w:val="24"/>
          <w:highlight w:val="none"/>
        </w:rPr>
        <w:t>　环境标志产品相关资料</w:t>
      </w:r>
      <w:bookmarkEnd w:id="382"/>
    </w:p>
    <w:p w14:paraId="30A01097">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环境标志产品是指财政部、环境保护部公布的现行《环境标志产品政府采购品目清单》内的产品，</w:t>
      </w:r>
      <w:r>
        <w:rPr>
          <w:rFonts w:hint="eastAsia"/>
          <w:color w:val="auto"/>
          <w:szCs w:val="24"/>
          <w:highlight w:val="none"/>
        </w:rPr>
        <w:t>为政府优先采购产品</w:t>
      </w:r>
      <w:r>
        <w:rPr>
          <w:rFonts w:hint="eastAsia" w:ascii="宋体" w:hAnsi="宋体"/>
          <w:color w:val="auto"/>
          <w:szCs w:val="24"/>
          <w:highlight w:val="none"/>
        </w:rPr>
        <w:t>。</w:t>
      </w:r>
    </w:p>
    <w:p w14:paraId="07A941EF">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若有，须按下列要求提供：</w:t>
      </w:r>
    </w:p>
    <w:p w14:paraId="03531AF9">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（1）国家确定的认证机构出具的、处于有效期之内的环境标志产品认证证书。</w:t>
      </w:r>
    </w:p>
    <w:p w14:paraId="263E7393">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2</w:t>
      </w:r>
      <w:r>
        <w:rPr>
          <w:rFonts w:hint="eastAsia" w:ascii="宋体" w:hAnsi="宋体"/>
          <w:color w:val="auto"/>
          <w:szCs w:val="24"/>
          <w:highlight w:val="none"/>
        </w:rPr>
        <w:t>）提供《环境标志产品政府采购品目清单》中相关内容页，并对相关内容作圈记。</w:t>
      </w:r>
    </w:p>
    <w:p w14:paraId="44E49792">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未按要求提供的，评审时不予考虑。</w:t>
      </w:r>
    </w:p>
    <w:p w14:paraId="1097A7FA">
      <w:pPr>
        <w:wordWrap w:val="0"/>
        <w:spacing w:line="360" w:lineRule="auto"/>
        <w:ind w:firstLine="480" w:firstLineChars="200"/>
        <w:outlineLvl w:val="2"/>
        <w:rPr>
          <w:rFonts w:ascii="宋体" w:hAnsi="宋体"/>
          <w:b/>
          <w:color w:val="auto"/>
          <w:sz w:val="24"/>
          <w:szCs w:val="24"/>
          <w:highlight w:val="none"/>
        </w:rPr>
      </w:pPr>
      <w:bookmarkStart w:id="383" w:name="_Toc140237342"/>
      <w:r>
        <w:rPr>
          <w:rFonts w:hint="eastAsia" w:ascii="宋体" w:hAnsi="宋体"/>
          <w:b/>
          <w:color w:val="auto"/>
          <w:sz w:val="24"/>
          <w:szCs w:val="24"/>
          <w:highlight w:val="none"/>
        </w:rPr>
        <w:t>6</w:t>
      </w:r>
      <w:r>
        <w:rPr>
          <w:rFonts w:ascii="宋体" w:hAnsi="宋体"/>
          <w:b/>
          <w:color w:val="auto"/>
          <w:sz w:val="24"/>
          <w:szCs w:val="24"/>
          <w:highlight w:val="none"/>
        </w:rPr>
        <w:t>.6.4</w:t>
      </w:r>
      <w:r>
        <w:rPr>
          <w:rFonts w:hint="eastAsia" w:ascii="宋体" w:hAnsi="宋体"/>
          <w:b/>
          <w:color w:val="auto"/>
          <w:sz w:val="24"/>
          <w:szCs w:val="24"/>
          <w:highlight w:val="none"/>
        </w:rPr>
        <w:t>　授权委托书</w:t>
      </w:r>
      <w:bookmarkEnd w:id="383"/>
    </w:p>
    <w:p w14:paraId="5CC775FF">
      <w:pPr>
        <w:spacing w:line="360" w:lineRule="auto"/>
        <w:ind w:firstLine="480" w:firstLineChars="200"/>
        <w:rPr>
          <w:rFonts w:ascii="宋体" w:hAnsi="宋体"/>
          <w:color w:val="auto"/>
          <w:sz w:val="24"/>
          <w:szCs w:val="24"/>
          <w:highlight w:val="none"/>
        </w:rPr>
        <w:sectPr>
          <w:pgSz w:w="11906" w:h="16838"/>
          <w:pgMar w:top="1440" w:right="1797" w:bottom="1440" w:left="1797" w:header="851" w:footer="992" w:gutter="0"/>
          <w:cols w:space="720" w:num="1"/>
          <w:docGrid w:type="linesAndChars" w:linePitch="319" w:charSpace="0"/>
        </w:sectPr>
      </w:pPr>
      <w:r>
        <w:rPr>
          <w:rFonts w:hint="eastAsia" w:ascii="宋体" w:hAnsi="宋体"/>
          <w:color w:val="auto"/>
          <w:sz w:val="24"/>
          <w:szCs w:val="24"/>
          <w:highlight w:val="none"/>
        </w:rPr>
        <w:t>若有，须提供。样式附后。</w:t>
      </w:r>
    </w:p>
    <w:p w14:paraId="05CDAC11">
      <w:pPr>
        <w:pStyle w:val="15"/>
        <w:spacing w:line="360" w:lineRule="auto"/>
        <w:jc w:val="center"/>
        <w:rPr>
          <w:rFonts w:ascii="宋体" w:hAnsi="宋体"/>
          <w:b/>
          <w:color w:val="auto"/>
          <w:sz w:val="32"/>
          <w:szCs w:val="24"/>
          <w:highlight w:val="none"/>
        </w:rPr>
      </w:pPr>
      <w:r>
        <w:rPr>
          <w:rFonts w:hint="eastAsia" w:ascii="宋体" w:hAnsi="宋体"/>
          <w:b/>
          <w:color w:val="auto"/>
          <w:sz w:val="32"/>
          <w:szCs w:val="24"/>
          <w:highlight w:val="none"/>
        </w:rPr>
        <w:t>授权委托书</w:t>
      </w:r>
    </w:p>
    <w:p w14:paraId="3E4ECEE9">
      <w:pPr>
        <w:spacing w:line="360" w:lineRule="auto"/>
        <w:rPr>
          <w:rFonts w:ascii="宋体" w:hAnsi="宋体" w:cs="宋体"/>
          <w:color w:val="auto"/>
          <w:sz w:val="24"/>
          <w:highlight w:val="none"/>
        </w:rPr>
      </w:pPr>
    </w:p>
    <w:p w14:paraId="70648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w:t>
      </w:r>
      <w:r>
        <w:rPr>
          <w:rFonts w:hint="eastAsia" w:ascii="宋体" w:hAnsi="宋体" w:cs="宋体"/>
          <w:color w:val="auto"/>
          <w:sz w:val="24"/>
          <w:highlight w:val="none"/>
        </w:rPr>
        <w:t>及</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5B797B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我方决定参加项目编号为</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w:t>
      </w:r>
      <w:bookmarkStart w:id="384" w:name="_Hlk103173019"/>
      <w:r>
        <w:rPr>
          <w:rFonts w:hint="eastAsia" w:ascii="宋体" w:hAnsi="宋体" w:cs="宋体"/>
          <w:color w:val="auto"/>
          <w:sz w:val="24"/>
          <w:highlight w:val="none"/>
        </w:rPr>
        <w:t>政府采购活动</w:t>
      </w:r>
      <w:bookmarkEnd w:id="384"/>
      <w:r>
        <w:rPr>
          <w:rFonts w:hint="eastAsia" w:ascii="宋体" w:hAnsi="宋体" w:cs="宋体"/>
          <w:color w:val="auto"/>
          <w:sz w:val="24"/>
          <w:highlight w:val="none"/>
        </w:rPr>
        <w:t>，并在本次政府采购活动中，对授权代表作出如下授权：</w:t>
      </w:r>
    </w:p>
    <w:p w14:paraId="5E92E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一、代表法定代表人签署投标文件、合同和其他具有法律意义的任何文件、凭证等。</w:t>
      </w:r>
    </w:p>
    <w:p w14:paraId="43F9A8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二、代表法定代表人全权处理投标、报价等与之有关的一切事务。</w:t>
      </w:r>
    </w:p>
    <w:p w14:paraId="5BC65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三、授权代表在授权范围内所做出的承诺、签署的文件等，法定代表人均予以承认，并承担由此产生的法律后果。</w:t>
      </w:r>
    </w:p>
    <w:p w14:paraId="622B93A7">
      <w:pPr>
        <w:pStyle w:val="15"/>
        <w:spacing w:line="360" w:lineRule="auto"/>
        <w:rPr>
          <w:color w:val="auto"/>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14:paraId="4C3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4264" w:type="dxa"/>
            <w:gridSpan w:val="2"/>
          </w:tcPr>
          <w:p w14:paraId="3CCC6315">
            <w:pPr>
              <w:spacing w:line="480" w:lineRule="auto"/>
              <w:jc w:val="center"/>
              <w:rPr>
                <w:rFonts w:ascii="宋体" w:hAnsi="宋体" w:cs="宋体"/>
                <w:b/>
                <w:color w:val="auto"/>
                <w:sz w:val="24"/>
                <w:highlight w:val="none"/>
              </w:rPr>
            </w:pPr>
            <w:bookmarkStart w:id="385" w:name="_Hlk103173404"/>
            <w:r>
              <w:rPr>
                <w:rFonts w:hint="eastAsia" w:ascii="宋体" w:hAnsi="宋体" w:cs="宋体"/>
                <w:b/>
                <w:color w:val="auto"/>
                <w:sz w:val="24"/>
                <w:highlight w:val="none"/>
              </w:rPr>
              <w:t>法定代表人</w:t>
            </w:r>
            <w:bookmarkEnd w:id="385"/>
          </w:p>
        </w:tc>
        <w:tc>
          <w:tcPr>
            <w:tcW w:w="4264" w:type="dxa"/>
            <w:gridSpan w:val="2"/>
          </w:tcPr>
          <w:p w14:paraId="0801E84F">
            <w:pPr>
              <w:spacing w:line="480" w:lineRule="auto"/>
              <w:jc w:val="center"/>
              <w:rPr>
                <w:rFonts w:ascii="宋体" w:hAnsi="宋体" w:cs="宋体"/>
                <w:b/>
                <w:color w:val="auto"/>
                <w:sz w:val="24"/>
                <w:highlight w:val="none"/>
              </w:rPr>
            </w:pPr>
            <w:r>
              <w:rPr>
                <w:rFonts w:hint="eastAsia" w:ascii="宋体" w:hAnsi="宋体" w:cs="宋体"/>
                <w:b/>
                <w:color w:val="auto"/>
                <w:sz w:val="24"/>
                <w:highlight w:val="none"/>
              </w:rPr>
              <w:t>授权代表</w:t>
            </w:r>
          </w:p>
        </w:tc>
      </w:tr>
      <w:tr w14:paraId="5A4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63E17BC1">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3022" w:type="dxa"/>
          </w:tcPr>
          <w:p w14:paraId="5C55959F">
            <w:pPr>
              <w:spacing w:line="480" w:lineRule="auto"/>
              <w:rPr>
                <w:rFonts w:ascii="宋体" w:hAnsi="宋体" w:cs="宋体"/>
                <w:color w:val="auto"/>
                <w:sz w:val="24"/>
                <w:highlight w:val="none"/>
              </w:rPr>
            </w:pPr>
          </w:p>
        </w:tc>
        <w:tc>
          <w:tcPr>
            <w:tcW w:w="1231" w:type="dxa"/>
          </w:tcPr>
          <w:p w14:paraId="5A59CDED">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3033" w:type="dxa"/>
          </w:tcPr>
          <w:p w14:paraId="423DDCC8">
            <w:pPr>
              <w:spacing w:line="480" w:lineRule="auto"/>
              <w:rPr>
                <w:rFonts w:ascii="宋体" w:hAnsi="宋体" w:cs="宋体"/>
                <w:color w:val="auto"/>
                <w:sz w:val="24"/>
                <w:highlight w:val="none"/>
              </w:rPr>
            </w:pPr>
          </w:p>
        </w:tc>
      </w:tr>
      <w:tr w14:paraId="4D8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95C2C9">
            <w:pPr>
              <w:spacing w:line="480" w:lineRule="auto"/>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3022" w:type="dxa"/>
          </w:tcPr>
          <w:p w14:paraId="5A5E5E1A">
            <w:pPr>
              <w:spacing w:line="480" w:lineRule="auto"/>
              <w:rPr>
                <w:rFonts w:ascii="宋体" w:hAnsi="宋体" w:cs="宋体"/>
                <w:color w:val="auto"/>
                <w:sz w:val="24"/>
                <w:highlight w:val="none"/>
              </w:rPr>
            </w:pPr>
          </w:p>
        </w:tc>
        <w:tc>
          <w:tcPr>
            <w:tcW w:w="1231" w:type="dxa"/>
          </w:tcPr>
          <w:p w14:paraId="714CF76A">
            <w:pPr>
              <w:spacing w:line="480" w:lineRule="auto"/>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3033" w:type="dxa"/>
          </w:tcPr>
          <w:p w14:paraId="30BC93E5">
            <w:pPr>
              <w:spacing w:line="480" w:lineRule="auto"/>
              <w:rPr>
                <w:rFonts w:ascii="宋体" w:hAnsi="宋体" w:cs="宋体"/>
                <w:color w:val="auto"/>
                <w:sz w:val="24"/>
                <w:highlight w:val="none"/>
              </w:rPr>
            </w:pPr>
          </w:p>
        </w:tc>
      </w:tr>
      <w:tr w14:paraId="2A5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51D8F19">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单位名称</w:t>
            </w:r>
          </w:p>
        </w:tc>
        <w:tc>
          <w:tcPr>
            <w:tcW w:w="3022" w:type="dxa"/>
          </w:tcPr>
          <w:p w14:paraId="7A077597">
            <w:pPr>
              <w:spacing w:line="480" w:lineRule="auto"/>
              <w:rPr>
                <w:rFonts w:ascii="宋体" w:hAnsi="宋体" w:cs="宋体"/>
                <w:color w:val="auto"/>
                <w:sz w:val="24"/>
                <w:highlight w:val="none"/>
              </w:rPr>
            </w:pPr>
          </w:p>
        </w:tc>
        <w:tc>
          <w:tcPr>
            <w:tcW w:w="1231" w:type="dxa"/>
          </w:tcPr>
          <w:p w14:paraId="0B3714F3">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单位名称</w:t>
            </w:r>
          </w:p>
        </w:tc>
        <w:tc>
          <w:tcPr>
            <w:tcW w:w="3033" w:type="dxa"/>
          </w:tcPr>
          <w:p w14:paraId="5B2B61C0">
            <w:pPr>
              <w:spacing w:line="480" w:lineRule="auto"/>
              <w:rPr>
                <w:rFonts w:ascii="宋体" w:hAnsi="宋体" w:cs="宋体"/>
                <w:color w:val="auto"/>
                <w:sz w:val="24"/>
                <w:highlight w:val="none"/>
              </w:rPr>
            </w:pPr>
          </w:p>
        </w:tc>
      </w:tr>
      <w:tr w14:paraId="67C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0ECA69">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工作职务</w:t>
            </w:r>
          </w:p>
        </w:tc>
        <w:tc>
          <w:tcPr>
            <w:tcW w:w="3022" w:type="dxa"/>
          </w:tcPr>
          <w:p w14:paraId="2077EC5F">
            <w:pPr>
              <w:spacing w:line="480" w:lineRule="auto"/>
              <w:rPr>
                <w:rFonts w:ascii="宋体" w:hAnsi="宋体" w:cs="宋体"/>
                <w:color w:val="auto"/>
                <w:sz w:val="24"/>
                <w:highlight w:val="none"/>
              </w:rPr>
            </w:pPr>
          </w:p>
        </w:tc>
        <w:tc>
          <w:tcPr>
            <w:tcW w:w="1231" w:type="dxa"/>
          </w:tcPr>
          <w:p w14:paraId="33B3C444">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工作职务</w:t>
            </w:r>
          </w:p>
        </w:tc>
        <w:tc>
          <w:tcPr>
            <w:tcW w:w="3033" w:type="dxa"/>
          </w:tcPr>
          <w:p w14:paraId="127D30AF">
            <w:pPr>
              <w:spacing w:line="480" w:lineRule="auto"/>
              <w:rPr>
                <w:rFonts w:ascii="宋体" w:hAnsi="宋体" w:cs="宋体"/>
                <w:color w:val="auto"/>
                <w:sz w:val="24"/>
                <w:highlight w:val="none"/>
              </w:rPr>
            </w:pPr>
          </w:p>
        </w:tc>
      </w:tr>
    </w:tbl>
    <w:p w14:paraId="0129C13E">
      <w:pPr>
        <w:spacing w:line="360" w:lineRule="auto"/>
        <w:rPr>
          <w:rFonts w:ascii="宋体" w:hAnsi="宋体" w:cs="宋体"/>
          <w:color w:val="auto"/>
          <w:sz w:val="24"/>
          <w:highlight w:val="none"/>
        </w:rPr>
      </w:pPr>
    </w:p>
    <w:tbl>
      <w:tblPr>
        <w:tblStyle w:val="41"/>
        <w:tblW w:w="5000" w:type="pct"/>
        <w:jc w:val="center"/>
        <w:tblLayout w:type="autofit"/>
        <w:tblCellMar>
          <w:top w:w="0" w:type="dxa"/>
          <w:left w:w="108" w:type="dxa"/>
          <w:bottom w:w="0" w:type="dxa"/>
          <w:right w:w="108" w:type="dxa"/>
        </w:tblCellMar>
      </w:tblPr>
      <w:tblGrid>
        <w:gridCol w:w="8528"/>
      </w:tblGrid>
      <w:tr w14:paraId="55788C56">
        <w:tblPrEx>
          <w:tblCellMar>
            <w:top w:w="0" w:type="dxa"/>
            <w:left w:w="108" w:type="dxa"/>
            <w:bottom w:w="0" w:type="dxa"/>
            <w:right w:w="108" w:type="dxa"/>
          </w:tblCellMar>
        </w:tblPrEx>
        <w:trPr>
          <w:trHeight w:val="567" w:hRule="atLeast"/>
          <w:jc w:val="center"/>
        </w:trPr>
        <w:tc>
          <w:tcPr>
            <w:tcW w:w="5000" w:type="pct"/>
            <w:vAlign w:val="center"/>
          </w:tcPr>
          <w:p w14:paraId="39E716CE">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投标人名称（签章）：</w:t>
            </w:r>
          </w:p>
          <w:p w14:paraId="7162A7EA">
            <w:pPr>
              <w:wordWrap w:val="0"/>
              <w:spacing w:line="360" w:lineRule="auto"/>
              <w:rPr>
                <w:rFonts w:ascii="宋体" w:hAnsi="宋体"/>
                <w:color w:val="auto"/>
                <w:sz w:val="24"/>
                <w:szCs w:val="24"/>
                <w:highlight w:val="none"/>
              </w:rPr>
            </w:pPr>
          </w:p>
          <w:p w14:paraId="70D0A175">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法定代表人（签章）：</w:t>
            </w:r>
          </w:p>
          <w:p w14:paraId="0ECF039D">
            <w:pPr>
              <w:wordWrap w:val="0"/>
              <w:spacing w:line="360" w:lineRule="auto"/>
              <w:rPr>
                <w:rFonts w:ascii="宋体" w:hAnsi="宋体"/>
                <w:color w:val="auto"/>
                <w:sz w:val="24"/>
                <w:szCs w:val="24"/>
                <w:highlight w:val="none"/>
              </w:rPr>
            </w:pPr>
          </w:p>
          <w:p w14:paraId="36CA461F">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授权代表（签章）：</w:t>
            </w:r>
          </w:p>
          <w:p w14:paraId="08F0F3EC">
            <w:pPr>
              <w:wordWrap w:val="0"/>
              <w:spacing w:line="360" w:lineRule="auto"/>
              <w:rPr>
                <w:rFonts w:ascii="宋体" w:hAnsi="宋体"/>
                <w:color w:val="auto"/>
                <w:sz w:val="24"/>
                <w:szCs w:val="24"/>
                <w:highlight w:val="none"/>
              </w:rPr>
            </w:pPr>
          </w:p>
          <w:p w14:paraId="1ECA645A">
            <w:pPr>
              <w:wordWrap w:val="0"/>
              <w:spacing w:line="360" w:lineRule="auto"/>
              <w:ind w:left="3150" w:leftChars="1500"/>
              <w:rPr>
                <w:rFonts w:ascii="宋体" w:hAnsi="宋体"/>
                <w:color w:val="auto"/>
                <w:sz w:val="24"/>
                <w:szCs w:val="24"/>
                <w:highlight w:val="none"/>
              </w:rPr>
            </w:pPr>
            <w:r>
              <w:rPr>
                <w:rFonts w:hint="eastAsia" w:ascii="宋体" w:hAnsi="宋体"/>
                <w:color w:val="auto"/>
                <w:sz w:val="24"/>
                <w:szCs w:val="24"/>
                <w:highlight w:val="none"/>
              </w:rPr>
              <w:t>日期：　　　年　　月　　日</w:t>
            </w:r>
          </w:p>
        </w:tc>
      </w:tr>
    </w:tbl>
    <w:p w14:paraId="0CACAF90">
      <w:pPr>
        <w:pStyle w:val="15"/>
        <w:spacing w:line="360" w:lineRule="auto"/>
        <w:rPr>
          <w:color w:val="auto"/>
          <w:highlight w:val="none"/>
        </w:rPr>
      </w:pPr>
    </w:p>
    <w:p w14:paraId="01574897">
      <w:pPr>
        <w:wordWrap w:val="0"/>
        <w:spacing w:line="360" w:lineRule="auto"/>
        <w:rPr>
          <w:rFonts w:ascii="宋体" w:hAnsi="宋体"/>
          <w:color w:val="auto"/>
          <w:sz w:val="24"/>
          <w:szCs w:val="24"/>
          <w:highlight w:val="none"/>
        </w:rPr>
        <w:sectPr>
          <w:pgSz w:w="11906" w:h="16838"/>
          <w:pgMar w:top="1440" w:right="1797" w:bottom="1440" w:left="1797" w:header="851" w:footer="992" w:gutter="0"/>
          <w:cols w:space="720" w:num="1"/>
          <w:docGrid w:type="linesAndChars" w:linePitch="319" w:charSpace="0"/>
        </w:sectPr>
      </w:pPr>
    </w:p>
    <w:p w14:paraId="108C5690">
      <w:pPr>
        <w:wordWrap w:val="0"/>
        <w:spacing w:line="360" w:lineRule="auto"/>
        <w:ind w:firstLine="480" w:firstLineChars="200"/>
        <w:outlineLvl w:val="2"/>
        <w:rPr>
          <w:rFonts w:ascii="宋体" w:hAnsi="宋体"/>
          <w:b/>
          <w:color w:val="auto"/>
          <w:sz w:val="24"/>
          <w:szCs w:val="24"/>
          <w:highlight w:val="none"/>
        </w:rPr>
      </w:pPr>
      <w:bookmarkStart w:id="386" w:name="_Toc140237343"/>
      <w:r>
        <w:rPr>
          <w:rFonts w:hint="eastAsia" w:ascii="宋体" w:hAnsi="宋体"/>
          <w:b/>
          <w:color w:val="auto"/>
          <w:sz w:val="24"/>
          <w:szCs w:val="24"/>
          <w:highlight w:val="none"/>
        </w:rPr>
        <w:t>6</w:t>
      </w:r>
      <w:r>
        <w:rPr>
          <w:rFonts w:ascii="宋体" w:hAnsi="宋体"/>
          <w:b/>
          <w:color w:val="auto"/>
          <w:sz w:val="24"/>
          <w:szCs w:val="24"/>
          <w:highlight w:val="none"/>
        </w:rPr>
        <w:t>.6.5</w:t>
      </w:r>
      <w:r>
        <w:rPr>
          <w:rFonts w:hint="eastAsia" w:ascii="宋体" w:hAnsi="宋体"/>
          <w:b/>
          <w:color w:val="auto"/>
          <w:sz w:val="24"/>
          <w:szCs w:val="24"/>
          <w:highlight w:val="none"/>
        </w:rPr>
        <w:t>　联合体投标协议</w:t>
      </w:r>
      <w:bookmarkEnd w:id="386"/>
    </w:p>
    <w:p w14:paraId="72E19DD6">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本项目是否接受联合体投标见《投标人须知前附表》。</w:t>
      </w:r>
    </w:p>
    <w:p w14:paraId="54711E8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采取联合体投标的，须提供</w:t>
      </w:r>
      <w:bookmarkStart w:id="387" w:name="_Hlk104472088"/>
      <w:r>
        <w:rPr>
          <w:rFonts w:hint="eastAsia" w:ascii="宋体" w:hAnsi="宋体"/>
          <w:color w:val="auto"/>
          <w:sz w:val="24"/>
          <w:szCs w:val="24"/>
          <w:highlight w:val="none"/>
        </w:rPr>
        <w:t>《联合体投标协议》</w:t>
      </w:r>
      <w:bookmarkEnd w:id="387"/>
      <w:r>
        <w:rPr>
          <w:rFonts w:hint="eastAsia" w:ascii="宋体" w:hAnsi="宋体"/>
          <w:color w:val="auto"/>
          <w:sz w:val="24"/>
          <w:szCs w:val="24"/>
          <w:highlight w:val="none"/>
        </w:rPr>
        <w:t>，样式附后。</w:t>
      </w:r>
    </w:p>
    <w:p w14:paraId="12AD8175">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未按要求提供的，评审时不予考虑。</w:t>
      </w:r>
    </w:p>
    <w:p w14:paraId="524CF8E3">
      <w:pPr>
        <w:wordWrap w:val="0"/>
        <w:spacing w:line="360" w:lineRule="auto"/>
        <w:rPr>
          <w:rFonts w:ascii="宋体" w:hAnsi="宋体"/>
          <w:color w:val="auto"/>
          <w:sz w:val="24"/>
          <w:szCs w:val="24"/>
          <w:highlight w:val="none"/>
        </w:rPr>
        <w:sectPr>
          <w:pgSz w:w="11906" w:h="16838"/>
          <w:pgMar w:top="1440" w:right="1797" w:bottom="1440" w:left="1797" w:header="851" w:footer="992" w:gutter="0"/>
          <w:cols w:space="720" w:num="1"/>
          <w:docGrid w:type="linesAndChars" w:linePitch="319" w:charSpace="0"/>
        </w:sectPr>
      </w:pPr>
    </w:p>
    <w:p w14:paraId="737B45F3">
      <w:pPr>
        <w:pStyle w:val="15"/>
        <w:wordWrap w:val="0"/>
        <w:spacing w:line="360" w:lineRule="auto"/>
        <w:jc w:val="center"/>
        <w:rPr>
          <w:rFonts w:ascii="宋体" w:hAnsi="宋体"/>
          <w:b/>
          <w:color w:val="auto"/>
          <w:sz w:val="32"/>
          <w:szCs w:val="24"/>
          <w:highlight w:val="none"/>
        </w:rPr>
      </w:pPr>
      <w:r>
        <w:rPr>
          <w:rFonts w:hint="eastAsia" w:ascii="宋体" w:hAnsi="宋体"/>
          <w:b/>
          <w:color w:val="auto"/>
          <w:sz w:val="32"/>
          <w:szCs w:val="24"/>
          <w:highlight w:val="none"/>
        </w:rPr>
        <w:t>联合体投标协议</w:t>
      </w:r>
    </w:p>
    <w:p w14:paraId="5B375E2E">
      <w:pPr>
        <w:pStyle w:val="15"/>
        <w:wordWrap w:val="0"/>
        <w:spacing w:line="360" w:lineRule="auto"/>
        <w:rPr>
          <w:rFonts w:ascii="宋体" w:hAnsi="宋体"/>
          <w:color w:val="auto"/>
          <w:szCs w:val="24"/>
          <w:highlight w:val="none"/>
        </w:rPr>
      </w:pPr>
    </w:p>
    <w:p w14:paraId="762501EB">
      <w:pPr>
        <w:pStyle w:val="15"/>
        <w:wordWrap w:val="0"/>
        <w:spacing w:line="360" w:lineRule="auto"/>
        <w:rPr>
          <w:rFonts w:ascii="宋体" w:hAnsi="宋体"/>
          <w:color w:val="auto"/>
          <w:szCs w:val="24"/>
          <w:highlight w:val="none"/>
        </w:rPr>
      </w:pPr>
      <w:r>
        <w:rPr>
          <w:rFonts w:hint="eastAsia" w:ascii="宋体" w:hAnsi="宋体"/>
          <w:color w:val="auto"/>
          <w:szCs w:val="24"/>
          <w:highlight w:val="none"/>
          <w:u w:val="single"/>
        </w:rPr>
        <w:t>致（采购人）</w:t>
      </w:r>
      <w:r>
        <w:rPr>
          <w:rFonts w:hint="eastAsia" w:ascii="宋体" w:hAnsi="宋体"/>
          <w:color w:val="auto"/>
          <w:szCs w:val="24"/>
          <w:highlight w:val="none"/>
        </w:rPr>
        <w:t>及</w:t>
      </w:r>
      <w:r>
        <w:rPr>
          <w:rFonts w:hint="eastAsia" w:ascii="宋体" w:hAnsi="宋体"/>
          <w:color w:val="auto"/>
          <w:szCs w:val="24"/>
          <w:highlight w:val="none"/>
          <w:u w:val="single"/>
        </w:rPr>
        <w:t>（采购代理机构）</w:t>
      </w:r>
      <w:r>
        <w:rPr>
          <w:rFonts w:hint="eastAsia" w:ascii="宋体" w:hAnsi="宋体"/>
          <w:color w:val="auto"/>
          <w:szCs w:val="24"/>
          <w:highlight w:val="none"/>
        </w:rPr>
        <w:t>：</w:t>
      </w:r>
    </w:p>
    <w:p w14:paraId="04C79434">
      <w:pPr>
        <w:pStyle w:val="15"/>
        <w:wordWrap w:val="0"/>
        <w:spacing w:line="360" w:lineRule="auto"/>
        <w:ind w:firstLine="480" w:firstLineChars="200"/>
        <w:rPr>
          <w:color w:val="auto"/>
          <w:szCs w:val="24"/>
          <w:highlight w:val="none"/>
        </w:rPr>
      </w:pPr>
      <w:r>
        <w:rPr>
          <w:rFonts w:hint="eastAsia"/>
          <w:color w:val="auto"/>
          <w:szCs w:val="24"/>
          <w:highlight w:val="none"/>
        </w:rPr>
        <w:t>经研究，我们决定自愿组成联合体</w:t>
      </w:r>
      <w:r>
        <w:rPr>
          <w:rFonts w:hint="eastAsia"/>
          <w:color w:val="auto"/>
          <w:szCs w:val="24"/>
          <w:highlight w:val="none"/>
          <w:u w:val="single"/>
        </w:rPr>
        <w:t>（联合体名称）</w:t>
      </w:r>
      <w:r>
        <w:rPr>
          <w:rFonts w:hint="eastAsia"/>
          <w:color w:val="auto"/>
          <w:szCs w:val="24"/>
          <w:highlight w:val="none"/>
        </w:rPr>
        <w:t>，共同申请参加项目编号为</w:t>
      </w:r>
      <w:r>
        <w:rPr>
          <w:rFonts w:hint="eastAsia"/>
          <w:color w:val="auto"/>
          <w:szCs w:val="24"/>
          <w:highlight w:val="none"/>
          <w:u w:val="single"/>
        </w:rPr>
        <w:t>（项目编号）</w:t>
      </w:r>
      <w:r>
        <w:rPr>
          <w:rFonts w:hint="eastAsia"/>
          <w:color w:val="auto"/>
          <w:szCs w:val="24"/>
          <w:highlight w:val="none"/>
        </w:rPr>
        <w:t>的</w:t>
      </w:r>
      <w:r>
        <w:rPr>
          <w:rFonts w:hint="eastAsia"/>
          <w:color w:val="auto"/>
          <w:szCs w:val="24"/>
          <w:highlight w:val="none"/>
          <w:u w:val="single"/>
        </w:rPr>
        <w:t>（项目名称）</w:t>
      </w:r>
      <w:r>
        <w:rPr>
          <w:rFonts w:hint="eastAsia"/>
          <w:color w:val="auto"/>
          <w:szCs w:val="24"/>
          <w:highlight w:val="none"/>
        </w:rPr>
        <w:t>的政府采购活动。现就联合体事宜订立如下协议：</w:t>
      </w:r>
    </w:p>
    <w:p w14:paraId="778D3DDE">
      <w:pPr>
        <w:pStyle w:val="15"/>
        <w:wordWrap w:val="0"/>
        <w:spacing w:line="360" w:lineRule="auto"/>
        <w:ind w:firstLine="480" w:firstLineChars="200"/>
        <w:rPr>
          <w:color w:val="auto"/>
          <w:szCs w:val="24"/>
          <w:highlight w:val="none"/>
        </w:rPr>
      </w:pPr>
      <w:r>
        <w:rPr>
          <w:rFonts w:hint="eastAsia"/>
          <w:color w:val="auto"/>
          <w:szCs w:val="24"/>
          <w:highlight w:val="none"/>
        </w:rPr>
        <w:t>一、联合体基本信息：</w:t>
      </w:r>
      <w:r>
        <w:rPr>
          <w:rFonts w:hint="eastAsia"/>
          <w:color w:val="auto"/>
          <w:szCs w:val="24"/>
          <w:highlight w:val="none"/>
          <w:u w:val="single"/>
        </w:rPr>
        <w:t>（各方公司名称、地址、营业执照、法定代表人姓名）</w:t>
      </w:r>
      <w:r>
        <w:rPr>
          <w:rFonts w:hint="eastAsia"/>
          <w:color w:val="auto"/>
          <w:szCs w:val="24"/>
          <w:highlight w:val="none"/>
        </w:rPr>
        <w:t>。</w:t>
      </w:r>
    </w:p>
    <w:p w14:paraId="008B6996">
      <w:pPr>
        <w:pStyle w:val="15"/>
        <w:wordWrap w:val="0"/>
        <w:spacing w:line="360" w:lineRule="auto"/>
        <w:ind w:firstLine="480" w:firstLineChars="200"/>
        <w:rPr>
          <w:color w:val="auto"/>
          <w:szCs w:val="24"/>
          <w:highlight w:val="none"/>
        </w:rPr>
      </w:pPr>
      <w:r>
        <w:rPr>
          <w:rFonts w:hint="eastAsia"/>
          <w:color w:val="auto"/>
          <w:szCs w:val="24"/>
          <w:highlight w:val="none"/>
        </w:rPr>
        <w:t>二、</w:t>
      </w:r>
      <w:r>
        <w:rPr>
          <w:rFonts w:hint="eastAsia"/>
          <w:color w:val="auto"/>
          <w:szCs w:val="24"/>
          <w:highlight w:val="none"/>
          <w:u w:val="single"/>
        </w:rPr>
        <w:t>（某成员单位名称）</w:t>
      </w:r>
      <w:r>
        <w:rPr>
          <w:rFonts w:hint="eastAsia"/>
          <w:color w:val="auto"/>
          <w:szCs w:val="24"/>
          <w:highlight w:val="none"/>
        </w:rPr>
        <w:t>为</w:t>
      </w:r>
      <w:r>
        <w:rPr>
          <w:rFonts w:hint="eastAsia"/>
          <w:color w:val="auto"/>
          <w:szCs w:val="24"/>
          <w:highlight w:val="none"/>
          <w:u w:val="single"/>
        </w:rPr>
        <w:t>（联合体名称）</w:t>
      </w:r>
      <w:r>
        <w:rPr>
          <w:rFonts w:hint="eastAsia"/>
          <w:color w:val="auto"/>
          <w:szCs w:val="24"/>
          <w:highlight w:val="none"/>
        </w:rPr>
        <w:t>牵头人。</w:t>
      </w:r>
    </w:p>
    <w:p w14:paraId="7F5E3D63">
      <w:pPr>
        <w:pStyle w:val="15"/>
        <w:wordWrap w:val="0"/>
        <w:spacing w:line="360" w:lineRule="auto"/>
        <w:ind w:firstLine="480" w:firstLineChars="200"/>
        <w:rPr>
          <w:color w:val="auto"/>
          <w:szCs w:val="24"/>
          <w:highlight w:val="none"/>
        </w:rPr>
      </w:pPr>
      <w:r>
        <w:rPr>
          <w:rFonts w:hint="eastAsia"/>
          <w:color w:val="auto"/>
          <w:szCs w:val="24"/>
          <w:highlight w:val="none"/>
        </w:rPr>
        <w:t>三、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D65EB03">
      <w:pPr>
        <w:pStyle w:val="15"/>
        <w:wordWrap w:val="0"/>
        <w:spacing w:line="360" w:lineRule="auto"/>
        <w:ind w:firstLine="480" w:firstLineChars="200"/>
        <w:rPr>
          <w:color w:val="auto"/>
          <w:szCs w:val="24"/>
          <w:highlight w:val="none"/>
        </w:rPr>
      </w:pPr>
      <w:r>
        <w:rPr>
          <w:rFonts w:hint="eastAsia"/>
          <w:color w:val="auto"/>
          <w:szCs w:val="24"/>
          <w:highlight w:val="none"/>
        </w:rPr>
        <w:t>四、联合体将严格按照招标文件的各项要求，提交电子投标文件，参加投标，履行中标义务和中标后的合同，并向采购人承担连带责任。</w:t>
      </w:r>
    </w:p>
    <w:p w14:paraId="29F5B49F">
      <w:pPr>
        <w:pStyle w:val="15"/>
        <w:wordWrap w:val="0"/>
        <w:spacing w:line="360" w:lineRule="auto"/>
        <w:ind w:firstLine="480" w:firstLineChars="200"/>
        <w:rPr>
          <w:color w:val="auto"/>
          <w:szCs w:val="24"/>
          <w:highlight w:val="none"/>
        </w:rPr>
      </w:pPr>
      <w:r>
        <w:rPr>
          <w:rFonts w:hint="eastAsia"/>
          <w:color w:val="auto"/>
          <w:szCs w:val="24"/>
          <w:highlight w:val="none"/>
        </w:rPr>
        <w:t>五、联合体各成员单位内部的职责分工如下：</w:t>
      </w:r>
      <w:r>
        <w:rPr>
          <w:rFonts w:hint="eastAsia"/>
          <w:color w:val="auto"/>
          <w:szCs w:val="24"/>
          <w:highlight w:val="none"/>
          <w:u w:val="single"/>
        </w:rPr>
        <w:t>　　　　　　　　　　　</w:t>
      </w:r>
      <w:r>
        <w:rPr>
          <w:rFonts w:hint="eastAsia"/>
          <w:color w:val="auto"/>
          <w:szCs w:val="24"/>
          <w:highlight w:val="none"/>
        </w:rPr>
        <w:t>。</w:t>
      </w:r>
    </w:p>
    <w:p w14:paraId="521F0C21">
      <w:pPr>
        <w:pStyle w:val="15"/>
        <w:wordWrap w:val="0"/>
        <w:spacing w:line="360" w:lineRule="auto"/>
        <w:ind w:firstLine="480" w:firstLineChars="200"/>
        <w:rPr>
          <w:color w:val="auto"/>
          <w:szCs w:val="24"/>
          <w:highlight w:val="none"/>
        </w:rPr>
      </w:pPr>
      <w:r>
        <w:rPr>
          <w:rFonts w:hint="eastAsia"/>
          <w:color w:val="auto"/>
          <w:szCs w:val="24"/>
          <w:highlight w:val="none"/>
        </w:rPr>
        <w:t>按照本条上述分工，联合体成员单位各自所承担的合同工作量比例如下：</w:t>
      </w:r>
      <w:r>
        <w:rPr>
          <w:rFonts w:hint="eastAsia"/>
          <w:color w:val="auto"/>
          <w:szCs w:val="24"/>
          <w:highlight w:val="none"/>
          <w:u w:val="single"/>
        </w:rPr>
        <w:t>　　　　　　　　　　　　　　　　　　　　　　　　　　　　　　</w:t>
      </w:r>
      <w:r>
        <w:rPr>
          <w:rFonts w:hint="eastAsia"/>
          <w:color w:val="auto"/>
          <w:szCs w:val="24"/>
          <w:highlight w:val="none"/>
        </w:rPr>
        <w:t>。</w:t>
      </w:r>
    </w:p>
    <w:p w14:paraId="0C213C10">
      <w:pPr>
        <w:pStyle w:val="15"/>
        <w:wordWrap w:val="0"/>
        <w:spacing w:line="360" w:lineRule="auto"/>
        <w:ind w:firstLine="480" w:firstLineChars="200"/>
        <w:rPr>
          <w:color w:val="auto"/>
          <w:szCs w:val="24"/>
          <w:highlight w:val="none"/>
        </w:rPr>
      </w:pPr>
      <w:r>
        <w:rPr>
          <w:rFonts w:hint="eastAsia"/>
          <w:color w:val="auto"/>
          <w:szCs w:val="24"/>
          <w:highlight w:val="none"/>
        </w:rPr>
        <w:t>六、本协议书自签署之日起生效，合同履行完毕后自动失效。</w:t>
      </w:r>
    </w:p>
    <w:p w14:paraId="7209DEC4">
      <w:pPr>
        <w:pStyle w:val="15"/>
        <w:wordWrap w:val="0"/>
        <w:spacing w:line="360" w:lineRule="auto"/>
        <w:ind w:firstLine="480" w:firstLineChars="200"/>
        <w:rPr>
          <w:color w:val="auto"/>
          <w:szCs w:val="24"/>
          <w:highlight w:val="none"/>
        </w:rPr>
      </w:pPr>
      <w:r>
        <w:rPr>
          <w:rFonts w:hint="eastAsia"/>
          <w:color w:val="auto"/>
          <w:szCs w:val="24"/>
          <w:highlight w:val="none"/>
        </w:rPr>
        <w:t>七、其他：</w:t>
      </w:r>
      <w:r>
        <w:rPr>
          <w:rFonts w:hint="eastAsia"/>
          <w:color w:val="auto"/>
          <w:szCs w:val="24"/>
          <w:highlight w:val="none"/>
          <w:u w:val="single"/>
        </w:rPr>
        <w:t>　　　　　　　　　　　</w:t>
      </w:r>
      <w:r>
        <w:rPr>
          <w:rFonts w:hint="eastAsia"/>
          <w:color w:val="auto"/>
          <w:szCs w:val="24"/>
          <w:highlight w:val="none"/>
        </w:rPr>
        <w:t>。</w:t>
      </w:r>
    </w:p>
    <w:p w14:paraId="7FB404CD">
      <w:pPr>
        <w:pStyle w:val="15"/>
        <w:wordWrap w:val="0"/>
        <w:spacing w:line="360" w:lineRule="auto"/>
        <w:rPr>
          <w:color w:val="auto"/>
          <w:highlight w:val="none"/>
        </w:rPr>
      </w:pPr>
    </w:p>
    <w:tbl>
      <w:tblPr>
        <w:tblStyle w:val="41"/>
        <w:tblW w:w="8580" w:type="dxa"/>
        <w:jc w:val="center"/>
        <w:tblLayout w:type="fixed"/>
        <w:tblCellMar>
          <w:top w:w="0" w:type="dxa"/>
          <w:left w:w="108" w:type="dxa"/>
          <w:bottom w:w="0" w:type="dxa"/>
          <w:right w:w="108" w:type="dxa"/>
        </w:tblCellMar>
      </w:tblPr>
      <w:tblGrid>
        <w:gridCol w:w="4290"/>
        <w:gridCol w:w="4290"/>
      </w:tblGrid>
      <w:tr w14:paraId="27026E54">
        <w:tblPrEx>
          <w:tblCellMar>
            <w:top w:w="0" w:type="dxa"/>
            <w:left w:w="108" w:type="dxa"/>
            <w:bottom w:w="0" w:type="dxa"/>
            <w:right w:w="108" w:type="dxa"/>
          </w:tblCellMar>
        </w:tblPrEx>
        <w:trPr>
          <w:trHeight w:val="2481" w:hRule="atLeast"/>
          <w:jc w:val="center"/>
        </w:trPr>
        <w:tc>
          <w:tcPr>
            <w:tcW w:w="4290" w:type="dxa"/>
          </w:tcPr>
          <w:p w14:paraId="38293990">
            <w:pPr>
              <w:pStyle w:val="20"/>
              <w:spacing w:line="360" w:lineRule="auto"/>
              <w:rPr>
                <w:rFonts w:hAnsi="宋体" w:cs="宋体"/>
                <w:color w:val="auto"/>
                <w:sz w:val="24"/>
                <w:szCs w:val="24"/>
                <w:highlight w:val="none"/>
              </w:rPr>
            </w:pPr>
            <w:r>
              <w:rPr>
                <w:rFonts w:hint="eastAsia" w:hAnsi="宋体" w:cs="宋体"/>
                <w:color w:val="auto"/>
                <w:sz w:val="24"/>
                <w:szCs w:val="24"/>
                <w:highlight w:val="none"/>
              </w:rPr>
              <w:t>牵头人名称（签章）：</w:t>
            </w:r>
          </w:p>
          <w:p w14:paraId="2092245A">
            <w:pPr>
              <w:pStyle w:val="20"/>
              <w:wordWrap w:val="0"/>
              <w:spacing w:line="360" w:lineRule="auto"/>
              <w:rPr>
                <w:rFonts w:hAnsi="宋体" w:cs="宋体"/>
                <w:color w:val="auto"/>
                <w:spacing w:val="-22"/>
                <w:sz w:val="24"/>
                <w:szCs w:val="24"/>
                <w:highlight w:val="none"/>
              </w:rPr>
            </w:pPr>
          </w:p>
          <w:p w14:paraId="21895EC6">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法定代表人（或授权代表）（签章）：</w:t>
            </w:r>
          </w:p>
          <w:p w14:paraId="2E058FBF">
            <w:pPr>
              <w:pStyle w:val="20"/>
              <w:wordWrap w:val="0"/>
              <w:spacing w:line="360" w:lineRule="auto"/>
              <w:rPr>
                <w:rFonts w:hAnsi="宋体" w:cs="宋体"/>
                <w:color w:val="auto"/>
                <w:spacing w:val="-22"/>
                <w:sz w:val="24"/>
                <w:szCs w:val="24"/>
                <w:highlight w:val="none"/>
              </w:rPr>
            </w:pPr>
          </w:p>
          <w:p w14:paraId="2668669C">
            <w:pPr>
              <w:pStyle w:val="20"/>
              <w:wordWrap w:val="0"/>
              <w:spacing w:line="360" w:lineRule="auto"/>
              <w:rPr>
                <w:rFonts w:hAnsi="宋体" w:cs="宋体"/>
                <w:color w:val="auto"/>
                <w:spacing w:val="-22"/>
                <w:sz w:val="24"/>
                <w:szCs w:val="24"/>
                <w:highlight w:val="none"/>
              </w:rPr>
            </w:pPr>
            <w:r>
              <w:rPr>
                <w:rFonts w:hint="eastAsia" w:hAnsi="宋体" w:cs="宋体"/>
                <w:color w:val="auto"/>
                <w:sz w:val="24"/>
                <w:szCs w:val="24"/>
                <w:highlight w:val="none"/>
              </w:rPr>
              <w:t>日期：　　　年　　月　　日</w:t>
            </w:r>
          </w:p>
        </w:tc>
        <w:tc>
          <w:tcPr>
            <w:tcW w:w="4290" w:type="dxa"/>
          </w:tcPr>
          <w:p w14:paraId="0E352872">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成员二名称（签章）：</w:t>
            </w:r>
          </w:p>
          <w:p w14:paraId="285D529D">
            <w:pPr>
              <w:pStyle w:val="20"/>
              <w:wordWrap w:val="0"/>
              <w:spacing w:line="360" w:lineRule="auto"/>
              <w:rPr>
                <w:rFonts w:hAnsi="宋体" w:cs="宋体"/>
                <w:color w:val="auto"/>
                <w:spacing w:val="-22"/>
                <w:sz w:val="24"/>
                <w:szCs w:val="24"/>
                <w:highlight w:val="none"/>
              </w:rPr>
            </w:pPr>
            <w:bookmarkStart w:id="388" w:name="_Hlk103162949"/>
          </w:p>
          <w:p w14:paraId="1F372987">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法定代表人（或授权代表）（签章）：</w:t>
            </w:r>
          </w:p>
          <w:p w14:paraId="2240E760">
            <w:pPr>
              <w:pStyle w:val="20"/>
              <w:wordWrap w:val="0"/>
              <w:spacing w:line="360" w:lineRule="auto"/>
              <w:rPr>
                <w:rFonts w:hAnsi="宋体" w:cs="宋体"/>
                <w:color w:val="auto"/>
                <w:sz w:val="24"/>
                <w:szCs w:val="24"/>
                <w:highlight w:val="none"/>
              </w:rPr>
            </w:pPr>
          </w:p>
          <w:p w14:paraId="2EF924B8">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bookmarkEnd w:id="388"/>
          </w:p>
        </w:tc>
      </w:tr>
    </w:tbl>
    <w:p w14:paraId="234F4AEF">
      <w:pPr>
        <w:wordWrap w:val="0"/>
        <w:spacing w:line="360" w:lineRule="auto"/>
        <w:ind w:firstLine="480" w:firstLineChars="200"/>
        <w:rPr>
          <w:color w:val="auto"/>
          <w:sz w:val="24"/>
          <w:szCs w:val="24"/>
          <w:highlight w:val="none"/>
        </w:rPr>
      </w:pPr>
      <w:r>
        <w:rPr>
          <w:rStyle w:val="52"/>
          <w:rFonts w:hint="eastAsia" w:ascii="宋体" w:hAnsi="宋体" w:cs="宋体"/>
          <w:color w:val="auto"/>
          <w:sz w:val="24"/>
          <w:szCs w:val="24"/>
          <w:highlight w:val="none"/>
          <w:u w:val="none"/>
          <w:lang w:eastAsia="zh-CN"/>
        </w:rPr>
        <w:t>……</w:t>
      </w:r>
    </w:p>
    <w:p w14:paraId="592AE565">
      <w:pPr>
        <w:pStyle w:val="15"/>
        <w:wordWrap w:val="0"/>
        <w:spacing w:line="360" w:lineRule="auto"/>
        <w:rPr>
          <w:color w:val="auto"/>
          <w:highlight w:val="none"/>
        </w:rPr>
        <w:sectPr>
          <w:pgSz w:w="11906" w:h="16838"/>
          <w:pgMar w:top="1440" w:right="1797" w:bottom="1440" w:left="1797" w:header="851" w:footer="992" w:gutter="0"/>
          <w:cols w:space="720" w:num="1"/>
          <w:docGrid w:type="linesAndChars" w:linePitch="319" w:charSpace="0"/>
        </w:sectPr>
      </w:pPr>
    </w:p>
    <w:p w14:paraId="29F6B558">
      <w:pPr>
        <w:wordWrap w:val="0"/>
        <w:spacing w:line="360" w:lineRule="auto"/>
        <w:ind w:firstLine="480" w:firstLineChars="200"/>
        <w:outlineLvl w:val="2"/>
        <w:rPr>
          <w:rFonts w:ascii="宋体" w:hAnsi="宋体"/>
          <w:b/>
          <w:color w:val="auto"/>
          <w:sz w:val="24"/>
          <w:szCs w:val="24"/>
          <w:highlight w:val="none"/>
        </w:rPr>
      </w:pPr>
      <w:bookmarkStart w:id="389" w:name="_Toc140237344"/>
      <w:r>
        <w:rPr>
          <w:rFonts w:hint="eastAsia" w:ascii="宋体" w:hAnsi="宋体"/>
          <w:b/>
          <w:color w:val="auto"/>
          <w:sz w:val="24"/>
          <w:szCs w:val="24"/>
          <w:highlight w:val="none"/>
        </w:rPr>
        <w:t>6</w:t>
      </w:r>
      <w:r>
        <w:rPr>
          <w:rFonts w:ascii="宋体" w:hAnsi="宋体"/>
          <w:b/>
          <w:color w:val="auto"/>
          <w:sz w:val="24"/>
          <w:szCs w:val="24"/>
          <w:highlight w:val="none"/>
        </w:rPr>
        <w:t>.6.6</w:t>
      </w:r>
      <w:r>
        <w:rPr>
          <w:rFonts w:hint="eastAsia" w:ascii="宋体" w:hAnsi="宋体"/>
          <w:b/>
          <w:color w:val="auto"/>
          <w:sz w:val="24"/>
          <w:szCs w:val="24"/>
          <w:highlight w:val="none"/>
        </w:rPr>
        <w:t>　分包意向协议</w:t>
      </w:r>
      <w:bookmarkEnd w:id="389"/>
    </w:p>
    <w:p w14:paraId="7897A92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本项目是否同意中标人采取分包方式履行合同见《投标人须知前附表》。</w:t>
      </w:r>
    </w:p>
    <w:p w14:paraId="6D4192F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采取分包方式履行合同的，须提供《分包意向协议》，样式附后。</w:t>
      </w:r>
    </w:p>
    <w:p w14:paraId="6F18F08A">
      <w:pPr>
        <w:wordWrap w:val="0"/>
        <w:spacing w:line="360" w:lineRule="auto"/>
        <w:ind w:firstLine="480" w:firstLineChars="200"/>
        <w:rPr>
          <w:rFonts w:ascii="宋体" w:hAnsi="宋体"/>
          <w:color w:val="auto"/>
          <w:sz w:val="24"/>
          <w:szCs w:val="24"/>
          <w:highlight w:val="none"/>
        </w:rPr>
        <w:sectPr>
          <w:pgSz w:w="11906" w:h="16838"/>
          <w:pgMar w:top="1440" w:right="1797" w:bottom="1440" w:left="1797" w:header="851" w:footer="992" w:gutter="0"/>
          <w:cols w:space="720" w:num="1"/>
          <w:docGrid w:type="linesAndChars" w:linePitch="319" w:charSpace="0"/>
        </w:sectPr>
      </w:pPr>
      <w:bookmarkStart w:id="390" w:name="_Hlk104449042"/>
      <w:r>
        <w:rPr>
          <w:rFonts w:hint="eastAsia" w:ascii="宋体" w:hAnsi="宋体"/>
          <w:color w:val="auto"/>
          <w:sz w:val="24"/>
          <w:szCs w:val="24"/>
          <w:highlight w:val="none"/>
        </w:rPr>
        <w:t>未按要求提供的，评审时不予考虑。</w:t>
      </w:r>
    </w:p>
    <w:p w14:paraId="5B5D1E8C">
      <w:pPr>
        <w:wordWrap w:val="0"/>
        <w:spacing w:line="360" w:lineRule="auto"/>
        <w:jc w:val="center"/>
        <w:rPr>
          <w:rFonts w:ascii="宋体" w:hAnsi="宋体"/>
          <w:b/>
          <w:color w:val="auto"/>
          <w:sz w:val="32"/>
          <w:szCs w:val="24"/>
          <w:highlight w:val="none"/>
        </w:rPr>
      </w:pPr>
      <w:r>
        <w:rPr>
          <w:rFonts w:hint="eastAsia" w:ascii="宋体" w:hAnsi="宋体"/>
          <w:b/>
          <w:color w:val="auto"/>
          <w:sz w:val="32"/>
          <w:szCs w:val="24"/>
          <w:highlight w:val="none"/>
        </w:rPr>
        <w:t>分包意向协议</w:t>
      </w:r>
    </w:p>
    <w:p w14:paraId="1E69B7C7">
      <w:pPr>
        <w:wordWrap w:val="0"/>
        <w:spacing w:line="360" w:lineRule="auto"/>
        <w:rPr>
          <w:rFonts w:ascii="宋体" w:hAnsi="宋体"/>
          <w:color w:val="auto"/>
          <w:highlight w:val="none"/>
        </w:rPr>
      </w:pPr>
    </w:p>
    <w:p w14:paraId="58BC1BBE">
      <w:pPr>
        <w:pStyle w:val="15"/>
        <w:wordWrap w:val="0"/>
        <w:spacing w:line="360" w:lineRule="auto"/>
        <w:rPr>
          <w:rFonts w:ascii="宋体" w:hAnsi="宋体"/>
          <w:color w:val="auto"/>
          <w:szCs w:val="24"/>
          <w:highlight w:val="none"/>
        </w:rPr>
      </w:pPr>
      <w:r>
        <w:rPr>
          <w:rFonts w:hint="eastAsia" w:ascii="宋体" w:hAnsi="宋体"/>
          <w:color w:val="auto"/>
          <w:szCs w:val="24"/>
          <w:highlight w:val="none"/>
          <w:u w:val="single"/>
        </w:rPr>
        <w:t>致（采购人）</w:t>
      </w:r>
      <w:r>
        <w:rPr>
          <w:rFonts w:hint="eastAsia" w:ascii="宋体" w:hAnsi="宋体"/>
          <w:color w:val="auto"/>
          <w:szCs w:val="24"/>
          <w:highlight w:val="none"/>
        </w:rPr>
        <w:t>及</w:t>
      </w:r>
      <w:r>
        <w:rPr>
          <w:rFonts w:hint="eastAsia" w:ascii="宋体" w:hAnsi="宋体"/>
          <w:color w:val="auto"/>
          <w:szCs w:val="24"/>
          <w:highlight w:val="none"/>
          <w:u w:val="single"/>
        </w:rPr>
        <w:t>（采购代理机构）</w:t>
      </w:r>
      <w:r>
        <w:rPr>
          <w:rFonts w:hint="eastAsia" w:ascii="宋体" w:hAnsi="宋体"/>
          <w:color w:val="auto"/>
          <w:szCs w:val="24"/>
          <w:highlight w:val="none"/>
        </w:rPr>
        <w:t>：</w:t>
      </w:r>
    </w:p>
    <w:p w14:paraId="438128A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投标人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若成为项目编号为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的政府采购活动中标人，将依法采取分包方式履行合同。</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投标人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与</w:t>
      </w:r>
      <w:r>
        <w:rPr>
          <w:rFonts w:hint="eastAsia" w:ascii="宋体" w:hAnsi="宋体"/>
          <w:color w:val="auto"/>
          <w:sz w:val="24"/>
          <w:szCs w:val="24"/>
          <w:highlight w:val="none"/>
          <w:u w:val="single"/>
        </w:rPr>
        <w:t>（分包供应商一名称）……</w:t>
      </w:r>
      <w:bookmarkStart w:id="391" w:name="_Hlk123654337"/>
      <w:r>
        <w:rPr>
          <w:rFonts w:hint="eastAsia" w:ascii="宋体" w:hAnsi="宋体"/>
          <w:color w:val="auto"/>
          <w:sz w:val="24"/>
          <w:szCs w:val="24"/>
          <w:highlight w:val="none"/>
        </w:rPr>
        <w:t>就分包意向事宜订立如下协议</w:t>
      </w:r>
      <w:bookmarkEnd w:id="391"/>
      <w:r>
        <w:rPr>
          <w:rFonts w:hint="eastAsia" w:ascii="宋体" w:hAnsi="宋体"/>
          <w:color w:val="auto"/>
          <w:sz w:val="24"/>
          <w:szCs w:val="24"/>
          <w:highlight w:val="none"/>
        </w:rPr>
        <w:t>：</w:t>
      </w:r>
    </w:p>
    <w:p w14:paraId="4D028130">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一、分包履约标的：</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投标人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将</w:t>
      </w:r>
      <w:r>
        <w:rPr>
          <w:rFonts w:hint="eastAsia" w:ascii="宋体" w:hAnsi="宋体"/>
          <w:color w:val="auto"/>
          <w:szCs w:val="24"/>
          <w:highlight w:val="none"/>
          <w:u w:val="single"/>
        </w:rPr>
        <w:t>　　　　　　　　　　　</w:t>
      </w:r>
      <w:r>
        <w:rPr>
          <w:rFonts w:ascii="宋体" w:hAnsi="宋体"/>
          <w:color w:val="auto"/>
          <w:sz w:val="24"/>
          <w:szCs w:val="24"/>
          <w:highlight w:val="none"/>
        </w:rPr>
        <w:t>工作内容分包给</w:t>
      </w:r>
      <w:r>
        <w:rPr>
          <w:rFonts w:hint="eastAsia" w:ascii="宋体" w:hAnsi="宋体"/>
          <w:color w:val="auto"/>
          <w:sz w:val="24"/>
          <w:szCs w:val="24"/>
          <w:highlight w:val="none"/>
          <w:u w:val="single"/>
        </w:rPr>
        <w:t>（分包供应商一名称）</w:t>
      </w:r>
      <w:r>
        <w:rPr>
          <w:rFonts w:hint="eastAsia" w:ascii="宋体" w:hAnsi="宋体"/>
          <w:color w:val="auto"/>
          <w:sz w:val="24"/>
          <w:szCs w:val="24"/>
          <w:highlight w:val="none"/>
        </w:rPr>
        <w:t>进行履约</w:t>
      </w:r>
      <w:r>
        <w:rPr>
          <w:rFonts w:ascii="宋体" w:hAnsi="宋体"/>
          <w:color w:val="auto"/>
          <w:sz w:val="24"/>
          <w:szCs w:val="24"/>
          <w:highlight w:val="none"/>
        </w:rPr>
        <w:t>，</w:t>
      </w:r>
      <w:r>
        <w:rPr>
          <w:rFonts w:hint="eastAsia" w:ascii="宋体" w:hAnsi="宋体"/>
          <w:color w:val="auto"/>
          <w:sz w:val="24"/>
          <w:szCs w:val="24"/>
          <w:highlight w:val="none"/>
          <w:u w:val="single"/>
        </w:rPr>
        <w:t>（分包供应商一名称）</w:t>
      </w:r>
      <w:r>
        <w:rPr>
          <w:rFonts w:ascii="宋体" w:hAnsi="宋体"/>
          <w:color w:val="auto"/>
          <w:sz w:val="24"/>
          <w:szCs w:val="24"/>
          <w:highlight w:val="none"/>
        </w:rPr>
        <w:t>具备</w:t>
      </w:r>
      <w:r>
        <w:rPr>
          <w:rFonts w:hint="eastAsia" w:ascii="宋体" w:hAnsi="宋体"/>
          <w:color w:val="auto"/>
          <w:sz w:val="24"/>
          <w:szCs w:val="24"/>
          <w:highlight w:val="none"/>
        </w:rPr>
        <w:t>相应资质条件且不得再次分包。</w:t>
      </w:r>
    </w:p>
    <w:p w14:paraId="7422F07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B6F0F5D">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二、分包履约报酬：</w:t>
      </w:r>
      <w:r>
        <w:rPr>
          <w:rFonts w:hint="eastAsia" w:ascii="宋体" w:hAnsi="宋体"/>
          <w:color w:val="auto"/>
          <w:sz w:val="24"/>
          <w:szCs w:val="24"/>
          <w:highlight w:val="none"/>
          <w:u w:val="single"/>
        </w:rPr>
        <w:t>（分包供应商一名称）</w:t>
      </w:r>
      <w:r>
        <w:rPr>
          <w:rFonts w:hint="eastAsia" w:ascii="宋体" w:hAnsi="宋体"/>
          <w:color w:val="auto"/>
          <w:sz w:val="24"/>
          <w:szCs w:val="24"/>
          <w:highlight w:val="none"/>
        </w:rPr>
        <w:t>获得履约报酬</w:t>
      </w:r>
      <w:r>
        <w:rPr>
          <w:rFonts w:hint="eastAsia" w:ascii="宋体" w:hAnsi="宋体"/>
          <w:color w:val="auto"/>
          <w:sz w:val="24"/>
          <w:szCs w:val="24"/>
          <w:highlight w:val="none"/>
          <w:u w:val="single"/>
        </w:rPr>
        <w:t>　　　　　　</w:t>
      </w:r>
      <w:r>
        <w:rPr>
          <w:rFonts w:hint="eastAsia" w:ascii="宋体" w:hAnsi="宋体"/>
          <w:color w:val="auto"/>
          <w:sz w:val="24"/>
          <w:szCs w:val="24"/>
          <w:highlight w:val="none"/>
        </w:rPr>
        <w:t>，占合同总金额</w:t>
      </w:r>
      <w:r>
        <w:rPr>
          <w:rFonts w:hint="eastAsia" w:ascii="宋体" w:hAnsi="宋体"/>
          <w:color w:val="auto"/>
          <w:sz w:val="24"/>
          <w:szCs w:val="24"/>
          <w:highlight w:val="none"/>
          <w:u w:val="single"/>
        </w:rPr>
        <w:t>　　　　　　</w:t>
      </w:r>
      <w:r>
        <w:rPr>
          <w:rFonts w:hint="eastAsia" w:ascii="宋体" w:hAnsi="宋体"/>
          <w:color w:val="auto"/>
          <w:sz w:val="24"/>
          <w:szCs w:val="24"/>
          <w:highlight w:val="none"/>
        </w:rPr>
        <w:t>%。</w:t>
      </w:r>
    </w:p>
    <w:p w14:paraId="6EAD6DC6">
      <w:pPr>
        <w:pStyle w:val="15"/>
        <w:wordWrap w:val="0"/>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p>
    <w:p w14:paraId="0E59430A">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三、分包履约期限：</w:t>
      </w:r>
      <w:r>
        <w:rPr>
          <w:rFonts w:hint="eastAsia" w:ascii="宋体" w:hAnsi="宋体"/>
          <w:color w:val="auto"/>
          <w:szCs w:val="24"/>
          <w:highlight w:val="none"/>
          <w:u w:val="single"/>
        </w:rPr>
        <w:t>　　　　　　　　　　　　　　　　　　　　　　</w:t>
      </w:r>
      <w:r>
        <w:rPr>
          <w:rFonts w:hint="eastAsia" w:ascii="宋体" w:hAnsi="宋体"/>
          <w:color w:val="auto"/>
          <w:szCs w:val="24"/>
          <w:highlight w:val="none"/>
        </w:rPr>
        <w:t>。</w:t>
      </w:r>
    </w:p>
    <w:p w14:paraId="116D7EB9">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四、分包履约方式：</w:t>
      </w:r>
      <w:r>
        <w:rPr>
          <w:rFonts w:hint="eastAsia" w:ascii="宋体" w:hAnsi="宋体"/>
          <w:color w:val="auto"/>
          <w:szCs w:val="24"/>
          <w:highlight w:val="none"/>
          <w:u w:val="single"/>
        </w:rPr>
        <w:t>　　　　　　　　　　　　　　　　　　　　　　</w:t>
      </w:r>
      <w:r>
        <w:rPr>
          <w:rFonts w:hint="eastAsia" w:ascii="宋体" w:hAnsi="宋体"/>
          <w:color w:val="auto"/>
          <w:szCs w:val="24"/>
          <w:highlight w:val="none"/>
        </w:rPr>
        <w:t>。</w:t>
      </w:r>
    </w:p>
    <w:p w14:paraId="30A33981">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五、分包履约验收：</w:t>
      </w:r>
      <w:r>
        <w:rPr>
          <w:rFonts w:hint="eastAsia" w:ascii="宋体" w:hAnsi="宋体"/>
          <w:color w:val="auto"/>
          <w:szCs w:val="24"/>
          <w:highlight w:val="none"/>
          <w:u w:val="single"/>
        </w:rPr>
        <w:t>　　　　　　　　　　　　　　　　　　　　　　</w:t>
      </w:r>
      <w:r>
        <w:rPr>
          <w:rFonts w:hint="eastAsia" w:ascii="宋体" w:hAnsi="宋体"/>
          <w:color w:val="auto"/>
          <w:szCs w:val="24"/>
          <w:highlight w:val="none"/>
        </w:rPr>
        <w:t>。</w:t>
      </w:r>
    </w:p>
    <w:p w14:paraId="00E1C97B">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六、违约责任：</w:t>
      </w:r>
      <w:r>
        <w:rPr>
          <w:rFonts w:hint="eastAsia" w:ascii="宋体" w:hAnsi="宋体"/>
          <w:color w:val="auto"/>
          <w:szCs w:val="24"/>
          <w:highlight w:val="none"/>
          <w:u w:val="single"/>
        </w:rPr>
        <w:t>　　　　　　　　　　　　　　　　　　　　　　</w:t>
      </w:r>
      <w:r>
        <w:rPr>
          <w:rFonts w:hint="eastAsia" w:ascii="宋体" w:hAnsi="宋体"/>
          <w:color w:val="auto"/>
          <w:szCs w:val="24"/>
          <w:highlight w:val="none"/>
        </w:rPr>
        <w:t>。</w:t>
      </w:r>
    </w:p>
    <w:p w14:paraId="70FB2F53">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七、争议解决：</w:t>
      </w:r>
      <w:r>
        <w:rPr>
          <w:rFonts w:hint="eastAsia" w:ascii="宋体" w:hAnsi="宋体"/>
          <w:color w:val="auto"/>
          <w:szCs w:val="24"/>
          <w:highlight w:val="none"/>
          <w:u w:val="single"/>
        </w:rPr>
        <w:t>　　　　　　　　　　　　　　　　　　　　　　</w:t>
      </w:r>
      <w:r>
        <w:rPr>
          <w:rFonts w:hint="eastAsia" w:ascii="宋体" w:hAnsi="宋体"/>
          <w:color w:val="auto"/>
          <w:szCs w:val="24"/>
          <w:highlight w:val="none"/>
        </w:rPr>
        <w:t>。</w:t>
      </w:r>
    </w:p>
    <w:p w14:paraId="6F537378">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八、其他：</w:t>
      </w:r>
      <w:r>
        <w:rPr>
          <w:rFonts w:hint="eastAsia" w:ascii="宋体" w:hAnsi="宋体"/>
          <w:color w:val="auto"/>
          <w:szCs w:val="24"/>
          <w:highlight w:val="none"/>
          <w:u w:val="single"/>
        </w:rPr>
        <w:t>　　　　　　　　　　　　　　　　　　　　　　</w:t>
      </w:r>
      <w:r>
        <w:rPr>
          <w:rFonts w:hint="eastAsia" w:ascii="宋体" w:hAnsi="宋体"/>
          <w:color w:val="auto"/>
          <w:szCs w:val="24"/>
          <w:highlight w:val="none"/>
        </w:rPr>
        <w:t>。</w:t>
      </w:r>
    </w:p>
    <w:p w14:paraId="6F81B2C2">
      <w:pPr>
        <w:pStyle w:val="15"/>
        <w:wordWrap w:val="0"/>
        <w:spacing w:line="360" w:lineRule="auto"/>
        <w:rPr>
          <w:color w:val="auto"/>
          <w:highlight w:val="none"/>
        </w:rPr>
      </w:pPr>
    </w:p>
    <w:tbl>
      <w:tblPr>
        <w:tblStyle w:val="41"/>
        <w:tblW w:w="8580" w:type="dxa"/>
        <w:jc w:val="center"/>
        <w:tblLayout w:type="fixed"/>
        <w:tblCellMar>
          <w:top w:w="0" w:type="dxa"/>
          <w:left w:w="108" w:type="dxa"/>
          <w:bottom w:w="0" w:type="dxa"/>
          <w:right w:w="108" w:type="dxa"/>
        </w:tblCellMar>
      </w:tblPr>
      <w:tblGrid>
        <w:gridCol w:w="4290"/>
        <w:gridCol w:w="4290"/>
      </w:tblGrid>
      <w:tr w14:paraId="06340A80">
        <w:tblPrEx>
          <w:tblCellMar>
            <w:top w:w="0" w:type="dxa"/>
            <w:left w:w="108" w:type="dxa"/>
            <w:bottom w:w="0" w:type="dxa"/>
            <w:right w:w="108" w:type="dxa"/>
          </w:tblCellMar>
        </w:tblPrEx>
        <w:trPr>
          <w:trHeight w:val="2481" w:hRule="atLeast"/>
          <w:jc w:val="center"/>
        </w:trPr>
        <w:tc>
          <w:tcPr>
            <w:tcW w:w="4290" w:type="dxa"/>
          </w:tcPr>
          <w:p w14:paraId="5DB3B988">
            <w:pPr>
              <w:pStyle w:val="20"/>
              <w:spacing w:line="360" w:lineRule="auto"/>
              <w:rPr>
                <w:rFonts w:hAnsi="宋体" w:cs="宋体"/>
                <w:color w:val="auto"/>
                <w:sz w:val="24"/>
                <w:szCs w:val="24"/>
                <w:highlight w:val="none"/>
              </w:rPr>
            </w:pPr>
            <w:r>
              <w:rPr>
                <w:rFonts w:hint="eastAsia" w:hAnsi="宋体" w:cs="宋体"/>
                <w:color w:val="auto"/>
                <w:sz w:val="24"/>
                <w:szCs w:val="24"/>
                <w:highlight w:val="none"/>
              </w:rPr>
              <w:t>投标人名称（签章）：</w:t>
            </w:r>
          </w:p>
          <w:p w14:paraId="52E17663">
            <w:pPr>
              <w:pStyle w:val="20"/>
              <w:wordWrap w:val="0"/>
              <w:spacing w:line="360" w:lineRule="auto"/>
              <w:rPr>
                <w:rFonts w:hAnsi="宋体" w:cs="宋体"/>
                <w:color w:val="auto"/>
                <w:sz w:val="24"/>
                <w:szCs w:val="24"/>
                <w:highlight w:val="none"/>
              </w:rPr>
            </w:pPr>
          </w:p>
          <w:p w14:paraId="2E87A7F5">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法定代表人（或授权代表）（签章）：</w:t>
            </w:r>
          </w:p>
          <w:p w14:paraId="25431C60">
            <w:pPr>
              <w:pStyle w:val="20"/>
              <w:wordWrap w:val="0"/>
              <w:spacing w:line="360" w:lineRule="auto"/>
              <w:rPr>
                <w:rFonts w:hAnsi="宋体" w:cs="宋体"/>
                <w:color w:val="auto"/>
                <w:sz w:val="24"/>
                <w:szCs w:val="24"/>
                <w:highlight w:val="none"/>
              </w:rPr>
            </w:pPr>
          </w:p>
          <w:p w14:paraId="1AA45576">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p>
        </w:tc>
        <w:tc>
          <w:tcPr>
            <w:tcW w:w="4290" w:type="dxa"/>
          </w:tcPr>
          <w:p w14:paraId="2D6F4764">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分包供应商一名称（签章）：</w:t>
            </w:r>
          </w:p>
          <w:p w14:paraId="211291A9">
            <w:pPr>
              <w:pStyle w:val="20"/>
              <w:wordWrap w:val="0"/>
              <w:spacing w:line="360" w:lineRule="auto"/>
              <w:rPr>
                <w:rFonts w:hAnsi="宋体" w:cs="宋体"/>
                <w:color w:val="auto"/>
                <w:sz w:val="24"/>
                <w:szCs w:val="24"/>
                <w:highlight w:val="none"/>
              </w:rPr>
            </w:pPr>
          </w:p>
          <w:p w14:paraId="606ABB10">
            <w:pPr>
              <w:pStyle w:val="20"/>
              <w:wordWrap w:val="0"/>
              <w:spacing w:line="360" w:lineRule="auto"/>
              <w:rPr>
                <w:rFonts w:hAnsi="宋体" w:cs="宋体"/>
                <w:color w:val="auto"/>
                <w:spacing w:val="-22"/>
                <w:sz w:val="24"/>
                <w:szCs w:val="24"/>
                <w:highlight w:val="none"/>
              </w:rPr>
            </w:pPr>
            <w:r>
              <w:rPr>
                <w:rFonts w:hint="eastAsia" w:hAnsi="宋体" w:cs="宋体"/>
                <w:color w:val="auto"/>
                <w:spacing w:val="-22"/>
                <w:sz w:val="24"/>
                <w:szCs w:val="24"/>
                <w:highlight w:val="none"/>
              </w:rPr>
              <w:t>法定代表人（或授权代表）（签章）：</w:t>
            </w:r>
          </w:p>
          <w:p w14:paraId="79973744">
            <w:pPr>
              <w:pStyle w:val="20"/>
              <w:wordWrap w:val="0"/>
              <w:spacing w:line="360" w:lineRule="auto"/>
              <w:rPr>
                <w:rFonts w:hAnsi="宋体" w:cs="宋体"/>
                <w:color w:val="auto"/>
                <w:sz w:val="24"/>
                <w:szCs w:val="24"/>
                <w:highlight w:val="none"/>
              </w:rPr>
            </w:pPr>
          </w:p>
          <w:p w14:paraId="39301F78">
            <w:pPr>
              <w:pStyle w:val="20"/>
              <w:wordWrap w:val="0"/>
              <w:spacing w:line="360" w:lineRule="auto"/>
              <w:rPr>
                <w:rFonts w:hAnsi="宋体" w:cs="宋体"/>
                <w:color w:val="auto"/>
                <w:sz w:val="24"/>
                <w:szCs w:val="24"/>
                <w:highlight w:val="none"/>
              </w:rPr>
            </w:pPr>
            <w:r>
              <w:rPr>
                <w:rFonts w:hint="eastAsia" w:hAnsi="宋体" w:cs="宋体"/>
                <w:color w:val="auto"/>
                <w:sz w:val="24"/>
                <w:szCs w:val="24"/>
                <w:highlight w:val="none"/>
              </w:rPr>
              <w:t>日期：　　　年　　月　　日</w:t>
            </w:r>
          </w:p>
        </w:tc>
      </w:tr>
    </w:tbl>
    <w:p w14:paraId="1583840E">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E0A9589">
      <w:pPr>
        <w:wordWrap w:val="0"/>
        <w:spacing w:line="360" w:lineRule="auto"/>
        <w:ind w:firstLine="480" w:firstLineChars="200"/>
        <w:rPr>
          <w:rFonts w:ascii="宋体" w:hAnsi="宋体"/>
          <w:color w:val="auto"/>
          <w:sz w:val="24"/>
          <w:szCs w:val="24"/>
          <w:highlight w:val="none"/>
        </w:rPr>
        <w:sectPr>
          <w:pgSz w:w="11906" w:h="16838"/>
          <w:pgMar w:top="1440" w:right="1797" w:bottom="1440" w:left="1797" w:header="851" w:footer="992" w:gutter="0"/>
          <w:cols w:space="720" w:num="1"/>
          <w:docGrid w:type="linesAndChars" w:linePitch="319" w:charSpace="0"/>
        </w:sectPr>
      </w:pPr>
    </w:p>
    <w:bookmarkEnd w:id="390"/>
    <w:p w14:paraId="1A53280E">
      <w:pPr>
        <w:wordWrap w:val="0"/>
        <w:spacing w:line="360" w:lineRule="auto"/>
        <w:ind w:firstLine="480" w:firstLineChars="200"/>
        <w:outlineLvl w:val="2"/>
        <w:rPr>
          <w:rFonts w:ascii="宋体" w:hAnsi="宋体"/>
          <w:b/>
          <w:color w:val="auto"/>
          <w:sz w:val="24"/>
          <w:szCs w:val="24"/>
          <w:highlight w:val="none"/>
        </w:rPr>
      </w:pPr>
      <w:bookmarkStart w:id="392" w:name="_Toc140237345"/>
      <w:r>
        <w:rPr>
          <w:rFonts w:hint="eastAsia" w:ascii="宋体" w:hAnsi="宋体"/>
          <w:b/>
          <w:color w:val="auto"/>
          <w:sz w:val="24"/>
          <w:szCs w:val="24"/>
          <w:highlight w:val="none"/>
        </w:rPr>
        <w:t>6</w:t>
      </w:r>
      <w:r>
        <w:rPr>
          <w:rFonts w:ascii="宋体" w:hAnsi="宋体"/>
          <w:b/>
          <w:color w:val="auto"/>
          <w:sz w:val="24"/>
          <w:szCs w:val="24"/>
          <w:highlight w:val="none"/>
        </w:rPr>
        <w:t>.6.7</w:t>
      </w:r>
      <w:r>
        <w:rPr>
          <w:rFonts w:hint="eastAsia" w:ascii="宋体" w:hAnsi="宋体"/>
          <w:b/>
          <w:color w:val="auto"/>
          <w:sz w:val="24"/>
          <w:szCs w:val="24"/>
          <w:highlight w:val="none"/>
        </w:rPr>
        <w:t>　其他需要提供的资料</w:t>
      </w:r>
      <w:bookmarkEnd w:id="392"/>
    </w:p>
    <w:p w14:paraId="03346FD7">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投标人认为与投标相关的其他需要提供的资料。</w:t>
      </w:r>
    </w:p>
    <w:p w14:paraId="05130A42">
      <w:pPr>
        <w:wordWrap w:val="0"/>
        <w:spacing w:line="360" w:lineRule="auto"/>
        <w:ind w:firstLine="480" w:firstLineChars="200"/>
        <w:rPr>
          <w:rFonts w:ascii="宋体" w:hAnsi="宋体"/>
          <w:color w:val="auto"/>
          <w:sz w:val="24"/>
          <w:highlight w:val="none"/>
        </w:rPr>
        <w:sectPr>
          <w:pgSz w:w="11906" w:h="16838"/>
          <w:pgMar w:top="1440" w:right="1797" w:bottom="1440" w:left="1797" w:header="851" w:footer="992" w:gutter="0"/>
          <w:cols w:space="720" w:num="1"/>
          <w:docGrid w:type="linesAndChars" w:linePitch="319" w:charSpace="0"/>
        </w:sectPr>
      </w:pPr>
    </w:p>
    <w:p w14:paraId="2FE7D224">
      <w:pPr>
        <w:wordWrap w:val="0"/>
        <w:spacing w:after="319" w:afterLines="100" w:line="360" w:lineRule="auto"/>
        <w:jc w:val="center"/>
        <w:outlineLvl w:val="0"/>
        <w:rPr>
          <w:rFonts w:ascii="华文中宋" w:hAnsi="华文中宋" w:eastAsia="华文中宋"/>
          <w:color w:val="auto"/>
          <w:sz w:val="32"/>
          <w:szCs w:val="32"/>
          <w:highlight w:val="none"/>
        </w:rPr>
      </w:pPr>
      <w:bookmarkStart w:id="393" w:name="_Toc140237346"/>
      <w:bookmarkStart w:id="394" w:name="_Hlk101433176"/>
      <w:bookmarkStart w:id="395" w:name="_Toc91323639"/>
      <w:r>
        <w:rPr>
          <w:rFonts w:hint="eastAsia" w:ascii="华文中宋" w:hAnsi="华文中宋" w:eastAsia="华文中宋"/>
          <w:color w:val="auto"/>
          <w:sz w:val="32"/>
          <w:szCs w:val="32"/>
          <w:highlight w:val="none"/>
        </w:rPr>
        <w:t>第七章　</w:t>
      </w:r>
      <w:bookmarkStart w:id="396" w:name="_Hlk134795717"/>
      <w:r>
        <w:rPr>
          <w:rFonts w:hint="eastAsia" w:ascii="华文中宋" w:hAnsi="华文中宋" w:eastAsia="华文中宋"/>
          <w:color w:val="auto"/>
          <w:sz w:val="32"/>
          <w:szCs w:val="32"/>
          <w:highlight w:val="none"/>
        </w:rPr>
        <w:t>采购需求</w:t>
      </w:r>
      <w:bookmarkEnd w:id="393"/>
      <w:bookmarkEnd w:id="394"/>
      <w:bookmarkEnd w:id="395"/>
      <w:bookmarkEnd w:id="396"/>
    </w:p>
    <w:p w14:paraId="6B758338">
      <w:pPr>
        <w:spacing w:line="360" w:lineRule="auto"/>
        <w:ind w:firstLine="560" w:firstLineChars="200"/>
        <w:jc w:val="left"/>
        <w:outlineLvl w:val="1"/>
        <w:rPr>
          <w:rFonts w:ascii="宋体" w:hAnsi="宋体"/>
          <w:b/>
          <w:color w:val="auto"/>
          <w:sz w:val="28"/>
          <w:szCs w:val="28"/>
          <w:highlight w:val="none"/>
        </w:rPr>
      </w:pPr>
      <w:r>
        <w:rPr>
          <w:rFonts w:hint="eastAsia" w:ascii="宋体" w:hAnsi="宋体"/>
          <w:b/>
          <w:color w:val="auto"/>
          <w:sz w:val="28"/>
          <w:szCs w:val="28"/>
          <w:highlight w:val="none"/>
        </w:rPr>
        <w:t>第一部分：基本情况</w:t>
      </w:r>
    </w:p>
    <w:p w14:paraId="2776F17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总体要求：</w:t>
      </w:r>
    </w:p>
    <w:p w14:paraId="2095FE9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根据《中小企业划型标准规定》（工信部联企业〔2011〕300号）有关规定，本次采购标的对应的中小企业划分标准所属行业为租赁和服务业行业。</w:t>
      </w:r>
    </w:p>
    <w:p w14:paraId="4C8B79DC">
      <w:pPr>
        <w:spacing w:line="360" w:lineRule="auto"/>
        <w:ind w:firstLine="480" w:firstLineChars="200"/>
        <w:jc w:val="left"/>
        <w:outlineLvl w:val="9"/>
        <w:rPr>
          <w:rFonts w:hint="eastAsia" w:ascii="宋体" w:hAnsi="宋体" w:eastAsia="宋体" w:cs="宋体"/>
          <w:color w:val="auto"/>
          <w:sz w:val="24"/>
          <w:szCs w:val="24"/>
          <w:highlight w:val="none"/>
        </w:rPr>
      </w:pPr>
      <w:bookmarkStart w:id="397" w:name="_Toc104383843"/>
      <w:bookmarkStart w:id="398" w:name="_Toc104583430"/>
      <w:r>
        <w:rPr>
          <w:rFonts w:hint="eastAsia" w:ascii="宋体" w:hAnsi="宋体" w:eastAsia="宋体" w:cs="宋体"/>
          <w:color w:val="auto"/>
          <w:sz w:val="24"/>
          <w:szCs w:val="24"/>
          <w:highlight w:val="none"/>
        </w:rPr>
        <w:t>二、服务时间</w:t>
      </w:r>
      <w:bookmarkEnd w:id="397"/>
      <w:bookmarkEnd w:id="398"/>
    </w:p>
    <w:p w14:paraId="306C30E6">
      <w:pPr>
        <w:spacing w:line="360" w:lineRule="auto"/>
        <w:ind w:firstLine="480" w:firstLineChars="200"/>
        <w:jc w:val="left"/>
        <w:outlineLvl w:val="9"/>
        <w:rPr>
          <w:rFonts w:hint="eastAsia" w:ascii="宋体" w:hAnsi="宋体" w:eastAsia="宋体" w:cs="宋体"/>
          <w:color w:val="auto"/>
          <w:sz w:val="24"/>
          <w:szCs w:val="24"/>
          <w:highlight w:val="none"/>
        </w:rPr>
      </w:pPr>
      <w:bookmarkStart w:id="399" w:name="_Toc104583431"/>
      <w:bookmarkStart w:id="400" w:name="_Toc104383844"/>
      <w:r>
        <w:rPr>
          <w:rFonts w:hint="eastAsia" w:ascii="宋体" w:hAnsi="宋体" w:eastAsia="宋体" w:cs="宋体"/>
          <w:color w:val="auto"/>
          <w:sz w:val="24"/>
          <w:szCs w:val="24"/>
          <w:highlight w:val="none"/>
        </w:rPr>
        <w:t>供应商在中标公告发布后，根据采购方通知进点，并按照采购方安排时间实施评价工作（总体时间不超过两个月）。评价期间，供应商须按时完成各项既定工作任务。</w:t>
      </w:r>
    </w:p>
    <w:bookmarkEnd w:id="399"/>
    <w:bookmarkEnd w:id="400"/>
    <w:p w14:paraId="2F4B692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三、报价说明</w:t>
      </w:r>
    </w:p>
    <w:p w14:paraId="3CD7969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供应商应针对采购包提交报价。采购包总报价和每个项目的单独报价均不得超过预算金额，采购包所含项目的报价有缺失或超过预算金额，视为无效响应。</w:t>
      </w:r>
    </w:p>
    <w:p w14:paraId="1EEE51E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四、成交说明</w:t>
      </w:r>
    </w:p>
    <w:p w14:paraId="19D9EA9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供应商可对本项目多个包进行响应，同一投标人只能中1包，按开标顺序中标。</w:t>
      </w:r>
    </w:p>
    <w:p w14:paraId="379266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预算及分包情况</w:t>
      </w:r>
    </w:p>
    <w:p w14:paraId="491D240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市财政局预算绩效评价服务项目预算210.8万元，共分为10个包，本项目面向中小企业预留采购份额，预留比例75%。具体分包情况如下：</w:t>
      </w:r>
    </w:p>
    <w:p w14:paraId="3F74603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第一包为为民办实事项目绩效评价，采购预算为27.56万元。</w:t>
      </w:r>
    </w:p>
    <w:p w14:paraId="580CCCA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包为社保基金-职工基本医疗保险（含生育保险）项目、政府性融资担保机构资本金补充资金项目绩效评价，采购预算为21.4万元。其中社保基金-职工基本医疗保险（含生育保险）项目采购预算17.8万元；政府性融资担保机构资本金补充资金项目采购预算3.6万元。</w:t>
      </w:r>
    </w:p>
    <w:p w14:paraId="5BD3834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第三包为市级重大项目前期费项目绩效评价，采购预算为23.58万元。</w:t>
      </w:r>
    </w:p>
    <w:p w14:paraId="62B2FF0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第四包为兰州市殡仪馆专项业务费、社会办养老机构运营补贴、兰州市成品粮应急保障中心建设项目（专项债项目）绩效评价，采购预算16.5万元。其中兰州市殡仪馆专项业务费项目采购预算6.6万元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社会办养老机构运营补贴项目采购预算5.9万元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兰州市成品粮应急保障中心建设项目政府性基金项目（专项债项目）采购预算4万元。</w:t>
      </w:r>
    </w:p>
    <w:p w14:paraId="5464E22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第五包为交通大会战项目、国有资本经营预算项目绩效评价，采购预算20.65万元。</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交通大会战项目采购预算17.65万元；国有资本经营预算项目采购预算3万元。</w:t>
      </w:r>
    </w:p>
    <w:p w14:paraId="44DD37B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包为农机安全与农机化示范推广、黄河风情线绿化养护购买社会化服务、12345政务服务便民服务热线平台项目绩效评价，采购预算17.97万元。其中农机安全与农机化示范推广项目采购预算5.9万元；黄河风情线绿化养护购买社会化服务项目采购预算5.91万元；12345政务服务便民服务热线平台项目采购预算6.16万元。</w:t>
      </w:r>
    </w:p>
    <w:p w14:paraId="205CA15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第七包为兰州市信访局整体支出绩效评价及过紧日子评估、兰州市体育局整体支出绩效评价及过紧日子评估，采购预算13.4万元。其中兰州市信访局整体支出绩效评价及过紧日子评估采购预算2.11万元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兰州市体育局整体支出绩效评价及过紧日子评估采购预算11.29万元。</w:t>
      </w:r>
    </w:p>
    <w:p w14:paraId="72EBC1F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第八包为兰州市生态环境局整体支出绩效评价及过紧日子评估，采购预算17.74万元。</w:t>
      </w:r>
    </w:p>
    <w:p w14:paraId="3B0E7C0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第九包为安宁财政运行综合绩效评价，采购预算20万元。</w:t>
      </w:r>
    </w:p>
    <w:p w14:paraId="0E466C7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第十包为县区预算绩效管理工作成效量化评价，采购预算32万元。</w:t>
      </w:r>
    </w:p>
    <w:p w14:paraId="2165DD8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面向中小企业部分预留采购份额，预留比例75%（其中预留小微企业比例0%），须提供《中小企业声明函》或者《残疾人福利性单位声明函》或者由省级以上监狱管理局、戒毒管理局（含新疆生产建设兵团）出具的属于监狱企业的证明文件。</w:t>
      </w:r>
    </w:p>
    <w:p w14:paraId="45120BF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具体为: （第一包、第二包、第三包、第四包、第五包、第八包、第十包）面向中小企业预留采购份额预留比例100%（其中预留小微企业比例0%）；（第六包、第七包、第九包）面向中小企业预留采购份额预留比例0%（其中预留小微企业比例0%）；</w:t>
      </w:r>
    </w:p>
    <w:p w14:paraId="257F7086">
      <w:pPr>
        <w:spacing w:line="360" w:lineRule="auto"/>
        <w:ind w:firstLine="560" w:firstLineChars="200"/>
        <w:jc w:val="left"/>
        <w:outlineLvl w:val="1"/>
        <w:rPr>
          <w:rFonts w:ascii="宋体" w:hAnsi="宋体"/>
          <w:b/>
          <w:color w:val="auto"/>
          <w:sz w:val="24"/>
          <w:szCs w:val="24"/>
          <w:highlight w:val="none"/>
        </w:rPr>
      </w:pPr>
      <w:r>
        <w:rPr>
          <w:rFonts w:hint="eastAsia" w:ascii="宋体" w:hAnsi="宋体"/>
          <w:b/>
          <w:color w:val="auto"/>
          <w:sz w:val="28"/>
          <w:szCs w:val="28"/>
          <w:highlight w:val="none"/>
        </w:rPr>
        <w:t>第二部分：详细参数</w:t>
      </w:r>
    </w:p>
    <w:p w14:paraId="213A4AA3">
      <w:pPr>
        <w:keepNext w:val="0"/>
        <w:keepLines w:val="0"/>
        <w:pageBreakBefore w:val="0"/>
        <w:kinsoku/>
        <w:autoSpaceDE/>
        <w:autoSpaceDN/>
        <w:bidi w:val="0"/>
        <w:spacing w:line="480" w:lineRule="auto"/>
        <w:ind w:firstLine="64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第一包：为民办实事项目绩效评价</w:t>
      </w:r>
    </w:p>
    <w:p w14:paraId="5478ED6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54B0988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（一）项目名称：为民办实事项目（1.兰州市天然气居民用户加装报警器、自闭阀、金属波纹管，2.兰州市村卫生室标准化建设，3.和美乡村创建）</w:t>
      </w:r>
    </w:p>
    <w:p w14:paraId="48FE113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（二）实施单位：甘肃昆仑燃气有限公司、兰州市卫生健康委员会、各县区人民政府</w:t>
      </w:r>
    </w:p>
    <w:p w14:paraId="68CCEAB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（三）主管部门：兰州市住房和城乡建设局、兰州市卫生健康委员会、兰州市农业农村局</w:t>
      </w:r>
    </w:p>
    <w:p w14:paraId="19C53F2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4A2972E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兰州市天然气居民用户加装报警器、自闭阀、金属波纹管项目截止2024年12月31日，各级财政下达预算资金24500 万元，其中：中央资金24500万元，省级资金0万元，市级资金0万元，县区配套资金0万元，其他资金15025万元；截止2025年3月31日，兰州市天然气居民用户加装报警器、自闭阀、金属波纹管项目预算支出22366万元，其中中央资金22366万元。</w:t>
      </w:r>
    </w:p>
    <w:p w14:paraId="0C68590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兰州市村卫生室标准化建设项目截止2024年12月31日，市级财政下达村卫生室标准化建设项目预算资金200万元；截止2024年12月31日，村卫生室标准化建设项目预算支出200万元。</w:t>
      </w:r>
    </w:p>
    <w:p w14:paraId="4EB7B04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美乡村创建项目截止2024年12月31日，各级财政下达预算资18600万元，其中：省级资金1400万元，市级资金6000万元，县级资金11200万元；截止2024年12月31日，和美乡村建设项目预算支出18600万元，其中：省级资金1400万元，市级资金6000万元，县级资金11200万元。</w:t>
      </w:r>
    </w:p>
    <w:p w14:paraId="536CD02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6F11423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（一）《国务院办公厅关于印发城市燃气管道等老化更新改造实施方案（2022—2025年）的通知》（国办发〔2022〕22号）；</w:t>
      </w:r>
    </w:p>
    <w:p w14:paraId="32DC981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（二）《甘肃省燃气管理条例》</w:t>
      </w:r>
    </w:p>
    <w:p w14:paraId="081B71B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（三）《兰州市燃气管理条例》</w:t>
      </w:r>
    </w:p>
    <w:p w14:paraId="4E1BD6B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（四）《燃气工程项目规范》GB55009 - 2021</w:t>
      </w:r>
    </w:p>
    <w:p w14:paraId="019DED3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（五）《村卫生室管理办法（试行）》（2014年印发）</w:t>
      </w:r>
    </w:p>
    <w:p w14:paraId="03D4AD7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（六）《村卫生室服务能力标准（2022 版）》</w:t>
      </w:r>
    </w:p>
    <w:p w14:paraId="064C25B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（七）《甘肃省“和美乡村”创建行动实施方案》的通知甘办发〔2023〕33号</w:t>
      </w:r>
    </w:p>
    <w:p w14:paraId="14A955A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53D97FE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2025年3月31日，兰州市天然气居民用户加装报警器、自闭阀、金属波纹管项目累计加装85.65万户，累计完成投资2.466亿元，其中2023年累计完成41万天然气居民用户的户内设施安装改造工作，超额完成30万户改造任务；2024年累计完成42万天然气居民用户的户内设施安装改造工作，超额完成40万户改造任务；2025年累计完成2.65万天然气居民用户的户内设施安装改造工作。</w:t>
      </w:r>
    </w:p>
    <w:p w14:paraId="2BCAB13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村卫生室标准化建设资金由市财政预算拨付200万元，拨付标准为新建15万元/个，维修1万元/个；计划新建13个（安宁区2个、红古区2个、永登县4个、榆中县4个、皋兰县1个），维修改造5个（七里河区2个、皋兰县3个）。项目严格按照实施方案推进，于1-3月进行选址和招标工作，于4月底-5月初全部开工建设，10月31日前全部完成施工，各县区组织卫健、财政等相关部门完成验收，并全部交付使用，确保项目顺利落地。</w:t>
      </w:r>
    </w:p>
    <w:p w14:paraId="7537A2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和美乡村创建项目与乡村振兴示范带建设互融共建，实施完成了133个环境整治、美丽宜居、基础设施、产业发展等方面的项目，并按期完成了和美乡村创建的其他各项工作任务。</w:t>
      </w:r>
    </w:p>
    <w:p w14:paraId="15E6B0A7">
      <w:pPr>
        <w:spacing w:line="360" w:lineRule="auto"/>
        <w:ind w:firstLine="480" w:firstLineChars="200"/>
        <w:jc w:val="left"/>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五、评价关注点</w:t>
      </w:r>
    </w:p>
    <w:p w14:paraId="7359CFD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关注村卫生室标准化建设、40万户天然气居民用户加装项目及和美乡村创建项目资金使用、实施管理过程、绩效管理是否规范，绩效目标是否科学合理，项目进度是否按计划完成，项目效益实现情况和服务对象满意度等。是否达到预定目标（如业务用房面积、科室设置、设备配备等是否符合标准）。审核补助资金是否专款专用，是否存在截留、挤占、挪用、虚列支出等情况。</w:t>
      </w:r>
    </w:p>
    <w:p w14:paraId="15F8061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、其他要求</w:t>
      </w:r>
    </w:p>
    <w:p w14:paraId="3B2B028F">
      <w:pPr>
        <w:spacing w:line="360" w:lineRule="auto"/>
        <w:ind w:firstLine="480"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投标人承诺为本项目配备项目人员不少于6人,提供承诺函及人员配备名单及相关证明资料，中标后所配备人员未经采购人同意不允许更换。不提供视为不响应。</w:t>
      </w:r>
    </w:p>
    <w:p w14:paraId="1A70166E">
      <w:pPr>
        <w:keepNext w:val="0"/>
        <w:keepLines w:val="0"/>
        <w:pageBreakBefore w:val="0"/>
        <w:kinsoku/>
        <w:autoSpaceDE/>
        <w:autoSpaceDN/>
        <w:bidi w:val="0"/>
        <w:spacing w:line="480" w:lineRule="auto"/>
        <w:ind w:firstLine="6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第二包：社保基金-职工基本医疗保险（含生育保险）项目、政府性融资担保机构资本金补充资金项目绩效评价</w:t>
      </w:r>
    </w:p>
    <w:p w14:paraId="137A142C">
      <w:pPr>
        <w:keepNext w:val="0"/>
        <w:keepLines w:val="0"/>
        <w:pageBreakBefore w:val="0"/>
        <w:kinsoku/>
        <w:autoSpaceDE/>
        <w:autoSpaceDN/>
        <w:bidi w:val="0"/>
        <w:spacing w:line="480" w:lineRule="auto"/>
        <w:ind w:firstLine="6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项目一：社保基金-职工基本医疗保险（含生育险）项目基本概况</w:t>
      </w:r>
    </w:p>
    <w:p w14:paraId="3DEC1C7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1ADA4D4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（一）项目名称：社保基金-职工基本医疗保险(含生育保险）</w:t>
      </w:r>
    </w:p>
    <w:p w14:paraId="4CC2560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（二）实施单位：兰州市医疗保险服务中心</w:t>
      </w:r>
    </w:p>
    <w:p w14:paraId="7419BE8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（三）主管部门：兰州市医疗保障局</w:t>
      </w:r>
    </w:p>
    <w:p w14:paraId="6A7829D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7CEB67B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截止2024年12月31日，全市职工基本医疗保险基金收入为826612万元，其中，统筹基金收入 627221万元（含利息收入16540万元），个人账户收入199391万元（含利息收入3958万元）；职工基本医疗保险基金支出673971万元，其中，统筹基金支出452911万元，个人账户支出221060万元。职工基本医疗保险基金当期结余152641万元。截止2024年12月31日，2024年职工大额医疗保险基金收入50293万元，基金支出46029万元。基金当期结余4264万元，累计结余103912万元。</w:t>
      </w:r>
    </w:p>
    <w:p w14:paraId="27FBAAB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截止2024年12月31日，2024年公务员医疗补助基金收入44534万元，基金支出30163万元。基金当期结余14371万元，累计结余104859万元。</w:t>
      </w:r>
    </w:p>
    <w:p w14:paraId="0F54053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164C4E0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（一）《中华人民共和国社会保险法》</w:t>
      </w:r>
    </w:p>
    <w:p w14:paraId="059B7AE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（二）《社会保险费征缴暂行条例》</w:t>
      </w:r>
    </w:p>
    <w:p w14:paraId="48B2515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（三）《国务院关于建立城镇职工基本医疗保险制度的决定》（国发〔1998〕44号）</w:t>
      </w:r>
    </w:p>
    <w:p w14:paraId="0086960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（四）《国家医保局 财政部关于建立医疗保障待遇清单制度的意见》（医保发〔2021〕5号）</w:t>
      </w:r>
    </w:p>
    <w:p w14:paraId="6584EC1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（五）《关于兰州市基本医疗保险参保有关工作的通知》（兰医保〔2024〕74号）</w:t>
      </w:r>
    </w:p>
    <w:p w14:paraId="661A422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（六）《社会保险经办条例》</w:t>
      </w:r>
    </w:p>
    <w:p w14:paraId="677D57C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（七）《医疗保障基金使用监督管理条例》（国务院令第735号）</w:t>
      </w:r>
    </w:p>
    <w:p w14:paraId="78EF1C5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（八）《国家基本医疗保险、工伤保险和生育保险药品目录》</w:t>
      </w:r>
    </w:p>
    <w:p w14:paraId="5456D2F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（九）《甘肃省基本医疗保险、生育保险诊疗项目录》</w:t>
      </w:r>
    </w:p>
    <w:p w14:paraId="742E895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（十）《甘肃省基本医疗保险、生育保险医疗耗材目录》</w:t>
      </w:r>
    </w:p>
    <w:p w14:paraId="1592E69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（十一）《国家医疗保障待遇清单》</w:t>
      </w:r>
    </w:p>
    <w:p w14:paraId="4735224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（十二）《关于城镇职工医疗保险制度改革中若干问题的意见》的通知（甘劳发〔1999〕205号）</w:t>
      </w:r>
    </w:p>
    <w:p w14:paraId="059AB53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（十三）《兰州城镇职工基本医疗保险实施方案（试行）》的通知（兰政发〔2001〕11号）</w:t>
      </w:r>
    </w:p>
    <w:p w14:paraId="6186E17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（十四）《兰州市职工基本医疗保险门诊共济保障实施细则》的通知（兰政办发〔2022〕140号）</w:t>
      </w:r>
    </w:p>
    <w:p w14:paraId="765F84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（十五）《关于调整提高职工医保住院待遇标准的通知》（兰医保〔2022〕48号）</w:t>
      </w:r>
    </w:p>
    <w:p w14:paraId="4B854E4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（十六）《关于调整基本医疗保险待遇标准的通知》</w:t>
      </w:r>
    </w:p>
    <w:p w14:paraId="19E22CA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（十七）《兰州市城镇职工基本医疗保险支付方式改革试点工作实施方案》</w:t>
      </w:r>
    </w:p>
    <w:p w14:paraId="7F0EB13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（十八）《兰州市基本医疗保险实行按疾病诊断相关分组（DRG）付费三年行动计划》</w:t>
      </w:r>
    </w:p>
    <w:p w14:paraId="26BB06C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（十九）《兰州市基本医疗保险实行按疾病诊断相关分组（DRG）付费办法》</w:t>
      </w:r>
    </w:p>
    <w:p w14:paraId="14D33A4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（二十）《兰州市基本医疗保险按疾病诊断相关分组（DRG）付费业务经办规程》</w:t>
      </w:r>
    </w:p>
    <w:p w14:paraId="5EC2350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6031DB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（一）收入方面</w:t>
      </w:r>
    </w:p>
    <w:p w14:paraId="40FD052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2024年4月起，根据党中央、国务院决策部署，优化调整社会保险费申报缴纳流程，缴费人自行向税务部门社保缴纳社会保险费。职工医疗保险项目核心目标是保障医保基金合理使用、持续推进医保支付方式改革，完善我市医保基金在总额预付下以DRG方式为主，按床日、病种相结合的多元复合付费方式，保证医疗机构获取正当收益，提高医疗服务水平，同时通过优化报销政策减轻患者负担。根据《关于进一步落实医保基金运行风险预警机制及运行报告制度的通知》“职工医保统筹基金累计结余可支付月数大于18个月，城乡居民医保基金累计结余可支付月数大于9个月，为医保基金正常运行级别”。兰州市职工统筹基金累计结余不存在赤字，可支撑月数为27.4个月，总体职工医保基金运行平稳，结余可控。</w:t>
      </w:r>
    </w:p>
    <w:p w14:paraId="5628931A">
      <w:pPr>
        <w:pStyle w:val="2"/>
        <w:ind w:firstLine="496" w:firstLineChars="200"/>
        <w:rPr>
          <w:rFonts w:hint="eastAsia" w:cs="宋体"/>
          <w:color w:val="auto"/>
          <w:sz w:val="24"/>
          <w:szCs w:val="24"/>
          <w:highlight w:val="none"/>
          <w:lang w:eastAsia="zh-CN"/>
        </w:rPr>
      </w:pPr>
      <w:r>
        <w:rPr>
          <w:rFonts w:hint="eastAsia" w:cs="宋体"/>
          <w:color w:val="auto"/>
          <w:sz w:val="24"/>
          <w:szCs w:val="24"/>
          <w:highlight w:val="none"/>
          <w:lang w:eastAsia="zh-CN"/>
        </w:rPr>
        <w:t>五、评价关注点</w:t>
      </w:r>
    </w:p>
    <w:p w14:paraId="18E4AC5B">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重点关注职工基本医保政策是否宣传到位、保险资金赔付是否及时、职工基本医疗保险是否按照《甘肃省社会保险基金预算绩效管理实施办法》开展预算绩效管理以及职工基本医疗保险基金在政策效果、基金收支、精算平衡、运行风险等方面的特征</w:t>
      </w:r>
      <w:r>
        <w:rPr>
          <w:rFonts w:hint="eastAsia" w:ascii="宋体" w:hAnsi="宋体" w:cs="宋体"/>
          <w:color w:val="auto"/>
          <w:sz w:val="24"/>
          <w:szCs w:val="24"/>
          <w:highlight w:val="none"/>
          <w:lang w:eastAsia="zh-CN"/>
        </w:rPr>
        <w:t>。</w:t>
      </w:r>
    </w:p>
    <w:p w14:paraId="38946C98">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4B0CFCD9">
      <w:pPr>
        <w:spacing w:line="360" w:lineRule="auto"/>
        <w:ind w:firstLine="480" w:firstLineChars="200"/>
        <w:jc w:val="left"/>
        <w:outlineLvl w:val="9"/>
        <w:rPr>
          <w:rFonts w:hint="eastAsia" w:ascii="宋体" w:hAnsi="宋体" w:eastAsia="宋体" w:cs="宋体"/>
          <w:b/>
          <w:bCs/>
          <w:color w:val="auto"/>
          <w:sz w:val="24"/>
          <w:szCs w:val="24"/>
          <w:highlight w:val="none"/>
          <w:lang w:val="en"/>
        </w:rPr>
      </w:pPr>
      <w:r>
        <w:rPr>
          <w:rFonts w:hint="eastAsia" w:ascii="宋体" w:hAnsi="宋体" w:eastAsia="宋体" w:cs="宋体"/>
          <w:b/>
          <w:bCs/>
          <w:color w:val="auto"/>
          <w:sz w:val="24"/>
          <w:szCs w:val="24"/>
          <w:highlight w:val="none"/>
          <w:lang w:val="en"/>
        </w:rPr>
        <w:t>投标人承诺为本项目配备项目人员不少于5人,提供承诺函及人员配备名单及相关证明资料，中标后所配备人员未经采购人同意不允许更换。不提供视为不响应。</w:t>
      </w:r>
    </w:p>
    <w:p w14:paraId="43A0C090">
      <w:pPr>
        <w:keepNext w:val="0"/>
        <w:keepLines w:val="0"/>
        <w:pageBreakBefore w:val="0"/>
        <w:kinsoku/>
        <w:autoSpaceDE/>
        <w:autoSpaceDN/>
        <w:bidi w:val="0"/>
        <w:spacing w:line="480" w:lineRule="auto"/>
        <w:ind w:firstLine="640"/>
        <w:jc w:val="both"/>
        <w:textAlignment w:val="auto"/>
        <w:rPr>
          <w:rFonts w:hint="eastAsia" w:ascii="宋体" w:hAnsi="宋体" w:eastAsia="宋体" w:cs="宋体"/>
          <w:color w:val="auto"/>
          <w:sz w:val="24"/>
          <w:szCs w:val="24"/>
          <w:highlight w:val="none"/>
          <w:lang w:val="en"/>
        </w:rPr>
      </w:pPr>
      <w:r>
        <w:rPr>
          <w:rFonts w:hint="eastAsia" w:ascii="宋体" w:hAnsi="宋体" w:eastAsia="宋体" w:cs="宋体"/>
          <w:b/>
          <w:color w:val="auto"/>
          <w:sz w:val="24"/>
          <w:szCs w:val="24"/>
          <w:highlight w:val="none"/>
          <w:lang w:val="en"/>
        </w:rPr>
        <w:t>项目二：</w:t>
      </w:r>
      <w:r>
        <w:rPr>
          <w:rFonts w:hint="eastAsia" w:ascii="宋体" w:hAnsi="宋体" w:eastAsia="宋体" w:cs="宋体"/>
          <w:b/>
          <w:color w:val="auto"/>
          <w:sz w:val="24"/>
          <w:szCs w:val="24"/>
          <w:highlight w:val="none"/>
        </w:rPr>
        <w:t>政府性融资担保机构补充资本金项目基本概况</w:t>
      </w:r>
    </w:p>
    <w:p w14:paraId="18C7106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7DA042C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（一）项目名称：政府性融资担保机构补充资本金</w:t>
      </w:r>
    </w:p>
    <w:p w14:paraId="2B019AD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（二）实施单位：兰州市委金融委员会办公室</w:t>
      </w:r>
    </w:p>
    <w:p w14:paraId="26041CE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（三）主管部门：兰州市委金融委员会办公室</w:t>
      </w:r>
    </w:p>
    <w:p w14:paraId="4F3B320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5AF892B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截止2024年12月31日，市财政下达政府性融资担保机构补充资本金项目预算资金1000 万元。截止2024年12月31日政府性融资担保机构补充资本金项目预算支出499.70万元。</w:t>
      </w:r>
    </w:p>
    <w:p w14:paraId="0B73DBB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27623AE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（一）《关于有效发挥政府性融资担保基金作用切实支持小微企业和“三农”发展的指导意见》（国办发〔2019〕6号） </w:t>
      </w:r>
    </w:p>
    <w:p w14:paraId="2D9747E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（二）《关于完善政府性融资担保体系切实支持小微企业和“三农”发展的实施意见》（甘政办发〔2019〕77号）   </w:t>
      </w:r>
    </w:p>
    <w:p w14:paraId="0EE3221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（三）《甘肃省政府性融资担保机构尽职免责工作指引（试行）》（甘金发〔2023〕21号）</w:t>
      </w:r>
    </w:p>
    <w:p w14:paraId="66D561B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097839D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进一步完善政府性担保补充资本金机制和促进中小微企业稳定发展的暂行办法》（兰金管发〔2024〕3号）要求，经审核兰州金融控股融资担保有限公司2023年度业务完成情况及相关资料，提请市财政拨付该公司2023年度补充资本金499.70万元。补充资本金审核拨付以“上年度调度新增担保目标任务（以下简称调度目标）”和“年度代偿率”两个指标为拨付依据。拨付完成后，金融办督导该公司严格按照《企业会计准则》以及税法相关规定将收到的资金注入公司注册资本。经审核《兰州金融控股融资担保有限公司2024年报审计报告》（甘广合会审2025第013号）,该公司在收到资本金后,已按照相关规定进行了注资，并纳入了企业净资产范畴。目前，账面“实收资本”为10499.70万元。</w:t>
      </w:r>
    </w:p>
    <w:p w14:paraId="17FF4F8D">
      <w:pPr>
        <w:numPr>
          <w:ilvl w:val="0"/>
          <w:numId w:val="2"/>
        </w:numPr>
        <w:spacing w:line="360" w:lineRule="auto"/>
        <w:ind w:firstLine="480" w:firstLineChars="200"/>
        <w:jc w:val="left"/>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评价关注点</w:t>
      </w:r>
    </w:p>
    <w:p w14:paraId="0CC461CF">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重点关注政府性融资担保机构资本金补充资金规模是否合理，申报分配程序是否规范，资金在优化信贷营商环境、推动我市融资担保体系建设、发挥政府性担保引导作用、鼓励引导金融机构向依法纳税并有融资需求的小微企业发放贷款力度等方面发挥的效益。</w:t>
      </w:r>
    </w:p>
    <w:p w14:paraId="0F03E662">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56E1E2B5">
      <w:pPr>
        <w:spacing w:line="360" w:lineRule="auto"/>
        <w:ind w:firstLine="480" w:firstLineChars="200"/>
        <w:jc w:val="left"/>
        <w:outlineLvl w:val="9"/>
        <w:rPr>
          <w:rFonts w:hint="eastAsia" w:ascii="宋体" w:hAnsi="宋体" w:eastAsia="宋体" w:cs="宋体"/>
          <w:b/>
          <w:bCs/>
          <w:color w:val="auto"/>
          <w:sz w:val="24"/>
          <w:szCs w:val="24"/>
          <w:highlight w:val="none"/>
          <w:lang w:val="en"/>
        </w:rPr>
      </w:pPr>
      <w:r>
        <w:rPr>
          <w:rFonts w:hint="eastAsia" w:ascii="宋体" w:hAnsi="宋体" w:eastAsia="宋体" w:cs="宋体"/>
          <w:b/>
          <w:bCs/>
          <w:color w:val="auto"/>
          <w:sz w:val="24"/>
          <w:szCs w:val="24"/>
          <w:highlight w:val="none"/>
          <w:lang w:val="en"/>
        </w:rPr>
        <w:t>投标人承诺为本项目配备项目人员不少于5人,提供承诺函及人员配备名单及相关证明资料，中标后所配备人员未经采购人同意不允许更换。不提供视为不响应。</w:t>
      </w:r>
    </w:p>
    <w:p w14:paraId="5BFCCA3F">
      <w:pPr>
        <w:keepNext w:val="0"/>
        <w:keepLines w:val="0"/>
        <w:pageBreakBefore w:val="0"/>
        <w:kinsoku/>
        <w:autoSpaceDE/>
        <w:autoSpaceDN/>
        <w:bidi w:val="0"/>
        <w:spacing w:line="480" w:lineRule="auto"/>
        <w:ind w:firstLine="64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第三包：市级重大项目前期费项目绩效评价</w:t>
      </w:r>
    </w:p>
    <w:p w14:paraId="6F02BB3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2022-2024年市重大项目前期费</w:t>
      </w:r>
    </w:p>
    <w:p w14:paraId="3DF3B2A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基本概况</w:t>
      </w:r>
    </w:p>
    <w:p w14:paraId="7AEA036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6CDD64A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（一）项目名称：2022-2024年市重大项目前期费</w:t>
      </w:r>
    </w:p>
    <w:p w14:paraId="5639F9E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（二）实施单位：各市直行业主管部门，各县区、功能区发展改革部门</w:t>
      </w:r>
    </w:p>
    <w:p w14:paraId="4135D18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（三）主管部门：兰州市发展和改革委员会、兰州市财政局</w:t>
      </w:r>
    </w:p>
    <w:p w14:paraId="6CD2F14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535FAF5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市重大项目前期费预算9000万元，2023年市重大项目前期费预算8000万元，2024年市重大项目前期费预算1亿元，3年合计2.7亿元。其中，2022年下达9000万元，共支持了134个项目，截至目前已完成支付6942万元，支付率77.1%;2023年下达7992.82万元，7.18万元调剂作为2023年强省会专班办公经费，共支持了138个项目,截至目前已完成支付6971万元，支付率87.2%。2024年下达6214.55万元，共支持了20个项目，截至目前已完成支付4893万元，支付率78.7%。</w:t>
      </w:r>
    </w:p>
    <w:p w14:paraId="7FC0B67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0F3C3D1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（一）《兰州市重大项目前期费管理办法》（兰政办发〔2022〕45号）</w:t>
      </w:r>
    </w:p>
    <w:p w14:paraId="0E3B4BE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（二）《兰州市财政局关于编制2024年部门预算和2024-2026年支出规划的通知》（兰财预〔2023〕22号）</w:t>
      </w:r>
    </w:p>
    <w:p w14:paraId="6D0DF90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（三）《兰州市国民经济和社会发展第十四个五年规划和二〇三五年远景目标纲要》等。</w:t>
      </w:r>
    </w:p>
    <w:p w14:paraId="2EB2A14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59E33A7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市重大项目前期费下达市直部门5907.6万元，支持77个项目，下达县区3092.4万元，支持57个项目。下达城关区150万元，共支持1个项目，下达七里河区600万元，共支持15个项目，下达安宁区450万元，共支持3个项目，下达西固区250万元，共支持3个项目，下达红古区250万元，共支持4个项目，下达永登县539万元，共支持14个项目，下达榆中县259.7万元，共支持4个项目，下达皋兰县193.7万元，共支持8个项目，下达兰州新区400万元，共支持5个项目。</w:t>
      </w:r>
    </w:p>
    <w:p w14:paraId="573524C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2023年市重大项目前期费下达市直部门5067.82万元，支持71个项目，下达县区2925万元，支持67个项目。下达城关区150万元，共支持2个项目，下达七里河区450万元，共支持12个项目，下达安宁区550万元，共支持9个项目，下达西固区165万元，共支持4个项目，下达红古区250万元，共支持9个项目，下达永登县535万元，共支持16个项目，下达榆中县175万元，共支持5个项目，下达皋兰县150万元，共支持7个项目，下达兰州新区500万元，共支持3个项目。</w:t>
      </w:r>
    </w:p>
    <w:p w14:paraId="3116ADD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2024年市重大项目前期费下达市直部门2289.55万元，共支持11个项目。下达县区3925万元，支持9个项目。下达城关区300万元，共支持1个项目，下达七里河区610万元，共支持2个项目，下达永登县2300万元，共支持3个项目，下达榆中县40万元，共支持1个项目，下达高新区675万元，共支持3个项目。</w:t>
      </w:r>
    </w:p>
    <w:p w14:paraId="08CC28CC">
      <w:pPr>
        <w:numPr>
          <w:ilvl w:val="0"/>
          <w:numId w:val="0"/>
        </w:numPr>
        <w:spacing w:line="360" w:lineRule="auto"/>
        <w:ind w:left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五、评价关注点</w:t>
      </w:r>
    </w:p>
    <w:p w14:paraId="05D3DF6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注资金分配是否及时、资金分配流程是否合理、资金使用合规性、实施过程管理规范性、采购过程合规性、绩效目标设置合理规范性、资金支持项目是否落地实施，实施成效如何；项目资金是否存在挪用；对结转结余资金的管理等。</w:t>
      </w:r>
    </w:p>
    <w:p w14:paraId="1F76F5F9">
      <w:pPr>
        <w:numPr>
          <w:ilvl w:val="0"/>
          <w:numId w:val="0"/>
        </w:numPr>
        <w:spacing w:line="360" w:lineRule="auto"/>
        <w:ind w:left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52BB4BA1">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71933F23">
      <w:pPr>
        <w:keepNext w:val="0"/>
        <w:keepLines w:val="0"/>
        <w:pageBreakBefore w:val="0"/>
        <w:kinsoku/>
        <w:autoSpaceDE/>
        <w:autoSpaceDN/>
        <w:bidi w:val="0"/>
        <w:spacing w:line="480" w:lineRule="auto"/>
        <w:ind w:firstLine="6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第四包：兰州市殡仪馆专项业务费、社会办养老机构运营补贴、兰州市成品粮应急保障中心建设项目（专项债项目）绩效评价</w:t>
      </w:r>
    </w:p>
    <w:p w14:paraId="70B1A1D5">
      <w:pPr>
        <w:spacing w:line="360" w:lineRule="auto"/>
        <w:ind w:firstLine="480"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项目一：兰州市殡仪馆专项业务费项目基本</w:t>
      </w:r>
      <w:r>
        <w:rPr>
          <w:rFonts w:hint="eastAsia" w:ascii="宋体" w:hAnsi="宋体" w:eastAsia="宋体" w:cs="宋体"/>
          <w:b/>
          <w:bCs/>
          <w:color w:val="auto"/>
          <w:sz w:val="24"/>
          <w:szCs w:val="24"/>
          <w:highlight w:val="none"/>
          <w:lang w:val="en"/>
        </w:rPr>
        <w:t>概</w:t>
      </w:r>
      <w:r>
        <w:rPr>
          <w:rFonts w:hint="eastAsia" w:ascii="宋体" w:hAnsi="宋体" w:eastAsia="宋体" w:cs="宋体"/>
          <w:b/>
          <w:bCs/>
          <w:color w:val="auto"/>
          <w:sz w:val="24"/>
          <w:szCs w:val="24"/>
          <w:highlight w:val="none"/>
        </w:rPr>
        <w:t>况</w:t>
      </w:r>
    </w:p>
    <w:p w14:paraId="33F16A7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6605C3F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（一）项目名称：兰州市殡仪馆专项业务费</w:t>
      </w:r>
    </w:p>
    <w:p w14:paraId="1C4C3A8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（二）实施单位：兰州市殡仪馆</w:t>
      </w:r>
    </w:p>
    <w:p w14:paraId="5CC73C1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（三）主管部门：兰州市民政局</w:t>
      </w:r>
    </w:p>
    <w:p w14:paraId="7735952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2C06124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市财政下达兰州市殡仪馆专项业务费项目市级预算资金4306.34万元，其中①殡仪服务成本及殡葬代销商品成本4205.44万元；②业务车辆用油70万元：③火化证印刷费4万元；④逝者遗物及馆区垃圾整理清运19.9万元⑤化粪池及排污管清运费5.65万元； ⑥城市垃圾及餐厨垃圾0.35万元：⑦废气废水检测1.00万元。截止2024年12月31日，兰州市殡仪馆专项业务费项目市级预算资金支出4178.11万元，其中①殡仪服务成本及殡葬代销商品成本4077.89万元；②业务车辆用油69.80万元：③火化证印刷费3.95万元；④逝者遗物及馆区垃圾整理清运19.74万元；⑤化粪池及排污管清运费5.44万元；⑥城市垃圾及餐厨垃圾0.35万元：⑦废气废水检测0.94万元。</w:t>
      </w:r>
    </w:p>
    <w:p w14:paraId="497F609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4C626C5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（一）国家及省、市颁布的《殡葬管理条例》中关于殡葬服务机构应履行公共及公益职能的相关规定；</w:t>
      </w:r>
    </w:p>
    <w:p w14:paraId="2EBA346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（二）《关于兰州市殡葬管理所与兰州市殡仪馆分设的批复》（兰机编字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2002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46号）中规定了兰州市殡仪馆的主要职责；</w:t>
      </w:r>
    </w:p>
    <w:p w14:paraId="55DC882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1D14185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全市治丧群众提供乐队等9项多层次殡仪服务，保障单位各项殡仪服务业务的正常开展，收费严格执行物价标准（兰价费发[2016]75号）；殡葬代销商品供应充足、保质保量，满足治丧群众多层次多样化的治丧需求，收费严格执行物价标准（兰价费发[2016]75号）；为全市治丧群众提供多样化、多层次的殡仪服务，不断提升单位社会服务质量。</w:t>
      </w:r>
    </w:p>
    <w:p w14:paraId="526B9C10">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五、评价关注点</w:t>
      </w:r>
    </w:p>
    <w:p w14:paraId="32F73AB7">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以市殡仪馆专项业务费为线，关注绩效目标制定科学合理性、项目管理规范性、政府采购合规性、成本节约情况、资金使用合规性、服务对象满意度。资金使用是否符合规定的用途范围；对比绩效目标与实际完成情况进行评价，分析未完成目标的原因，提出改进措施和建议</w:t>
      </w:r>
      <w:r>
        <w:rPr>
          <w:rFonts w:hint="eastAsia" w:ascii="宋体" w:hAnsi="宋体" w:cs="宋体"/>
          <w:color w:val="auto"/>
          <w:sz w:val="24"/>
          <w:szCs w:val="24"/>
          <w:highlight w:val="none"/>
          <w:lang w:eastAsia="zh-CN"/>
        </w:rPr>
        <w:t>。</w:t>
      </w:r>
    </w:p>
    <w:p w14:paraId="23C1B92F">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7AEA1E8E">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365FE596">
      <w:pPr>
        <w:keepNext w:val="0"/>
        <w:keepLines w:val="0"/>
        <w:pageBreakBefore w:val="0"/>
        <w:kinsoku/>
        <w:autoSpaceDE/>
        <w:autoSpaceDN/>
        <w:bidi w:val="0"/>
        <w:spacing w:line="480" w:lineRule="auto"/>
        <w:ind w:firstLine="64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项目二：社会办养老机构运营补贴项目基本</w:t>
      </w:r>
      <w:r>
        <w:rPr>
          <w:rFonts w:hint="eastAsia" w:ascii="宋体" w:hAnsi="宋体" w:eastAsia="宋体" w:cs="宋体"/>
          <w:b/>
          <w:color w:val="auto"/>
          <w:sz w:val="24"/>
          <w:szCs w:val="24"/>
          <w:highlight w:val="none"/>
          <w:lang w:val="en"/>
        </w:rPr>
        <w:t>概</w:t>
      </w:r>
      <w:r>
        <w:rPr>
          <w:rFonts w:hint="eastAsia" w:ascii="宋体" w:hAnsi="宋体" w:eastAsia="宋体" w:cs="宋体"/>
          <w:b/>
          <w:color w:val="auto"/>
          <w:sz w:val="24"/>
          <w:szCs w:val="24"/>
          <w:highlight w:val="none"/>
        </w:rPr>
        <w:t>况</w:t>
      </w:r>
    </w:p>
    <w:p w14:paraId="021CEFC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24706FF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（一）项目名称：社会办养老机构运营补贴</w:t>
      </w:r>
    </w:p>
    <w:p w14:paraId="14B69FA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（二）实施单位：兰州市民政局</w:t>
      </w:r>
      <w:r>
        <w:rPr>
          <w:rFonts w:hint="eastAsia" w:ascii="宋体" w:hAnsi="宋体" w:eastAsia="宋体" w:cs="宋体"/>
          <w:color w:val="auto"/>
          <w:sz w:val="24"/>
          <w:szCs w:val="24"/>
          <w:highlight w:val="none"/>
          <w:lang w:val="en"/>
        </w:rPr>
        <w:t>(二福院</w:t>
      </w:r>
      <w:r>
        <w:rPr>
          <w:rFonts w:hint="eastAsia" w:ascii="宋体" w:hAnsi="宋体" w:eastAsia="宋体" w:cs="宋体"/>
          <w:color w:val="auto"/>
          <w:sz w:val="24"/>
          <w:szCs w:val="24"/>
          <w:highlight w:val="none"/>
        </w:rPr>
        <w:t>)、兰州市老年公寓西站分部、城关区民政局及财政局、七里河区民政局及财政局、西固区民政局及财政局、安宁区民政局及财政局、红古区民政局及财政局、永登县民政局及财政局、皋兰县民政局及财政局、榆中县民政局及财政局。</w:t>
      </w:r>
    </w:p>
    <w:p w14:paraId="5439D6C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（三）主管部门：兰州市民政局</w:t>
      </w:r>
    </w:p>
    <w:p w14:paraId="129FF91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2F35EA5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截止2024年12月31日，各级财政下达社会办养老机构运营补贴项目预算资金778.35万元，其中：省级资金</w:t>
      </w:r>
      <w:r>
        <w:rPr>
          <w:rFonts w:hint="eastAsia" w:ascii="宋体" w:hAnsi="宋体" w:eastAsia="宋体" w:cs="宋体"/>
          <w:color w:val="auto"/>
          <w:sz w:val="24"/>
          <w:szCs w:val="24"/>
          <w:highlight w:val="none"/>
          <w:lang w:val="en"/>
        </w:rPr>
        <w:t>521</w:t>
      </w:r>
      <w:r>
        <w:rPr>
          <w:rFonts w:hint="eastAsia" w:ascii="宋体" w:hAnsi="宋体" w:eastAsia="宋体" w:cs="宋体"/>
          <w:color w:val="auto"/>
          <w:sz w:val="24"/>
          <w:szCs w:val="24"/>
          <w:highlight w:val="none"/>
        </w:rPr>
        <w:t>万元，市级资金243.096万元，县区配套资金14.256万元；截止2024年12月31日，社会办养老机构运营补贴项目预算支出</w:t>
      </w:r>
      <w:r>
        <w:rPr>
          <w:rFonts w:hint="eastAsia" w:ascii="宋体" w:hAnsi="宋体" w:eastAsia="宋体" w:cs="宋体"/>
          <w:color w:val="auto"/>
          <w:sz w:val="24"/>
          <w:szCs w:val="24"/>
          <w:highlight w:val="none"/>
          <w:lang w:val="en"/>
        </w:rPr>
        <w:t>447.22</w:t>
      </w:r>
      <w:r>
        <w:rPr>
          <w:rFonts w:hint="eastAsia" w:ascii="宋体" w:hAnsi="宋体" w:eastAsia="宋体" w:cs="宋体"/>
          <w:color w:val="auto"/>
          <w:sz w:val="24"/>
          <w:szCs w:val="24"/>
          <w:highlight w:val="none"/>
        </w:rPr>
        <w:t>万元，其中省级资金</w:t>
      </w:r>
      <w:r>
        <w:rPr>
          <w:rFonts w:hint="eastAsia" w:ascii="宋体" w:hAnsi="宋体" w:eastAsia="宋体" w:cs="宋体"/>
          <w:color w:val="auto"/>
          <w:sz w:val="24"/>
          <w:szCs w:val="24"/>
          <w:highlight w:val="none"/>
          <w:lang w:val="en"/>
        </w:rPr>
        <w:t>364.504</w:t>
      </w:r>
      <w:r>
        <w:rPr>
          <w:rFonts w:hint="eastAsia" w:ascii="宋体" w:hAnsi="宋体" w:eastAsia="宋体" w:cs="宋体"/>
          <w:color w:val="auto"/>
          <w:sz w:val="24"/>
          <w:szCs w:val="24"/>
          <w:highlight w:val="none"/>
        </w:rPr>
        <w:t>万元，市级资金</w:t>
      </w:r>
      <w:r>
        <w:rPr>
          <w:rFonts w:hint="eastAsia" w:ascii="宋体" w:hAnsi="宋体" w:eastAsia="宋体" w:cs="宋体"/>
          <w:color w:val="auto"/>
          <w:sz w:val="24"/>
          <w:szCs w:val="24"/>
          <w:highlight w:val="none"/>
          <w:lang w:val="en"/>
        </w:rPr>
        <w:t>68.46</w:t>
      </w:r>
      <w:r>
        <w:rPr>
          <w:rFonts w:hint="eastAsia" w:ascii="宋体" w:hAnsi="宋体" w:eastAsia="宋体" w:cs="宋体"/>
          <w:color w:val="auto"/>
          <w:sz w:val="24"/>
          <w:szCs w:val="24"/>
          <w:highlight w:val="none"/>
        </w:rPr>
        <w:t>万元，县区配套资金</w:t>
      </w:r>
      <w:r>
        <w:rPr>
          <w:rFonts w:hint="eastAsia" w:ascii="宋体" w:hAnsi="宋体" w:eastAsia="宋体" w:cs="宋体"/>
          <w:color w:val="auto"/>
          <w:sz w:val="24"/>
          <w:szCs w:val="24"/>
          <w:highlight w:val="none"/>
          <w:lang w:val="en"/>
        </w:rPr>
        <w:t>14.256</w:t>
      </w:r>
      <w:r>
        <w:rPr>
          <w:rFonts w:hint="eastAsia" w:ascii="宋体" w:hAnsi="宋体" w:eastAsia="宋体" w:cs="宋体"/>
          <w:color w:val="auto"/>
          <w:sz w:val="24"/>
          <w:szCs w:val="24"/>
          <w:highlight w:val="none"/>
        </w:rPr>
        <w:t>万元。</w:t>
      </w:r>
    </w:p>
    <w:p w14:paraId="094B82E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128FA9E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（一）《兰州市发展养老服务业专项资金管理办法》</w:t>
      </w:r>
    </w:p>
    <w:p w14:paraId="748B27E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（二）《关于全面放开养老服务市场提升养老服务质量的实施方案》</w:t>
      </w:r>
    </w:p>
    <w:p w14:paraId="630D70E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（三）《兰州市养老服务机构服务质量绩效考核办法》</w:t>
      </w:r>
    </w:p>
    <w:p w14:paraId="3EEF518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7B9946D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办养老机构运营补贴项目涉及8个县区和2个市级单位。按照省级补贴80%，市县配套20%的补贴标准，为全市依规备案的养老机构提供日常运营补贴，提高养老服务机构管理服务水平和持续运营能力。运营补贴的发放使得养老机构能够进一步改善服务设施，加强人员培训，提高服务质量，为入住老人提供了更加优质、舒适、安全的养老服务环境。吸引了更多的社会力量投身养老服务业，推动了养老机构的建设和运营，增加了养老服务市场的供给。运营补贴项目的实施，为社会办养老机构提供了有力的政策支持和资金保障，增强了其市场竞争力和发展活力，推动了养老服务业的整体发展。</w:t>
      </w:r>
    </w:p>
    <w:p w14:paraId="5F51A28F">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五、评价关注点</w:t>
      </w:r>
    </w:p>
    <w:p w14:paraId="2AE0FDAA">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注资金是否按照养老机构的规模、入住率、服务质量等指标进行合理分配，是否存在分配不公或不合理的情况，补贴资金是否按时分解下达，资金是否全部及时兑付，年度绩效目标完成情况，项目效益发挥情况，补贴对象是否满意，结合问题提出改建措施建议</w:t>
      </w:r>
      <w:r>
        <w:rPr>
          <w:rFonts w:hint="eastAsia" w:ascii="宋体" w:hAnsi="宋体" w:cs="宋体"/>
          <w:color w:val="auto"/>
          <w:sz w:val="24"/>
          <w:szCs w:val="24"/>
          <w:highlight w:val="none"/>
          <w:lang w:eastAsia="zh-CN"/>
        </w:rPr>
        <w:t>。</w:t>
      </w:r>
    </w:p>
    <w:p w14:paraId="66F6A954">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79EB5136">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3AAF1EE0">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项目三：兰州市成品粮应急保障中心建设项目</w:t>
      </w:r>
    </w:p>
    <w:p w14:paraId="3BBF873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（专项债项目）基本</w:t>
      </w:r>
      <w:r>
        <w:rPr>
          <w:rFonts w:hint="eastAsia" w:ascii="宋体" w:hAnsi="宋体" w:eastAsia="宋体" w:cs="宋体"/>
          <w:color w:val="auto"/>
          <w:sz w:val="24"/>
          <w:szCs w:val="24"/>
          <w:highlight w:val="none"/>
          <w:lang w:val="en"/>
        </w:rPr>
        <w:t>概</w:t>
      </w:r>
      <w:r>
        <w:rPr>
          <w:rFonts w:hint="eastAsia" w:ascii="宋体" w:hAnsi="宋体" w:eastAsia="宋体" w:cs="宋体"/>
          <w:color w:val="auto"/>
          <w:sz w:val="24"/>
          <w:szCs w:val="24"/>
          <w:highlight w:val="none"/>
        </w:rPr>
        <w:t>况</w:t>
      </w:r>
    </w:p>
    <w:p w14:paraId="65D17FB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755B578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（一）项目名称：兰州市成品粮应急保障中心建设项目</w:t>
      </w:r>
    </w:p>
    <w:p w14:paraId="36E6C68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（二）实施单位：兰州市西固粮库有限公司</w:t>
      </w:r>
    </w:p>
    <w:p w14:paraId="6032FC1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（三）主管部门：兰州市粮食和物资储备局</w:t>
      </w:r>
    </w:p>
    <w:p w14:paraId="3560A4D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7C33F36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截止2024年12月31日，各级财政下达兰州市成品粮应急保障中心建设项目预算资金1000万元，截止2024年12月31日，兰州市成品粮应急保障中心建设项目预算支出1000万元。</w:t>
      </w:r>
    </w:p>
    <w:p w14:paraId="66C8113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6F0C394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rPr>
        <w:drawing>
          <wp:anchor distT="0" distB="0" distL="114300" distR="114300" simplePos="0" relativeHeight="251659264" behindDoc="0" locked="0" layoutInCell="1" allowOverlap="1">
            <wp:simplePos x="0" y="0"/>
            <wp:positionH relativeFrom="page">
              <wp:posOffset>-2319655</wp:posOffset>
            </wp:positionH>
            <wp:positionV relativeFrom="page">
              <wp:posOffset>57150</wp:posOffset>
            </wp:positionV>
            <wp:extent cx="1193800" cy="1187450"/>
            <wp:effectExtent l="0" t="0" r="10160" b="127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preferRelativeResize="0">
                      <a:picLocks noChangeAspect="1"/>
                    </pic:cNvPicPr>
                  </pic:nvPicPr>
                  <pic:blipFill>
                    <a:blip r:embed="rId11"/>
                    <a:stretch>
                      <a:fillRect/>
                    </a:stretch>
                  </pic:blipFill>
                  <pic:spPr>
                    <a:xfrm>
                      <a:off x="0" y="0"/>
                      <a:ext cx="1193800" cy="1187450"/>
                    </a:xfrm>
                    <a:prstGeom prst="rect">
                      <a:avLst/>
                    </a:prstGeom>
                    <a:noFill/>
                    <a:ln>
                      <a:noFill/>
                    </a:ln>
                  </pic:spPr>
                </pic:pic>
              </a:graphicData>
            </a:graphic>
          </wp:anchor>
        </w:drawing>
      </w:r>
      <w:r>
        <w:rPr>
          <w:rFonts w:hint="eastAsia" w:ascii="宋体" w:hAnsi="宋体" w:eastAsia="宋体" w:cs="宋体"/>
          <w:color w:val="auto"/>
          <w:sz w:val="24"/>
          <w:szCs w:val="24"/>
          <w:highlight w:val="none"/>
        </w:rPr>
        <w:t>甘肃省投资项目备案证，备案号：西发改备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14号。</w:t>
      </w:r>
    </w:p>
    <w:p w14:paraId="5A970AC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（二）兰粮集团〔2022〕79号《关于兰州西固粮库有限公司兰州市成品粮应急保障中心项目建设可行性研究报告的批复》。</w:t>
      </w:r>
    </w:p>
    <w:p w14:paraId="3CEB220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（三）兰粮集团〔2022〕123号《关于兰州市成品粮应急保障中心建设项目提请实施的批复》。</w:t>
      </w:r>
    </w:p>
    <w:p w14:paraId="340AE59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（四）兰州市发展和改革委员会关于《兰州市成品粮应急保障中心项目可行性研究报告评审》的复函</w:t>
      </w:r>
    </w:p>
    <w:p w14:paraId="4F69331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150AD12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兰州市成品粮应急保障中心建设项目2024年3月27日开工，截至目前，项目已完成总工程量的约65%，项目主体工程已建成，正在进行装饰装修、设备安装及室外工程。</w:t>
      </w:r>
    </w:p>
    <w:p w14:paraId="0E2D9730">
      <w:pPr>
        <w:numPr>
          <w:ilvl w:val="0"/>
          <w:numId w:val="0"/>
        </w:numPr>
        <w:spacing w:line="360" w:lineRule="auto"/>
        <w:ind w:left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五、评价关注点</w:t>
      </w:r>
    </w:p>
    <w:p w14:paraId="38F0FEB0">
      <w:pPr>
        <w:spacing w:line="360" w:lineRule="auto"/>
        <w:ind w:firstLine="480" w:firstLineChars="200"/>
        <w:jc w:val="left"/>
        <w:outlineLvl w:val="9"/>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rPr>
        <w:t>要求立足于专项债“借、用、管、还”全流程管理要点，关注项目决策、管理、产出和效益，突出结果导向和风险导向，根据评价对象特点合理确定指标权重</w:t>
      </w:r>
      <w:r>
        <w:rPr>
          <w:rFonts w:hint="eastAsia" w:ascii="宋体" w:hAnsi="宋体" w:cs="宋体"/>
          <w:color w:val="auto"/>
          <w:sz w:val="24"/>
          <w:szCs w:val="24"/>
          <w:highlight w:val="none"/>
          <w:lang w:eastAsia="zh-CN"/>
        </w:rPr>
        <w:t>。</w:t>
      </w:r>
    </w:p>
    <w:p w14:paraId="0E4ADC46">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4F12C7AA">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02A8A992">
      <w:pPr>
        <w:keepNext w:val="0"/>
        <w:keepLines w:val="0"/>
        <w:pageBreakBefore w:val="0"/>
        <w:kinsoku/>
        <w:autoSpaceDE/>
        <w:autoSpaceDN/>
        <w:bidi w:val="0"/>
        <w:spacing w:line="480" w:lineRule="auto"/>
        <w:ind w:firstLine="64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第五包：交通大会战项目、国有资本经营预算项目绩效评价</w:t>
      </w:r>
    </w:p>
    <w:p w14:paraId="33798732">
      <w:pPr>
        <w:keepNext w:val="0"/>
        <w:keepLines w:val="0"/>
        <w:pageBreakBefore w:val="0"/>
        <w:kinsoku/>
        <w:autoSpaceDE/>
        <w:autoSpaceDN/>
        <w:bidi w:val="0"/>
        <w:spacing w:line="480" w:lineRule="auto"/>
        <w:ind w:firstLine="64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项目一：交通大会战项目基本概况</w:t>
      </w:r>
    </w:p>
    <w:p w14:paraId="7F9BB4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237AD11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（一）项目名称：2024年全市综合交通大会战</w:t>
      </w:r>
    </w:p>
    <w:p w14:paraId="5A17E24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（二）实施单位：市交通运输委、市住建局、市公安局、市发改委等</w:t>
      </w:r>
    </w:p>
    <w:p w14:paraId="3729BC6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（三）主管部门：兰州市交通运输委员会</w:t>
      </w:r>
    </w:p>
    <w:p w14:paraId="6BEEE56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12E815C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（一）2024年资金分配下达情况</w:t>
      </w:r>
    </w:p>
    <w:p w14:paraId="77ED719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市综合交通大会战指挥部会议精神，2024年共分批次下达综合交通大会战专项资金20000万元，其中城市路网专责组内畅项目建设经费17518万元，交安设施提升改造经费1500万元，治堵方案编制费用500万元，征拆费用450万元，罗九公路单向通行路面改造费用20万元，差异化停车收费方案编制费用12万元。具体分配情况如下：</w:t>
      </w:r>
    </w:p>
    <w:p w14:paraId="509FF26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1.城市内畅项目方面</w:t>
      </w:r>
    </w:p>
    <w:p w14:paraId="4A2D5DC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（1）2024年城市內畅项目第一批下达资金5000万元</w:t>
      </w:r>
    </w:p>
    <w:p w14:paraId="2E2122C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用于五星坪铁路平交道口生命安全保障及地下管线综合治理项目1000万元；建西西路（武威路至土门墩街）道路维修改造工程1000万元；建兰路人车分离改造工程500万元；平凉路万象城区域人车分离改造工程200万元（因平凉路万象城区域人车分离改造项目当年暂不实施，将已下达该项目的200万元资金进行调整，其中50万元用于静宁路与庆阳路十字两座南北向天桥加装电梯工程项目，150万元用于12处公交站点优化提升改造项目）；静宁路与庆阳路十字两座南北向天桥加装电梯工程100万元；S392-1#路600万元；S035-1#路600万元；S595#路500万元；S376#路500万元。</w:t>
      </w:r>
    </w:p>
    <w:p w14:paraId="1C12EBA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（2）2024年城市內畅项目第二批下达资金9518万元</w:t>
      </w:r>
    </w:p>
    <w:p w14:paraId="3606A94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用于五星坪铁路平交道口生命安全保障及地下管线综合治理项目4585万元（建设费用1200万元、3385万元征拆费）；建西西路（武威路至土门墩街）道路维修改造工程1500万元；建兰路人车分离改造工程500万元；S392-1#路850万元；S035-1#路500万元；S595#路1000万元；S376#路100万元；12处公交站点优化提升改造150万元；“一路两院”东岗路提升改造50万元；雁宁路平沙落雁路段拓宽改造工程283万元。</w:t>
      </w:r>
    </w:p>
    <w:p w14:paraId="14116EF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（3）2024年城市內畅项目提前下达资金3000万元</w:t>
      </w:r>
    </w:p>
    <w:p w14:paraId="05E969C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根据市长办公会精神，向五星坪铁路平交道口生命安全保障及地下管线综合治理项目提前下达3000万元建设资金。</w:t>
      </w:r>
    </w:p>
    <w:p w14:paraId="07AD522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上述项目2024年资金执行率100%，五星坪铁路平交道口生命安全保障及地下管线综合治理项目按照建设进度如期推进，其余项目均已完工。</w:t>
      </w:r>
    </w:p>
    <w:p w14:paraId="27B70FA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2.交安设施提升改造项目方面</w:t>
      </w:r>
    </w:p>
    <w:p w14:paraId="095C280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全市综合交通大会战实施交安设施提升改造项目11个，分别为北滨河路-黄河食渡人行过街设施项目、海关十字及周边交通组织优化项目、北滨河路西段交通安全品质提升项目、道路安全隐患治理交通信号灯建设项目、第二批机动车违法停车严管路段项目、罗九公路单向交通组织改造项目、南滨河路-民族中学人行过街设施项目、紧急隐患路段电警设施项目、严管路段交通安全护栏采购项目、五里铺十字交安设施采购项目、S104沿线交安设施完善项目，总投资1500万元，截至2024年底以上项目全部按时建成投用，资金执行率100%。</w:t>
      </w:r>
    </w:p>
    <w:p w14:paraId="10B0124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3.交通拥堵治理方案编制方面</w:t>
      </w:r>
    </w:p>
    <w:p w14:paraId="27E35F1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兰州市综合交通大会战指挥部会议纪要（2024年第2次）》、《兰州市综合交通大会战指挥部会议纪要（2024年第3次）》要求，2024年下达《兰州市交通拥堵综合治理行动实施方案（2024-2026）》编制费用496万元，实施方案已编制完成，已通过验收，资金执行率100%。</w:t>
      </w:r>
    </w:p>
    <w:p w14:paraId="311025C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4.机动车停放服务收费管理办法编制方面</w:t>
      </w:r>
    </w:p>
    <w:p w14:paraId="6C5A9EA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兰州市综合交通大会战指挥部2024年第2次会议安排，同意将《〈兰州市机动车停放服务收费管理办法〉决策事项社会稳定风险评估报告》编制项目列入《兰州市综合交通大会战重点项目清单》，项目实施单位为兰州市发展和改革委员会，并向市发展改革委下达编制经费12万元。项目按照编制进度如期进行，资金已支付10.6万元，执行率88.34%。</w:t>
      </w:r>
    </w:p>
    <w:p w14:paraId="782A039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5.项目征迁费用方面</w:t>
      </w:r>
    </w:p>
    <w:p w14:paraId="5091F80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兰州市综合交通大会战指挥部工作安排，向五星坪铁路平交道口生命保障及地下管线综合治理项目下达征迁资金200万元，向G2201兰州南绕城高速黄峪镇出入口项目下达征迁资金250万元。截至2024年底，上述资金执行率100%，G2201兰州南绕城高速黄峪镇出入口项目已经按时完工通车投用，五星坪铁路平交道口生命保障及地下管线综合治理项目进展顺利，将于2025年5月投用。</w:t>
      </w:r>
    </w:p>
    <w:p w14:paraId="1FBE2B5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6.罗九公路K2+900~K4+020段路面维修项目</w:t>
      </w:r>
    </w:p>
    <w:p w14:paraId="73F3B02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兰州市综合交通大会战指挥部工作安排，向罗九公路K2+900~K4+020段路面维修项目下达专项资金20万元，用于罗九公路改为单向通行后的路面修护，项目资金在2024年7月底分配下达，项目已按时启动，资金执行率100%。</w:t>
      </w:r>
    </w:p>
    <w:p w14:paraId="63C574F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145C2F3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（一）兰州市综合交通大会战指挥部2024年会议纪要</w:t>
      </w:r>
    </w:p>
    <w:p w14:paraId="7153DD9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（二）各实施主体项目前期可研报告等资料</w:t>
      </w:r>
    </w:p>
    <w:p w14:paraId="12763C5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7108BE6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市综合交通大会战指挥部各专责组及成员单位聚焦“先行交通”抓规划、“项目交通”抓建设、“民生交通”抓服务、“智慧交通”抓转型、“产业交通”抓培育、“安全交通”抓落实，凝心聚力推动各项重点任务落地见效，加快构建“外联内畅、立体多元、绿色智慧”的现代化综合交通体系，资金使用成效明显。一是聚焦外联内畅，坚持项目引领，加快构建综合交通体系。二是注重软硬互济，坚持多措并举，纵深推进畅行兰州建设。</w:t>
      </w:r>
    </w:p>
    <w:p w14:paraId="42330A69">
      <w:pPr>
        <w:numPr>
          <w:ilvl w:val="0"/>
          <w:numId w:val="0"/>
        </w:numPr>
        <w:spacing w:line="360" w:lineRule="auto"/>
        <w:ind w:left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五、评价关注点</w:t>
      </w:r>
    </w:p>
    <w:p w14:paraId="435D62F1">
      <w:pPr>
        <w:numPr>
          <w:ilvl w:val="0"/>
          <w:numId w:val="0"/>
        </w:numPr>
        <w:spacing w:line="360" w:lineRule="auto"/>
        <w:ind w:firstLine="480" w:firstLineChars="200"/>
        <w:jc w:val="left"/>
        <w:outlineLvl w:val="9"/>
        <w:rPr>
          <w:rFonts w:hint="eastAsia" w:ascii="宋体" w:hAnsi="宋体" w:cs="宋体"/>
          <w:color w:val="auto"/>
          <w:sz w:val="24"/>
          <w:szCs w:val="24"/>
          <w:highlight w:val="none"/>
          <w:lang w:val="en" w:eastAsia="zh-CN"/>
        </w:rPr>
      </w:pPr>
      <w:r>
        <w:rPr>
          <w:rFonts w:hint="eastAsia" w:ascii="宋体" w:hAnsi="宋体" w:eastAsia="宋体" w:cs="宋体"/>
          <w:color w:val="auto"/>
          <w:sz w:val="24"/>
          <w:szCs w:val="24"/>
          <w:highlight w:val="none"/>
        </w:rPr>
        <w:t>关注资金分配及时率、使用合规性、实施过程管理规范性、采购过程合规性、绩效目标设置合理规范性、项目产出完成度和资金效益发挥情况、资金使用合规性、对结转结余资金的管理等；</w:t>
      </w:r>
    </w:p>
    <w:p w14:paraId="5C6E9CA8">
      <w:pPr>
        <w:numPr>
          <w:ilvl w:val="0"/>
          <w:numId w:val="2"/>
        </w:numPr>
        <w:spacing w:line="360" w:lineRule="auto"/>
        <w:ind w:left="0" w:leftChars="0"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en"/>
        </w:rPr>
        <w:t>其他要求</w:t>
      </w:r>
    </w:p>
    <w:p w14:paraId="6519046D">
      <w:pPr>
        <w:keepNext w:val="0"/>
        <w:keepLines w:val="0"/>
        <w:pageBreakBefore w:val="0"/>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04BAA494">
      <w:pPr>
        <w:pStyle w:val="40"/>
        <w:keepNext w:val="0"/>
        <w:keepLines w:val="0"/>
        <w:pageBreakBefore w:val="0"/>
        <w:kinsoku/>
        <w:autoSpaceDE/>
        <w:autoSpaceDN/>
        <w:bidi w:val="0"/>
        <w:spacing w:line="48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项目二：国有资本经营预算项目基本概况</w:t>
      </w:r>
    </w:p>
    <w:p w14:paraId="20590E7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7E89AD1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（一）项目名称：国有资本经营预算项目</w:t>
      </w:r>
    </w:p>
    <w:p w14:paraId="7785284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（二）实施单位：兰州市民政局</w:t>
      </w:r>
    </w:p>
    <w:p w14:paraId="61A2634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（三）主管部门：兰州市民政局</w:t>
      </w:r>
    </w:p>
    <w:p w14:paraId="1173498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01CC1B4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截止2024年12月31日，各级财政下达国有资本经营预算项目-“393”破产企业政策性供养人员费用项目预算资金12.52万元，截止2024年12月31日支出12.52万元。</w:t>
      </w:r>
    </w:p>
    <w:p w14:paraId="1EEBFD0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2B3FC85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（一）《中共兰州市委兰州市人民政府〈关于进一步加快国有企业改革和发展的实施意见〉》（市委发〔2004〕32号）</w:t>
      </w:r>
    </w:p>
    <w:p w14:paraId="122FD51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（二）《2016年兰州市人民政府常务会议纪要》（第129次）</w:t>
      </w:r>
    </w:p>
    <w:p w14:paraId="2D2E3B0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1B64DDB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每年年初根据甘肃省职工基本医疗保险、社会保险缴费基数的通知进行医疗保险、养老保险基数调整工作，每月月初分别在税务系统和兰州市医疗保险系统为工伤职工上报养老、工伤、失业保险及医疗保险，系统审批审核后在税务系统打印缴费凭证，然后在银行进行缴费，每年5月和11月为遗属及精简下放人员进行身份生存认证并发放生活费。</w:t>
      </w:r>
    </w:p>
    <w:p w14:paraId="6430247E">
      <w:pPr>
        <w:numPr>
          <w:ilvl w:val="0"/>
          <w:numId w:val="3"/>
        </w:numPr>
        <w:spacing w:line="360" w:lineRule="auto"/>
        <w:ind w:firstLine="480" w:firstLine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评价关注点</w:t>
      </w:r>
    </w:p>
    <w:p w14:paraId="0669B232">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关注相关人员是否符合政策要求，申报、审批流程是否规范管理，是否实现人员动态管理等</w:t>
      </w:r>
      <w:r>
        <w:rPr>
          <w:rFonts w:hint="eastAsia" w:ascii="宋体" w:hAnsi="宋体" w:cs="宋体"/>
          <w:color w:val="auto"/>
          <w:sz w:val="24"/>
          <w:szCs w:val="24"/>
          <w:highlight w:val="none"/>
          <w:lang w:eastAsia="zh-CN"/>
        </w:rPr>
        <w:t>。</w:t>
      </w:r>
    </w:p>
    <w:p w14:paraId="6CE0788E">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0075FF34">
      <w:pPr>
        <w:keepNext w:val="0"/>
        <w:keepLines w:val="0"/>
        <w:pageBreakBefore w:val="0"/>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1C79F7DF">
      <w:pPr>
        <w:keepNext w:val="0"/>
        <w:keepLines w:val="0"/>
        <w:pageBreakBefore w:val="0"/>
        <w:kinsoku/>
        <w:autoSpaceDE/>
        <w:autoSpaceDN/>
        <w:bidi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第六包：农机安全与农机化示范推广、黄河风情线绿化养护购买社会化服务、12345政务服务便民服务热线平台项目绩效评价</w:t>
      </w:r>
    </w:p>
    <w:p w14:paraId="3AA07ABB">
      <w:pPr>
        <w:pStyle w:val="40"/>
        <w:keepNext w:val="0"/>
        <w:keepLines w:val="0"/>
        <w:pageBreakBefore w:val="0"/>
        <w:kinsoku/>
        <w:autoSpaceDE/>
        <w:autoSpaceDN/>
        <w:bidi w:val="0"/>
        <w:spacing w:line="48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项目一：农机安全与农机化示范推广项目基本概况</w:t>
      </w:r>
    </w:p>
    <w:p w14:paraId="452BF5E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0A0D5C2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（一）项目名称：农机安全与农机化示范推广项目</w:t>
      </w:r>
    </w:p>
    <w:p w14:paraId="36152F7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（二）实施单位：各县区农业农村局</w:t>
      </w:r>
    </w:p>
    <w:p w14:paraId="2454993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（三）主管部门：兰州市农业农村局</w:t>
      </w:r>
    </w:p>
    <w:p w14:paraId="6CD44F2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5F07E8E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截止2024年12月31日，各级财政下达2024年农机安全与农机化示范推广项目预算资金305.85万元；截止2024年12月31日，支出302.34万元。</w:t>
      </w:r>
    </w:p>
    <w:p w14:paraId="3A3DC11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7FD8F80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（一）《兰州市农业燃油补贴与农机安全监管工作相结合提升农业机械化装备水平的实施意见》(兰农字〔2011〕4号)</w:t>
      </w:r>
    </w:p>
    <w:p w14:paraId="4C5673C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（二）《关于免费办理拖拉机联合收割机牌证的通知》（兰政办发〔2015〕138号）</w:t>
      </w:r>
    </w:p>
    <w:p w14:paraId="63CE196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（三）兰州市农业农村局2023年市级财政农机专项资金方案（兰农字（2023）9号）</w:t>
      </w:r>
    </w:p>
    <w:p w14:paraId="7F6845C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（四）《兰州市人民政府办公室关于印发&lt;兰州市突发农业灾害应急预案&gt;&lt;兰州市突发重大动物疫情应急预案&gt;&lt;兰州市农机事故应急预案&gt;的通知》（兰政办发〔2022〕173号 ）</w:t>
      </w:r>
    </w:p>
    <w:p w14:paraId="672C6A4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490BB73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项目实施，共补贴拖拉机和联合收割机25606台，举办全市农机事故应急救援预案演练活动1次，开展农机事故警示教育活动66次，配备农机制动性能检测、灯光检测等设备3套，进一步提升了全市农机安全监管能力和水平。</w:t>
      </w:r>
    </w:p>
    <w:p w14:paraId="3AAF3652">
      <w:pPr>
        <w:numPr>
          <w:ilvl w:val="0"/>
          <w:numId w:val="0"/>
        </w:numPr>
        <w:spacing w:line="360" w:lineRule="auto"/>
        <w:ind w:leftChars="200"/>
        <w:jc w:val="left"/>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五、评价关注点</w:t>
      </w:r>
    </w:p>
    <w:p w14:paraId="35722F76">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关注补贴资金是否按时分解下达，资金是否全部及时兑付，年度绩效目标完成情况，项目效益发挥情况，补贴对象是否满意，结合问题提出改建措施建议</w:t>
      </w:r>
      <w:r>
        <w:rPr>
          <w:rFonts w:hint="eastAsia" w:ascii="宋体" w:hAnsi="宋体" w:cs="宋体"/>
          <w:color w:val="auto"/>
          <w:sz w:val="24"/>
          <w:szCs w:val="24"/>
          <w:highlight w:val="none"/>
          <w:lang w:eastAsia="zh-CN"/>
        </w:rPr>
        <w:t>。</w:t>
      </w:r>
    </w:p>
    <w:p w14:paraId="3B8E3865">
      <w:pPr>
        <w:numPr>
          <w:ilvl w:val="0"/>
          <w:numId w:val="0"/>
        </w:numPr>
        <w:spacing w:line="360" w:lineRule="auto"/>
        <w:ind w:left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六</w:t>
      </w:r>
      <w:r>
        <w:rPr>
          <w:rFonts w:hint="eastAsia" w:ascii="宋体" w:hAnsi="宋体" w:eastAsia="宋体" w:cs="宋体"/>
          <w:color w:val="auto"/>
          <w:sz w:val="24"/>
          <w:szCs w:val="24"/>
          <w:highlight w:val="none"/>
          <w:lang w:val="en"/>
        </w:rPr>
        <w:t>、其他要求</w:t>
      </w:r>
    </w:p>
    <w:p w14:paraId="31060F47">
      <w:pPr>
        <w:pStyle w:val="40"/>
        <w:keepNext w:val="0"/>
        <w:keepLines w:val="0"/>
        <w:pageBreakBefore w:val="0"/>
        <w:kinsoku/>
        <w:autoSpaceDE/>
        <w:autoSpaceDN/>
        <w:bidi w:val="0"/>
        <w:spacing w:line="480" w:lineRule="auto"/>
        <w:jc w:val="both"/>
        <w:textAlignment w:val="auto"/>
        <w:rPr>
          <w:rFonts w:hint="eastAsia" w:ascii="宋体" w:hAnsi="宋体" w:eastAsia="宋体" w:cs="宋体"/>
          <w:b/>
          <w:bCs/>
          <w:color w:val="auto"/>
          <w:sz w:val="24"/>
          <w:szCs w:val="24"/>
          <w:highlight w:val="none"/>
          <w:lang w:val="en"/>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5FF3CBAA">
      <w:pPr>
        <w:pStyle w:val="40"/>
        <w:keepNext w:val="0"/>
        <w:keepLines w:val="0"/>
        <w:pageBreakBefore w:val="0"/>
        <w:kinsoku/>
        <w:autoSpaceDE/>
        <w:autoSpaceDN/>
        <w:bidi w:val="0"/>
        <w:spacing w:line="48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项目二：黄河风情线绿化养护购买社会化服务项目基本概况</w:t>
      </w:r>
    </w:p>
    <w:p w14:paraId="6841CE8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63CE7B9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（一）项目名称：2024年黄河风情线绿化养护购买社会化服务项目</w:t>
      </w:r>
    </w:p>
    <w:p w14:paraId="0B407D2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（二）实施单位：兰州黄河风情线大景区管理委员会</w:t>
      </w:r>
    </w:p>
    <w:p w14:paraId="040145B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（三）主管部门：兰州黄河风情线大景区管理委员会</w:t>
      </w:r>
    </w:p>
    <w:p w14:paraId="103D4A0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26CF38A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截止2024年12月31日，各级财政下达2024年黄河风情线绿化养护购买社会化服务项目预算资金2072.37万元；截止2024年12月31日支出2045.775007万元。</w:t>
      </w:r>
    </w:p>
    <w:p w14:paraId="12DE9ED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13DA26D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（一）《兰州市城市园林绿地养护管理定额》（甘建价〔2012〕537号）；</w:t>
      </w:r>
    </w:p>
    <w:p w14:paraId="70D739C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（二）《兰州市黄河风情线大景区保护管理条例》；</w:t>
      </w:r>
    </w:p>
    <w:p w14:paraId="6229AFA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（三）市委深改组第十二次会议审议通过的《关于进一步理顺黄河风情线管理体制的工作方案》（兰办字﹝2016﹞58号）；</w:t>
      </w:r>
    </w:p>
    <w:p w14:paraId="7843D00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（四）《兰州市深入打好“兰州蓝”保卫战持久战工作方案》；</w:t>
      </w:r>
    </w:p>
    <w:p w14:paraId="066B8A1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（五）《兰州市巩固提升“国家园林城市”创建成果三年行动方案》；</w:t>
      </w:r>
    </w:p>
    <w:p w14:paraId="5A50F0D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（六）《兰州市“十四五”林业草原和城市园林绿化发展规划实施方案》；</w:t>
      </w:r>
    </w:p>
    <w:p w14:paraId="0FA948A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（七）《兰州市“十四五”黄河流域生态保护和高质量发展实施方案》。</w:t>
      </w:r>
    </w:p>
    <w:p w14:paraId="50D030F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7C34F3C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对东起南河北路，西至西沙大桥，南起南滨河路道路红线，北至北滨河路道路红线等大景区管辖范围内绿地（含广场园路）242.899万平方米，行道树22793株，林地1036.33亩，21座公厕，11座喷泉，按照《甘肃省城市园林绿地养护管理标准》实施日常绿化养护工作，确保苗木生长旺盛，叶色浓绿，无黄叶、枯死株，广场园路、厕所卫生干净整洁。养护周期为一年。</w:t>
      </w:r>
    </w:p>
    <w:p w14:paraId="60199FAC">
      <w:pPr>
        <w:numPr>
          <w:ilvl w:val="0"/>
          <w:numId w:val="0"/>
        </w:numPr>
        <w:spacing w:line="360" w:lineRule="auto"/>
        <w:ind w:firstLine="480" w:firstLine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五、评价关注点</w:t>
      </w:r>
    </w:p>
    <w:p w14:paraId="4006FE8C">
      <w:pPr>
        <w:numPr>
          <w:ilvl w:val="0"/>
          <w:numId w:val="0"/>
        </w:numPr>
        <w:spacing w:line="360" w:lineRule="auto"/>
        <w:ind w:firstLine="480" w:firstLineChars="200"/>
        <w:jc w:val="left"/>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要求从成本绩效管理角度出发，全面分析项目成本构成，发现成本支出存在的问题，研究提出节约成本、提高资金使用效益的措施，出具成本定额标准，打造“事前核成本、事中控成本、事后评成本”的全过程成本绩效管理链条；</w:t>
      </w:r>
      <w:r>
        <w:rPr>
          <w:rFonts w:hint="eastAsia" w:ascii="宋体" w:hAnsi="宋体" w:cs="宋体"/>
          <w:color w:val="auto"/>
          <w:sz w:val="24"/>
          <w:szCs w:val="24"/>
          <w:highlight w:val="none"/>
          <w:lang w:eastAsia="zh-CN"/>
        </w:rPr>
        <w:t>。</w:t>
      </w:r>
    </w:p>
    <w:p w14:paraId="0D392211">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lang w:val="en"/>
        </w:rPr>
        <w:t>其他要求</w:t>
      </w:r>
    </w:p>
    <w:p w14:paraId="2D832F69">
      <w:pPr>
        <w:keepNext w:val="0"/>
        <w:keepLines w:val="0"/>
        <w:pageBreakBefore w:val="0"/>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36967267">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项目三：12345政务服务便民热线平台项目基本概况</w:t>
      </w:r>
    </w:p>
    <w:p w14:paraId="2D86DB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14:paraId="57F898E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（一）项目名称：12345政务服务便民服务热线平台项目</w:t>
      </w:r>
    </w:p>
    <w:p w14:paraId="2847B52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（二）实施单位：兰州市数据局</w:t>
      </w:r>
    </w:p>
    <w:p w14:paraId="21010E6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（三）主管部门：兰州市数据局</w:t>
      </w:r>
    </w:p>
    <w:p w14:paraId="5F3BB4F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二、项目预算及执行情况</w:t>
      </w:r>
    </w:p>
    <w:p w14:paraId="22C57AD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截止2024年12月31日，各级财政下达12345政务服务便民服务热线平台项目预算资金2454万元；截止2024年12月31日，支出2454万元。</w:t>
      </w:r>
    </w:p>
    <w:p w14:paraId="442B412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三、项目立项依据</w:t>
      </w:r>
    </w:p>
    <w:p w14:paraId="61F91EB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（一）《兰州市12345热线运行管理办法》</w:t>
      </w:r>
    </w:p>
    <w:p w14:paraId="5AC1218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（二）《兰州市12345热线工作考核评议办法》</w:t>
      </w:r>
    </w:p>
    <w:p w14:paraId="32BAE0B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（三）《兰州市三维数字社会服务管理中心筹建工作会议纪要2013年第3次》</w:t>
      </w:r>
    </w:p>
    <w:p w14:paraId="143AA78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（四）《关于进一步规范和加强全市信息化建设实施意见的通知》</w:t>
      </w:r>
    </w:p>
    <w:p w14:paraId="57FFCA9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（五）《兰州市政务信息系统项目管理暂行办法》</w:t>
      </w:r>
    </w:p>
    <w:p w14:paraId="0E03151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四、项目实施与开展情况</w:t>
      </w:r>
    </w:p>
    <w:p w14:paraId="08C2144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1.12345政务服务便民热线服务外包项目主要内容为：通过服务外包形式，选定专业管理团队对12345政务服务便民热线进行专业管理，遵守相关法律法规，培训接线坐席，组织考试，为市民提供24小时全天候、全方位优质、快捷、高效的各类公共服务。</w:t>
      </w:r>
    </w:p>
    <w:p w14:paraId="687A9C8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2.12345政务服务便民热线平台重构项目主要内容为：重构建设热线话务呼叫系统，支持话务并发2000路，话务坐席180路，支持远端灵活话务坐席;重构建设热线诉求业务办理系统，支持较强的智能语音辅助，诉求工单快速流转、话务智能质检、知识库智能检索和全量诉求数据统计分析等主要功能。建成后热线平台技术水平先进，系统功能全面，整体支撑能力较目前大幅提升，保障热线服务群众、企业工作高效运转。</w:t>
      </w:r>
    </w:p>
    <w:p w14:paraId="3D07F504">
      <w:pPr>
        <w:numPr>
          <w:ilvl w:val="0"/>
          <w:numId w:val="0"/>
        </w:numPr>
        <w:spacing w:line="360" w:lineRule="auto"/>
        <w:ind w:leftChars="200"/>
        <w:jc w:val="left"/>
        <w:outlineLvl w:val="9"/>
        <w:rPr>
          <w:rFonts w:hint="eastAsia" w:ascii="宋体" w:hAnsi="宋体" w:cs="宋体"/>
          <w:color w:val="auto"/>
          <w:sz w:val="24"/>
          <w:szCs w:val="24"/>
          <w:highlight w:val="none"/>
          <w:lang w:val="en" w:eastAsia="zh-CN"/>
        </w:rPr>
      </w:pPr>
      <w:r>
        <w:rPr>
          <w:rFonts w:hint="eastAsia" w:ascii="宋体" w:hAnsi="宋体" w:cs="宋体"/>
          <w:color w:val="auto"/>
          <w:sz w:val="24"/>
          <w:szCs w:val="24"/>
          <w:highlight w:val="none"/>
          <w:lang w:val="en" w:eastAsia="zh-CN"/>
        </w:rPr>
        <w:t>五、评价关注点</w:t>
      </w:r>
    </w:p>
    <w:p w14:paraId="43947555">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注项目管理制度、办法是否健全，政府采购程序是否合法合规，对各单位、各县区管理考核方案是否合理、投诉件转办是否及时精准，知识库更新是否及时准确，对恶意投诉、无效投诉等是否存在管控措施。关注平台建设资金及运维资金确定是否合理；成本核算是否合理，人员设置是否必要。</w:t>
      </w:r>
    </w:p>
    <w:p w14:paraId="310BC941">
      <w:pPr>
        <w:keepNext w:val="0"/>
        <w:keepLines w:val="0"/>
        <w:pageBreakBefore w:val="0"/>
        <w:numPr>
          <w:ilvl w:val="0"/>
          <w:numId w:val="3"/>
        </w:numPr>
        <w:kinsoku/>
        <w:autoSpaceDE/>
        <w:autoSpaceDN/>
        <w:bidi w:val="0"/>
        <w:spacing w:line="480" w:lineRule="auto"/>
        <w:ind w:left="0" w:leftChars="0" w:firstLine="480" w:firstLineChars="200"/>
        <w:jc w:val="both"/>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en"/>
        </w:rPr>
        <w:t>其他要求</w:t>
      </w:r>
    </w:p>
    <w:p w14:paraId="77581D4E">
      <w:pPr>
        <w:keepNext w:val="0"/>
        <w:keepLines w:val="0"/>
        <w:pageBreakBefore w:val="0"/>
        <w:numPr>
          <w:ilvl w:val="0"/>
          <w:numId w:val="0"/>
        </w:numPr>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311F605A">
      <w:pPr>
        <w:keepNext w:val="0"/>
        <w:keepLines w:val="0"/>
        <w:pageBreakBefore w:val="0"/>
        <w:kinsoku/>
        <w:autoSpaceDE/>
        <w:autoSpaceDN/>
        <w:bidi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第七包：兰州市信访局整体支出绩效评价及过紧日子评估、兰州市体育局整体支出绩效评价及过紧日子评估</w:t>
      </w:r>
    </w:p>
    <w:p w14:paraId="161A0392">
      <w:pPr>
        <w:pStyle w:val="40"/>
        <w:keepNext w:val="0"/>
        <w:keepLines w:val="0"/>
        <w:pageBreakBefore w:val="0"/>
        <w:kinsoku/>
        <w:autoSpaceDE/>
        <w:autoSpaceDN/>
        <w:bidi w:val="0"/>
        <w:spacing w:line="48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项目一：兰州市信访局基本概况</w:t>
      </w:r>
    </w:p>
    <w:p w14:paraId="11888F1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一、主要职能</w:t>
      </w:r>
    </w:p>
    <w:p w14:paraId="1051345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贯彻落实国务院《信访条例》和《甘肃省信访条例》，负责处理市内外群众、境外人士、法人及其他组织通过信访渠道的来信；接待到市委、市政府机关的群众来访，维护来访秩序；反映群众来信来访中提出的重要建议、意见和问题，综合研判信访信息，开展调查研究，提出解决问题、完善政策和法律法规的意见和建议；承办各级交办的重要信访事项，督促检查办理落实情况；向县区、部门和单位交办、转办、移送信访事项，督查督办信访事项办理情况；协调处理跨地区、跨部门、跨行业的信访事项；协调我市赴京非正常上访人员劝返工作；协调、检查、指导全市信访工作，贯彻落实中央和省、市关于信访工作的决策部署；起草有关信访工作的规章、办法和草案；对信访事项办理过程中存在的问题和不足提出改进工作和责任追究的意见、建议；组织实施信访问题排查化解工作，建立和完善信访信息汇集分析机制，指导全市信访信息系统建设和应用；组织全市领导干部接待群众来访、干部下访工作；承办市人民政府信访事项复查复核工作；承担市处理信访突出问题及涉访群体性事件联席会议的日常工作；承担市信访工作领导小组办公室的日常工作；总结推广各县区、各部门信访工作经验；负责全市信访工作经验；负责全市信访宣传和信息发布工作；组织信访干部教育培训；承办市委、市政府和省信访局交办的其他事项。</w:t>
      </w:r>
    </w:p>
    <w:p w14:paraId="7088234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二、部门预算安排情况及执行情况</w:t>
      </w:r>
    </w:p>
    <w:p w14:paraId="0E8B92C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2024年初预算批复762.33万元，其中：基本支出579.02万元，项目支出183.31万元。全年市本级执行880.45万元，其中：基本支出695.02万元，项目支出185.43万元。</w:t>
      </w:r>
    </w:p>
    <w:p w14:paraId="00F1C2C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三、年度履职情况及重点项目实施情况</w:t>
      </w:r>
    </w:p>
    <w:p w14:paraId="1C4260E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（一）年度履职情况：</w:t>
      </w:r>
    </w:p>
    <w:p w14:paraId="5F84F82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在市委市政府的坚强领导下，市信访局坚持走进矛盾，破解难题，持续推进信访工作法治化，各类信访积案化解取得有效进展。扎实开展主动创稳行动，加大“清初访、查重访、化积案”力度，全力推动解决群众急难愁盼问题，有力有效维护社会大局稳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全市信访部门受理信访总量7383件次、10391人次，同比件次下降47.9%、人次下降46.43%，信访形势持续向好。</w:t>
      </w:r>
    </w:p>
    <w:p w14:paraId="0875B3D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（二）年度重点项目实施情况：</w:t>
      </w:r>
    </w:p>
    <w:p w14:paraId="009703F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访工作经费项目：2024年年初预算安排44万元，实际支出40.3万元。其中，（1）信访工作业务费年初预算安排39万元，该资金主要用于赴京及本地重大活动期间的信访维稳工作，包括工作人员的差旅费、住宿费、交通费用，以及应急处置物资采购等。例如，在全国两会等重要时期，为确保无越级上访事件发生，增派工作人员前往重点地区值班，此项支出8.39万元；化解疑难复杂信访案件：旨在解决长期积累、久拖未决的信访难题，维护群众合法权益，促进社会和谐稳定。信访专项业务：以贯彻落实《信访工作条例》为契机，加强信访法治宣传教育，规范信访工作程序，强化信访工作监督，推动信访工作在法治轨道上运行。开展信访法《信访工作条例》宣传，此项目支出27万元。</w:t>
      </w:r>
    </w:p>
    <w:p w14:paraId="0D28945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律师服务及咨询费4万元。通过司法局指派当地律师事务所的律师在信访接待场所接访上访群众等方式，推动信访矛盾的有效解决。指派律师专业调解服务实际支出1.92万元，邀请法律专家提法律服务此项实际支出2万元。</w:t>
      </w:r>
    </w:p>
    <w:p w14:paraId="2E7B0A4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心理咨询费1万元，在信访接待场所，心理咨询师可缓解信访人焦虑、愤怒等负面情绪，助其理性表达诉求。运用专业技巧向接访的工作人员讲解引导技巧，增进双方理解，降低冲突的概率，并危机干预为长期接访的工作人员提供心理疏导，助其调整认知，重建工作信心。此项实际支出1万元。</w:t>
      </w:r>
    </w:p>
    <w:p w14:paraId="12BB305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护信访秩序保安服务费项目：2024年年初预算安排107.81万元，其意义保障现场安全，防范冲突、暴力事件，保护信访人、工作人员人身及财产安全。维持接访秩序，引导信访人有序排队、登记，避免混乱，确保接访流程顺畅。快速应对突发及时处置突发状况（如闹访、缠访），防止事态扩大，降低公共安全风险。树立规范形象：通过制度化安保服务，展现依法接访的规范性，增强群众对信访工作的信任。此项实际支出107.7408万元。</w:t>
      </w:r>
    </w:p>
    <w:p w14:paraId="06267C80">
      <w:pPr>
        <w:numPr>
          <w:ilvl w:val="0"/>
          <w:numId w:val="4"/>
        </w:numPr>
        <w:spacing w:line="360" w:lineRule="auto"/>
        <w:ind w:firstLine="480" w:firstLineChars="200"/>
        <w:jc w:val="left"/>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评价关注点</w:t>
      </w:r>
    </w:p>
    <w:p w14:paraId="0889DFF4">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评价方面：聚焦部门“业、财、绩”一体融合，从部门规划、运行成本、管理效率、履职效能、社会效益、可持续发展能力、服务对象满意度7个维度评价，按照部门职能定位及其分类，将资源配置、资金效益、履职效能作为评价核心要素，重点评价信访工作的规范化、法治化和数据化水平，并全面、科学地做好信访事件的解决效率和群众满意度调查；过紧日子评估方面：对预算部门过紧日子情况开展评估，指导部门做到“大钱大方，小钱小气”，对部门落实过紧日子情况开展检视分析，对好的经验做法总结宣传，对不足之处进行分析整改，形成习惯过紧日子评估管理闭环，在过紧日子中进一步提升治理效能。</w:t>
      </w:r>
    </w:p>
    <w:p w14:paraId="472B3003">
      <w:pPr>
        <w:numPr>
          <w:ilvl w:val="0"/>
          <w:numId w:val="0"/>
        </w:num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五</w:t>
      </w:r>
      <w:r>
        <w:rPr>
          <w:rFonts w:hint="eastAsia" w:ascii="宋体" w:hAnsi="宋体" w:eastAsia="宋体" w:cs="宋体"/>
          <w:color w:val="auto"/>
          <w:sz w:val="24"/>
          <w:szCs w:val="24"/>
          <w:highlight w:val="none"/>
          <w:lang w:val="en"/>
        </w:rPr>
        <w:t>、其他要求</w:t>
      </w:r>
    </w:p>
    <w:p w14:paraId="2E109FF9">
      <w:pPr>
        <w:keepNext w:val="0"/>
        <w:keepLines w:val="0"/>
        <w:pageBreakBefore w:val="0"/>
        <w:kinsoku/>
        <w:autoSpaceDE/>
        <w:autoSpaceDN/>
        <w:bidi w:val="0"/>
        <w:spacing w:line="480" w:lineRule="auto"/>
        <w:ind w:firstLine="64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674F867A">
      <w:pPr>
        <w:pStyle w:val="40"/>
        <w:keepNext w:val="0"/>
        <w:keepLines w:val="0"/>
        <w:pageBreakBefore w:val="0"/>
        <w:kinsoku/>
        <w:autoSpaceDE/>
        <w:autoSpaceDN/>
        <w:bidi w:val="0"/>
        <w:spacing w:line="480" w:lineRule="auto"/>
        <w:ind w:left="480" w:firstLine="64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项目二：兰州市体育局基本概况</w:t>
      </w:r>
    </w:p>
    <w:p w14:paraId="1F6CDBD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一、主要职能</w:t>
      </w:r>
    </w:p>
    <w:p w14:paraId="13BCCA6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贯彻执行国家有关体育方针、政策和法规，发展全市的体育事业，指导协调县区体育发展，对国家公布的体育项目实行行业管理；研究和制订体育事业的发展战略目标、具体方针政策，编制体育事业中长期发展规划；推行全民健身计划，指导开展群众性体育活动，实施国家体育锻炼标准，指导群众体育骨干培训和国民体质监测工作开展；研究和推动全市体育事业改革与发展，负责全市体育竞赛工作的综合平衡，指导全市体育训练工作；统筹规划体育运动项目设置与布局，指导市级优秀运动队伍的建设和业余训练工作，培养和输送优秀体育人才；开展国际和地区间的体育合作与交流，指导和管理体育系统及民间的体育外事交流活动；制订体育场馆设施建设规划和开发建设，实施体育的资源有效配置和合理使用；拟订体育产业发展规划，培育和开发体育市场，发展体育产业；负责指导市体育总会、体育社会团体的各项工作；承办市政府交办的其他事项，为兰州市文化体育事业的发展做好各项服务和后勤保障，努力构建多元化体育综合服务体系。</w:t>
      </w:r>
    </w:p>
    <w:p w14:paraId="1D1AF13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二、部门预算安排情况及执行情况</w:t>
      </w:r>
    </w:p>
    <w:p w14:paraId="35EF1E6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2024年初预算批复4205.218658万元，其中：基本支出3480.776658万元，项目支出724.44万元。全年市本级执行6744.280171万元，其中：基本支出3956.486399万元，项目支出2787.793772万元。</w:t>
      </w:r>
    </w:p>
    <w:p w14:paraId="64F45BE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三、年度履职情况及重点项目实施情况</w:t>
      </w:r>
    </w:p>
    <w:p w14:paraId="3E47181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（一）年度履职情况：</w:t>
      </w:r>
    </w:p>
    <w:p w14:paraId="0F509CF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先后争取到中国足协女子五人制足球联赛总决赛、中国足协女子五人制足球国际邀请赛、李宁杯·首届中国青少年网球城市挑战赛、“洲克·泳者之星”杯第23届中国大学生游泳锦标赛（北方赛区）等品牌赛事落户兰州。举办兰州市全民健身运动会、“和美乡村”系列比赛等市级比赛。</w:t>
      </w:r>
    </w:p>
    <w:p w14:paraId="5F84F94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功举办2024兰州马拉松，开展兰马配套活动33场，着力打造国际金标赛事品牌。锚定第十六届省运会、第二届学青会等赛事备战参赛任务，提升训练质效。组队参加全国和全省柔道、摔跤项目锦标赛（冠军赛）等共获得24枚金牌、16枚银牌、14枚铜牌。</w:t>
      </w:r>
    </w:p>
    <w:p w14:paraId="76960CD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举办“奔跑吧·少年”主题健身活动和全市中小学生比赛。先后成立兰州市少年乒乓球队和游泳队，进一步完善我市体育后备人才梯队建设。组队参加甘肃省青少年锦标赛和中学生锦标赛，获得38枚金牌、33枚银牌、26枚铜牌。</w:t>
      </w:r>
    </w:p>
    <w:p w14:paraId="69597E1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强化政策和项目资金支持，向上争取到位资金3741万元，引进国家级品牌赛事5项。积极开展招商引资，落地总投资额1.28亿元。经第三方评估，2024兰马产生直接经济效益达5.3767亿元，产生传播价值8.1021亿元，为兰州乃至全省的文体融合发展注入新的活力和动力。</w:t>
      </w:r>
    </w:p>
    <w:p w14:paraId="0F1428F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（二）年度重点项目实施情况：</w:t>
      </w:r>
    </w:p>
    <w:p w14:paraId="14E1D3A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1.训练参赛经费项目：207.97万元,该项目实施单位为兰州市体育工作大队，资金来源为市级体彩公益金。</w:t>
      </w:r>
    </w:p>
    <w:p w14:paraId="24AE2B4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2.兰州体育公园场馆场地维修改善项目：39.28万元,该项目实施单位为兰州市全民健身指导中心，资金来源为市级体彩公益金。</w:t>
      </w:r>
    </w:p>
    <w:p w14:paraId="2BC840B9">
      <w:pPr>
        <w:pStyle w:val="2"/>
        <w:ind w:firstLine="496" w:firstLineChars="200"/>
        <w:rPr>
          <w:rFonts w:hint="eastAsia" w:cs="宋体"/>
          <w:color w:val="auto"/>
          <w:sz w:val="24"/>
          <w:szCs w:val="24"/>
          <w:highlight w:val="none"/>
          <w:lang w:eastAsia="zh-CN"/>
        </w:rPr>
      </w:pPr>
      <w:r>
        <w:rPr>
          <w:rFonts w:hint="eastAsia" w:cs="宋体"/>
          <w:color w:val="auto"/>
          <w:sz w:val="24"/>
          <w:szCs w:val="24"/>
          <w:highlight w:val="none"/>
          <w:lang w:eastAsia="zh-CN"/>
        </w:rPr>
        <w:t>四、评价关注点</w:t>
      </w:r>
    </w:p>
    <w:p w14:paraId="3081A86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评价方面：聚焦部门“业、财、绩”一体融合，从部门规划、运行成本、管理效率、履职效能、社会效益、可持续发展能力、服务对象满意度7个维度评价，按照部门职能定位及其分类，将资源配置、资金效益、履职效能作为评价核心要素，重点关注部门管理的体彩公益金使用合规性、结转结余情况等；过紧日子评估方面：对预算部门过紧日子情况开展评估，指导部门做到“大钱大方，小钱小气”，对部门落实过紧日子情况开展检视分析，对好的经验做法总结宣传，对不足之处进行分析整改，形成习惯过紧日子评估管理闭环，在过紧日子中进一步提升治理效能</w:t>
      </w:r>
    </w:p>
    <w:p w14:paraId="225E5CC3">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
        </w:rPr>
        <w:t>、其他要求</w:t>
      </w:r>
    </w:p>
    <w:p w14:paraId="35C57443">
      <w:pPr>
        <w:keepNext w:val="0"/>
        <w:keepLines w:val="0"/>
        <w:pageBreakBefore w:val="0"/>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2F3D5D9D">
      <w:pPr>
        <w:keepNext w:val="0"/>
        <w:keepLines w:val="0"/>
        <w:pageBreakBefore w:val="0"/>
        <w:kinsoku/>
        <w:autoSpaceDE/>
        <w:autoSpaceDN/>
        <w:bidi w:val="0"/>
        <w:spacing w:line="480" w:lineRule="auto"/>
        <w:ind w:firstLine="64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第八包：兰州市生态环境局整体支出绩效评价及过紧日子评估</w:t>
      </w:r>
    </w:p>
    <w:p w14:paraId="643BE628">
      <w:pPr>
        <w:pStyle w:val="40"/>
        <w:keepNext w:val="0"/>
        <w:keepLines w:val="0"/>
        <w:pageBreakBefore w:val="0"/>
        <w:kinsoku/>
        <w:autoSpaceDE/>
        <w:autoSpaceDN/>
        <w:bidi w:val="0"/>
        <w:spacing w:line="480" w:lineRule="auto"/>
        <w:ind w:left="480" w:firstLine="64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项目一：兰州市生态环境局基本概况</w:t>
      </w:r>
    </w:p>
    <w:p w14:paraId="1765BFC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一、主要职能</w:t>
      </w:r>
    </w:p>
    <w:p w14:paraId="51B5DAF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贯彻落实党中央和省、市委关于生态环境保护工作的方针政策和决策部署，在履行职责过程中坚持和加强党对生态环境监管工作的集中统一领导。</w:t>
      </w:r>
    </w:p>
    <w:p w14:paraId="4D14331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二、部门预算安排情况及执行情况</w:t>
      </w:r>
    </w:p>
    <w:p w14:paraId="57E56891">
      <w:pPr>
        <w:spacing w:line="360" w:lineRule="auto"/>
        <w:ind w:firstLine="480" w:firstLineChars="200"/>
        <w:jc w:val="left"/>
        <w:outlineLvl w:val="9"/>
        <w:rPr>
          <w:rFonts w:hint="eastAsia" w:ascii="宋体" w:hAnsi="宋体" w:eastAsia="宋体" w:cs="宋体"/>
          <w:color w:val="auto"/>
          <w:sz w:val="24"/>
          <w:szCs w:val="24"/>
          <w:highlight w:val="none"/>
        </w:rPr>
      </w:pPr>
      <w:bookmarkStart w:id="401" w:name="OLE_LINK27"/>
      <w:bookmarkStart w:id="402" w:name="OLE_LINK28"/>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年初预算批复9737.39万元，其中：基本支出7390.28万元，项目支出2347.11万元，下县区转移支出400万元。全年市本级执行19793万元，其中：基本支出9427.7万元，项目支出10365.3万元；预算资金下县区转移支付400万元。</w:t>
      </w:r>
    </w:p>
    <w:bookmarkEnd w:id="401"/>
    <w:bookmarkEnd w:id="402"/>
    <w:p w14:paraId="3CAA44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三、年度履职情况及重点项目实施情况</w:t>
      </w:r>
    </w:p>
    <w:p w14:paraId="52AD547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（一）年度履职情况：</w:t>
      </w:r>
    </w:p>
    <w:p w14:paraId="2ADAA67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在市委、市政府的坚强领导和省生态环境厅的有力指导下，坚持以习近平新时代中国特色社会主义思想为指导，坚定践行习近平生态文明思想，全面贯彻落实习近平总书记视察甘肃、兰州重要讲话重要指示精神，紧紧围绕强省会行动和1139工作部署，坚决扛起“先发力、带好头”政治责任，统筹推进生态环境高水平保护和经济社会高质量发展，全市生态安全屏障更加牢固、生态环境质量持续改善，生态环境治理体系和治理能力现代化水平不断提升，生态文明建设和生态环境保护取得了显著成效。</w:t>
      </w:r>
    </w:p>
    <w:p w14:paraId="2B8E63E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市优良天数301天，同比增加19天，优良率82.2%，未发生人为因素导致的重度及以上污染天气，环境空气质量综合指数4.55、同比改善0.21、改善率4.4%。全市集中式饮用水水源地水质达标率达到100%，黄河干支流国控、省控断面水质优良率达到100%，黄河干流出境断面水质稳定保持在国家Ⅱ类水体，受污染耕地安全利用率稳定保持在100%。</w:t>
      </w:r>
    </w:p>
    <w:p w14:paraId="5800C05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1.聚焦生态环境改善，持续推进污染防治攻坚战。2.聚焦生态环保问题，统筹抓好整改后半篇文章。3.聚焦推动项目双进，绿色产业发展取得新成效。4.聚焦安全风险防范，生态安全屏障进一步牢固。</w:t>
      </w:r>
    </w:p>
    <w:p w14:paraId="60159F8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（二）年度重点项目实施情况：</w:t>
      </w:r>
    </w:p>
    <w:p w14:paraId="3F5ED27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兰州市无废城市固体废物智慧大平台”项目：根据年初设定的绩效目标,项目绩效自评得分为96.72分。项目全年预算数为150万元,执行数为150万元,完成预算的100%。项目绩效目标完成情况：完成年初设定的目标值。</w:t>
      </w:r>
    </w:p>
    <w:p w14:paraId="1B7BC74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兰州市气候投融资产融对接综合服务平台”项目：根据年初设定的绩效目标,项目绩效自评得分为96.6分。项目全年预算数为100万元,执行数为100万元,完成预算的100%。项目绩效目标完成情况：完成年初设定的目标值。</w:t>
      </w:r>
    </w:p>
    <w:p w14:paraId="5319648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（3）“机动车尾气检测第三方服务”项目：根据年初设定的绩效目标,项目绩效自评得分为96.3分。项目全年预算数为268万元,执行数为257.015万元,完成预算的95.9%。项目绩效目标完成情况：完成年初设定的目标值。</w:t>
      </w:r>
    </w:p>
    <w:p w14:paraId="139958E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市大气环境质量监测网络体系第三方服务费”项目：根据年初设定的绩效目标,项目绩效自评得分为96.35分。项目全年预算数为332万元,执行数为330.7万元,完成预算的99.6%。项目绩效目标完成情况：完成年初设定的目标值。</w:t>
      </w:r>
    </w:p>
    <w:p w14:paraId="0395E81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2023年流域横向生态补偿省级奖补资金”项目：根据年初设定的绩效目标,项目绩效自评得分为96.66分。项目全年预算数为434万元,执行数为434万元,完成预算的100%。项目绩效目标完成情况：完成年初设定的目标值。</w:t>
      </w:r>
    </w:p>
    <w:p w14:paraId="01D3B88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兰州振超热力有限公司燃煤锅炉淘汰改造”项目：根据年初设定的绩效目标,项目绩效自评得分为98.17分。项目全年预算数为385万元,执行数为385万元,完成预算的100%。项目绩效目标完成情况：完成年初设定的目标值。</w:t>
      </w:r>
    </w:p>
    <w:p w14:paraId="7A72F49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碧桂园兰州新城集中供热项目14MW锅炉煤改气环保治理工程”项目：根据年初设定的绩效目标,项目绩效自评得分为91.2分。项目全年预算数为600万元,执行数为600万元,完成预算的100%。项目绩效目标完成情况：完成年初设定的目标值。</w:t>
      </w:r>
    </w:p>
    <w:p w14:paraId="108735E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2023年智慧黄河（兰州段）精细化建设项目（省级生态补偿资金）”项目：根据年初设定的绩效目标,项目绩效自评得分为91.84分。项目全年预算数为3263万元,执行数为1708.65万元,完成预算的52.36%。项目绩效目标完成情况：完成年初设定的目标值。</w:t>
      </w:r>
    </w:p>
    <w:p w14:paraId="00E2A5E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2023年智慧黄河（兰州段）精细化建设项目”项目：根据年初设定的绩效目标,项目绩效自评得分为100分。项目全年预算数为1990.52万元,执行数为1990.52万元,完成预算的100%。项目绩效目标完成情况：完成年初设定的目标值。</w:t>
      </w:r>
    </w:p>
    <w:p w14:paraId="307175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（10）“环境监测”项目：预算安排100万元，实际支出98.8万元，支出进度98.8%。绩效目标完成情况：与绩效目标相比，产出指标和效果指标均达到绩效目标。</w:t>
      </w:r>
    </w:p>
    <w:p w14:paraId="7B54C7F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（11）“2023年（第五批）燃气锅炉低氮改造”项目：预算安排806.37万元，实际支出798.54万元，支出进度99.03%。绩效目标完成情况：与绩效目标相比，产出指标和效果指标均达到绩效目标。</w:t>
      </w:r>
    </w:p>
    <w:p w14:paraId="3A85DBB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兰州市城市生活饮用水水源地保护一期工程建成设施运维管护”项目：根据年初设定的绩效目标,项目绩效自评得分为98分。项目全年预算数为196万元,执行数为196万元,完成预算的100%，完成年初设定项目绩效目标值。</w:t>
      </w:r>
    </w:p>
    <w:p w14:paraId="59D3E11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兰州市城市生活饮用水水源地保护二期工程建成设施运维管护”项目：根据年初设定的绩效目标,项目绩效自评得分为98分。项目全年预算数为195万元,执行数为195万元,完成预算的100%，完成年初设定项目绩效目标值。</w:t>
      </w:r>
    </w:p>
    <w:p w14:paraId="3D76A38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兰州冬季清洁取暖项目2023年中央资金”项目：该项目为2023年结转的中央转移支付资金项目，项目全年预算数为134.25万元,执行数为134.25万元,执行率100%。项目对甘肃中医药大学燃气锅炉低氮改造项目进行费用补贴，改造任务按要求完成并通过验收，改造后有效降低了氮氧化物等污染物排放浓度，减少了对大气环境的污染。项目完成情况与绩效目标一致。</w:t>
      </w:r>
    </w:p>
    <w:p w14:paraId="1AF09F90">
      <w:pPr>
        <w:spacing w:line="360" w:lineRule="auto"/>
        <w:ind w:firstLine="480" w:firstLineChars="200"/>
        <w:jc w:val="left"/>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四、评价关注点</w:t>
      </w:r>
    </w:p>
    <w:p w14:paraId="0392006C">
      <w:pPr>
        <w:spacing w:line="360" w:lineRule="auto"/>
        <w:ind w:firstLine="480" w:firstLineChars="200"/>
        <w:jc w:val="left"/>
        <w:outlineLvl w:val="9"/>
        <w:rPr>
          <w:rFonts w:hint="eastAsia"/>
          <w:color w:val="auto"/>
          <w:highlight w:val="none"/>
          <w:lang w:val="en-US" w:eastAsia="zh-CN"/>
        </w:rPr>
      </w:pPr>
      <w:r>
        <w:rPr>
          <w:rFonts w:hint="eastAsia" w:ascii="宋体" w:hAnsi="宋体" w:eastAsia="宋体" w:cs="宋体"/>
          <w:color w:val="auto"/>
          <w:sz w:val="24"/>
          <w:szCs w:val="24"/>
          <w:highlight w:val="none"/>
        </w:rPr>
        <w:t>绩效评价方面：聚焦部门“业、财、绩”一体融合，从部门规划、运行成本、管理效率、履职效能、社会效益、可持续发展能力、服务对象满意度7个维度评价，按照部门职能定位及其分类，将资源配置、资金效益、履职效能作为评价核心要素。重点关注兰州市生活饮用水水源地保护一期、二期工程建成设施运维管理、大气环境质量监测网络体系第三方服务项目等项目。过紧日子评估方面：对预算部门过紧日子情况开展评估，指导部门做到“大钱大方，小钱小气”，对部门落实过紧日子情况开展检视分析，对好的经验做法总结宣传，对不足之处进行分析整改，形成习惯过紧日子评估管理闭环，在过紧日子中进一步提升治理效能。</w:t>
      </w:r>
    </w:p>
    <w:p w14:paraId="75A11A15">
      <w:pPr>
        <w:spacing w:line="360" w:lineRule="auto"/>
        <w:ind w:firstLine="480" w:firstLineChars="200"/>
        <w:jc w:val="left"/>
        <w:outlineLvl w:val="9"/>
        <w:rPr>
          <w:rFonts w:hint="eastAsia" w:ascii="宋体" w:hAnsi="宋体" w:eastAsia="宋体" w:cs="宋体"/>
          <w:color w:val="auto"/>
          <w:sz w:val="24"/>
          <w:szCs w:val="24"/>
          <w:highlight w:val="none"/>
          <w:lang w:val="en"/>
        </w:rPr>
      </w:pPr>
      <w:r>
        <w:rPr>
          <w:rFonts w:hint="eastAsia" w:ascii="宋体" w:hAnsi="宋体" w:cs="宋体"/>
          <w:color w:val="auto"/>
          <w:sz w:val="24"/>
          <w:szCs w:val="24"/>
          <w:highlight w:val="none"/>
          <w:lang w:val="en" w:eastAsia="zh-CN"/>
        </w:rPr>
        <w:t>五</w:t>
      </w:r>
      <w:r>
        <w:rPr>
          <w:rFonts w:hint="eastAsia" w:ascii="宋体" w:hAnsi="宋体" w:eastAsia="宋体" w:cs="宋体"/>
          <w:color w:val="auto"/>
          <w:sz w:val="24"/>
          <w:szCs w:val="24"/>
          <w:highlight w:val="none"/>
          <w:lang w:val="en"/>
        </w:rPr>
        <w:t>、其他要求</w:t>
      </w:r>
    </w:p>
    <w:p w14:paraId="0436E96E">
      <w:pPr>
        <w:keepNext w:val="0"/>
        <w:keepLines w:val="0"/>
        <w:pageBreakBefore w:val="0"/>
        <w:kinsoku/>
        <w:autoSpaceDE/>
        <w:autoSpaceDN/>
        <w:bidi w:val="0"/>
        <w:spacing w:line="48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
        </w:rPr>
        <w:t>投标人承诺为本项目配备项目人员不少于</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
        </w:rPr>
        <w:t>人,提供承诺函及人员配备名单及相关证明资料，中标后所配备人员未经采购人同意不允许更换。不提供视为不响应。</w:t>
      </w:r>
    </w:p>
    <w:p w14:paraId="1D247D99">
      <w:pPr>
        <w:keepNext w:val="0"/>
        <w:keepLines w:val="0"/>
        <w:pageBreakBefore w:val="0"/>
        <w:kinsoku/>
        <w:autoSpaceDE/>
        <w:autoSpaceDN/>
        <w:bidi w:val="0"/>
        <w:spacing w:line="480" w:lineRule="auto"/>
        <w:ind w:firstLine="64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第九包：安宁区财政运行综合绩效评价</w:t>
      </w:r>
    </w:p>
    <w:p w14:paraId="71A3B2A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选取兰州市安宁区开展县区财政运行综合绩效评价。财政综合运行绩效评价应立足实际，结合区级财政运行的特点规律，科学设置评价指标，多维度、多层次、全方位分析政府收支绩效、运行成效、管理能力和可持续发展能力等。评价结论应具有全面性、逻辑性、客观性、科学性，真实反映县级政府经济发展需求与财政运行管理机制的相关性。</w:t>
      </w:r>
    </w:p>
    <w:p w14:paraId="7F3A1D4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安宁区2023年财政预算收入155275万元，其中一般公共预算收入134857万元、政府性基金预算收入3304  万元、国有资本经营预算0万元，社会保险基金预算17114万元，财政预算支出315075万元、一般公共预算支出219075万元、政府性基金预算支出79324万元、国有资本经营预算支出141万元，社会保险基金预算支出16535万元。</w:t>
      </w:r>
    </w:p>
    <w:p w14:paraId="55E3B23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综合分析安宁区所有财政收入和支出、财力保障、财政管理等情况，坚持结果导向，突出财政运行成效，关注管理是否科学健康可持续，围绕评价年度情况，因地制宜提出加强预算绩效管理、防范化解风险、提升财政综合运行效率的意见建议。重点评价“三保”预算执行情况、临聘人员管理及财政支出情况、暂付款管理情况、预决算公开规范性、预算批复与执行差异情况、财力建设情况、重大政策项目保障情况、债务管理偿还情况、预算绩效管理工作情况、可持续发展情况等。</w:t>
      </w:r>
    </w:p>
    <w:p w14:paraId="7663DB5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投标人承诺为本项目配备项目人员不少于6人,提供承诺函及人员配备名单及相关证明资料，中标后所配备人员未经采购人同意不允许更换。不提供视为不响应。</w:t>
      </w:r>
    </w:p>
    <w:p w14:paraId="3E14CF4D">
      <w:pPr>
        <w:keepNext w:val="0"/>
        <w:keepLines w:val="0"/>
        <w:pageBreakBefore w:val="0"/>
        <w:kinsoku/>
        <w:autoSpaceDE/>
        <w:autoSpaceDN/>
        <w:bidi w:val="0"/>
        <w:spacing w:line="480" w:lineRule="auto"/>
        <w:ind w:firstLine="64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第十包：县区预算绩效管理工作成效量化评价</w:t>
      </w:r>
    </w:p>
    <w:p w14:paraId="28D511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足于我市8个县区预算绩效管理工作现实情况，从机制建设、任务实施、标准建立、激励约束、改革创新、报告公开、能力建设7个方面对各县区预算绩效管理工作情况开展全面量化评估，发掘县区绩效评估工作管理亮点，分析缺点与不足，提出问题改进建议方式方法，有针对性开展辅导与培训，协助县区开展预算绩效管理制度修订与完善，全面提升县区预算绩效管理水平。</w:t>
      </w:r>
    </w:p>
    <w:p w14:paraId="7D1011C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对各县区预算绩效管理工作情况开展全面量化评估，发掘县区绩效评估工作管理亮点，分析缺点与不足，提出问题改进建议方式方法，有针对性开展辅导与培训，协助县区开展预算绩效管理制度修订与完善，全面提升县区预算绩效管理水平。</w:t>
      </w:r>
    </w:p>
    <w:p w14:paraId="6A0D6F88">
      <w:pPr>
        <w:pStyle w:val="2"/>
        <w:ind w:firstLine="496" w:firstLineChars="200"/>
        <w:rPr>
          <w:rFonts w:hint="eastAsia"/>
          <w:b/>
          <w:bCs/>
          <w:color w:val="auto"/>
          <w:highlight w:val="none"/>
        </w:rPr>
      </w:pPr>
      <w:r>
        <w:rPr>
          <w:rFonts w:hint="eastAsia"/>
          <w:b/>
          <w:bCs/>
          <w:color w:val="auto"/>
          <w:highlight w:val="none"/>
        </w:rPr>
        <w:t>投标人承诺为本项目配备项目人员不少于8人,提供承诺函及人员配备名单及相关证明资料，中标后所配备人员未经采购人同意不允许更换。不提供视为不响应。</w:t>
      </w:r>
    </w:p>
    <w:p w14:paraId="451B2CB6">
      <w:pPr>
        <w:spacing w:line="360" w:lineRule="auto"/>
        <w:ind w:firstLine="560" w:firstLineChars="200"/>
        <w:jc w:val="left"/>
        <w:outlineLvl w:val="1"/>
        <w:rPr>
          <w:rFonts w:ascii="宋体" w:hAnsi="宋体"/>
          <w:b/>
          <w:color w:val="auto"/>
          <w:sz w:val="28"/>
          <w:szCs w:val="28"/>
          <w:highlight w:val="none"/>
        </w:rPr>
      </w:pPr>
      <w:r>
        <w:rPr>
          <w:rFonts w:hint="eastAsia" w:ascii="宋体" w:hAnsi="宋体"/>
          <w:b/>
          <w:color w:val="auto"/>
          <w:sz w:val="28"/>
          <w:szCs w:val="28"/>
          <w:highlight w:val="none"/>
        </w:rPr>
        <w:t>第三部分：售后要求</w:t>
      </w:r>
    </w:p>
    <w:p w14:paraId="545E421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一、费用结算办法</w:t>
      </w:r>
    </w:p>
    <w:p w14:paraId="785AD6C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采购方按照每包内具体项目考核验收，成交人按规定时间完成评价工作撰写评价报告，采购方组织绩效评审小组对评价工作开展情况及报告质量进行评审验收，根据验收结果进行付费。 </w:t>
      </w:r>
    </w:p>
    <w:p w14:paraId="185FDE0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二、移交资料</w:t>
      </w:r>
    </w:p>
    <w:p w14:paraId="3FCA76B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供应商应向采购方移交资料包括但不限于财政审核通过的工作方案、绩效评价指标体系、评价报告（简版及完整版报告）、工作底稿、问题清单等（以上均需提供电子版及纸质版）。</w:t>
      </w:r>
    </w:p>
    <w:p w14:paraId="60CE03E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三、人员一致性要求</w:t>
      </w:r>
    </w:p>
    <w:p w14:paraId="47E94E7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每个项目人员均需与投标方案中人员一致，不得随意更换。如因不可抗力确需更换的，应书面上报采购方并取得采购方同意。</w:t>
      </w:r>
    </w:p>
    <w:p w14:paraId="17121DB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四、纪律要求</w:t>
      </w:r>
    </w:p>
    <w:p w14:paraId="4FCB5716">
      <w:pPr>
        <w:spacing w:line="360" w:lineRule="auto"/>
        <w:ind w:firstLine="480" w:firstLineChars="200"/>
        <w:jc w:val="left"/>
        <w:outlineLvl w:val="9"/>
        <w:rPr>
          <w:color w:val="auto"/>
          <w:highlight w:val="none"/>
        </w:rPr>
      </w:pPr>
      <w:r>
        <w:rPr>
          <w:rFonts w:hint="eastAsia" w:ascii="宋体" w:hAnsi="宋体" w:eastAsia="宋体" w:cs="宋体"/>
          <w:color w:val="auto"/>
          <w:sz w:val="24"/>
          <w:szCs w:val="24"/>
          <w:highlight w:val="none"/>
        </w:rPr>
        <w:t>入选机构对项目开展过程中获悉的项目情况、相关数据等信息资料负有保密义务，未经市财政局允许不得将数据、结果、报告对外公布、发表或引用。入选机构与被评价对象存在利益相关的，应主动回避。入选机构应严格遵守工作纪律、职业道德和廉政要求，不得向被评价对象收取任何费用。</w:t>
      </w:r>
    </w:p>
    <w:sectPr>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489E">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FBD">
    <w:pPr>
      <w:pStyle w:val="24"/>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788">
    <w:pPr>
      <w:pStyle w:val="24"/>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14:paraId="4F595B59">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C5B1">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7417">
    <w:pPr>
      <w:pStyle w:val="2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5DFD">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5DD7"/>
    <w:multiLevelType w:val="singleLevel"/>
    <w:tmpl w:val="DFE75DD7"/>
    <w:lvl w:ilvl="0" w:tentative="0">
      <w:start w:val="4"/>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8"/>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abstractNum w:abstractNumId="2">
    <w:nsid w:val="50DA1CA7"/>
    <w:multiLevelType w:val="singleLevel"/>
    <w:tmpl w:val="50DA1CA7"/>
    <w:lvl w:ilvl="0" w:tentative="0">
      <w:start w:val="5"/>
      <w:numFmt w:val="chineseCounting"/>
      <w:suff w:val="nothing"/>
      <w:lvlText w:val="%1、"/>
      <w:lvlJc w:val="left"/>
      <w:rPr>
        <w:rFonts w:hint="eastAsia"/>
      </w:rPr>
    </w:lvl>
  </w:abstractNum>
  <w:abstractNum w:abstractNumId="3">
    <w:nsid w:val="7DFF6A8F"/>
    <w:multiLevelType w:val="singleLevel"/>
    <w:tmpl w:val="7DFF6A8F"/>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19C6"/>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0D6C"/>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37D"/>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22C7"/>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65"/>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FAB"/>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24E"/>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68B0"/>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17F6D"/>
    <w:rsid w:val="026F2B39"/>
    <w:rsid w:val="02F27330"/>
    <w:rsid w:val="02FF2F47"/>
    <w:rsid w:val="03181DC8"/>
    <w:rsid w:val="032923BE"/>
    <w:rsid w:val="032C78EA"/>
    <w:rsid w:val="033D3AE5"/>
    <w:rsid w:val="033F3492"/>
    <w:rsid w:val="034244CE"/>
    <w:rsid w:val="034339FF"/>
    <w:rsid w:val="034C59E8"/>
    <w:rsid w:val="035F463F"/>
    <w:rsid w:val="036A6E5B"/>
    <w:rsid w:val="03993D64"/>
    <w:rsid w:val="03BB0A61"/>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397E17"/>
    <w:rsid w:val="0D460A31"/>
    <w:rsid w:val="0D684C07"/>
    <w:rsid w:val="0D6D76BA"/>
    <w:rsid w:val="0D7E08E5"/>
    <w:rsid w:val="0D90441D"/>
    <w:rsid w:val="0DAE3ED3"/>
    <w:rsid w:val="0DC06963"/>
    <w:rsid w:val="0DD033A0"/>
    <w:rsid w:val="0DDF1887"/>
    <w:rsid w:val="0DF02F53"/>
    <w:rsid w:val="0E171DA6"/>
    <w:rsid w:val="0E2D7A10"/>
    <w:rsid w:val="0E4D3776"/>
    <w:rsid w:val="0E5E6611"/>
    <w:rsid w:val="0E600DB2"/>
    <w:rsid w:val="0E7009ED"/>
    <w:rsid w:val="0E7E3345"/>
    <w:rsid w:val="0E990E5C"/>
    <w:rsid w:val="0EAF7A3A"/>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436FD"/>
    <w:rsid w:val="127C3039"/>
    <w:rsid w:val="127D3FF0"/>
    <w:rsid w:val="128D65DF"/>
    <w:rsid w:val="12AD7F54"/>
    <w:rsid w:val="12B06B98"/>
    <w:rsid w:val="12C31DEF"/>
    <w:rsid w:val="12DC3D9C"/>
    <w:rsid w:val="12EB0DEE"/>
    <w:rsid w:val="13402AFF"/>
    <w:rsid w:val="138234F8"/>
    <w:rsid w:val="138F63A7"/>
    <w:rsid w:val="13AA21BF"/>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74621E"/>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183108"/>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EA0C15"/>
    <w:rsid w:val="1B1810A8"/>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A6328"/>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60171A"/>
    <w:rsid w:val="22837578"/>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62D96"/>
    <w:rsid w:val="251A24B6"/>
    <w:rsid w:val="25252BCB"/>
    <w:rsid w:val="25276E79"/>
    <w:rsid w:val="252C388A"/>
    <w:rsid w:val="254E261E"/>
    <w:rsid w:val="256C6A61"/>
    <w:rsid w:val="25B57707"/>
    <w:rsid w:val="25CB416C"/>
    <w:rsid w:val="25D2224A"/>
    <w:rsid w:val="25F5692B"/>
    <w:rsid w:val="25FC1D2F"/>
    <w:rsid w:val="25FF43F0"/>
    <w:rsid w:val="260A3E8A"/>
    <w:rsid w:val="26263C21"/>
    <w:rsid w:val="26317B09"/>
    <w:rsid w:val="263258EA"/>
    <w:rsid w:val="26866F66"/>
    <w:rsid w:val="268C698E"/>
    <w:rsid w:val="271B3CD3"/>
    <w:rsid w:val="271D1A7A"/>
    <w:rsid w:val="27387781"/>
    <w:rsid w:val="277D45C5"/>
    <w:rsid w:val="2789324F"/>
    <w:rsid w:val="27D17BF8"/>
    <w:rsid w:val="27E44730"/>
    <w:rsid w:val="280B1BAE"/>
    <w:rsid w:val="281D6858"/>
    <w:rsid w:val="281E1692"/>
    <w:rsid w:val="286A75AF"/>
    <w:rsid w:val="287C4E8B"/>
    <w:rsid w:val="28B65CC1"/>
    <w:rsid w:val="29115949"/>
    <w:rsid w:val="29230B92"/>
    <w:rsid w:val="29257AB8"/>
    <w:rsid w:val="293863D7"/>
    <w:rsid w:val="295677A7"/>
    <w:rsid w:val="29963B4D"/>
    <w:rsid w:val="299B01B5"/>
    <w:rsid w:val="29A31032"/>
    <w:rsid w:val="29DD32F8"/>
    <w:rsid w:val="29E619CF"/>
    <w:rsid w:val="29EE6CC4"/>
    <w:rsid w:val="29F6324E"/>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6B113F"/>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37F23"/>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D2E0A"/>
    <w:rsid w:val="3C3E2F5F"/>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04FE5"/>
    <w:rsid w:val="47DD128E"/>
    <w:rsid w:val="48073B6D"/>
    <w:rsid w:val="482379B3"/>
    <w:rsid w:val="48297534"/>
    <w:rsid w:val="482B5865"/>
    <w:rsid w:val="48504062"/>
    <w:rsid w:val="48D507A1"/>
    <w:rsid w:val="491F6676"/>
    <w:rsid w:val="492E42CD"/>
    <w:rsid w:val="4935340F"/>
    <w:rsid w:val="49382A18"/>
    <w:rsid w:val="49766F63"/>
    <w:rsid w:val="497D6BD3"/>
    <w:rsid w:val="49B23171"/>
    <w:rsid w:val="49D72FC8"/>
    <w:rsid w:val="4A0B3CC5"/>
    <w:rsid w:val="4A4D4100"/>
    <w:rsid w:val="4A5773F8"/>
    <w:rsid w:val="4A872973"/>
    <w:rsid w:val="4A8F3AA8"/>
    <w:rsid w:val="4AAC127F"/>
    <w:rsid w:val="4AB2621D"/>
    <w:rsid w:val="4AE97237"/>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683E6B"/>
    <w:rsid w:val="4E7E6A76"/>
    <w:rsid w:val="4E8A0AAE"/>
    <w:rsid w:val="4E9506E0"/>
    <w:rsid w:val="4EE4041A"/>
    <w:rsid w:val="4EF8023D"/>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CF3FE4"/>
    <w:rsid w:val="50DC72EE"/>
    <w:rsid w:val="50E87F77"/>
    <w:rsid w:val="510B1AAF"/>
    <w:rsid w:val="512346EA"/>
    <w:rsid w:val="51426BF5"/>
    <w:rsid w:val="515A7EED"/>
    <w:rsid w:val="51780EAF"/>
    <w:rsid w:val="5178136E"/>
    <w:rsid w:val="51891967"/>
    <w:rsid w:val="51BC3B91"/>
    <w:rsid w:val="51EB22C7"/>
    <w:rsid w:val="51EF55D2"/>
    <w:rsid w:val="51F04288"/>
    <w:rsid w:val="5203723A"/>
    <w:rsid w:val="5214491B"/>
    <w:rsid w:val="52482262"/>
    <w:rsid w:val="52585CAD"/>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6195"/>
    <w:rsid w:val="53FA773C"/>
    <w:rsid w:val="540C4F6A"/>
    <w:rsid w:val="54242078"/>
    <w:rsid w:val="5425726F"/>
    <w:rsid w:val="545E2D62"/>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830BFA"/>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25C9E"/>
    <w:rsid w:val="64146889"/>
    <w:rsid w:val="64681237"/>
    <w:rsid w:val="6477218A"/>
    <w:rsid w:val="648217CF"/>
    <w:rsid w:val="64BC4697"/>
    <w:rsid w:val="65283C08"/>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02E00"/>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C41E8"/>
    <w:rsid w:val="73004362"/>
    <w:rsid w:val="7313580B"/>
    <w:rsid w:val="73203C4E"/>
    <w:rsid w:val="73232E7D"/>
    <w:rsid w:val="73304DCC"/>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30648"/>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2074A5"/>
    <w:rsid w:val="7C4F1333"/>
    <w:rsid w:val="7C551C2B"/>
    <w:rsid w:val="7C551DAD"/>
    <w:rsid w:val="7C8B3163"/>
    <w:rsid w:val="7C8B359F"/>
    <w:rsid w:val="7CB73CEF"/>
    <w:rsid w:val="7CD470CD"/>
    <w:rsid w:val="7D266BD9"/>
    <w:rsid w:val="7D750FF3"/>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qFormat="1" w:unhideWhenUsed="0" w:uiPriority="99" w:name="index 5"/>
    <w:lsdException w:qFormat="1" w:unhideWhenUsed="0" w:uiPriority="0" w:semiHidden="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0"/>
    <w:qFormat/>
    <w:uiPriority w:val="0"/>
    <w:pPr>
      <w:spacing w:line="360" w:lineRule="auto"/>
      <w:jc w:val="center"/>
      <w:outlineLvl w:val="0"/>
    </w:pPr>
    <w:rPr>
      <w:rFonts w:ascii="宋体" w:hAnsi="宋体"/>
      <w:b/>
      <w:bCs/>
      <w:kern w:val="44"/>
      <w:sz w:val="32"/>
      <w:szCs w:val="32"/>
    </w:rPr>
  </w:style>
  <w:style w:type="paragraph" w:styleId="5">
    <w:name w:val="heading 2"/>
    <w:basedOn w:val="1"/>
    <w:next w:val="1"/>
    <w:link w:val="61"/>
    <w:qFormat/>
    <w:uiPriority w:val="0"/>
    <w:pPr>
      <w:keepNext/>
      <w:keepLines/>
      <w:spacing w:before="260" w:after="260" w:line="360" w:lineRule="auto"/>
      <w:jc w:val="center"/>
      <w:outlineLvl w:val="1"/>
    </w:pPr>
    <w:rPr>
      <w:rFonts w:ascii="Arial" w:hAnsi="Arial"/>
      <w:b/>
      <w:bCs/>
      <w:sz w:val="48"/>
      <w:szCs w:val="32"/>
    </w:rPr>
  </w:style>
  <w:style w:type="paragraph" w:styleId="6">
    <w:name w:val="heading 3"/>
    <w:basedOn w:val="1"/>
    <w:next w:val="1"/>
    <w:link w:val="62"/>
    <w:qFormat/>
    <w:uiPriority w:val="0"/>
    <w:pPr>
      <w:spacing w:line="360" w:lineRule="auto"/>
      <w:ind w:firstLine="482" w:firstLineChars="200"/>
      <w:outlineLvl w:val="2"/>
    </w:pPr>
    <w:rPr>
      <w:rFonts w:ascii="宋体" w:hAnsi="宋体"/>
      <w:b/>
      <w:sz w:val="24"/>
      <w:szCs w:val="24"/>
      <w:lang w:val="zh-CN" w:eastAsia="en-US"/>
    </w:rPr>
  </w:style>
  <w:style w:type="paragraph" w:styleId="7">
    <w:name w:val="heading 5"/>
    <w:basedOn w:val="1"/>
    <w:next w:val="1"/>
    <w:qFormat/>
    <w:uiPriority w:val="1"/>
    <w:pPr>
      <w:ind w:left="1432" w:hanging="360"/>
      <w:outlineLvl w:val="4"/>
    </w:pPr>
    <w:rPr>
      <w:rFonts w:ascii="宋体" w:hAnsi="宋体" w:cs="宋体"/>
      <w:b/>
      <w:bCs/>
      <w:sz w:val="24"/>
      <w:szCs w:val="24"/>
      <w:lang w:val="zh-CN" w:bidi="zh-CN"/>
    </w:rPr>
  </w:style>
  <w:style w:type="paragraph" w:styleId="8">
    <w:name w:val="heading 7"/>
    <w:basedOn w:val="1"/>
    <w:next w:val="1"/>
    <w:qFormat/>
    <w:uiPriority w:val="0"/>
    <w:pPr>
      <w:numPr>
        <w:ilvl w:val="6"/>
        <w:numId w:val="1"/>
      </w:numPr>
      <w:outlineLvl w:val="6"/>
    </w:pPr>
  </w:style>
  <w:style w:type="paragraph" w:styleId="9">
    <w:name w:val="heading 9"/>
    <w:basedOn w:val="1"/>
    <w:next w:val="1"/>
    <w:link w:val="63"/>
    <w:qFormat/>
    <w:uiPriority w:val="0"/>
    <w:pPr>
      <w:keepNext/>
      <w:keepLines/>
      <w:spacing w:before="240" w:after="64" w:line="320" w:lineRule="auto"/>
      <w:outlineLvl w:val="8"/>
    </w:pPr>
    <w:rPr>
      <w:rFonts w:ascii="Cambria" w:hAnsi="Cambria"/>
      <w:szCs w:val="21"/>
      <w:lang w:eastAsia="en-U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0"/>
    <w:pPr>
      <w:snapToGrid w:val="0"/>
      <w:spacing w:line="300" w:lineRule="auto"/>
    </w:pPr>
    <w:rPr>
      <w:rFonts w:ascii="宋体" w:hAnsi="宋体"/>
      <w:spacing w:val="4"/>
      <w:sz w:val="24"/>
      <w:lang w:eastAsia="en-US"/>
    </w:rPr>
  </w:style>
  <w:style w:type="paragraph" w:styleId="3">
    <w:name w:val="index 6"/>
    <w:basedOn w:val="1"/>
    <w:next w:val="1"/>
    <w:qFormat/>
    <w:uiPriority w:val="0"/>
    <w:pPr>
      <w:ind w:left="2100"/>
    </w:p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index 5"/>
    <w:basedOn w:val="1"/>
    <w:next w:val="1"/>
    <w:semiHidden/>
    <w:qFormat/>
    <w:uiPriority w:val="99"/>
    <w:pPr>
      <w:ind w:left="800" w:leftChars="800"/>
    </w:pPr>
  </w:style>
  <w:style w:type="paragraph" w:styleId="14">
    <w:name w:val="Document Map"/>
    <w:basedOn w:val="1"/>
    <w:qFormat/>
    <w:uiPriority w:val="0"/>
    <w:pPr>
      <w:shd w:val="clear" w:color="auto" w:fill="000080"/>
    </w:pPr>
  </w:style>
  <w:style w:type="paragraph" w:styleId="15">
    <w:name w:val="toa heading"/>
    <w:basedOn w:val="1"/>
    <w:next w:val="1"/>
    <w:qFormat/>
    <w:uiPriority w:val="0"/>
    <w:rPr>
      <w:rFonts w:ascii="Arial" w:hAnsi="Arial"/>
      <w:sz w:val="24"/>
    </w:rPr>
  </w:style>
  <w:style w:type="paragraph" w:styleId="16">
    <w:name w:val="annotation text"/>
    <w:basedOn w:val="1"/>
    <w:link w:val="166"/>
    <w:semiHidden/>
    <w:unhideWhenUsed/>
    <w:qFormat/>
    <w:uiPriority w:val="0"/>
    <w:pPr>
      <w:jc w:val="left"/>
    </w:p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5"/>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6"/>
    <w:semiHidden/>
    <w:qFormat/>
    <w:uiPriority w:val="0"/>
    <w:rPr>
      <w:rFonts w:ascii="Verdana" w:hAnsi="Verdana"/>
      <w:sz w:val="18"/>
      <w:szCs w:val="18"/>
    </w:rPr>
  </w:style>
  <w:style w:type="paragraph" w:styleId="24">
    <w:name w:val="footer"/>
    <w:basedOn w:val="1"/>
    <w:link w:val="160"/>
    <w:qFormat/>
    <w:uiPriority w:val="99"/>
    <w:pPr>
      <w:tabs>
        <w:tab w:val="center" w:pos="4153"/>
        <w:tab w:val="right" w:pos="8306"/>
      </w:tabs>
      <w:snapToGrid w:val="0"/>
      <w:jc w:val="left"/>
    </w:pPr>
    <w:rPr>
      <w:sz w:val="18"/>
    </w:rPr>
  </w:style>
  <w:style w:type="paragraph" w:styleId="25">
    <w:name w:val="header"/>
    <w:basedOn w:val="1"/>
    <w:link w:val="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8"/>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index 9"/>
    <w:next w:val="1"/>
    <w:qFormat/>
    <w:uiPriority w:val="0"/>
    <w:pPr>
      <w:widowControl w:val="0"/>
      <w:ind w:left="3360"/>
      <w:jc w:val="both"/>
    </w:pPr>
    <w:rPr>
      <w:rFonts w:ascii="Calibri" w:hAnsi="Calibri" w:eastAsia="宋体" w:cs="Times New Roman"/>
      <w:kern w:val="2"/>
      <w:sz w:val="21"/>
      <w:szCs w:val="21"/>
      <w:lang w:val="en-US" w:eastAsia="zh-CN" w:bidi="ar-SA"/>
    </w:rPr>
  </w:style>
  <w:style w:type="paragraph" w:styleId="32">
    <w:name w:val="toc 2"/>
    <w:basedOn w:val="1"/>
    <w:next w:val="1"/>
    <w:qFormat/>
    <w:uiPriority w:val="39"/>
    <w:pPr>
      <w:ind w:left="420" w:leftChars="200"/>
    </w:pPr>
  </w:style>
  <w:style w:type="paragraph" w:styleId="3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69"/>
    <w:qFormat/>
    <w:uiPriority w:val="0"/>
    <w:pPr>
      <w:jc w:val="center"/>
    </w:pPr>
    <w:rPr>
      <w:rFonts w:ascii="Arial" w:hAnsi="Arial"/>
      <w:b/>
      <w:kern w:val="0"/>
      <w:sz w:val="36"/>
      <w:lang w:eastAsia="en-US"/>
    </w:rPr>
  </w:style>
  <w:style w:type="paragraph" w:styleId="38">
    <w:name w:val="annotation subject"/>
    <w:basedOn w:val="16"/>
    <w:next w:val="16"/>
    <w:link w:val="167"/>
    <w:semiHidden/>
    <w:unhideWhenUsed/>
    <w:qFormat/>
    <w:uiPriority w:val="0"/>
    <w:rPr>
      <w:b/>
      <w:bCs/>
    </w:rPr>
  </w:style>
  <w:style w:type="paragraph" w:styleId="39">
    <w:name w:val="Body Text First Indent"/>
    <w:basedOn w:val="2"/>
    <w:qFormat/>
    <w:uiPriority w:val="99"/>
    <w:pPr>
      <w:spacing w:line="360" w:lineRule="auto"/>
      <w:ind w:firstLine="420" w:firstLineChars="100"/>
    </w:pPr>
    <w:rPr>
      <w:rFonts w:ascii="微软雅黑" w:hAnsi="微软雅黑" w:eastAsia="微软雅黑" w:cs="微软雅黑"/>
      <w:szCs w:val="21"/>
    </w:rPr>
  </w:style>
  <w:style w:type="paragraph" w:styleId="40">
    <w:name w:val="Body Text First Indent 2"/>
    <w:basedOn w:val="17"/>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rPr>
      <w:lang w:eastAsia="en-US"/>
    </w:rPr>
  </w:style>
  <w:style w:type="character" w:styleId="46">
    <w:name w:val="FollowedHyperlink"/>
    <w:qFormat/>
    <w:uiPriority w:val="0"/>
    <w:rPr>
      <w:rFonts w:ascii="Verdana" w:hAnsi="Verdana"/>
      <w:color w:val="136EC2"/>
      <w:kern w:val="0"/>
      <w:sz w:val="20"/>
      <w:szCs w:val="20"/>
      <w:u w:val="single"/>
      <w:lang w:eastAsia="en-US"/>
    </w:rPr>
  </w:style>
  <w:style w:type="character" w:styleId="47">
    <w:name w:val="Emphasis"/>
    <w:qFormat/>
    <w:uiPriority w:val="0"/>
    <w:rPr>
      <w:rFonts w:ascii="Verdana" w:hAnsi="Verdana"/>
      <w:kern w:val="0"/>
      <w:sz w:val="20"/>
      <w:szCs w:val="20"/>
      <w:lang w:eastAsia="en-US"/>
    </w:rPr>
  </w:style>
  <w:style w:type="character" w:styleId="48">
    <w:name w:val="HTML Definition"/>
    <w:qFormat/>
    <w:uiPriority w:val="0"/>
    <w:rPr>
      <w:rFonts w:ascii="Verdana" w:hAnsi="Verdana"/>
      <w:kern w:val="0"/>
      <w:sz w:val="20"/>
      <w:szCs w:val="20"/>
      <w:lang w:eastAsia="en-US"/>
    </w:rPr>
  </w:style>
  <w:style w:type="character" w:styleId="49">
    <w:name w:val="HTML Typewriter"/>
    <w:qFormat/>
    <w:uiPriority w:val="0"/>
    <w:rPr>
      <w:rFonts w:ascii="monospace" w:hAnsi="monospace" w:eastAsia="monospace" w:cs="monospace"/>
      <w:kern w:val="0"/>
      <w:sz w:val="20"/>
      <w:szCs w:val="20"/>
      <w:lang w:eastAsia="en-US"/>
    </w:rPr>
  </w:style>
  <w:style w:type="character" w:styleId="50">
    <w:name w:val="HTML Acronym"/>
    <w:qFormat/>
    <w:uiPriority w:val="0"/>
    <w:rPr>
      <w:lang w:eastAsia="en-US"/>
    </w:rPr>
  </w:style>
  <w:style w:type="character" w:styleId="51">
    <w:name w:val="HTML Variable"/>
    <w:qFormat/>
    <w:uiPriority w:val="0"/>
    <w:rPr>
      <w:rFonts w:ascii="Verdana" w:hAnsi="Verdana"/>
      <w:kern w:val="0"/>
      <w:sz w:val="20"/>
      <w:szCs w:val="20"/>
      <w:lang w:eastAsia="en-US"/>
    </w:rPr>
  </w:style>
  <w:style w:type="character" w:styleId="52">
    <w:name w:val="Hyperlink"/>
    <w:qFormat/>
    <w:uiPriority w:val="99"/>
    <w:rPr>
      <w:rFonts w:ascii="Verdana" w:hAnsi="Verdana"/>
      <w:color w:val="0000FF"/>
      <w:kern w:val="0"/>
      <w:sz w:val="20"/>
      <w:szCs w:val="20"/>
      <w:u w:val="single"/>
      <w:lang w:eastAsia="en-US"/>
    </w:rPr>
  </w:style>
  <w:style w:type="character" w:styleId="53">
    <w:name w:val="HTML Code"/>
    <w:qFormat/>
    <w:uiPriority w:val="0"/>
    <w:rPr>
      <w:rFonts w:ascii="Courier New" w:hAnsi="Courier New" w:eastAsia="Courier New" w:cs="Courier New"/>
      <w:kern w:val="0"/>
      <w:sz w:val="20"/>
      <w:szCs w:val="20"/>
      <w:lang w:eastAsia="en-US"/>
    </w:rPr>
  </w:style>
  <w:style w:type="character" w:styleId="54">
    <w:name w:val="annotation reference"/>
    <w:basedOn w:val="43"/>
    <w:semiHidden/>
    <w:unhideWhenUsed/>
    <w:qFormat/>
    <w:uiPriority w:val="0"/>
    <w:rPr>
      <w:sz w:val="21"/>
      <w:szCs w:val="21"/>
    </w:rPr>
  </w:style>
  <w:style w:type="character" w:styleId="55">
    <w:name w:val="HTML Cite"/>
    <w:qFormat/>
    <w:uiPriority w:val="0"/>
    <w:rPr>
      <w:rFonts w:ascii="Verdana" w:hAnsi="Verdana"/>
      <w:kern w:val="0"/>
      <w:sz w:val="20"/>
      <w:szCs w:val="20"/>
      <w:lang w:eastAsia="en-US"/>
    </w:rPr>
  </w:style>
  <w:style w:type="character" w:styleId="56">
    <w:name w:val="HTML Keyboard"/>
    <w:qFormat/>
    <w:uiPriority w:val="0"/>
    <w:rPr>
      <w:rFonts w:ascii="Courier New" w:hAnsi="Courier New" w:eastAsia="Courier New" w:cs="Courier New"/>
      <w:kern w:val="0"/>
      <w:sz w:val="20"/>
      <w:szCs w:val="20"/>
      <w:lang w:eastAsia="en-US"/>
    </w:rPr>
  </w:style>
  <w:style w:type="character" w:styleId="57">
    <w:name w:val="HTML Sample"/>
    <w:qFormat/>
    <w:uiPriority w:val="0"/>
    <w:rPr>
      <w:rFonts w:ascii="Courier New" w:hAnsi="Courier New" w:eastAsia="Courier New" w:cs="Courier New"/>
      <w:kern w:val="0"/>
      <w:sz w:val="20"/>
      <w:szCs w:val="20"/>
      <w:lang w:eastAsia="en-US"/>
    </w:rPr>
  </w:style>
  <w:style w:type="paragraph" w:customStyle="1" w:styleId="58">
    <w:name w:val="style4"/>
    <w:basedOn w:val="1"/>
    <w:next w:val="59"/>
    <w:qFormat/>
    <w:uiPriority w:val="99"/>
    <w:pPr>
      <w:widowControl/>
      <w:spacing w:before="280" w:after="280"/>
    </w:pPr>
    <w:rPr>
      <w:rFonts w:hAnsi="仿宋_GB2312" w:cs="仿宋_GB2312"/>
      <w:sz w:val="18"/>
    </w:rPr>
  </w:style>
  <w:style w:type="paragraph" w:customStyle="1" w:styleId="59">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60">
    <w:name w:val="标题 1 字符"/>
    <w:link w:val="4"/>
    <w:qFormat/>
    <w:uiPriority w:val="0"/>
    <w:rPr>
      <w:rFonts w:ascii="宋体" w:hAnsi="宋体" w:eastAsia="宋体"/>
      <w:b/>
      <w:bCs/>
      <w:kern w:val="44"/>
      <w:sz w:val="32"/>
      <w:szCs w:val="32"/>
      <w:lang w:val="en-US" w:eastAsia="zh-CN" w:bidi="ar-SA"/>
    </w:rPr>
  </w:style>
  <w:style w:type="character" w:customStyle="1" w:styleId="61">
    <w:name w:val="标题 2 字符"/>
    <w:link w:val="5"/>
    <w:qFormat/>
    <w:locked/>
    <w:uiPriority w:val="0"/>
    <w:rPr>
      <w:rFonts w:ascii="Arial" w:hAnsi="Arial" w:eastAsia="宋体"/>
      <w:b/>
      <w:bCs/>
      <w:kern w:val="2"/>
      <w:sz w:val="48"/>
      <w:szCs w:val="32"/>
      <w:lang w:val="en-US" w:eastAsia="zh-CN" w:bidi="ar-SA"/>
    </w:rPr>
  </w:style>
  <w:style w:type="character" w:customStyle="1" w:styleId="62">
    <w:name w:val="标题 3 字符"/>
    <w:link w:val="6"/>
    <w:qFormat/>
    <w:uiPriority w:val="0"/>
    <w:rPr>
      <w:rFonts w:ascii="宋体" w:hAnsi="宋体" w:cs="宋体"/>
      <w:b/>
      <w:kern w:val="2"/>
      <w:sz w:val="24"/>
      <w:szCs w:val="24"/>
      <w:lang w:val="zh-CN" w:eastAsia="en-US"/>
    </w:rPr>
  </w:style>
  <w:style w:type="character" w:customStyle="1" w:styleId="63">
    <w:name w:val="标题 9 字符"/>
    <w:link w:val="9"/>
    <w:qFormat/>
    <w:uiPriority w:val="0"/>
    <w:rPr>
      <w:rFonts w:ascii="Cambria" w:hAnsi="Cambria" w:eastAsia="宋体" w:cs="Times New Roman"/>
      <w:kern w:val="2"/>
      <w:sz w:val="21"/>
      <w:szCs w:val="21"/>
      <w:lang w:eastAsia="en-US"/>
    </w:rPr>
  </w:style>
  <w:style w:type="character" w:customStyle="1" w:styleId="64">
    <w:name w:val="正文文本 字符"/>
    <w:link w:val="2"/>
    <w:qFormat/>
    <w:uiPriority w:val="0"/>
    <w:rPr>
      <w:rFonts w:ascii="宋体" w:hAnsi="宋体"/>
      <w:spacing w:val="4"/>
      <w:kern w:val="2"/>
      <w:sz w:val="24"/>
      <w:szCs w:val="20"/>
      <w:lang w:eastAsia="en-US"/>
    </w:rPr>
  </w:style>
  <w:style w:type="character" w:customStyle="1" w:styleId="65">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6">
    <w:name w:val="批注框文本 字符"/>
    <w:link w:val="23"/>
    <w:qFormat/>
    <w:locked/>
    <w:uiPriority w:val="0"/>
    <w:rPr>
      <w:rFonts w:ascii="Verdana" w:hAnsi="Verdana" w:eastAsia="宋体"/>
      <w:kern w:val="2"/>
      <w:sz w:val="18"/>
      <w:szCs w:val="18"/>
      <w:lang w:val="en-US" w:eastAsia="zh-CN" w:bidi="ar-SA"/>
    </w:rPr>
  </w:style>
  <w:style w:type="character" w:customStyle="1" w:styleId="67">
    <w:name w:val="页眉 字符"/>
    <w:link w:val="25"/>
    <w:qFormat/>
    <w:locked/>
    <w:uiPriority w:val="0"/>
    <w:rPr>
      <w:rFonts w:ascii="Verdana" w:hAnsi="Verdana" w:eastAsia="宋体"/>
      <w:kern w:val="2"/>
      <w:sz w:val="18"/>
      <w:szCs w:val="20"/>
      <w:lang w:val="en-US" w:eastAsia="zh-CN" w:bidi="ar-SA"/>
    </w:rPr>
  </w:style>
  <w:style w:type="character" w:customStyle="1" w:styleId="68">
    <w:name w:val="副标题 字符"/>
    <w:link w:val="28"/>
    <w:qFormat/>
    <w:uiPriority w:val="0"/>
    <w:rPr>
      <w:rFonts w:ascii="Cambria" w:hAnsi="Cambria" w:eastAsia="黑体"/>
      <w:b/>
      <w:bCs/>
      <w:kern w:val="28"/>
      <w:sz w:val="30"/>
      <w:szCs w:val="32"/>
      <w:lang w:eastAsia="en-US"/>
    </w:rPr>
  </w:style>
  <w:style w:type="character" w:customStyle="1" w:styleId="69">
    <w:name w:val="标题 字符"/>
    <w:link w:val="37"/>
    <w:qFormat/>
    <w:uiPriority w:val="0"/>
    <w:rPr>
      <w:rFonts w:ascii="Arial" w:hAnsi="Arial"/>
      <w:b/>
      <w:kern w:val="0"/>
      <w:sz w:val="36"/>
      <w:szCs w:val="20"/>
      <w:lang w:eastAsia="en-US"/>
    </w:rPr>
  </w:style>
  <w:style w:type="character" w:customStyle="1" w:styleId="70">
    <w:name w:val="dota"/>
    <w:qFormat/>
    <w:uiPriority w:val="0"/>
    <w:rPr>
      <w:rFonts w:ascii="Verdana" w:hAnsi="Verdana" w:cs="Times New Roman"/>
      <w:kern w:val="0"/>
      <w:sz w:val="20"/>
      <w:szCs w:val="20"/>
      <w:lang w:eastAsia="en-US"/>
    </w:rPr>
  </w:style>
  <w:style w:type="character" w:customStyle="1" w:styleId="71">
    <w:name w:val="sidecatalog-dot"/>
    <w:qFormat/>
    <w:uiPriority w:val="0"/>
    <w:rPr>
      <w:lang w:eastAsia="en-US"/>
    </w:rPr>
  </w:style>
  <w:style w:type="character" w:customStyle="1" w:styleId="72">
    <w:name w:val="Plain Text Char"/>
    <w:qFormat/>
    <w:locked/>
    <w:uiPriority w:val="0"/>
    <w:rPr>
      <w:rFonts w:ascii="宋体" w:hAnsi="Courier New" w:eastAsia="宋体" w:cs="Times New Roman"/>
      <w:kern w:val="2"/>
      <w:sz w:val="20"/>
      <w:szCs w:val="20"/>
      <w:lang w:eastAsia="en-US"/>
    </w:rPr>
  </w:style>
  <w:style w:type="character" w:customStyle="1" w:styleId="73">
    <w:name w:val="sidecatalog-index1"/>
    <w:qFormat/>
    <w:uiPriority w:val="0"/>
    <w:rPr>
      <w:rFonts w:ascii="Arial" w:hAnsi="Arial" w:cs="Arial"/>
      <w:b/>
      <w:color w:val="999999"/>
      <w:kern w:val="0"/>
      <w:sz w:val="21"/>
      <w:szCs w:val="21"/>
      <w:lang w:eastAsia="en-US"/>
    </w:rPr>
  </w:style>
  <w:style w:type="character" w:customStyle="1" w:styleId="74">
    <w:name w:val="font31"/>
    <w:qFormat/>
    <w:uiPriority w:val="0"/>
    <w:rPr>
      <w:rFonts w:hint="eastAsia" w:ascii="宋体" w:hAnsi="宋体" w:eastAsia="宋体" w:cs="宋体"/>
      <w:color w:val="000000"/>
      <w:kern w:val="0"/>
      <w:sz w:val="22"/>
      <w:szCs w:val="22"/>
      <w:u w:val="none"/>
      <w:lang w:eastAsia="en-US"/>
    </w:rPr>
  </w:style>
  <w:style w:type="character" w:customStyle="1" w:styleId="75">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6">
    <w:name w:val="polysemyexp"/>
    <w:qFormat/>
    <w:uiPriority w:val="0"/>
    <w:rPr>
      <w:rFonts w:ascii="Verdana" w:hAnsi="Verdana"/>
      <w:color w:val="AAAAAA"/>
      <w:kern w:val="0"/>
      <w:sz w:val="18"/>
      <w:szCs w:val="18"/>
      <w:lang w:eastAsia="en-US"/>
    </w:rPr>
  </w:style>
  <w:style w:type="character" w:customStyle="1" w:styleId="77">
    <w:name w:val="font61"/>
    <w:qFormat/>
    <w:uiPriority w:val="0"/>
    <w:rPr>
      <w:rFonts w:hint="eastAsia" w:ascii="宋体" w:hAnsi="宋体" w:eastAsia="宋体" w:cs="宋体"/>
      <w:color w:val="FF0000"/>
      <w:kern w:val="0"/>
      <w:sz w:val="20"/>
      <w:szCs w:val="20"/>
      <w:u w:val="none"/>
      <w:lang w:eastAsia="en-US"/>
    </w:rPr>
  </w:style>
  <w:style w:type="character" w:customStyle="1" w:styleId="78">
    <w:name w:val="font11"/>
    <w:qFormat/>
    <w:uiPriority w:val="0"/>
    <w:rPr>
      <w:rFonts w:hint="eastAsia" w:ascii="宋体" w:hAnsi="宋体" w:eastAsia="宋体" w:cs="宋体"/>
      <w:color w:val="000000"/>
      <w:kern w:val="0"/>
      <w:sz w:val="20"/>
      <w:szCs w:val="20"/>
      <w:u w:val="none"/>
      <w:lang w:eastAsia="en-US"/>
    </w:rPr>
  </w:style>
  <w:style w:type="character" w:customStyle="1" w:styleId="79">
    <w:name w:val="desc2"/>
    <w:qFormat/>
    <w:uiPriority w:val="0"/>
    <w:rPr>
      <w:rFonts w:ascii="Verdana" w:hAnsi="Verdana"/>
      <w:color w:val="000000"/>
      <w:kern w:val="0"/>
      <w:sz w:val="18"/>
      <w:szCs w:val="18"/>
      <w:lang w:eastAsia="en-US"/>
    </w:rPr>
  </w:style>
  <w:style w:type="character" w:customStyle="1" w:styleId="80">
    <w:name w:val="sidecatalog-dot1"/>
    <w:qFormat/>
    <w:uiPriority w:val="0"/>
    <w:rPr>
      <w:lang w:eastAsia="en-US"/>
    </w:rPr>
  </w:style>
  <w:style w:type="character" w:customStyle="1" w:styleId="81">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82">
    <w:name w:val="font71"/>
    <w:qFormat/>
    <w:uiPriority w:val="0"/>
    <w:rPr>
      <w:rFonts w:hint="eastAsia" w:ascii="宋体" w:hAnsi="宋体" w:eastAsia="宋体" w:cs="宋体"/>
      <w:color w:val="000000"/>
      <w:kern w:val="0"/>
      <w:sz w:val="20"/>
      <w:szCs w:val="20"/>
      <w:u w:val="none"/>
      <w:lang w:eastAsia="en-US"/>
    </w:rPr>
  </w:style>
  <w:style w:type="character" w:customStyle="1" w:styleId="83">
    <w:name w:val="morelink-item"/>
    <w:qFormat/>
    <w:uiPriority w:val="0"/>
    <w:rPr>
      <w:rFonts w:ascii="Verdana" w:hAnsi="Verdana"/>
      <w:kern w:val="0"/>
      <w:sz w:val="20"/>
      <w:szCs w:val="20"/>
      <w:lang w:eastAsia="en-US"/>
    </w:rPr>
  </w:style>
  <w:style w:type="character" w:customStyle="1" w:styleId="84">
    <w:name w:val="标题 9 Char1"/>
    <w:qFormat/>
    <w:locked/>
    <w:uiPriority w:val="0"/>
    <w:rPr>
      <w:rFonts w:ascii="Arial" w:hAnsi="Arial" w:eastAsia="黑体"/>
      <w:kern w:val="2"/>
      <w:sz w:val="21"/>
      <w:szCs w:val="24"/>
    </w:rPr>
  </w:style>
  <w:style w:type="character" w:customStyle="1" w:styleId="85">
    <w:name w:val="bds_nopic2"/>
    <w:qFormat/>
    <w:uiPriority w:val="0"/>
    <w:rPr>
      <w:lang w:eastAsia="en-US"/>
    </w:rPr>
  </w:style>
  <w:style w:type="character" w:customStyle="1" w:styleId="86">
    <w:name w:val="内容1 Char"/>
    <w:link w:val="87"/>
    <w:qFormat/>
    <w:locked/>
    <w:uiPriority w:val="0"/>
    <w:rPr>
      <w:rFonts w:ascii="Calibri" w:hAnsi="Calibri"/>
      <w:kern w:val="2"/>
      <w:sz w:val="24"/>
      <w:szCs w:val="24"/>
    </w:rPr>
  </w:style>
  <w:style w:type="paragraph" w:customStyle="1" w:styleId="87">
    <w:name w:val="内容1"/>
    <w:basedOn w:val="1"/>
    <w:link w:val="86"/>
    <w:qFormat/>
    <w:uiPriority w:val="0"/>
    <w:pPr>
      <w:spacing w:line="360" w:lineRule="auto"/>
      <w:ind w:firstLine="480" w:firstLineChars="200"/>
    </w:pPr>
    <w:rPr>
      <w:rFonts w:ascii="Calibri" w:hAnsi="Calibri"/>
      <w:sz w:val="24"/>
      <w:szCs w:val="24"/>
    </w:rPr>
  </w:style>
  <w:style w:type="character" w:customStyle="1" w:styleId="88">
    <w:name w:val="plus"/>
    <w:qFormat/>
    <w:uiPriority w:val="0"/>
    <w:rPr>
      <w:rFonts w:ascii="Verdana" w:hAnsi="Verdana"/>
      <w:b/>
      <w:vanish/>
      <w:color w:val="1F8DEF"/>
      <w:kern w:val="0"/>
      <w:sz w:val="24"/>
      <w:szCs w:val="24"/>
      <w:lang w:eastAsia="en-US"/>
    </w:rPr>
  </w:style>
  <w:style w:type="character" w:customStyle="1" w:styleId="89">
    <w:name w:val="marrget"/>
    <w:qFormat/>
    <w:uiPriority w:val="0"/>
    <w:rPr>
      <w:rFonts w:ascii="Verdana" w:hAnsi="Verdana" w:cs="Times New Roman"/>
      <w:kern w:val="0"/>
      <w:sz w:val="20"/>
      <w:szCs w:val="20"/>
      <w:lang w:eastAsia="en-US"/>
    </w:rPr>
  </w:style>
  <w:style w:type="character" w:customStyle="1" w:styleId="90">
    <w:name w:val="color_1"/>
    <w:qFormat/>
    <w:uiPriority w:val="0"/>
    <w:rPr>
      <w:rFonts w:ascii="Verdana" w:hAnsi="Verdana"/>
      <w:color w:val="FF0000"/>
      <w:kern w:val="0"/>
      <w:sz w:val="20"/>
      <w:szCs w:val="20"/>
      <w:lang w:eastAsia="en-US"/>
    </w:rPr>
  </w:style>
  <w:style w:type="character" w:customStyle="1" w:styleId="91">
    <w:name w:val="apple-converted-space"/>
    <w:qFormat/>
    <w:uiPriority w:val="0"/>
    <w:rPr>
      <w:lang w:eastAsia="en-US"/>
    </w:rPr>
  </w:style>
  <w:style w:type="character" w:customStyle="1" w:styleId="92">
    <w:name w:val="polysemyred"/>
    <w:qFormat/>
    <w:uiPriority w:val="0"/>
    <w:rPr>
      <w:rFonts w:ascii="Verdana" w:hAnsi="Verdana"/>
      <w:color w:val="FF6666"/>
      <w:kern w:val="0"/>
      <w:sz w:val="18"/>
      <w:szCs w:val="18"/>
      <w:lang w:eastAsia="en-US"/>
    </w:rPr>
  </w:style>
  <w:style w:type="character" w:customStyle="1" w:styleId="93">
    <w:name w:val="color_11"/>
    <w:qFormat/>
    <w:uiPriority w:val="0"/>
    <w:rPr>
      <w:rFonts w:ascii="Verdana" w:hAnsi="Verdana"/>
      <w:b/>
      <w:color w:val="444444"/>
      <w:kern w:val="0"/>
      <w:sz w:val="20"/>
      <w:szCs w:val="20"/>
      <w:lang w:eastAsia="en-US"/>
    </w:rPr>
  </w:style>
  <w:style w:type="character" w:customStyle="1" w:styleId="94">
    <w:name w:val="bds_more2"/>
    <w:qFormat/>
    <w:uiPriority w:val="0"/>
    <w:rPr>
      <w:rFonts w:ascii="Verdana" w:hAnsi="Verdana"/>
      <w:kern w:val="0"/>
      <w:sz w:val="20"/>
      <w:szCs w:val="20"/>
      <w:lang w:eastAsia="en-US"/>
    </w:rPr>
  </w:style>
  <w:style w:type="character" w:customStyle="1" w:styleId="95">
    <w:name w:val="Char Char7"/>
    <w:qFormat/>
    <w:uiPriority w:val="0"/>
    <w:rPr>
      <w:rFonts w:ascii="Arial" w:hAnsi="Arial" w:eastAsia="宋体"/>
      <w:b/>
      <w:bCs/>
      <w:kern w:val="2"/>
      <w:sz w:val="48"/>
      <w:szCs w:val="32"/>
      <w:lang w:val="en-US" w:eastAsia="zh-CN" w:bidi="ar-SA"/>
    </w:rPr>
  </w:style>
  <w:style w:type="character" w:customStyle="1" w:styleId="96">
    <w:name w:val="sidecatalog-index2"/>
    <w:qFormat/>
    <w:uiPriority w:val="0"/>
    <w:rPr>
      <w:rFonts w:ascii="Arail" w:hAnsi="Arail" w:eastAsia="Arail" w:cs="Arail"/>
      <w:color w:val="999999"/>
      <w:kern w:val="0"/>
      <w:sz w:val="21"/>
      <w:szCs w:val="21"/>
      <w:lang w:eastAsia="en-US"/>
    </w:rPr>
  </w:style>
  <w:style w:type="character" w:customStyle="1" w:styleId="97">
    <w:name w:val="desc"/>
    <w:qFormat/>
    <w:uiPriority w:val="0"/>
    <w:rPr>
      <w:rFonts w:ascii="Verdana" w:hAnsi="Verdana"/>
      <w:color w:val="000000"/>
      <w:kern w:val="0"/>
      <w:sz w:val="18"/>
      <w:szCs w:val="18"/>
      <w:lang w:eastAsia="en-US"/>
    </w:rPr>
  </w:style>
  <w:style w:type="character" w:customStyle="1" w:styleId="98">
    <w:name w:val="login"/>
    <w:qFormat/>
    <w:uiPriority w:val="0"/>
    <w:rPr>
      <w:rFonts w:ascii="Verdana" w:hAnsi="Verdana"/>
      <w:color w:val="000000"/>
      <w:kern w:val="0"/>
      <w:sz w:val="21"/>
      <w:szCs w:val="21"/>
      <w:lang w:eastAsia="en-US"/>
    </w:rPr>
  </w:style>
  <w:style w:type="character" w:customStyle="1" w:styleId="99">
    <w:name w:val="font21"/>
    <w:qFormat/>
    <w:uiPriority w:val="0"/>
    <w:rPr>
      <w:rFonts w:hint="eastAsia" w:ascii="宋体" w:hAnsi="宋体" w:eastAsia="宋体" w:cs="宋体"/>
      <w:color w:val="000000"/>
      <w:kern w:val="0"/>
      <w:sz w:val="24"/>
      <w:szCs w:val="24"/>
      <w:u w:val="none"/>
      <w:lang w:eastAsia="en-US"/>
    </w:rPr>
  </w:style>
  <w:style w:type="character" w:customStyle="1" w:styleId="100">
    <w:name w:val="A题注[表格图片] Char"/>
    <w:link w:val="101"/>
    <w:qFormat/>
    <w:locked/>
    <w:uiPriority w:val="0"/>
    <w:rPr>
      <w:rFonts w:ascii="宋体" w:eastAsia="宋体"/>
      <w:lang w:bidi="ar-SA"/>
    </w:rPr>
  </w:style>
  <w:style w:type="paragraph" w:customStyle="1" w:styleId="101">
    <w:name w:val="A题注[表格图片]"/>
    <w:basedOn w:val="12"/>
    <w:link w:val="100"/>
    <w:qFormat/>
    <w:uiPriority w:val="0"/>
    <w:pPr>
      <w:spacing w:before="152" w:after="160"/>
      <w:jc w:val="center"/>
    </w:pPr>
    <w:rPr>
      <w:rFonts w:ascii="宋体" w:hAnsi="Times New Roman" w:eastAsia="宋体" w:cs="Times New Roman"/>
      <w:kern w:val="0"/>
    </w:rPr>
  </w:style>
  <w:style w:type="character" w:customStyle="1" w:styleId="102">
    <w:name w:val="Char Char1"/>
    <w:qFormat/>
    <w:uiPriority w:val="0"/>
    <w:rPr>
      <w:rFonts w:ascii="宋体" w:hAnsi="Courier New" w:eastAsia="宋体"/>
      <w:kern w:val="2"/>
      <w:sz w:val="21"/>
      <w:lang w:val="en-US" w:eastAsia="zh-CN" w:bidi="ar-SA"/>
    </w:rPr>
  </w:style>
  <w:style w:type="character" w:customStyle="1" w:styleId="103">
    <w:name w:val="texttitle"/>
    <w:qFormat/>
    <w:uiPriority w:val="0"/>
    <w:rPr>
      <w:lang w:eastAsia="en-US"/>
    </w:rPr>
  </w:style>
  <w:style w:type="character" w:customStyle="1" w:styleId="104">
    <w:name w:val="font81"/>
    <w:qFormat/>
    <w:uiPriority w:val="0"/>
    <w:rPr>
      <w:rFonts w:hint="eastAsia" w:ascii="宋体" w:hAnsi="宋体" w:eastAsia="宋体" w:cs="宋体"/>
      <w:b/>
      <w:color w:val="000000"/>
      <w:kern w:val="0"/>
      <w:sz w:val="20"/>
      <w:szCs w:val="20"/>
      <w:u w:val="none"/>
      <w:lang w:eastAsia="en-US"/>
    </w:rPr>
  </w:style>
  <w:style w:type="character" w:customStyle="1" w:styleId="105">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6">
    <w:name w:val="textcontents"/>
    <w:qFormat/>
    <w:uiPriority w:val="0"/>
    <w:rPr>
      <w:rFonts w:ascii="Verdana" w:hAnsi="Verdana" w:cs="Times New Roman"/>
      <w:kern w:val="0"/>
      <w:sz w:val="20"/>
      <w:szCs w:val="20"/>
      <w:lang w:eastAsia="en-US"/>
    </w:rPr>
  </w:style>
  <w:style w:type="character" w:customStyle="1" w:styleId="107">
    <w:name w:val="bds_nopic"/>
    <w:qFormat/>
    <w:uiPriority w:val="0"/>
    <w:rPr>
      <w:lang w:eastAsia="en-US"/>
    </w:rPr>
  </w:style>
  <w:style w:type="character" w:customStyle="1" w:styleId="108">
    <w:name w:val="fontstyle01"/>
    <w:qFormat/>
    <w:uiPriority w:val="0"/>
    <w:rPr>
      <w:rFonts w:hint="eastAsia" w:ascii="宋体" w:hAnsi="宋体" w:eastAsia="宋体"/>
      <w:color w:val="000000"/>
      <w:sz w:val="24"/>
      <w:szCs w:val="24"/>
    </w:rPr>
  </w:style>
  <w:style w:type="character" w:customStyle="1" w:styleId="109">
    <w:name w:val="numtype"/>
    <w:qFormat/>
    <w:uiPriority w:val="0"/>
    <w:rPr>
      <w:lang w:eastAsia="en-US"/>
    </w:rPr>
  </w:style>
  <w:style w:type="character" w:customStyle="1" w:styleId="110">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11">
    <w:name w:val="sort"/>
    <w:qFormat/>
    <w:uiPriority w:val="0"/>
    <w:rPr>
      <w:rFonts w:ascii="Verdana" w:hAnsi="Verdana"/>
      <w:color w:val="FFFFFF"/>
      <w:kern w:val="0"/>
      <w:sz w:val="20"/>
      <w:szCs w:val="20"/>
      <w:bdr w:val="single" w:color="auto" w:sz="24" w:space="0"/>
      <w:lang w:eastAsia="en-US"/>
    </w:rPr>
  </w:style>
  <w:style w:type="character" w:customStyle="1" w:styleId="112">
    <w:name w:val="color_2"/>
    <w:qFormat/>
    <w:uiPriority w:val="0"/>
    <w:rPr>
      <w:rFonts w:ascii="Verdana" w:hAnsi="Verdana"/>
      <w:b/>
      <w:color w:val="666666"/>
      <w:kern w:val="0"/>
      <w:sz w:val="20"/>
      <w:szCs w:val="20"/>
      <w:lang w:eastAsia="en-US"/>
    </w:rPr>
  </w:style>
  <w:style w:type="character" w:customStyle="1" w:styleId="113">
    <w:name w:val="bds_more"/>
    <w:qFormat/>
    <w:uiPriority w:val="0"/>
    <w:rPr>
      <w:rFonts w:hint="eastAsia" w:ascii="宋体" w:hAnsi="宋体" w:eastAsia="宋体" w:cs="宋体"/>
      <w:kern w:val="0"/>
      <w:sz w:val="20"/>
      <w:szCs w:val="20"/>
      <w:lang w:eastAsia="en-US"/>
    </w:rPr>
  </w:style>
  <w:style w:type="character" w:customStyle="1" w:styleId="114">
    <w:name w:val="sort1"/>
    <w:qFormat/>
    <w:uiPriority w:val="0"/>
    <w:rPr>
      <w:rFonts w:ascii="Verdana" w:hAnsi="Verdana"/>
      <w:kern w:val="0"/>
      <w:sz w:val="20"/>
      <w:szCs w:val="20"/>
      <w:lang w:eastAsia="en-US"/>
    </w:rPr>
  </w:style>
  <w:style w:type="character" w:customStyle="1" w:styleId="115">
    <w:name w:val="bds_more7"/>
    <w:qFormat/>
    <w:uiPriority w:val="0"/>
    <w:rPr>
      <w:lang w:eastAsia="en-US"/>
    </w:rPr>
  </w:style>
  <w:style w:type="character" w:customStyle="1" w:styleId="116">
    <w:name w:val="A题注[表格图片] Char Char"/>
    <w:qFormat/>
    <w:locked/>
    <w:uiPriority w:val="0"/>
    <w:rPr>
      <w:rFonts w:ascii="宋体" w:eastAsia="宋体"/>
      <w:lang w:bidi="ar-SA"/>
    </w:rPr>
  </w:style>
  <w:style w:type="character" w:customStyle="1" w:styleId="117">
    <w:name w:val="bds_more5"/>
    <w:qFormat/>
    <w:uiPriority w:val="0"/>
    <w:rPr>
      <w:rFonts w:ascii="Verdana" w:hAnsi="Verdana"/>
      <w:kern w:val="0"/>
      <w:sz w:val="20"/>
      <w:szCs w:val="20"/>
      <w:lang w:eastAsia="en-US"/>
    </w:rPr>
  </w:style>
  <w:style w:type="character" w:customStyle="1" w:styleId="118">
    <w:name w:val="wagalt"/>
    <w:qFormat/>
    <w:uiPriority w:val="0"/>
    <w:rPr>
      <w:rFonts w:ascii="Verdana" w:hAnsi="Verdana" w:cs="Times New Roman"/>
      <w:kern w:val="0"/>
      <w:sz w:val="20"/>
      <w:szCs w:val="20"/>
      <w:lang w:eastAsia="en-US"/>
    </w:rPr>
  </w:style>
  <w:style w:type="character" w:customStyle="1" w:styleId="119">
    <w:name w:val="bds_more6"/>
    <w:qFormat/>
    <w:uiPriority w:val="0"/>
    <w:rPr>
      <w:rFonts w:ascii="Verdana" w:hAnsi="Verdana"/>
      <w:kern w:val="0"/>
      <w:sz w:val="20"/>
      <w:szCs w:val="20"/>
      <w:lang w:eastAsia="en-US"/>
    </w:rPr>
  </w:style>
  <w:style w:type="character" w:customStyle="1" w:styleId="120">
    <w:name w:val="font51"/>
    <w:qFormat/>
    <w:uiPriority w:val="0"/>
    <w:rPr>
      <w:rFonts w:hint="eastAsia" w:ascii="宋体" w:hAnsi="宋体" w:eastAsia="宋体" w:cs="宋体"/>
      <w:color w:val="000000"/>
      <w:kern w:val="0"/>
      <w:sz w:val="20"/>
      <w:szCs w:val="20"/>
      <w:u w:val="none"/>
      <w:lang w:eastAsia="en-US"/>
    </w:rPr>
  </w:style>
  <w:style w:type="character" w:customStyle="1" w:styleId="121">
    <w:name w:val="bds_nopic1"/>
    <w:qFormat/>
    <w:uiPriority w:val="0"/>
    <w:rPr>
      <w:lang w:eastAsia="en-US"/>
    </w:rPr>
  </w:style>
  <w:style w:type="character" w:customStyle="1" w:styleId="122">
    <w:name w:val="bds_more1"/>
    <w:qFormat/>
    <w:uiPriority w:val="0"/>
    <w:rPr>
      <w:rFonts w:ascii="Verdana" w:hAnsi="Verdana"/>
      <w:kern w:val="0"/>
      <w:sz w:val="20"/>
      <w:szCs w:val="20"/>
      <w:lang w:eastAsia="en-US"/>
    </w:rPr>
  </w:style>
  <w:style w:type="character" w:customStyle="1" w:styleId="123">
    <w:name w:val="font01"/>
    <w:qFormat/>
    <w:uiPriority w:val="0"/>
    <w:rPr>
      <w:rFonts w:ascii="Calibri" w:hAnsi="Calibri" w:cs="Calibri"/>
      <w:color w:val="000000"/>
      <w:kern w:val="0"/>
      <w:sz w:val="20"/>
      <w:szCs w:val="20"/>
      <w:u w:val="none"/>
      <w:lang w:eastAsia="en-US"/>
    </w:rPr>
  </w:style>
  <w:style w:type="paragraph" w:customStyle="1" w:styleId="12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列表段落1"/>
    <w:basedOn w:val="1"/>
    <w:qFormat/>
    <w:uiPriority w:val="0"/>
    <w:pPr>
      <w:ind w:firstLine="420" w:firstLineChars="200"/>
    </w:pPr>
    <w:rPr>
      <w:rFonts w:ascii="Calibri" w:hAnsi="Calibri"/>
      <w:szCs w:val="22"/>
    </w:rPr>
  </w:style>
  <w:style w:type="paragraph" w:customStyle="1" w:styleId="127">
    <w:name w:val="Bed_anl"/>
    <w:basedOn w:val="1"/>
    <w:qFormat/>
    <w:uiPriority w:val="0"/>
    <w:pPr>
      <w:widowControl/>
      <w:jc w:val="left"/>
    </w:pPr>
    <w:rPr>
      <w:rFonts w:ascii="Arial" w:hAnsi="Arial"/>
      <w:kern w:val="0"/>
      <w:sz w:val="28"/>
      <w:lang w:val="de-DE"/>
    </w:rPr>
  </w:style>
  <w:style w:type="paragraph" w:customStyle="1" w:styleId="128">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9">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30">
    <w:name w:val="正文1"/>
    <w:basedOn w:val="1"/>
    <w:qFormat/>
    <w:uiPriority w:val="0"/>
    <w:rPr>
      <w:rFonts w:ascii="宋体" w:hAnsi="宋体"/>
      <w:color w:val="000000"/>
      <w:szCs w:val="21"/>
    </w:rPr>
  </w:style>
  <w:style w:type="paragraph" w:customStyle="1" w:styleId="1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2">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正文文字2"/>
    <w:basedOn w:val="2"/>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4">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5">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6">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7">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8">
    <w:name w:val="p0"/>
    <w:basedOn w:val="1"/>
    <w:qFormat/>
    <w:uiPriority w:val="0"/>
    <w:pPr>
      <w:widowControl/>
    </w:pPr>
    <w:rPr>
      <w:rFonts w:ascii="宋体" w:hAnsi="宋体" w:cs="宋体"/>
      <w:b/>
      <w:bCs/>
      <w:kern w:val="0"/>
      <w:sz w:val="24"/>
      <w:szCs w:val="24"/>
    </w:rPr>
  </w:style>
  <w:style w:type="paragraph" w:styleId="139">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40">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41">
    <w:name w:val="Table Paragraph"/>
    <w:basedOn w:val="1"/>
    <w:qFormat/>
    <w:uiPriority w:val="1"/>
    <w:pPr>
      <w:jc w:val="left"/>
    </w:pPr>
    <w:rPr>
      <w:rFonts w:ascii="宋体" w:hAnsi="宋体" w:cs="宋体"/>
      <w:kern w:val="0"/>
      <w:sz w:val="22"/>
      <w:szCs w:val="22"/>
      <w:lang w:eastAsia="en-US"/>
    </w:rPr>
  </w:style>
  <w:style w:type="paragraph" w:customStyle="1" w:styleId="142">
    <w:name w:val="列出段落1"/>
    <w:basedOn w:val="1"/>
    <w:qFormat/>
    <w:uiPriority w:val="0"/>
    <w:pPr>
      <w:ind w:firstLine="420" w:firstLineChars="200"/>
    </w:pPr>
    <w:rPr>
      <w:rFonts w:ascii="Calibri" w:hAnsi="Calibri" w:cs="Calibri"/>
      <w:szCs w:val="21"/>
    </w:rPr>
  </w:style>
  <w:style w:type="paragraph" w:customStyle="1" w:styleId="14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4">
    <w:name w:val="附件正文"/>
    <w:basedOn w:val="1"/>
    <w:qFormat/>
    <w:uiPriority w:val="0"/>
    <w:pPr>
      <w:snapToGrid w:val="0"/>
      <w:spacing w:line="360" w:lineRule="auto"/>
    </w:pPr>
    <w:rPr>
      <w:rFonts w:ascii="宋体" w:hAnsi="宋体"/>
      <w:sz w:val="24"/>
      <w:szCs w:val="24"/>
    </w:rPr>
  </w:style>
  <w:style w:type="paragraph" w:customStyle="1" w:styleId="145">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6">
    <w:name w:val="表格文字"/>
    <w:basedOn w:val="1"/>
    <w:qFormat/>
    <w:uiPriority w:val="0"/>
    <w:rPr>
      <w:rFonts w:eastAsia="楷体_GB2312"/>
      <w:szCs w:val="21"/>
    </w:rPr>
  </w:style>
  <w:style w:type="paragraph" w:customStyle="1" w:styleId="147">
    <w:name w:val="_Style 2"/>
    <w:basedOn w:val="1"/>
    <w:qFormat/>
    <w:uiPriority w:val="34"/>
    <w:pPr>
      <w:ind w:firstLine="420" w:firstLineChars="200"/>
    </w:pPr>
    <w:rPr>
      <w:rFonts w:ascii="Calibri" w:hAnsi="Calibri"/>
      <w:szCs w:val="22"/>
    </w:rPr>
  </w:style>
  <w:style w:type="paragraph" w:customStyle="1" w:styleId="148">
    <w:name w:val="文档正文"/>
    <w:basedOn w:val="1"/>
    <w:qFormat/>
    <w:uiPriority w:val="0"/>
    <w:pPr>
      <w:ind w:firstLine="482"/>
    </w:pPr>
  </w:style>
  <w:style w:type="paragraph" w:styleId="1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msolistparagraph"/>
    <w:basedOn w:val="1"/>
    <w:qFormat/>
    <w:uiPriority w:val="0"/>
    <w:pPr>
      <w:ind w:firstLine="420" w:firstLineChars="200"/>
    </w:pPr>
  </w:style>
  <w:style w:type="paragraph" w:customStyle="1" w:styleId="1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5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4">
    <w:name w:val="A正文小四"/>
    <w:basedOn w:val="1"/>
    <w:qFormat/>
    <w:uiPriority w:val="0"/>
    <w:pPr>
      <w:spacing w:line="360" w:lineRule="auto"/>
      <w:ind w:firstLine="200" w:firstLineChars="200"/>
    </w:pPr>
    <w:rPr>
      <w:sz w:val="24"/>
      <w:szCs w:val="24"/>
    </w:rPr>
  </w:style>
  <w:style w:type="paragraph" w:customStyle="1" w:styleId="155">
    <w:name w:val="TOC 标题1"/>
    <w:basedOn w:val="4"/>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6">
    <w:name w:val="first-child1"/>
    <w:qFormat/>
    <w:uiPriority w:val="0"/>
    <w:rPr>
      <w:lang w:eastAsia="en-US"/>
    </w:rPr>
  </w:style>
  <w:style w:type="character" w:customStyle="1" w:styleId="157">
    <w:name w:val="layui-layer-tabnow"/>
    <w:qFormat/>
    <w:uiPriority w:val="0"/>
    <w:rPr>
      <w:bdr w:val="single" w:color="CCCCCC" w:sz="6" w:space="0"/>
      <w:shd w:val="clear" w:color="auto" w:fill="FFFFFF"/>
      <w:lang w:eastAsia="en-US"/>
    </w:rPr>
  </w:style>
  <w:style w:type="character" w:customStyle="1" w:styleId="158">
    <w:name w:val="nth-child(-n+2)"/>
    <w:qFormat/>
    <w:uiPriority w:val="0"/>
    <w:rPr>
      <w:lang w:eastAsia="en-US"/>
    </w:rPr>
  </w:style>
  <w:style w:type="character" w:customStyle="1" w:styleId="159">
    <w:name w:val="nth-child(-n+2)1"/>
    <w:qFormat/>
    <w:uiPriority w:val="0"/>
    <w:rPr>
      <w:lang w:eastAsia="en-US"/>
    </w:rPr>
  </w:style>
  <w:style w:type="character" w:customStyle="1" w:styleId="160">
    <w:name w:val="页脚 字符"/>
    <w:basedOn w:val="43"/>
    <w:link w:val="24"/>
    <w:qFormat/>
    <w:uiPriority w:val="99"/>
    <w:rPr>
      <w:kern w:val="2"/>
      <w:sz w:val="18"/>
    </w:rPr>
  </w:style>
  <w:style w:type="character" w:customStyle="1" w:styleId="161">
    <w:name w:val="未处理的提及1"/>
    <w:basedOn w:val="43"/>
    <w:semiHidden/>
    <w:unhideWhenUsed/>
    <w:qFormat/>
    <w:uiPriority w:val="99"/>
    <w:rPr>
      <w:color w:val="605E5C"/>
      <w:shd w:val="clear" w:color="auto" w:fill="E1DFDD"/>
    </w:rPr>
  </w:style>
  <w:style w:type="character" w:customStyle="1" w:styleId="162">
    <w:name w:val="Char Char71"/>
    <w:qFormat/>
    <w:uiPriority w:val="0"/>
    <w:rPr>
      <w:rFonts w:ascii="Arial" w:hAnsi="Arial" w:eastAsia="宋体"/>
      <w:b/>
      <w:bCs/>
      <w:kern w:val="2"/>
      <w:sz w:val="48"/>
      <w:szCs w:val="32"/>
      <w:lang w:val="en-US" w:eastAsia="zh-CN" w:bidi="ar-SA"/>
    </w:rPr>
  </w:style>
  <w:style w:type="character" w:customStyle="1" w:styleId="163">
    <w:name w:val="未处理的提及2"/>
    <w:basedOn w:val="43"/>
    <w:semiHidden/>
    <w:unhideWhenUsed/>
    <w:qFormat/>
    <w:uiPriority w:val="99"/>
    <w:rPr>
      <w:color w:val="605E5C"/>
      <w:shd w:val="clear" w:color="auto" w:fill="E1DFDD"/>
    </w:rPr>
  </w:style>
  <w:style w:type="character" w:customStyle="1" w:styleId="164">
    <w:name w:val="未处理的提及3"/>
    <w:basedOn w:val="43"/>
    <w:semiHidden/>
    <w:unhideWhenUsed/>
    <w:qFormat/>
    <w:uiPriority w:val="99"/>
    <w:rPr>
      <w:color w:val="605E5C"/>
      <w:shd w:val="clear" w:color="auto" w:fill="E1DFDD"/>
    </w:rPr>
  </w:style>
  <w:style w:type="character" w:customStyle="1" w:styleId="165">
    <w:name w:val="Unresolved Mention"/>
    <w:basedOn w:val="43"/>
    <w:semiHidden/>
    <w:unhideWhenUsed/>
    <w:qFormat/>
    <w:uiPriority w:val="99"/>
    <w:rPr>
      <w:color w:val="605E5C"/>
      <w:shd w:val="clear" w:color="auto" w:fill="E1DFDD"/>
    </w:rPr>
  </w:style>
  <w:style w:type="character" w:customStyle="1" w:styleId="166">
    <w:name w:val="批注文字 字符"/>
    <w:basedOn w:val="43"/>
    <w:link w:val="16"/>
    <w:semiHidden/>
    <w:qFormat/>
    <w:uiPriority w:val="0"/>
    <w:rPr>
      <w:kern w:val="2"/>
      <w:sz w:val="21"/>
    </w:rPr>
  </w:style>
  <w:style w:type="character" w:customStyle="1" w:styleId="167">
    <w:name w:val="批注主题 字符"/>
    <w:basedOn w:val="166"/>
    <w:link w:val="38"/>
    <w:semiHidden/>
    <w:qFormat/>
    <w:uiPriority w:val="0"/>
    <w:rPr>
      <w:b/>
      <w:bCs/>
      <w:kern w:val="2"/>
      <w:sz w:val="21"/>
    </w:rPr>
  </w:style>
  <w:style w:type="paragraph" w:customStyle="1" w:styleId="168">
    <w:name w:val="样式1"/>
    <w:next w:val="31"/>
    <w:qFormat/>
    <w:uiPriority w:val="0"/>
    <w:pPr>
      <w:widowControl w:val="0"/>
      <w:jc w:val="both"/>
    </w:pPr>
    <w:rPr>
      <w:rFonts w:ascii="Calibri" w:hAnsi="Calibri" w:eastAsia="仿宋_GB2312" w:cs="Times New Roman"/>
      <w:kern w:val="2"/>
      <w:sz w:val="32"/>
      <w:szCs w:val="22"/>
      <w:lang w:val="en-US" w:eastAsia="zh-CN" w:bidi="ar-SA"/>
    </w:rPr>
  </w:style>
  <w:style w:type="paragraph" w:customStyle="1" w:styleId="169">
    <w:name w:val="Body Text Indent 21"/>
    <w:basedOn w:val="1"/>
    <w:qFormat/>
    <w:uiPriority w:val="0"/>
    <w:pPr>
      <w:suppressAutoHyphens w:val="0"/>
      <w:spacing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116</Pages>
  <Words>815</Words>
  <Characters>1234</Characters>
  <Lines>333</Lines>
  <Paragraphs>93</Paragraphs>
  <TotalTime>46</TotalTime>
  <ScaleCrop>false</ScaleCrop>
  <LinksUpToDate>false</LinksUpToDate>
  <CharactersWithSpaces>1643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越夜越自由</cp:lastModifiedBy>
  <cp:lastPrinted>2025-05-13T06:35:13Z</cp:lastPrinted>
  <dcterms:modified xsi:type="dcterms:W3CDTF">2025-05-13T07:05:03Z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D7F3700D192D418F95E860769CBF8A38</vt:lpwstr>
  </property>
  <property fmtid="{D5CDD505-2E9C-101B-9397-08002B2CF9AE}" pid="4" name="KSOTemplateDocerSaveRecord">
    <vt:lpwstr>eyJoZGlkIjoiODEyNDU5NGVhYWNkZGMyNjQ4OGQ2N2QwM2E0NWU2MGIiLCJ1c2VySWQiOiIyMTI4ODAyNDcifQ==</vt:lpwstr>
  </property>
</Properties>
</file>